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7CBBC" w14:textId="77777777" w:rsidR="00FC2809" w:rsidRDefault="00145296" w:rsidP="00FC2809">
      <w:pPr>
        <w:pBdr>
          <w:top w:val="single" w:sz="4" w:space="1" w:color="auto"/>
          <w:left w:val="single" w:sz="4" w:space="1" w:color="auto"/>
          <w:bottom w:val="single" w:sz="4" w:space="1" w:color="auto"/>
          <w:right w:val="single" w:sz="4" w:space="1" w:color="auto"/>
        </w:pBdr>
        <w:spacing w:before="120" w:after="0" w:line="360" w:lineRule="auto"/>
        <w:jc w:val="both"/>
        <w:rPr>
          <w:rFonts w:ascii="Arial" w:eastAsia="Malgun Gothic" w:hAnsi="Arial" w:cs="Arial"/>
          <w:color w:val="000000" w:themeColor="text1"/>
          <w:sz w:val="20"/>
          <w:szCs w:val="20"/>
          <w:lang w:val="de-DE" w:eastAsia="en-GB"/>
        </w:rPr>
      </w:pPr>
      <w:bookmarkStart w:id="0" w:name="_GoBack"/>
      <w:bookmarkEnd w:id="0"/>
      <w:r w:rsidRPr="00A52F41">
        <w:rPr>
          <w:rFonts w:ascii="Arial" w:eastAsia="Arial" w:hAnsi="Arial" w:cs="Arial"/>
          <w:noProof/>
          <w:sz w:val="20"/>
          <w:szCs w:val="20"/>
          <w:lang w:eastAsia="sl-SI"/>
        </w:rPr>
        <w:drawing>
          <wp:anchor distT="0" distB="0" distL="114300" distR="114300" simplePos="0" relativeHeight="251656704" behindDoc="1" locked="0" layoutInCell="1" allowOverlap="1" wp14:anchorId="7ED3EE1B" wp14:editId="5DED6C66">
            <wp:simplePos x="0" y="0"/>
            <wp:positionH relativeFrom="page">
              <wp:posOffset>3726061</wp:posOffset>
            </wp:positionH>
            <wp:positionV relativeFrom="page">
              <wp:posOffset>1112472</wp:posOffset>
            </wp:positionV>
            <wp:extent cx="2929940" cy="715993"/>
            <wp:effectExtent l="0" t="0" r="3810" b="8255"/>
            <wp:wrapNone/>
            <wp:docPr id="1" name="Slika 1"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3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16" t="45752" r="34702" b="4521"/>
                    <a:stretch/>
                  </pic:blipFill>
                  <pic:spPr bwMode="auto">
                    <a:xfrm>
                      <a:off x="0" y="0"/>
                      <a:ext cx="2929940" cy="715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0A93" w:rsidRPr="00A52F41">
        <w:rPr>
          <w:rFonts w:ascii="Arial" w:hAnsi="Arial" w:cs="Arial"/>
          <w:noProof/>
          <w:sz w:val="20"/>
          <w:szCs w:val="20"/>
          <w:lang w:eastAsia="sl-SI"/>
        </w:rPr>
        <w:drawing>
          <wp:anchor distT="0" distB="0" distL="114300" distR="114300" simplePos="0" relativeHeight="251657728" behindDoc="1" locked="0" layoutInCell="1" allowOverlap="1" wp14:anchorId="1508A014" wp14:editId="5302D310">
            <wp:simplePos x="0" y="0"/>
            <wp:positionH relativeFrom="margin">
              <wp:posOffset>0</wp:posOffset>
            </wp:positionH>
            <wp:positionV relativeFrom="paragraph">
              <wp:posOffset>100578</wp:posOffset>
            </wp:positionV>
            <wp:extent cx="2725200" cy="1036800"/>
            <wp:effectExtent l="0" t="0" r="0" b="0"/>
            <wp:wrapNone/>
            <wp:docPr id="100002" name="Slika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2"/>
                    <a:stretch>
                      <a:fillRect/>
                    </a:stretch>
                  </pic:blipFill>
                  <pic:spPr>
                    <a:xfrm>
                      <a:off x="0" y="0"/>
                      <a:ext cx="2725200" cy="1036800"/>
                    </a:xfrm>
                    <a:prstGeom prst="rect">
                      <a:avLst/>
                    </a:prstGeom>
                  </pic:spPr>
                </pic:pic>
              </a:graphicData>
            </a:graphic>
            <wp14:sizeRelH relativeFrom="margin">
              <wp14:pctWidth>0</wp14:pctWidth>
            </wp14:sizeRelH>
            <wp14:sizeRelV relativeFrom="margin">
              <wp14:pctHeight>0</wp14:pctHeight>
            </wp14:sizeRelV>
          </wp:anchor>
        </w:drawing>
      </w:r>
    </w:p>
    <w:p w14:paraId="6C20B8F1" w14:textId="77777777" w:rsidR="00FC2809" w:rsidRDefault="00FC2809" w:rsidP="00FC2809">
      <w:pPr>
        <w:pBdr>
          <w:top w:val="single" w:sz="4" w:space="1" w:color="auto"/>
          <w:left w:val="single" w:sz="4" w:space="1" w:color="auto"/>
          <w:bottom w:val="single" w:sz="4" w:space="1" w:color="auto"/>
          <w:right w:val="single" w:sz="4" w:space="1" w:color="auto"/>
        </w:pBdr>
        <w:spacing w:before="120" w:after="0" w:line="360" w:lineRule="auto"/>
        <w:jc w:val="both"/>
        <w:rPr>
          <w:rFonts w:ascii="Arial" w:eastAsia="Malgun Gothic" w:hAnsi="Arial" w:cs="Arial"/>
          <w:color w:val="000000" w:themeColor="text1"/>
          <w:sz w:val="20"/>
          <w:szCs w:val="20"/>
          <w:lang w:val="de-DE" w:eastAsia="en-GB"/>
        </w:rPr>
      </w:pPr>
    </w:p>
    <w:p w14:paraId="6BB01C6B" w14:textId="77777777" w:rsidR="00FC2809" w:rsidRDefault="00FC2809" w:rsidP="00FC2809">
      <w:pPr>
        <w:pBdr>
          <w:top w:val="single" w:sz="4" w:space="1" w:color="auto"/>
          <w:left w:val="single" w:sz="4" w:space="1" w:color="auto"/>
          <w:bottom w:val="single" w:sz="4" w:space="1" w:color="auto"/>
          <w:right w:val="single" w:sz="4" w:space="1" w:color="auto"/>
        </w:pBdr>
        <w:spacing w:before="120" w:after="0" w:line="360" w:lineRule="auto"/>
        <w:jc w:val="both"/>
        <w:rPr>
          <w:rFonts w:ascii="Arial" w:eastAsia="Malgun Gothic" w:hAnsi="Arial" w:cs="Arial"/>
          <w:color w:val="000000" w:themeColor="text1"/>
          <w:sz w:val="20"/>
          <w:szCs w:val="20"/>
          <w:lang w:val="de-DE" w:eastAsia="en-GB"/>
        </w:rPr>
      </w:pPr>
    </w:p>
    <w:p w14:paraId="34D665D9" w14:textId="77777777" w:rsidR="00FC2809" w:rsidRDefault="00FC2809" w:rsidP="00FC2809">
      <w:pPr>
        <w:pBdr>
          <w:top w:val="single" w:sz="4" w:space="1" w:color="auto"/>
          <w:left w:val="single" w:sz="4" w:space="1" w:color="auto"/>
          <w:bottom w:val="single" w:sz="4" w:space="1" w:color="auto"/>
          <w:right w:val="single" w:sz="4" w:space="1" w:color="auto"/>
        </w:pBdr>
        <w:spacing w:before="120" w:after="0" w:line="360" w:lineRule="auto"/>
        <w:jc w:val="both"/>
        <w:rPr>
          <w:rFonts w:ascii="Arial" w:eastAsia="Malgun Gothic" w:hAnsi="Arial" w:cs="Arial"/>
          <w:color w:val="000000" w:themeColor="text1"/>
          <w:sz w:val="20"/>
          <w:szCs w:val="20"/>
          <w:lang w:val="de-DE" w:eastAsia="en-GB"/>
        </w:rPr>
      </w:pPr>
    </w:p>
    <w:p w14:paraId="53AA8B9E" w14:textId="0C7629FB" w:rsidR="00FC2809" w:rsidRDefault="00FC2809" w:rsidP="00FC2809">
      <w:pPr>
        <w:pBdr>
          <w:top w:val="single" w:sz="4" w:space="1" w:color="auto"/>
          <w:left w:val="single" w:sz="4" w:space="1" w:color="auto"/>
          <w:bottom w:val="single" w:sz="4" w:space="1" w:color="auto"/>
          <w:right w:val="single" w:sz="4" w:space="1" w:color="auto"/>
        </w:pBdr>
        <w:spacing w:before="120" w:after="0" w:line="360" w:lineRule="auto"/>
        <w:jc w:val="both"/>
        <w:rPr>
          <w:rFonts w:ascii="Arial" w:eastAsia="Malgun Gothic" w:hAnsi="Arial" w:cs="Arial"/>
          <w:color w:val="000000" w:themeColor="text1"/>
          <w:sz w:val="20"/>
          <w:szCs w:val="20"/>
          <w:lang w:val="de-DE" w:eastAsia="en-GB"/>
        </w:rPr>
      </w:pPr>
    </w:p>
    <w:p w14:paraId="2C35447F" w14:textId="77777777" w:rsidR="00FC2809" w:rsidRDefault="00FC2809" w:rsidP="00FC2809">
      <w:pPr>
        <w:pBdr>
          <w:top w:val="single" w:sz="4" w:space="1" w:color="auto"/>
          <w:left w:val="single" w:sz="4" w:space="1" w:color="auto"/>
          <w:bottom w:val="single" w:sz="4" w:space="1" w:color="auto"/>
          <w:right w:val="single" w:sz="4" w:space="1" w:color="auto"/>
        </w:pBdr>
        <w:spacing w:before="120" w:after="0" w:line="360" w:lineRule="auto"/>
        <w:jc w:val="both"/>
        <w:rPr>
          <w:rFonts w:ascii="Arial" w:eastAsia="Malgun Gothic" w:hAnsi="Arial" w:cs="Arial"/>
          <w:color w:val="000000" w:themeColor="text1"/>
          <w:sz w:val="20"/>
          <w:szCs w:val="20"/>
          <w:lang w:val="de-DE" w:eastAsia="en-GB"/>
        </w:rPr>
      </w:pPr>
    </w:p>
    <w:p w14:paraId="67643DEA" w14:textId="1E345D7F" w:rsidR="00202F34" w:rsidRPr="00FC2809" w:rsidRDefault="004F6D5C" w:rsidP="00FC2809">
      <w:pPr>
        <w:pBdr>
          <w:top w:val="single" w:sz="4" w:space="1" w:color="auto"/>
          <w:left w:val="single" w:sz="4" w:space="1" w:color="auto"/>
          <w:bottom w:val="single" w:sz="4" w:space="1" w:color="auto"/>
          <w:right w:val="single" w:sz="4" w:space="1" w:color="auto"/>
        </w:pBdr>
        <w:spacing w:before="120" w:after="0" w:line="240" w:lineRule="auto"/>
        <w:jc w:val="center"/>
        <w:rPr>
          <w:rFonts w:ascii="Arial" w:eastAsia="Malgun Gothic" w:hAnsi="Arial" w:cs="Arial"/>
          <w:color w:val="000000" w:themeColor="text1"/>
          <w:sz w:val="60"/>
          <w:szCs w:val="60"/>
          <w:lang w:val="de-DE" w:eastAsia="en-GB"/>
        </w:rPr>
      </w:pPr>
      <w:r w:rsidRPr="00FC2809">
        <w:rPr>
          <w:rFonts w:ascii="Arial" w:eastAsia="Malgun Gothic" w:hAnsi="Arial" w:cs="Arial"/>
          <w:b/>
          <w:color w:val="92D050"/>
          <w:sz w:val="60"/>
          <w:szCs w:val="60"/>
          <w:lang w:val="de-DE" w:eastAsia="en-GB"/>
        </w:rPr>
        <w:t>STRATEŠKI NAČRT SKUPNE KMETIJSKE POLITIKE</w:t>
      </w:r>
    </w:p>
    <w:p w14:paraId="79ABCC82" w14:textId="77777777" w:rsidR="00FC2809" w:rsidRPr="00FC2809" w:rsidRDefault="004F6D5C" w:rsidP="00FC2809">
      <w:pPr>
        <w:pBdr>
          <w:top w:val="single" w:sz="4" w:space="1" w:color="auto"/>
          <w:left w:val="single" w:sz="4" w:space="1" w:color="auto"/>
          <w:bottom w:val="single" w:sz="4" w:space="1" w:color="auto"/>
          <w:right w:val="single" w:sz="4" w:space="1" w:color="auto"/>
        </w:pBdr>
        <w:spacing w:after="0" w:line="240" w:lineRule="auto"/>
        <w:jc w:val="center"/>
        <w:rPr>
          <w:rFonts w:ascii="Arial" w:eastAsia="Malgun Gothic" w:hAnsi="Arial" w:cs="Arial"/>
          <w:b/>
          <w:color w:val="92D050"/>
          <w:sz w:val="60"/>
          <w:szCs w:val="60"/>
          <w:lang w:val="de-DE" w:eastAsia="en-GB"/>
        </w:rPr>
      </w:pPr>
      <w:r w:rsidRPr="00FC2809">
        <w:rPr>
          <w:rFonts w:ascii="Arial" w:eastAsia="Malgun Gothic" w:hAnsi="Arial" w:cs="Arial"/>
          <w:b/>
          <w:color w:val="92D050"/>
          <w:sz w:val="60"/>
          <w:szCs w:val="60"/>
          <w:lang w:val="de-DE" w:eastAsia="en-GB"/>
        </w:rPr>
        <w:t>2021–2027</w:t>
      </w:r>
    </w:p>
    <w:p w14:paraId="1F73732D" w14:textId="77777777" w:rsidR="00FC2809" w:rsidRDefault="00FC2809" w:rsidP="00FC2809">
      <w:pPr>
        <w:pBdr>
          <w:top w:val="single" w:sz="4" w:space="1" w:color="auto"/>
          <w:left w:val="single" w:sz="4" w:space="1" w:color="auto"/>
          <w:bottom w:val="single" w:sz="4" w:space="1" w:color="auto"/>
          <w:right w:val="single" w:sz="4" w:space="1" w:color="auto"/>
        </w:pBdr>
        <w:spacing w:after="0" w:line="360" w:lineRule="auto"/>
        <w:jc w:val="center"/>
        <w:rPr>
          <w:rFonts w:ascii="Arial" w:eastAsia="Malgun Gothic" w:hAnsi="Arial" w:cs="Arial"/>
          <w:b/>
          <w:color w:val="92D050"/>
          <w:sz w:val="52"/>
          <w:szCs w:val="52"/>
          <w:lang w:val="de-DE" w:eastAsia="en-GB"/>
        </w:rPr>
      </w:pPr>
    </w:p>
    <w:p w14:paraId="6BE0DF31" w14:textId="0759C8A9" w:rsidR="00145296" w:rsidRPr="00FC2809" w:rsidRDefault="00163103" w:rsidP="00FC2809">
      <w:pPr>
        <w:pBdr>
          <w:top w:val="single" w:sz="4" w:space="1" w:color="auto"/>
          <w:left w:val="single" w:sz="4" w:space="1" w:color="auto"/>
          <w:bottom w:val="single" w:sz="4" w:space="1" w:color="auto"/>
          <w:right w:val="single" w:sz="4" w:space="1" w:color="auto"/>
        </w:pBdr>
        <w:spacing w:after="0" w:line="360" w:lineRule="auto"/>
        <w:jc w:val="center"/>
        <w:rPr>
          <w:rFonts w:ascii="Arial" w:eastAsia="Malgun Gothic" w:hAnsi="Arial" w:cs="Arial"/>
          <w:b/>
          <w:color w:val="92D050"/>
          <w:sz w:val="72"/>
          <w:szCs w:val="52"/>
          <w:lang w:val="de-DE" w:eastAsia="en-GB"/>
        </w:rPr>
      </w:pPr>
      <w:r w:rsidRPr="00FC2809">
        <w:rPr>
          <w:rFonts w:ascii="Arial" w:eastAsia="Malgun Gothic" w:hAnsi="Arial" w:cs="Arial"/>
          <w:b/>
          <w:color w:val="92D050"/>
          <w:sz w:val="40"/>
          <w:szCs w:val="32"/>
          <w:lang w:val="de-DE" w:eastAsia="en-GB"/>
        </w:rPr>
        <w:t>SPECIFIČNI CILJ 8</w:t>
      </w:r>
      <w:r w:rsidR="004F6D5C" w:rsidRPr="00FC2809">
        <w:rPr>
          <w:rFonts w:ascii="Arial" w:eastAsia="Malgun Gothic" w:hAnsi="Arial" w:cs="Arial"/>
          <w:b/>
          <w:color w:val="92D050"/>
          <w:sz w:val="40"/>
          <w:szCs w:val="32"/>
          <w:lang w:val="de-DE" w:eastAsia="en-GB"/>
        </w:rPr>
        <w:t>:</w:t>
      </w:r>
      <w:r w:rsidRPr="00FC2809">
        <w:rPr>
          <w:rFonts w:ascii="Arial" w:eastAsia="Malgun Gothic" w:hAnsi="Arial" w:cs="Arial"/>
          <w:b/>
          <w:color w:val="92D050"/>
          <w:sz w:val="40"/>
          <w:szCs w:val="32"/>
          <w:lang w:val="de-DE" w:eastAsia="en-GB"/>
        </w:rPr>
        <w:t xml:space="preserve"> </w:t>
      </w:r>
    </w:p>
    <w:p w14:paraId="1025CCFE" w14:textId="77777777" w:rsidR="00FC2809" w:rsidRDefault="00163103" w:rsidP="00FC2809">
      <w:pPr>
        <w:pBdr>
          <w:top w:val="single" w:sz="4" w:space="1" w:color="auto"/>
          <w:left w:val="single" w:sz="4" w:space="1" w:color="auto"/>
          <w:bottom w:val="single" w:sz="4" w:space="1" w:color="auto"/>
          <w:right w:val="single" w:sz="4" w:space="1" w:color="auto"/>
        </w:pBdr>
        <w:spacing w:after="0" w:line="360" w:lineRule="auto"/>
        <w:jc w:val="center"/>
        <w:rPr>
          <w:rFonts w:ascii="Arial" w:eastAsia="Malgun Gothic" w:hAnsi="Arial" w:cs="Arial"/>
          <w:b/>
          <w:color w:val="92D050"/>
          <w:sz w:val="32"/>
          <w:szCs w:val="32"/>
          <w:lang w:val="de-DE" w:eastAsia="en-GB"/>
        </w:rPr>
      </w:pPr>
      <w:r w:rsidRPr="00F618FE">
        <w:rPr>
          <w:rFonts w:ascii="Arial" w:eastAsia="Malgun Gothic" w:hAnsi="Arial" w:cs="Arial"/>
          <w:b/>
          <w:color w:val="92D050"/>
          <w:sz w:val="32"/>
          <w:szCs w:val="32"/>
          <w:lang w:val="de-DE" w:eastAsia="en-GB"/>
        </w:rPr>
        <w:t>SPODBUJANJE ZAPOSLOVANJA, RASTI, SOCIALNE VKLJUČENOSTI IN LOKALNEGA RAZVOJA NA PODEŽELSKIH OBMOČJIH, VKLJUČNO Z BIOGOSPODARS</w:t>
      </w:r>
      <w:r w:rsidR="00145296" w:rsidRPr="00F618FE">
        <w:rPr>
          <w:rFonts w:ascii="Arial" w:eastAsia="Malgun Gothic" w:hAnsi="Arial" w:cs="Arial"/>
          <w:b/>
          <w:color w:val="92D050"/>
          <w:sz w:val="32"/>
          <w:szCs w:val="32"/>
          <w:lang w:val="de-DE" w:eastAsia="en-GB"/>
        </w:rPr>
        <w:t>TVOM IN TRAJNOSTNIM GOZDARSTVOM</w:t>
      </w:r>
    </w:p>
    <w:p w14:paraId="2F8252D1" w14:textId="77777777" w:rsidR="00FC2809" w:rsidRDefault="00FC2809" w:rsidP="00FC2809">
      <w:pPr>
        <w:pBdr>
          <w:top w:val="single" w:sz="4" w:space="1" w:color="auto"/>
          <w:left w:val="single" w:sz="4" w:space="1" w:color="auto"/>
          <w:bottom w:val="single" w:sz="4" w:space="1" w:color="auto"/>
          <w:right w:val="single" w:sz="4" w:space="1" w:color="auto"/>
        </w:pBdr>
        <w:spacing w:after="0" w:line="360" w:lineRule="auto"/>
        <w:jc w:val="center"/>
        <w:rPr>
          <w:rFonts w:ascii="Arial" w:eastAsia="Malgun Gothic" w:hAnsi="Arial" w:cs="Arial"/>
          <w:b/>
          <w:color w:val="92D050"/>
          <w:sz w:val="32"/>
          <w:szCs w:val="32"/>
          <w:lang w:val="de-DE" w:eastAsia="en-GB"/>
        </w:rPr>
      </w:pPr>
    </w:p>
    <w:p w14:paraId="32125E90" w14:textId="7D548BC0" w:rsidR="00163103" w:rsidRPr="00FC2809" w:rsidRDefault="00163103" w:rsidP="00FC2809">
      <w:pPr>
        <w:pBdr>
          <w:top w:val="single" w:sz="4" w:space="1" w:color="auto"/>
          <w:left w:val="single" w:sz="4" w:space="1" w:color="auto"/>
          <w:bottom w:val="single" w:sz="4" w:space="1" w:color="auto"/>
          <w:right w:val="single" w:sz="4" w:space="1" w:color="auto"/>
        </w:pBdr>
        <w:spacing w:after="0" w:line="360" w:lineRule="auto"/>
        <w:jc w:val="center"/>
        <w:rPr>
          <w:rFonts w:ascii="Arial" w:eastAsia="Malgun Gothic" w:hAnsi="Arial" w:cs="Arial"/>
          <w:b/>
          <w:color w:val="92D050"/>
          <w:sz w:val="28"/>
          <w:szCs w:val="32"/>
          <w:lang w:val="de-DE" w:eastAsia="en-GB"/>
        </w:rPr>
      </w:pPr>
      <w:r w:rsidRPr="00FC2809">
        <w:rPr>
          <w:rFonts w:ascii="Arial" w:eastAsia="Times New Roman" w:hAnsi="Arial" w:cs="Arial"/>
          <w:b/>
          <w:color w:val="92D050"/>
          <w:sz w:val="28"/>
          <w:szCs w:val="32"/>
          <w:lang w:eastAsia="en-GB"/>
        </w:rPr>
        <w:t>ANALIZA STANJA</w:t>
      </w:r>
    </w:p>
    <w:p w14:paraId="05C2828C" w14:textId="77777777" w:rsidR="00163103" w:rsidRPr="00FC2809" w:rsidRDefault="00163103" w:rsidP="00EA2E4C">
      <w:pPr>
        <w:pBdr>
          <w:top w:val="single" w:sz="4" w:space="1" w:color="auto"/>
          <w:left w:val="single" w:sz="4" w:space="1" w:color="auto"/>
          <w:bottom w:val="single" w:sz="4" w:space="1" w:color="auto"/>
          <w:right w:val="single" w:sz="4" w:space="1" w:color="auto"/>
        </w:pBdr>
        <w:spacing w:before="120" w:after="0" w:line="360" w:lineRule="auto"/>
        <w:jc w:val="center"/>
        <w:rPr>
          <w:rFonts w:ascii="Arial" w:eastAsia="Times New Roman" w:hAnsi="Arial" w:cs="Arial"/>
          <w:b/>
          <w:color w:val="92D050"/>
          <w:sz w:val="28"/>
          <w:szCs w:val="32"/>
          <w:lang w:eastAsia="en-GB"/>
        </w:rPr>
      </w:pPr>
      <w:r w:rsidRPr="00FC2809">
        <w:rPr>
          <w:rFonts w:ascii="Arial" w:eastAsia="Times New Roman" w:hAnsi="Arial" w:cs="Arial"/>
          <w:b/>
          <w:color w:val="92D050"/>
          <w:sz w:val="28"/>
          <w:szCs w:val="32"/>
          <w:lang w:eastAsia="en-GB"/>
        </w:rPr>
        <w:t>ANALIZA SWOT</w:t>
      </w:r>
    </w:p>
    <w:p w14:paraId="01FF2604" w14:textId="5C3F6CCA" w:rsidR="00FC2809" w:rsidRPr="00FC2809" w:rsidRDefault="00163103" w:rsidP="00FC2809">
      <w:pPr>
        <w:pBdr>
          <w:top w:val="single" w:sz="4" w:space="1" w:color="auto"/>
          <w:left w:val="single" w:sz="4" w:space="1" w:color="auto"/>
          <w:bottom w:val="single" w:sz="4" w:space="1" w:color="auto"/>
          <w:right w:val="single" w:sz="4" w:space="1" w:color="auto"/>
        </w:pBdr>
        <w:spacing w:before="120" w:after="0" w:line="360" w:lineRule="auto"/>
        <w:jc w:val="center"/>
        <w:rPr>
          <w:rFonts w:ascii="Arial" w:eastAsia="Times New Roman" w:hAnsi="Arial" w:cs="Arial"/>
          <w:b/>
          <w:color w:val="92D050"/>
          <w:sz w:val="28"/>
          <w:szCs w:val="32"/>
          <w:lang w:eastAsia="en-GB"/>
        </w:rPr>
      </w:pPr>
      <w:r w:rsidRPr="00FC2809">
        <w:rPr>
          <w:rFonts w:ascii="Arial" w:eastAsia="Times New Roman" w:hAnsi="Arial" w:cs="Arial"/>
          <w:b/>
          <w:color w:val="92D050"/>
          <w:sz w:val="28"/>
          <w:szCs w:val="32"/>
          <w:lang w:eastAsia="en-GB"/>
        </w:rPr>
        <w:t>OPREDELITEV POTREB</w:t>
      </w:r>
    </w:p>
    <w:p w14:paraId="69CFC475" w14:textId="77777777" w:rsidR="00FC2809" w:rsidRDefault="00FC2809" w:rsidP="00FC2809">
      <w:pPr>
        <w:pBdr>
          <w:top w:val="single" w:sz="4" w:space="1" w:color="auto"/>
          <w:left w:val="single" w:sz="4" w:space="1" w:color="auto"/>
          <w:bottom w:val="single" w:sz="4" w:space="1" w:color="auto"/>
          <w:right w:val="single" w:sz="4" w:space="1" w:color="auto"/>
        </w:pBdr>
        <w:spacing w:before="120" w:after="0" w:line="360" w:lineRule="auto"/>
        <w:jc w:val="center"/>
        <w:rPr>
          <w:rFonts w:ascii="Arial" w:eastAsia="Malgun Gothic" w:hAnsi="Arial" w:cs="Arial"/>
          <w:sz w:val="20"/>
          <w:szCs w:val="20"/>
          <w:lang w:eastAsia="en-GB"/>
        </w:rPr>
      </w:pPr>
    </w:p>
    <w:p w14:paraId="44E2881F" w14:textId="6E0893A6" w:rsidR="00FC2809" w:rsidRDefault="00FC2809" w:rsidP="00FC2809">
      <w:pPr>
        <w:pBdr>
          <w:top w:val="single" w:sz="4" w:space="1" w:color="auto"/>
          <w:left w:val="single" w:sz="4" w:space="1" w:color="auto"/>
          <w:bottom w:val="single" w:sz="4" w:space="1" w:color="auto"/>
          <w:right w:val="single" w:sz="4" w:space="1" w:color="auto"/>
        </w:pBdr>
        <w:spacing w:before="120" w:after="0" w:line="360" w:lineRule="auto"/>
        <w:jc w:val="center"/>
        <w:rPr>
          <w:rFonts w:ascii="Arial" w:eastAsia="Malgun Gothic" w:hAnsi="Arial" w:cs="Arial"/>
          <w:sz w:val="20"/>
          <w:szCs w:val="20"/>
          <w:lang w:eastAsia="en-GB"/>
        </w:rPr>
      </w:pPr>
    </w:p>
    <w:p w14:paraId="5A152A82" w14:textId="77777777" w:rsidR="00FC2809" w:rsidRDefault="00FC2809" w:rsidP="00FC2809">
      <w:pPr>
        <w:pBdr>
          <w:top w:val="single" w:sz="4" w:space="1" w:color="auto"/>
          <w:left w:val="single" w:sz="4" w:space="1" w:color="auto"/>
          <w:bottom w:val="single" w:sz="4" w:space="1" w:color="auto"/>
          <w:right w:val="single" w:sz="4" w:space="1" w:color="auto"/>
        </w:pBdr>
        <w:spacing w:before="120" w:after="0" w:line="360" w:lineRule="auto"/>
        <w:jc w:val="center"/>
        <w:rPr>
          <w:rFonts w:ascii="Arial" w:eastAsia="Malgun Gothic" w:hAnsi="Arial" w:cs="Arial"/>
          <w:sz w:val="20"/>
          <w:szCs w:val="20"/>
          <w:lang w:eastAsia="en-GB"/>
        </w:rPr>
      </w:pPr>
    </w:p>
    <w:p w14:paraId="594A945D" w14:textId="395073F4" w:rsidR="00FC2809" w:rsidRPr="00FC2809" w:rsidRDefault="00FC2809" w:rsidP="00FC2809">
      <w:pPr>
        <w:pBdr>
          <w:top w:val="single" w:sz="4" w:space="1" w:color="auto"/>
          <w:left w:val="single" w:sz="4" w:space="1" w:color="auto"/>
          <w:bottom w:val="single" w:sz="4" w:space="1" w:color="auto"/>
          <w:right w:val="single" w:sz="4" w:space="1" w:color="auto"/>
        </w:pBdr>
        <w:spacing w:before="120" w:after="0" w:line="360" w:lineRule="auto"/>
        <w:jc w:val="center"/>
        <w:rPr>
          <w:rFonts w:ascii="Arial" w:eastAsia="Malgun Gothic" w:hAnsi="Arial" w:cs="Arial"/>
          <w:sz w:val="24"/>
          <w:szCs w:val="20"/>
          <w:lang w:eastAsia="en-GB"/>
        </w:rPr>
      </w:pPr>
      <w:r w:rsidRPr="00FC2809">
        <w:rPr>
          <w:rFonts w:ascii="Arial" w:eastAsia="Malgun Gothic" w:hAnsi="Arial" w:cs="Arial"/>
          <w:sz w:val="24"/>
          <w:szCs w:val="20"/>
          <w:lang w:eastAsia="en-GB"/>
        </w:rPr>
        <w:t>Ljubljana, november 2020</w:t>
      </w:r>
    </w:p>
    <w:p w14:paraId="17ECB3A2" w14:textId="77777777" w:rsidR="00FC2809" w:rsidRPr="007A4918" w:rsidRDefault="00FC2809" w:rsidP="00FC2809">
      <w:pPr>
        <w:pBdr>
          <w:top w:val="single" w:sz="4" w:space="1" w:color="auto"/>
          <w:left w:val="single" w:sz="4" w:space="1" w:color="auto"/>
          <w:bottom w:val="single" w:sz="4" w:space="1" w:color="auto"/>
          <w:right w:val="single" w:sz="4" w:space="1" w:color="auto"/>
        </w:pBdr>
        <w:spacing w:before="120" w:after="0" w:line="264" w:lineRule="auto"/>
        <w:rPr>
          <w:rFonts w:eastAsia="Times New Roman" w:cs="Arial"/>
          <w:sz w:val="16"/>
          <w:szCs w:val="16"/>
          <w:lang w:eastAsia="en-GB"/>
        </w:rPr>
      </w:pPr>
      <w:r w:rsidRPr="007A4918">
        <w:rPr>
          <w:rFonts w:eastAsia="Arial" w:cs="Arial"/>
          <w:sz w:val="16"/>
          <w:szCs w:val="16"/>
          <w:lang w:eastAsia="en-GB"/>
        </w:rPr>
        <w:t>Ta dokument predstavlja osnutek analize stanja, analize SWOT ter opredelitev potreb za Strateški načrt SKP 2021−2027. Gre za delovni dokument, ki je podlaga za razpravo in nadaljnje delo pri pripravi Strateškega načrta SKP 2021−2027. Vsebine, predstavljene v tem delovnem dokumentu, se lahko spremenijo in med nadaljnjo razpravo ustrezno prilagodijo.</w:t>
      </w:r>
    </w:p>
    <w:p w14:paraId="6469CBC1" w14:textId="5DF4FD05" w:rsidR="00163103" w:rsidRPr="00FC2809" w:rsidRDefault="00163103" w:rsidP="00FC2809">
      <w:pPr>
        <w:pBdr>
          <w:top w:val="single" w:sz="4" w:space="1" w:color="auto"/>
          <w:left w:val="single" w:sz="4" w:space="1" w:color="auto"/>
          <w:bottom w:val="single" w:sz="4" w:space="1" w:color="auto"/>
          <w:right w:val="single" w:sz="4" w:space="1" w:color="auto"/>
        </w:pBdr>
        <w:spacing w:before="120" w:after="0" w:line="360" w:lineRule="auto"/>
        <w:jc w:val="center"/>
        <w:rPr>
          <w:rFonts w:ascii="Arial" w:eastAsia="Malgun Gothic" w:hAnsi="Arial" w:cs="Arial"/>
          <w:sz w:val="20"/>
          <w:szCs w:val="20"/>
          <w:lang w:eastAsia="en-GB"/>
        </w:rPr>
      </w:pPr>
      <w:r w:rsidRPr="00A52F41">
        <w:rPr>
          <w:rFonts w:ascii="Arial" w:eastAsia="Malgun Gothic" w:hAnsi="Arial" w:cs="Arial"/>
          <w:b/>
          <w:color w:val="92D050"/>
          <w:sz w:val="20"/>
          <w:szCs w:val="20"/>
          <w:lang w:val="de-DE" w:eastAsia="en-GB"/>
        </w:rPr>
        <w:br w:type="page"/>
      </w:r>
    </w:p>
    <w:p w14:paraId="49BAA0AD" w14:textId="77777777" w:rsidR="00163103" w:rsidRPr="00F5427E" w:rsidRDefault="004F6D5C" w:rsidP="00F5427E">
      <w:pPr>
        <w:spacing w:line="360" w:lineRule="auto"/>
        <w:jc w:val="both"/>
        <w:rPr>
          <w:rFonts w:ascii="Arial" w:hAnsi="Arial" w:cs="Arial"/>
          <w:b/>
          <w:sz w:val="28"/>
          <w:szCs w:val="28"/>
        </w:rPr>
      </w:pPr>
      <w:r w:rsidRPr="00F5427E">
        <w:rPr>
          <w:rFonts w:ascii="Arial" w:hAnsi="Arial" w:cs="Arial"/>
          <w:b/>
          <w:sz w:val="28"/>
          <w:szCs w:val="28"/>
        </w:rPr>
        <w:lastRenderedPageBreak/>
        <w:t>KAZALO</w:t>
      </w:r>
    </w:p>
    <w:p w14:paraId="13D56BB1" w14:textId="22151615" w:rsidR="00A32B6B" w:rsidRDefault="00163103">
      <w:pPr>
        <w:pStyle w:val="Kazalovsebine2"/>
        <w:tabs>
          <w:tab w:val="right" w:leader="dot" w:pos="9062"/>
        </w:tabs>
        <w:rPr>
          <w:rFonts w:eastAsiaTheme="minorEastAsia" w:cstheme="minorBidi"/>
          <w:b w:val="0"/>
          <w:bCs w:val="0"/>
          <w:noProof/>
          <w:lang w:eastAsia="sl-SI"/>
        </w:rPr>
      </w:pPr>
      <w:r w:rsidRPr="00A52F41">
        <w:rPr>
          <w:rFonts w:ascii="Arial" w:hAnsi="Arial" w:cs="Arial"/>
          <w:sz w:val="24"/>
          <w:szCs w:val="24"/>
        </w:rPr>
        <w:fldChar w:fldCharType="begin"/>
      </w:r>
      <w:r w:rsidRPr="00A52F41">
        <w:rPr>
          <w:rFonts w:ascii="Arial" w:hAnsi="Arial" w:cs="Arial"/>
        </w:rPr>
        <w:instrText xml:space="preserve"> TOC \o "1-3" \h \z \u </w:instrText>
      </w:r>
      <w:r w:rsidRPr="00A52F41">
        <w:rPr>
          <w:rFonts w:ascii="Arial" w:hAnsi="Arial" w:cs="Arial"/>
          <w:sz w:val="24"/>
          <w:szCs w:val="24"/>
        </w:rPr>
        <w:fldChar w:fldCharType="separate"/>
      </w:r>
      <w:hyperlink w:anchor="_Toc55999323" w:history="1">
        <w:r w:rsidR="00A32B6B" w:rsidRPr="00A72A3B">
          <w:rPr>
            <w:rStyle w:val="Hiperpovezava"/>
            <w:rFonts w:ascii="Arial" w:hAnsi="Arial" w:cs="Arial"/>
            <w:noProof/>
          </w:rPr>
          <w:t>1 SPLOŠNE ZNAČILNOSTI PODEŽELJA</w:t>
        </w:r>
        <w:r w:rsidR="00A32B6B">
          <w:rPr>
            <w:noProof/>
            <w:webHidden/>
          </w:rPr>
          <w:tab/>
        </w:r>
        <w:r w:rsidR="00A32B6B">
          <w:rPr>
            <w:noProof/>
            <w:webHidden/>
          </w:rPr>
          <w:fldChar w:fldCharType="begin"/>
        </w:r>
        <w:r w:rsidR="00A32B6B">
          <w:rPr>
            <w:noProof/>
            <w:webHidden/>
          </w:rPr>
          <w:instrText xml:space="preserve"> PAGEREF _Toc55999323 \h </w:instrText>
        </w:r>
        <w:r w:rsidR="00A32B6B">
          <w:rPr>
            <w:noProof/>
            <w:webHidden/>
          </w:rPr>
        </w:r>
        <w:r w:rsidR="00A32B6B">
          <w:rPr>
            <w:noProof/>
            <w:webHidden/>
          </w:rPr>
          <w:fldChar w:fldCharType="separate"/>
        </w:r>
        <w:r w:rsidR="00CF4E86">
          <w:rPr>
            <w:noProof/>
            <w:webHidden/>
          </w:rPr>
          <w:t>8</w:t>
        </w:r>
        <w:r w:rsidR="00A32B6B">
          <w:rPr>
            <w:noProof/>
            <w:webHidden/>
          </w:rPr>
          <w:fldChar w:fldCharType="end"/>
        </w:r>
      </w:hyperlink>
    </w:p>
    <w:p w14:paraId="7D910F42" w14:textId="3E6148E0" w:rsidR="00A32B6B" w:rsidRDefault="00CF4E86">
      <w:pPr>
        <w:pStyle w:val="Kazalovsebine2"/>
        <w:tabs>
          <w:tab w:val="left" w:pos="960"/>
          <w:tab w:val="right" w:leader="dot" w:pos="9062"/>
        </w:tabs>
        <w:rPr>
          <w:rFonts w:eastAsiaTheme="minorEastAsia" w:cstheme="minorBidi"/>
          <w:b w:val="0"/>
          <w:bCs w:val="0"/>
          <w:noProof/>
          <w:lang w:eastAsia="sl-SI"/>
        </w:rPr>
      </w:pPr>
      <w:hyperlink w:anchor="_Toc55999324" w:history="1">
        <w:r w:rsidR="00A32B6B" w:rsidRPr="00A72A3B">
          <w:rPr>
            <w:rStyle w:val="Hiperpovezava"/>
            <w:rFonts w:ascii="Arial" w:hAnsi="Arial" w:cs="Arial"/>
            <w:noProof/>
          </w:rPr>
          <w:t>1.1</w:t>
        </w:r>
        <w:r w:rsidR="00A32B6B">
          <w:rPr>
            <w:rFonts w:eastAsiaTheme="minorEastAsia" w:cstheme="minorBidi"/>
            <w:b w:val="0"/>
            <w:bCs w:val="0"/>
            <w:noProof/>
            <w:lang w:eastAsia="sl-SI"/>
          </w:rPr>
          <w:tab/>
        </w:r>
        <w:r w:rsidR="00A32B6B" w:rsidRPr="00A72A3B">
          <w:rPr>
            <w:rStyle w:val="Hiperpovezava"/>
            <w:rFonts w:ascii="Arial" w:hAnsi="Arial" w:cs="Arial"/>
            <w:noProof/>
          </w:rPr>
          <w:t>POVRŠINA IN PREBIVALSTVO</w:t>
        </w:r>
        <w:r w:rsidR="00A32B6B">
          <w:rPr>
            <w:noProof/>
            <w:webHidden/>
          </w:rPr>
          <w:tab/>
        </w:r>
        <w:r w:rsidR="00A32B6B">
          <w:rPr>
            <w:noProof/>
            <w:webHidden/>
          </w:rPr>
          <w:fldChar w:fldCharType="begin"/>
        </w:r>
        <w:r w:rsidR="00A32B6B">
          <w:rPr>
            <w:noProof/>
            <w:webHidden/>
          </w:rPr>
          <w:instrText xml:space="preserve"> PAGEREF _Toc55999324 \h </w:instrText>
        </w:r>
        <w:r w:rsidR="00A32B6B">
          <w:rPr>
            <w:noProof/>
            <w:webHidden/>
          </w:rPr>
        </w:r>
        <w:r w:rsidR="00A32B6B">
          <w:rPr>
            <w:noProof/>
            <w:webHidden/>
          </w:rPr>
          <w:fldChar w:fldCharType="separate"/>
        </w:r>
        <w:r>
          <w:rPr>
            <w:noProof/>
            <w:webHidden/>
          </w:rPr>
          <w:t>9</w:t>
        </w:r>
        <w:r w:rsidR="00A32B6B">
          <w:rPr>
            <w:noProof/>
            <w:webHidden/>
          </w:rPr>
          <w:fldChar w:fldCharType="end"/>
        </w:r>
      </w:hyperlink>
    </w:p>
    <w:p w14:paraId="41034C64" w14:textId="61524E30" w:rsidR="00A32B6B" w:rsidRDefault="00CF4E86">
      <w:pPr>
        <w:pStyle w:val="Kazalovsebine2"/>
        <w:tabs>
          <w:tab w:val="left" w:pos="960"/>
          <w:tab w:val="right" w:leader="dot" w:pos="9062"/>
        </w:tabs>
        <w:rPr>
          <w:rFonts w:eastAsiaTheme="minorEastAsia" w:cstheme="minorBidi"/>
          <w:b w:val="0"/>
          <w:bCs w:val="0"/>
          <w:noProof/>
          <w:lang w:eastAsia="sl-SI"/>
        </w:rPr>
      </w:pPr>
      <w:hyperlink w:anchor="_Toc55999325" w:history="1">
        <w:r w:rsidR="00A32B6B" w:rsidRPr="00A72A3B">
          <w:rPr>
            <w:rStyle w:val="Hiperpovezava"/>
            <w:noProof/>
          </w:rPr>
          <w:t>1.2</w:t>
        </w:r>
        <w:r w:rsidR="00A32B6B">
          <w:rPr>
            <w:rFonts w:eastAsiaTheme="minorEastAsia" w:cstheme="minorBidi"/>
            <w:b w:val="0"/>
            <w:bCs w:val="0"/>
            <w:noProof/>
            <w:lang w:eastAsia="sl-SI"/>
          </w:rPr>
          <w:tab/>
        </w:r>
        <w:r w:rsidR="00A32B6B" w:rsidRPr="00A72A3B">
          <w:rPr>
            <w:rStyle w:val="Hiperpovezava"/>
            <w:noProof/>
          </w:rPr>
          <w:t>MIGRACIJE</w:t>
        </w:r>
        <w:r w:rsidR="00A32B6B">
          <w:rPr>
            <w:noProof/>
            <w:webHidden/>
          </w:rPr>
          <w:tab/>
        </w:r>
        <w:r w:rsidR="00A32B6B">
          <w:rPr>
            <w:noProof/>
            <w:webHidden/>
          </w:rPr>
          <w:fldChar w:fldCharType="begin"/>
        </w:r>
        <w:r w:rsidR="00A32B6B">
          <w:rPr>
            <w:noProof/>
            <w:webHidden/>
          </w:rPr>
          <w:instrText xml:space="preserve"> PAGEREF _Toc55999325 \h </w:instrText>
        </w:r>
        <w:r w:rsidR="00A32B6B">
          <w:rPr>
            <w:noProof/>
            <w:webHidden/>
          </w:rPr>
        </w:r>
        <w:r w:rsidR="00A32B6B">
          <w:rPr>
            <w:noProof/>
            <w:webHidden/>
          </w:rPr>
          <w:fldChar w:fldCharType="separate"/>
        </w:r>
        <w:r>
          <w:rPr>
            <w:noProof/>
            <w:webHidden/>
          </w:rPr>
          <w:t>20</w:t>
        </w:r>
        <w:r w:rsidR="00A32B6B">
          <w:rPr>
            <w:noProof/>
            <w:webHidden/>
          </w:rPr>
          <w:fldChar w:fldCharType="end"/>
        </w:r>
      </w:hyperlink>
    </w:p>
    <w:p w14:paraId="36966415" w14:textId="4D500EC5" w:rsidR="00A32B6B" w:rsidRDefault="00CF4E86">
      <w:pPr>
        <w:pStyle w:val="Kazalovsebine2"/>
        <w:tabs>
          <w:tab w:val="left" w:pos="960"/>
          <w:tab w:val="right" w:leader="dot" w:pos="9062"/>
        </w:tabs>
        <w:rPr>
          <w:rFonts w:eastAsiaTheme="minorEastAsia" w:cstheme="minorBidi"/>
          <w:b w:val="0"/>
          <w:bCs w:val="0"/>
          <w:noProof/>
          <w:lang w:eastAsia="sl-SI"/>
        </w:rPr>
      </w:pPr>
      <w:hyperlink w:anchor="_Toc55999326" w:history="1">
        <w:r w:rsidR="00A32B6B" w:rsidRPr="00A72A3B">
          <w:rPr>
            <w:rStyle w:val="Hiperpovezava"/>
            <w:noProof/>
          </w:rPr>
          <w:t>1.3</w:t>
        </w:r>
        <w:r w:rsidR="00A32B6B">
          <w:rPr>
            <w:rFonts w:eastAsiaTheme="minorEastAsia" w:cstheme="minorBidi"/>
            <w:b w:val="0"/>
            <w:bCs w:val="0"/>
            <w:noProof/>
            <w:lang w:eastAsia="sl-SI"/>
          </w:rPr>
          <w:tab/>
        </w:r>
        <w:r w:rsidR="00A32B6B" w:rsidRPr="00A72A3B">
          <w:rPr>
            <w:rStyle w:val="Hiperpovezava"/>
            <w:noProof/>
          </w:rPr>
          <w:t>KLJUČNE UGOTOVITVE</w:t>
        </w:r>
        <w:r w:rsidR="00A32B6B">
          <w:rPr>
            <w:noProof/>
            <w:webHidden/>
          </w:rPr>
          <w:tab/>
        </w:r>
        <w:r w:rsidR="00A32B6B">
          <w:rPr>
            <w:noProof/>
            <w:webHidden/>
          </w:rPr>
          <w:fldChar w:fldCharType="begin"/>
        </w:r>
        <w:r w:rsidR="00A32B6B">
          <w:rPr>
            <w:noProof/>
            <w:webHidden/>
          </w:rPr>
          <w:instrText xml:space="preserve"> PAGEREF _Toc55999326 \h </w:instrText>
        </w:r>
        <w:r w:rsidR="00A32B6B">
          <w:rPr>
            <w:noProof/>
            <w:webHidden/>
          </w:rPr>
        </w:r>
        <w:r w:rsidR="00A32B6B">
          <w:rPr>
            <w:noProof/>
            <w:webHidden/>
          </w:rPr>
          <w:fldChar w:fldCharType="separate"/>
        </w:r>
        <w:r>
          <w:rPr>
            <w:noProof/>
            <w:webHidden/>
          </w:rPr>
          <w:t>25</w:t>
        </w:r>
        <w:r w:rsidR="00A32B6B">
          <w:rPr>
            <w:noProof/>
            <w:webHidden/>
          </w:rPr>
          <w:fldChar w:fldCharType="end"/>
        </w:r>
      </w:hyperlink>
    </w:p>
    <w:p w14:paraId="428A459B" w14:textId="05C011F4" w:rsidR="00A32B6B" w:rsidRDefault="00CF4E86">
      <w:pPr>
        <w:pStyle w:val="Kazalovsebine2"/>
        <w:tabs>
          <w:tab w:val="right" w:leader="dot" w:pos="9062"/>
        </w:tabs>
        <w:rPr>
          <w:rFonts w:eastAsiaTheme="minorEastAsia" w:cstheme="minorBidi"/>
          <w:b w:val="0"/>
          <w:bCs w:val="0"/>
          <w:noProof/>
          <w:lang w:eastAsia="sl-SI"/>
        </w:rPr>
      </w:pPr>
      <w:hyperlink w:anchor="_Toc55999327" w:history="1">
        <w:r w:rsidR="00A32B6B" w:rsidRPr="00A72A3B">
          <w:rPr>
            <w:rStyle w:val="Hiperpovezava"/>
            <w:rFonts w:ascii="Arial" w:hAnsi="Arial" w:cs="Arial"/>
            <w:noProof/>
          </w:rPr>
          <w:t>2 KAKOVOST ŽIVLJENJA IN SOCIALNA VKLJUČENOST</w:t>
        </w:r>
        <w:r w:rsidR="00A32B6B">
          <w:rPr>
            <w:noProof/>
            <w:webHidden/>
          </w:rPr>
          <w:tab/>
        </w:r>
        <w:r w:rsidR="00A32B6B">
          <w:rPr>
            <w:noProof/>
            <w:webHidden/>
          </w:rPr>
          <w:fldChar w:fldCharType="begin"/>
        </w:r>
        <w:r w:rsidR="00A32B6B">
          <w:rPr>
            <w:noProof/>
            <w:webHidden/>
          </w:rPr>
          <w:instrText xml:space="preserve"> PAGEREF _Toc55999327 \h </w:instrText>
        </w:r>
        <w:r w:rsidR="00A32B6B">
          <w:rPr>
            <w:noProof/>
            <w:webHidden/>
          </w:rPr>
        </w:r>
        <w:r w:rsidR="00A32B6B">
          <w:rPr>
            <w:noProof/>
            <w:webHidden/>
          </w:rPr>
          <w:fldChar w:fldCharType="separate"/>
        </w:r>
        <w:r>
          <w:rPr>
            <w:noProof/>
            <w:webHidden/>
          </w:rPr>
          <w:t>27</w:t>
        </w:r>
        <w:r w:rsidR="00A32B6B">
          <w:rPr>
            <w:noProof/>
            <w:webHidden/>
          </w:rPr>
          <w:fldChar w:fldCharType="end"/>
        </w:r>
      </w:hyperlink>
    </w:p>
    <w:p w14:paraId="4D9D2C31" w14:textId="4D1E49EA" w:rsidR="00A32B6B" w:rsidRDefault="00CF4E86">
      <w:pPr>
        <w:pStyle w:val="Kazalovsebine2"/>
        <w:tabs>
          <w:tab w:val="right" w:leader="dot" w:pos="9062"/>
        </w:tabs>
        <w:rPr>
          <w:rFonts w:eastAsiaTheme="minorEastAsia" w:cstheme="minorBidi"/>
          <w:b w:val="0"/>
          <w:bCs w:val="0"/>
          <w:noProof/>
          <w:lang w:eastAsia="sl-SI"/>
        </w:rPr>
      </w:pPr>
      <w:hyperlink w:anchor="_Toc55999328" w:history="1">
        <w:r w:rsidR="00A32B6B" w:rsidRPr="00A72A3B">
          <w:rPr>
            <w:rStyle w:val="Hiperpovezava"/>
            <w:rFonts w:ascii="Arial" w:hAnsi="Arial" w:cs="Arial"/>
            <w:noProof/>
          </w:rPr>
          <w:t>2.1 IZOBRAŽEVANJE</w:t>
        </w:r>
        <w:r w:rsidR="00A32B6B">
          <w:rPr>
            <w:noProof/>
            <w:webHidden/>
          </w:rPr>
          <w:tab/>
        </w:r>
        <w:r w:rsidR="00A32B6B">
          <w:rPr>
            <w:noProof/>
            <w:webHidden/>
          </w:rPr>
          <w:fldChar w:fldCharType="begin"/>
        </w:r>
        <w:r w:rsidR="00A32B6B">
          <w:rPr>
            <w:noProof/>
            <w:webHidden/>
          </w:rPr>
          <w:instrText xml:space="preserve"> PAGEREF _Toc55999328 \h </w:instrText>
        </w:r>
        <w:r w:rsidR="00A32B6B">
          <w:rPr>
            <w:noProof/>
            <w:webHidden/>
          </w:rPr>
        </w:r>
        <w:r w:rsidR="00A32B6B">
          <w:rPr>
            <w:noProof/>
            <w:webHidden/>
          </w:rPr>
          <w:fldChar w:fldCharType="separate"/>
        </w:r>
        <w:r>
          <w:rPr>
            <w:noProof/>
            <w:webHidden/>
          </w:rPr>
          <w:t>36</w:t>
        </w:r>
        <w:r w:rsidR="00A32B6B">
          <w:rPr>
            <w:noProof/>
            <w:webHidden/>
          </w:rPr>
          <w:fldChar w:fldCharType="end"/>
        </w:r>
      </w:hyperlink>
    </w:p>
    <w:p w14:paraId="21B52852" w14:textId="76098001" w:rsidR="00A32B6B" w:rsidRDefault="00CF4E86">
      <w:pPr>
        <w:pStyle w:val="Kazalovsebine2"/>
        <w:tabs>
          <w:tab w:val="right" w:leader="dot" w:pos="9062"/>
        </w:tabs>
        <w:rPr>
          <w:rFonts w:eastAsiaTheme="minorEastAsia" w:cstheme="minorBidi"/>
          <w:b w:val="0"/>
          <w:bCs w:val="0"/>
          <w:noProof/>
          <w:lang w:eastAsia="sl-SI"/>
        </w:rPr>
      </w:pPr>
      <w:hyperlink w:anchor="_Toc55999329" w:history="1">
        <w:r w:rsidR="00A32B6B" w:rsidRPr="00A72A3B">
          <w:rPr>
            <w:rStyle w:val="Hiperpovezava"/>
            <w:rFonts w:ascii="Arial" w:hAnsi="Arial" w:cs="Arial"/>
            <w:noProof/>
          </w:rPr>
          <w:t>2.2 OPREMLJENOST S STORITVAMI</w:t>
        </w:r>
        <w:r w:rsidR="00A32B6B">
          <w:rPr>
            <w:noProof/>
            <w:webHidden/>
          </w:rPr>
          <w:tab/>
        </w:r>
        <w:r w:rsidR="00A32B6B">
          <w:rPr>
            <w:noProof/>
            <w:webHidden/>
          </w:rPr>
          <w:fldChar w:fldCharType="begin"/>
        </w:r>
        <w:r w:rsidR="00A32B6B">
          <w:rPr>
            <w:noProof/>
            <w:webHidden/>
          </w:rPr>
          <w:instrText xml:space="preserve"> PAGEREF _Toc55999329 \h </w:instrText>
        </w:r>
        <w:r w:rsidR="00A32B6B">
          <w:rPr>
            <w:noProof/>
            <w:webHidden/>
          </w:rPr>
        </w:r>
        <w:r w:rsidR="00A32B6B">
          <w:rPr>
            <w:noProof/>
            <w:webHidden/>
          </w:rPr>
          <w:fldChar w:fldCharType="separate"/>
        </w:r>
        <w:r>
          <w:rPr>
            <w:noProof/>
            <w:webHidden/>
          </w:rPr>
          <w:t>40</w:t>
        </w:r>
        <w:r w:rsidR="00A32B6B">
          <w:rPr>
            <w:noProof/>
            <w:webHidden/>
          </w:rPr>
          <w:fldChar w:fldCharType="end"/>
        </w:r>
      </w:hyperlink>
    </w:p>
    <w:p w14:paraId="3DD8A76F" w14:textId="11AB6FA3" w:rsidR="00A32B6B" w:rsidRDefault="00CF4E86">
      <w:pPr>
        <w:pStyle w:val="Kazalovsebine2"/>
        <w:tabs>
          <w:tab w:val="left" w:pos="960"/>
          <w:tab w:val="right" w:leader="dot" w:pos="9062"/>
        </w:tabs>
        <w:rPr>
          <w:rFonts w:eastAsiaTheme="minorEastAsia" w:cstheme="minorBidi"/>
          <w:b w:val="0"/>
          <w:bCs w:val="0"/>
          <w:noProof/>
          <w:lang w:eastAsia="sl-SI"/>
        </w:rPr>
      </w:pPr>
      <w:hyperlink w:anchor="_Toc55999330" w:history="1">
        <w:r w:rsidR="00A32B6B" w:rsidRPr="00A72A3B">
          <w:rPr>
            <w:rStyle w:val="Hiperpovezava"/>
            <w:noProof/>
          </w:rPr>
          <w:t>2.3</w:t>
        </w:r>
        <w:r w:rsidR="00A32B6B">
          <w:rPr>
            <w:rFonts w:eastAsiaTheme="minorEastAsia" w:cstheme="minorBidi"/>
            <w:b w:val="0"/>
            <w:bCs w:val="0"/>
            <w:noProof/>
            <w:lang w:eastAsia="sl-SI"/>
          </w:rPr>
          <w:tab/>
        </w:r>
        <w:r w:rsidR="00A32B6B" w:rsidRPr="00A72A3B">
          <w:rPr>
            <w:rStyle w:val="Hiperpovezava"/>
            <w:noProof/>
          </w:rPr>
          <w:t>KULTURNA DEDIŠČINA</w:t>
        </w:r>
        <w:r w:rsidR="00A32B6B">
          <w:rPr>
            <w:noProof/>
            <w:webHidden/>
          </w:rPr>
          <w:tab/>
        </w:r>
        <w:r w:rsidR="00A32B6B">
          <w:rPr>
            <w:noProof/>
            <w:webHidden/>
          </w:rPr>
          <w:fldChar w:fldCharType="begin"/>
        </w:r>
        <w:r w:rsidR="00A32B6B">
          <w:rPr>
            <w:noProof/>
            <w:webHidden/>
          </w:rPr>
          <w:instrText xml:space="preserve"> PAGEREF _Toc55999330 \h </w:instrText>
        </w:r>
        <w:r w:rsidR="00A32B6B">
          <w:rPr>
            <w:noProof/>
            <w:webHidden/>
          </w:rPr>
        </w:r>
        <w:r w:rsidR="00A32B6B">
          <w:rPr>
            <w:noProof/>
            <w:webHidden/>
          </w:rPr>
          <w:fldChar w:fldCharType="separate"/>
        </w:r>
        <w:r>
          <w:rPr>
            <w:noProof/>
            <w:webHidden/>
          </w:rPr>
          <w:t>44</w:t>
        </w:r>
        <w:r w:rsidR="00A32B6B">
          <w:rPr>
            <w:noProof/>
            <w:webHidden/>
          </w:rPr>
          <w:fldChar w:fldCharType="end"/>
        </w:r>
      </w:hyperlink>
    </w:p>
    <w:p w14:paraId="3B9C1867" w14:textId="3AB7CD12" w:rsidR="00A32B6B" w:rsidRDefault="00CF4E86">
      <w:pPr>
        <w:pStyle w:val="Kazalovsebine2"/>
        <w:tabs>
          <w:tab w:val="left" w:pos="960"/>
          <w:tab w:val="right" w:leader="dot" w:pos="9062"/>
        </w:tabs>
        <w:rPr>
          <w:rFonts w:eastAsiaTheme="minorEastAsia" w:cstheme="minorBidi"/>
          <w:b w:val="0"/>
          <w:bCs w:val="0"/>
          <w:noProof/>
          <w:lang w:eastAsia="sl-SI"/>
        </w:rPr>
      </w:pPr>
      <w:hyperlink w:anchor="_Toc55999331" w:history="1">
        <w:r w:rsidR="00A32B6B" w:rsidRPr="00A72A3B">
          <w:rPr>
            <w:rStyle w:val="Hiperpovezava"/>
            <w:noProof/>
          </w:rPr>
          <w:t>2.4</w:t>
        </w:r>
        <w:r w:rsidR="00A32B6B">
          <w:rPr>
            <w:rFonts w:eastAsiaTheme="minorEastAsia" w:cstheme="minorBidi"/>
            <w:b w:val="0"/>
            <w:bCs w:val="0"/>
            <w:noProof/>
            <w:lang w:eastAsia="sl-SI"/>
          </w:rPr>
          <w:tab/>
        </w:r>
        <w:r w:rsidR="00A32B6B" w:rsidRPr="00A72A3B">
          <w:rPr>
            <w:rStyle w:val="Hiperpovezava"/>
            <w:noProof/>
          </w:rPr>
          <w:t>PAMETNE VASI</w:t>
        </w:r>
        <w:r w:rsidR="00A32B6B">
          <w:rPr>
            <w:noProof/>
            <w:webHidden/>
          </w:rPr>
          <w:tab/>
        </w:r>
        <w:r w:rsidR="00A32B6B">
          <w:rPr>
            <w:noProof/>
            <w:webHidden/>
          </w:rPr>
          <w:fldChar w:fldCharType="begin"/>
        </w:r>
        <w:r w:rsidR="00A32B6B">
          <w:rPr>
            <w:noProof/>
            <w:webHidden/>
          </w:rPr>
          <w:instrText xml:space="preserve"> PAGEREF _Toc55999331 \h </w:instrText>
        </w:r>
        <w:r w:rsidR="00A32B6B">
          <w:rPr>
            <w:noProof/>
            <w:webHidden/>
          </w:rPr>
        </w:r>
        <w:r w:rsidR="00A32B6B">
          <w:rPr>
            <w:noProof/>
            <w:webHidden/>
          </w:rPr>
          <w:fldChar w:fldCharType="separate"/>
        </w:r>
        <w:r>
          <w:rPr>
            <w:noProof/>
            <w:webHidden/>
          </w:rPr>
          <w:t>46</w:t>
        </w:r>
        <w:r w:rsidR="00A32B6B">
          <w:rPr>
            <w:noProof/>
            <w:webHidden/>
          </w:rPr>
          <w:fldChar w:fldCharType="end"/>
        </w:r>
      </w:hyperlink>
    </w:p>
    <w:p w14:paraId="6E610168" w14:textId="7C777FD3" w:rsidR="00A32B6B" w:rsidRDefault="00CF4E86">
      <w:pPr>
        <w:pStyle w:val="Kazalovsebine2"/>
        <w:tabs>
          <w:tab w:val="right" w:leader="dot" w:pos="9062"/>
        </w:tabs>
        <w:rPr>
          <w:rFonts w:eastAsiaTheme="minorEastAsia" w:cstheme="minorBidi"/>
          <w:b w:val="0"/>
          <w:bCs w:val="0"/>
          <w:noProof/>
          <w:lang w:eastAsia="sl-SI"/>
        </w:rPr>
      </w:pPr>
      <w:hyperlink w:anchor="_Toc55999332" w:history="1">
        <w:r w:rsidR="00A32B6B" w:rsidRPr="00A72A3B">
          <w:rPr>
            <w:rStyle w:val="Hiperpovezava"/>
            <w:rFonts w:ascii="Arial" w:hAnsi="Arial" w:cs="Arial"/>
            <w:noProof/>
          </w:rPr>
          <w:t>2.5 KLJUČNE UGOTOVITVE</w:t>
        </w:r>
        <w:r w:rsidR="00A32B6B">
          <w:rPr>
            <w:noProof/>
            <w:webHidden/>
          </w:rPr>
          <w:tab/>
        </w:r>
        <w:r w:rsidR="00A32B6B">
          <w:rPr>
            <w:noProof/>
            <w:webHidden/>
          </w:rPr>
          <w:fldChar w:fldCharType="begin"/>
        </w:r>
        <w:r w:rsidR="00A32B6B">
          <w:rPr>
            <w:noProof/>
            <w:webHidden/>
          </w:rPr>
          <w:instrText xml:space="preserve"> PAGEREF _Toc55999332 \h </w:instrText>
        </w:r>
        <w:r w:rsidR="00A32B6B">
          <w:rPr>
            <w:noProof/>
            <w:webHidden/>
          </w:rPr>
        </w:r>
        <w:r w:rsidR="00A32B6B">
          <w:rPr>
            <w:noProof/>
            <w:webHidden/>
          </w:rPr>
          <w:fldChar w:fldCharType="separate"/>
        </w:r>
        <w:r>
          <w:rPr>
            <w:noProof/>
            <w:webHidden/>
          </w:rPr>
          <w:t>47</w:t>
        </w:r>
        <w:r w:rsidR="00A32B6B">
          <w:rPr>
            <w:noProof/>
            <w:webHidden/>
          </w:rPr>
          <w:fldChar w:fldCharType="end"/>
        </w:r>
      </w:hyperlink>
    </w:p>
    <w:p w14:paraId="1A7FD264" w14:textId="4ABADF58" w:rsidR="00A32B6B" w:rsidRDefault="00CF4E86">
      <w:pPr>
        <w:pStyle w:val="Kazalovsebine2"/>
        <w:tabs>
          <w:tab w:val="right" w:leader="dot" w:pos="9062"/>
        </w:tabs>
        <w:rPr>
          <w:rFonts w:eastAsiaTheme="minorEastAsia" w:cstheme="minorBidi"/>
          <w:b w:val="0"/>
          <w:bCs w:val="0"/>
          <w:noProof/>
          <w:lang w:eastAsia="sl-SI"/>
        </w:rPr>
      </w:pPr>
      <w:hyperlink w:anchor="_Toc55999333" w:history="1">
        <w:r w:rsidR="00A32B6B" w:rsidRPr="00A72A3B">
          <w:rPr>
            <w:rStyle w:val="Hiperpovezava"/>
            <w:rFonts w:ascii="Arial" w:hAnsi="Arial" w:cs="Arial"/>
            <w:noProof/>
          </w:rPr>
          <w:t>3 GOSPODARSTVO</w:t>
        </w:r>
        <w:r w:rsidR="00A32B6B">
          <w:rPr>
            <w:noProof/>
            <w:webHidden/>
          </w:rPr>
          <w:tab/>
        </w:r>
        <w:r w:rsidR="00A32B6B">
          <w:rPr>
            <w:noProof/>
            <w:webHidden/>
          </w:rPr>
          <w:fldChar w:fldCharType="begin"/>
        </w:r>
        <w:r w:rsidR="00A32B6B">
          <w:rPr>
            <w:noProof/>
            <w:webHidden/>
          </w:rPr>
          <w:instrText xml:space="preserve"> PAGEREF _Toc55999333 \h </w:instrText>
        </w:r>
        <w:r w:rsidR="00A32B6B">
          <w:rPr>
            <w:noProof/>
            <w:webHidden/>
          </w:rPr>
        </w:r>
        <w:r w:rsidR="00A32B6B">
          <w:rPr>
            <w:noProof/>
            <w:webHidden/>
          </w:rPr>
          <w:fldChar w:fldCharType="separate"/>
        </w:r>
        <w:r>
          <w:rPr>
            <w:noProof/>
            <w:webHidden/>
          </w:rPr>
          <w:t>50</w:t>
        </w:r>
        <w:r w:rsidR="00A32B6B">
          <w:rPr>
            <w:noProof/>
            <w:webHidden/>
          </w:rPr>
          <w:fldChar w:fldCharType="end"/>
        </w:r>
      </w:hyperlink>
    </w:p>
    <w:p w14:paraId="34B7177A" w14:textId="550B561A" w:rsidR="00A32B6B" w:rsidRDefault="00CF4E86">
      <w:pPr>
        <w:pStyle w:val="Kazalovsebine2"/>
        <w:tabs>
          <w:tab w:val="right" w:leader="dot" w:pos="9062"/>
        </w:tabs>
        <w:rPr>
          <w:rFonts w:eastAsiaTheme="minorEastAsia" w:cstheme="minorBidi"/>
          <w:b w:val="0"/>
          <w:bCs w:val="0"/>
          <w:noProof/>
          <w:lang w:eastAsia="sl-SI"/>
        </w:rPr>
      </w:pPr>
      <w:hyperlink w:anchor="_Toc55999334" w:history="1">
        <w:r w:rsidR="00A32B6B" w:rsidRPr="00A72A3B">
          <w:rPr>
            <w:rStyle w:val="Hiperpovezava"/>
            <w:rFonts w:ascii="Arial" w:hAnsi="Arial" w:cs="Arial"/>
            <w:noProof/>
          </w:rPr>
          <w:t>3.1 ZNAČILNOSTI PODJETNIŠTVA</w:t>
        </w:r>
        <w:r w:rsidR="00A32B6B">
          <w:rPr>
            <w:noProof/>
            <w:webHidden/>
          </w:rPr>
          <w:tab/>
        </w:r>
        <w:r w:rsidR="00A32B6B">
          <w:rPr>
            <w:noProof/>
            <w:webHidden/>
          </w:rPr>
          <w:fldChar w:fldCharType="begin"/>
        </w:r>
        <w:r w:rsidR="00A32B6B">
          <w:rPr>
            <w:noProof/>
            <w:webHidden/>
          </w:rPr>
          <w:instrText xml:space="preserve"> PAGEREF _Toc55999334 \h </w:instrText>
        </w:r>
        <w:r w:rsidR="00A32B6B">
          <w:rPr>
            <w:noProof/>
            <w:webHidden/>
          </w:rPr>
        </w:r>
        <w:r w:rsidR="00A32B6B">
          <w:rPr>
            <w:noProof/>
            <w:webHidden/>
          </w:rPr>
          <w:fldChar w:fldCharType="separate"/>
        </w:r>
        <w:r>
          <w:rPr>
            <w:noProof/>
            <w:webHidden/>
          </w:rPr>
          <w:t>54</w:t>
        </w:r>
        <w:r w:rsidR="00A32B6B">
          <w:rPr>
            <w:noProof/>
            <w:webHidden/>
          </w:rPr>
          <w:fldChar w:fldCharType="end"/>
        </w:r>
      </w:hyperlink>
    </w:p>
    <w:p w14:paraId="6F0C724B" w14:textId="3ECE3E72" w:rsidR="00A32B6B" w:rsidRDefault="00CF4E86">
      <w:pPr>
        <w:pStyle w:val="Kazalovsebine2"/>
        <w:tabs>
          <w:tab w:val="right" w:leader="dot" w:pos="9062"/>
        </w:tabs>
        <w:rPr>
          <w:rFonts w:eastAsiaTheme="minorEastAsia" w:cstheme="minorBidi"/>
          <w:b w:val="0"/>
          <w:bCs w:val="0"/>
          <w:noProof/>
          <w:lang w:eastAsia="sl-SI"/>
        </w:rPr>
      </w:pPr>
      <w:hyperlink w:anchor="_Toc55999335" w:history="1">
        <w:r w:rsidR="00A32B6B" w:rsidRPr="00A72A3B">
          <w:rPr>
            <w:rStyle w:val="Hiperpovezava"/>
            <w:rFonts w:ascii="Arial" w:hAnsi="Arial" w:cs="Arial"/>
            <w:noProof/>
          </w:rPr>
          <w:t>3.2 ZAPOSLENOST</w:t>
        </w:r>
        <w:r w:rsidR="00A32B6B">
          <w:rPr>
            <w:noProof/>
            <w:webHidden/>
          </w:rPr>
          <w:tab/>
        </w:r>
        <w:r w:rsidR="00A32B6B">
          <w:rPr>
            <w:noProof/>
            <w:webHidden/>
          </w:rPr>
          <w:fldChar w:fldCharType="begin"/>
        </w:r>
        <w:r w:rsidR="00A32B6B">
          <w:rPr>
            <w:noProof/>
            <w:webHidden/>
          </w:rPr>
          <w:instrText xml:space="preserve"> PAGEREF _Toc55999335 \h </w:instrText>
        </w:r>
        <w:r w:rsidR="00A32B6B">
          <w:rPr>
            <w:noProof/>
            <w:webHidden/>
          </w:rPr>
        </w:r>
        <w:r w:rsidR="00A32B6B">
          <w:rPr>
            <w:noProof/>
            <w:webHidden/>
          </w:rPr>
          <w:fldChar w:fldCharType="separate"/>
        </w:r>
        <w:r>
          <w:rPr>
            <w:noProof/>
            <w:webHidden/>
          </w:rPr>
          <w:t>57</w:t>
        </w:r>
        <w:r w:rsidR="00A32B6B">
          <w:rPr>
            <w:noProof/>
            <w:webHidden/>
          </w:rPr>
          <w:fldChar w:fldCharType="end"/>
        </w:r>
      </w:hyperlink>
    </w:p>
    <w:p w14:paraId="4B899251" w14:textId="3B1C9C2F" w:rsidR="00A32B6B" w:rsidRDefault="00CF4E86">
      <w:pPr>
        <w:pStyle w:val="Kazalovsebine2"/>
        <w:tabs>
          <w:tab w:val="right" w:leader="dot" w:pos="9062"/>
        </w:tabs>
        <w:rPr>
          <w:rFonts w:eastAsiaTheme="minorEastAsia" w:cstheme="minorBidi"/>
          <w:b w:val="0"/>
          <w:bCs w:val="0"/>
          <w:noProof/>
          <w:lang w:eastAsia="sl-SI"/>
        </w:rPr>
      </w:pPr>
      <w:hyperlink w:anchor="_Toc55999336" w:history="1">
        <w:r w:rsidR="00A32B6B" w:rsidRPr="00A72A3B">
          <w:rPr>
            <w:rStyle w:val="Hiperpovezava"/>
            <w:rFonts w:ascii="Arial" w:hAnsi="Arial" w:cs="Arial"/>
            <w:noProof/>
          </w:rPr>
          <w:t>3.3 DOPOLNILNE DEJAVNOSTI NA KMETIJI</w:t>
        </w:r>
        <w:r w:rsidR="00A32B6B">
          <w:rPr>
            <w:noProof/>
            <w:webHidden/>
          </w:rPr>
          <w:tab/>
        </w:r>
        <w:r w:rsidR="00A32B6B">
          <w:rPr>
            <w:noProof/>
            <w:webHidden/>
          </w:rPr>
          <w:fldChar w:fldCharType="begin"/>
        </w:r>
        <w:r w:rsidR="00A32B6B">
          <w:rPr>
            <w:noProof/>
            <w:webHidden/>
          </w:rPr>
          <w:instrText xml:space="preserve"> PAGEREF _Toc55999336 \h </w:instrText>
        </w:r>
        <w:r w:rsidR="00A32B6B">
          <w:rPr>
            <w:noProof/>
            <w:webHidden/>
          </w:rPr>
        </w:r>
        <w:r w:rsidR="00A32B6B">
          <w:rPr>
            <w:noProof/>
            <w:webHidden/>
          </w:rPr>
          <w:fldChar w:fldCharType="separate"/>
        </w:r>
        <w:r>
          <w:rPr>
            <w:noProof/>
            <w:webHidden/>
          </w:rPr>
          <w:t>59</w:t>
        </w:r>
        <w:r w:rsidR="00A32B6B">
          <w:rPr>
            <w:noProof/>
            <w:webHidden/>
          </w:rPr>
          <w:fldChar w:fldCharType="end"/>
        </w:r>
      </w:hyperlink>
    </w:p>
    <w:p w14:paraId="77BF1CFE" w14:textId="51267B37" w:rsidR="00A32B6B" w:rsidRDefault="00CF4E86">
      <w:pPr>
        <w:pStyle w:val="Kazalovsebine2"/>
        <w:tabs>
          <w:tab w:val="right" w:leader="dot" w:pos="9062"/>
        </w:tabs>
        <w:rPr>
          <w:rFonts w:eastAsiaTheme="minorEastAsia" w:cstheme="minorBidi"/>
          <w:b w:val="0"/>
          <w:bCs w:val="0"/>
          <w:noProof/>
          <w:lang w:eastAsia="sl-SI"/>
        </w:rPr>
      </w:pPr>
      <w:hyperlink w:anchor="_Toc55999337" w:history="1">
        <w:r w:rsidR="00A32B6B" w:rsidRPr="00A72A3B">
          <w:rPr>
            <w:rStyle w:val="Hiperpovezava"/>
            <w:rFonts w:ascii="Arial" w:hAnsi="Arial" w:cs="Arial"/>
            <w:noProof/>
          </w:rPr>
          <w:t>3.4 BIOGOSPODARSTVO</w:t>
        </w:r>
        <w:r w:rsidR="00A32B6B">
          <w:rPr>
            <w:noProof/>
            <w:webHidden/>
          </w:rPr>
          <w:tab/>
        </w:r>
        <w:r w:rsidR="00A32B6B">
          <w:rPr>
            <w:noProof/>
            <w:webHidden/>
          </w:rPr>
          <w:fldChar w:fldCharType="begin"/>
        </w:r>
        <w:r w:rsidR="00A32B6B">
          <w:rPr>
            <w:noProof/>
            <w:webHidden/>
          </w:rPr>
          <w:instrText xml:space="preserve"> PAGEREF _Toc55999337 \h </w:instrText>
        </w:r>
        <w:r w:rsidR="00A32B6B">
          <w:rPr>
            <w:noProof/>
            <w:webHidden/>
          </w:rPr>
        </w:r>
        <w:r w:rsidR="00A32B6B">
          <w:rPr>
            <w:noProof/>
            <w:webHidden/>
          </w:rPr>
          <w:fldChar w:fldCharType="separate"/>
        </w:r>
        <w:r>
          <w:rPr>
            <w:noProof/>
            <w:webHidden/>
          </w:rPr>
          <w:t>63</w:t>
        </w:r>
        <w:r w:rsidR="00A32B6B">
          <w:rPr>
            <w:noProof/>
            <w:webHidden/>
          </w:rPr>
          <w:fldChar w:fldCharType="end"/>
        </w:r>
      </w:hyperlink>
    </w:p>
    <w:p w14:paraId="79C827DE" w14:textId="78B832C9" w:rsidR="00A32B6B" w:rsidRDefault="00CF4E86">
      <w:pPr>
        <w:pStyle w:val="Kazalovsebine2"/>
        <w:tabs>
          <w:tab w:val="right" w:leader="dot" w:pos="9062"/>
        </w:tabs>
        <w:rPr>
          <w:rFonts w:eastAsiaTheme="minorEastAsia" w:cstheme="minorBidi"/>
          <w:b w:val="0"/>
          <w:bCs w:val="0"/>
          <w:noProof/>
          <w:lang w:eastAsia="sl-SI"/>
        </w:rPr>
      </w:pPr>
      <w:hyperlink w:anchor="_Toc55999338" w:history="1">
        <w:r w:rsidR="00A32B6B" w:rsidRPr="00A72A3B">
          <w:rPr>
            <w:rStyle w:val="Hiperpovezava"/>
            <w:rFonts w:ascii="Arial" w:hAnsi="Arial" w:cs="Arial"/>
            <w:noProof/>
          </w:rPr>
          <w:t>3.5 KLJUČNE UGOTOVITVE</w:t>
        </w:r>
        <w:r w:rsidR="00A32B6B">
          <w:rPr>
            <w:noProof/>
            <w:webHidden/>
          </w:rPr>
          <w:tab/>
        </w:r>
        <w:r w:rsidR="00A32B6B">
          <w:rPr>
            <w:noProof/>
            <w:webHidden/>
          </w:rPr>
          <w:fldChar w:fldCharType="begin"/>
        </w:r>
        <w:r w:rsidR="00A32B6B">
          <w:rPr>
            <w:noProof/>
            <w:webHidden/>
          </w:rPr>
          <w:instrText xml:space="preserve"> PAGEREF _Toc55999338 \h </w:instrText>
        </w:r>
        <w:r w:rsidR="00A32B6B">
          <w:rPr>
            <w:noProof/>
            <w:webHidden/>
          </w:rPr>
        </w:r>
        <w:r w:rsidR="00A32B6B">
          <w:rPr>
            <w:noProof/>
            <w:webHidden/>
          </w:rPr>
          <w:fldChar w:fldCharType="separate"/>
        </w:r>
        <w:r>
          <w:rPr>
            <w:noProof/>
            <w:webHidden/>
          </w:rPr>
          <w:t>76</w:t>
        </w:r>
        <w:r w:rsidR="00A32B6B">
          <w:rPr>
            <w:noProof/>
            <w:webHidden/>
          </w:rPr>
          <w:fldChar w:fldCharType="end"/>
        </w:r>
      </w:hyperlink>
    </w:p>
    <w:p w14:paraId="0EAE698F" w14:textId="721CB5E2" w:rsidR="00A32B6B" w:rsidRDefault="00CF4E86">
      <w:pPr>
        <w:pStyle w:val="Kazalovsebine2"/>
        <w:tabs>
          <w:tab w:val="right" w:leader="dot" w:pos="9062"/>
        </w:tabs>
        <w:rPr>
          <w:rFonts w:eastAsiaTheme="minorEastAsia" w:cstheme="minorBidi"/>
          <w:b w:val="0"/>
          <w:bCs w:val="0"/>
          <w:noProof/>
          <w:lang w:eastAsia="sl-SI"/>
        </w:rPr>
      </w:pPr>
      <w:hyperlink w:anchor="_Toc55999339" w:history="1">
        <w:r w:rsidR="00A32B6B" w:rsidRPr="00A72A3B">
          <w:rPr>
            <w:rStyle w:val="Hiperpovezava"/>
            <w:rFonts w:ascii="Arial" w:hAnsi="Arial" w:cs="Arial"/>
            <w:noProof/>
          </w:rPr>
          <w:t>4 TRAJNOSTNO GOZDARSTVO</w:t>
        </w:r>
        <w:r w:rsidR="00A32B6B">
          <w:rPr>
            <w:noProof/>
            <w:webHidden/>
          </w:rPr>
          <w:tab/>
        </w:r>
        <w:r w:rsidR="00A32B6B">
          <w:rPr>
            <w:noProof/>
            <w:webHidden/>
          </w:rPr>
          <w:fldChar w:fldCharType="begin"/>
        </w:r>
        <w:r w:rsidR="00A32B6B">
          <w:rPr>
            <w:noProof/>
            <w:webHidden/>
          </w:rPr>
          <w:instrText xml:space="preserve"> PAGEREF _Toc55999339 \h </w:instrText>
        </w:r>
        <w:r w:rsidR="00A32B6B">
          <w:rPr>
            <w:noProof/>
            <w:webHidden/>
          </w:rPr>
        </w:r>
        <w:r w:rsidR="00A32B6B">
          <w:rPr>
            <w:noProof/>
            <w:webHidden/>
          </w:rPr>
          <w:fldChar w:fldCharType="separate"/>
        </w:r>
        <w:r>
          <w:rPr>
            <w:noProof/>
            <w:webHidden/>
          </w:rPr>
          <w:t>78</w:t>
        </w:r>
        <w:r w:rsidR="00A32B6B">
          <w:rPr>
            <w:noProof/>
            <w:webHidden/>
          </w:rPr>
          <w:fldChar w:fldCharType="end"/>
        </w:r>
      </w:hyperlink>
    </w:p>
    <w:p w14:paraId="54145ACE" w14:textId="46101B91" w:rsidR="00A32B6B" w:rsidRDefault="00CF4E86">
      <w:pPr>
        <w:pStyle w:val="Kazalovsebine2"/>
        <w:tabs>
          <w:tab w:val="right" w:leader="dot" w:pos="9062"/>
        </w:tabs>
        <w:rPr>
          <w:rFonts w:eastAsiaTheme="minorEastAsia" w:cstheme="minorBidi"/>
          <w:b w:val="0"/>
          <w:bCs w:val="0"/>
          <w:noProof/>
          <w:lang w:eastAsia="sl-SI"/>
        </w:rPr>
      </w:pPr>
      <w:hyperlink w:anchor="_Toc55999340" w:history="1">
        <w:r w:rsidR="00A32B6B" w:rsidRPr="00A72A3B">
          <w:rPr>
            <w:rStyle w:val="Hiperpovezava"/>
            <w:rFonts w:ascii="Arial" w:hAnsi="Arial" w:cs="Arial"/>
            <w:noProof/>
          </w:rPr>
          <w:t>5 DOSEDANJE IZKUŠNJE</w:t>
        </w:r>
        <w:r w:rsidR="00A32B6B">
          <w:rPr>
            <w:noProof/>
            <w:webHidden/>
          </w:rPr>
          <w:tab/>
        </w:r>
        <w:r w:rsidR="00A32B6B">
          <w:rPr>
            <w:noProof/>
            <w:webHidden/>
          </w:rPr>
          <w:fldChar w:fldCharType="begin"/>
        </w:r>
        <w:r w:rsidR="00A32B6B">
          <w:rPr>
            <w:noProof/>
            <w:webHidden/>
          </w:rPr>
          <w:instrText xml:space="preserve"> PAGEREF _Toc55999340 \h </w:instrText>
        </w:r>
        <w:r w:rsidR="00A32B6B">
          <w:rPr>
            <w:noProof/>
            <w:webHidden/>
          </w:rPr>
        </w:r>
        <w:r w:rsidR="00A32B6B">
          <w:rPr>
            <w:noProof/>
            <w:webHidden/>
          </w:rPr>
          <w:fldChar w:fldCharType="separate"/>
        </w:r>
        <w:r>
          <w:rPr>
            <w:noProof/>
            <w:webHidden/>
          </w:rPr>
          <w:t>79</w:t>
        </w:r>
        <w:r w:rsidR="00A32B6B">
          <w:rPr>
            <w:noProof/>
            <w:webHidden/>
          </w:rPr>
          <w:fldChar w:fldCharType="end"/>
        </w:r>
      </w:hyperlink>
    </w:p>
    <w:p w14:paraId="2BEC7218" w14:textId="251426ED" w:rsidR="00A32B6B" w:rsidRDefault="00CF4E86">
      <w:pPr>
        <w:pStyle w:val="Kazalovsebine2"/>
        <w:tabs>
          <w:tab w:val="right" w:leader="dot" w:pos="9062"/>
        </w:tabs>
        <w:rPr>
          <w:rFonts w:eastAsiaTheme="minorEastAsia" w:cstheme="minorBidi"/>
          <w:b w:val="0"/>
          <w:bCs w:val="0"/>
          <w:noProof/>
          <w:lang w:eastAsia="sl-SI"/>
        </w:rPr>
      </w:pPr>
      <w:hyperlink w:anchor="_Toc55999341" w:history="1">
        <w:r w:rsidR="00A32B6B" w:rsidRPr="00A72A3B">
          <w:rPr>
            <w:rStyle w:val="Hiperpovezava"/>
            <w:noProof/>
          </w:rPr>
          <w:t>5.1 Analiza izvajanja ukrepov, povezanih s spodbujanjem razvoja podjetij in podjetništva na podeželskih območjih ter podpore v internet</w:t>
        </w:r>
        <w:r w:rsidR="00A32B6B">
          <w:rPr>
            <w:noProof/>
            <w:webHidden/>
          </w:rPr>
          <w:tab/>
        </w:r>
        <w:r w:rsidR="00A32B6B">
          <w:rPr>
            <w:noProof/>
            <w:webHidden/>
          </w:rPr>
          <w:fldChar w:fldCharType="begin"/>
        </w:r>
        <w:r w:rsidR="00A32B6B">
          <w:rPr>
            <w:noProof/>
            <w:webHidden/>
          </w:rPr>
          <w:instrText xml:space="preserve"> PAGEREF _Toc55999341 \h </w:instrText>
        </w:r>
        <w:r w:rsidR="00A32B6B">
          <w:rPr>
            <w:noProof/>
            <w:webHidden/>
          </w:rPr>
        </w:r>
        <w:r w:rsidR="00A32B6B">
          <w:rPr>
            <w:noProof/>
            <w:webHidden/>
          </w:rPr>
          <w:fldChar w:fldCharType="separate"/>
        </w:r>
        <w:r>
          <w:rPr>
            <w:noProof/>
            <w:webHidden/>
          </w:rPr>
          <w:t>79</w:t>
        </w:r>
        <w:r w:rsidR="00A32B6B">
          <w:rPr>
            <w:noProof/>
            <w:webHidden/>
          </w:rPr>
          <w:fldChar w:fldCharType="end"/>
        </w:r>
      </w:hyperlink>
    </w:p>
    <w:p w14:paraId="28E1D3B8" w14:textId="000EAC43" w:rsidR="00A32B6B" w:rsidRDefault="00CF4E86">
      <w:pPr>
        <w:pStyle w:val="Kazalovsebine2"/>
        <w:tabs>
          <w:tab w:val="right" w:leader="dot" w:pos="9062"/>
        </w:tabs>
        <w:rPr>
          <w:rFonts w:eastAsiaTheme="minorEastAsia" w:cstheme="minorBidi"/>
          <w:b w:val="0"/>
          <w:bCs w:val="0"/>
          <w:noProof/>
          <w:lang w:eastAsia="sl-SI"/>
        </w:rPr>
      </w:pPr>
      <w:hyperlink w:anchor="_Toc55999342" w:history="1">
        <w:r w:rsidR="00A32B6B" w:rsidRPr="00A72A3B">
          <w:rPr>
            <w:rStyle w:val="Hiperpovezava"/>
            <w:noProof/>
          </w:rPr>
          <w:t>5.2 Analiza izvajanja ukrepov, povezanih z obnovo in razvojem vasi ter kulturno dediščino</w:t>
        </w:r>
        <w:r w:rsidR="00A32B6B">
          <w:rPr>
            <w:noProof/>
            <w:webHidden/>
          </w:rPr>
          <w:tab/>
        </w:r>
        <w:r w:rsidR="00A32B6B">
          <w:rPr>
            <w:noProof/>
            <w:webHidden/>
          </w:rPr>
          <w:fldChar w:fldCharType="begin"/>
        </w:r>
        <w:r w:rsidR="00A32B6B">
          <w:rPr>
            <w:noProof/>
            <w:webHidden/>
          </w:rPr>
          <w:instrText xml:space="preserve"> PAGEREF _Toc55999342 \h </w:instrText>
        </w:r>
        <w:r w:rsidR="00A32B6B">
          <w:rPr>
            <w:noProof/>
            <w:webHidden/>
          </w:rPr>
        </w:r>
        <w:r w:rsidR="00A32B6B">
          <w:rPr>
            <w:noProof/>
            <w:webHidden/>
          </w:rPr>
          <w:fldChar w:fldCharType="separate"/>
        </w:r>
        <w:r>
          <w:rPr>
            <w:noProof/>
            <w:webHidden/>
          </w:rPr>
          <w:t>81</w:t>
        </w:r>
        <w:r w:rsidR="00A32B6B">
          <w:rPr>
            <w:noProof/>
            <w:webHidden/>
          </w:rPr>
          <w:fldChar w:fldCharType="end"/>
        </w:r>
      </w:hyperlink>
    </w:p>
    <w:p w14:paraId="7A83FAE1" w14:textId="04ECF066" w:rsidR="00A32B6B" w:rsidRDefault="00CF4E86">
      <w:pPr>
        <w:pStyle w:val="Kazalovsebine2"/>
        <w:tabs>
          <w:tab w:val="right" w:leader="dot" w:pos="9062"/>
        </w:tabs>
        <w:rPr>
          <w:rFonts w:eastAsiaTheme="minorEastAsia" w:cstheme="minorBidi"/>
          <w:b w:val="0"/>
          <w:bCs w:val="0"/>
          <w:noProof/>
          <w:lang w:eastAsia="sl-SI"/>
        </w:rPr>
      </w:pPr>
      <w:hyperlink w:anchor="_Toc55999343" w:history="1">
        <w:r w:rsidR="00A32B6B" w:rsidRPr="00A72A3B">
          <w:rPr>
            <w:rStyle w:val="Hiperpovezava"/>
            <w:noProof/>
          </w:rPr>
          <w:t>5.3 Izvajanje pristopa, ki ga vodi skupnost (ukrep LEADER)</w:t>
        </w:r>
        <w:r w:rsidR="00A32B6B">
          <w:rPr>
            <w:noProof/>
            <w:webHidden/>
          </w:rPr>
          <w:tab/>
        </w:r>
        <w:r w:rsidR="00A32B6B">
          <w:rPr>
            <w:noProof/>
            <w:webHidden/>
          </w:rPr>
          <w:fldChar w:fldCharType="begin"/>
        </w:r>
        <w:r w:rsidR="00A32B6B">
          <w:rPr>
            <w:noProof/>
            <w:webHidden/>
          </w:rPr>
          <w:instrText xml:space="preserve"> PAGEREF _Toc55999343 \h </w:instrText>
        </w:r>
        <w:r w:rsidR="00A32B6B">
          <w:rPr>
            <w:noProof/>
            <w:webHidden/>
          </w:rPr>
        </w:r>
        <w:r w:rsidR="00A32B6B">
          <w:rPr>
            <w:noProof/>
            <w:webHidden/>
          </w:rPr>
          <w:fldChar w:fldCharType="separate"/>
        </w:r>
        <w:r>
          <w:rPr>
            <w:noProof/>
            <w:webHidden/>
          </w:rPr>
          <w:t>83</w:t>
        </w:r>
        <w:r w:rsidR="00A32B6B">
          <w:rPr>
            <w:noProof/>
            <w:webHidden/>
          </w:rPr>
          <w:fldChar w:fldCharType="end"/>
        </w:r>
      </w:hyperlink>
    </w:p>
    <w:p w14:paraId="343C7D0E" w14:textId="778D27D5" w:rsidR="00A32B6B" w:rsidRDefault="00CF4E86">
      <w:pPr>
        <w:pStyle w:val="Kazalovsebine2"/>
        <w:tabs>
          <w:tab w:val="right" w:leader="dot" w:pos="9062"/>
        </w:tabs>
        <w:rPr>
          <w:rFonts w:eastAsiaTheme="minorEastAsia" w:cstheme="minorBidi"/>
          <w:b w:val="0"/>
          <w:bCs w:val="0"/>
          <w:noProof/>
          <w:lang w:eastAsia="sl-SI"/>
        </w:rPr>
      </w:pPr>
      <w:hyperlink w:anchor="_Toc55999344" w:history="1">
        <w:r w:rsidR="00A32B6B" w:rsidRPr="00A72A3B">
          <w:rPr>
            <w:rStyle w:val="Hiperpovezava"/>
            <w:rFonts w:ascii="Arial" w:hAnsi="Arial" w:cs="Arial"/>
            <w:noProof/>
            <w:lang w:eastAsia="sl-SI"/>
          </w:rPr>
          <w:t>5.4 Izvajanje CLLD v okviru Operativnega programa za izvajanje Evropske kohezijske politike 2014-2020</w:t>
        </w:r>
        <w:r w:rsidR="00A32B6B">
          <w:rPr>
            <w:noProof/>
            <w:webHidden/>
          </w:rPr>
          <w:tab/>
        </w:r>
        <w:r w:rsidR="00A32B6B">
          <w:rPr>
            <w:noProof/>
            <w:webHidden/>
          </w:rPr>
          <w:fldChar w:fldCharType="begin"/>
        </w:r>
        <w:r w:rsidR="00A32B6B">
          <w:rPr>
            <w:noProof/>
            <w:webHidden/>
          </w:rPr>
          <w:instrText xml:space="preserve"> PAGEREF _Toc55999344 \h </w:instrText>
        </w:r>
        <w:r w:rsidR="00A32B6B">
          <w:rPr>
            <w:noProof/>
            <w:webHidden/>
          </w:rPr>
        </w:r>
        <w:r w:rsidR="00A32B6B">
          <w:rPr>
            <w:noProof/>
            <w:webHidden/>
          </w:rPr>
          <w:fldChar w:fldCharType="separate"/>
        </w:r>
        <w:r>
          <w:rPr>
            <w:noProof/>
            <w:webHidden/>
          </w:rPr>
          <w:t>89</w:t>
        </w:r>
        <w:r w:rsidR="00A32B6B">
          <w:rPr>
            <w:noProof/>
            <w:webHidden/>
          </w:rPr>
          <w:fldChar w:fldCharType="end"/>
        </w:r>
      </w:hyperlink>
    </w:p>
    <w:p w14:paraId="0F964A8B" w14:textId="51CCE5AF" w:rsidR="00A32B6B" w:rsidRDefault="00CF4E86">
      <w:pPr>
        <w:pStyle w:val="Kazalovsebine2"/>
        <w:tabs>
          <w:tab w:val="right" w:leader="dot" w:pos="9062"/>
        </w:tabs>
        <w:rPr>
          <w:rFonts w:eastAsiaTheme="minorEastAsia" w:cstheme="minorBidi"/>
          <w:b w:val="0"/>
          <w:bCs w:val="0"/>
          <w:noProof/>
          <w:lang w:eastAsia="sl-SI"/>
        </w:rPr>
      </w:pPr>
      <w:hyperlink w:anchor="_Toc55999345" w:history="1">
        <w:r w:rsidR="00A32B6B" w:rsidRPr="00A72A3B">
          <w:rPr>
            <w:rStyle w:val="Hiperpovezava"/>
            <w:rFonts w:ascii="Arial" w:hAnsi="Arial" w:cs="Arial"/>
            <w:noProof/>
            <w:lang w:eastAsia="sl-SI"/>
          </w:rPr>
          <w:t>5.5 Izvajanje CLLD v okviru Operativnega programa za izvajanje Evropskega sklada za pomorstvo in ribištvo v Republiki Sloveniji za obdobje 2014-2020</w:t>
        </w:r>
        <w:r w:rsidR="00A32B6B">
          <w:rPr>
            <w:noProof/>
            <w:webHidden/>
          </w:rPr>
          <w:tab/>
        </w:r>
        <w:r w:rsidR="00A32B6B">
          <w:rPr>
            <w:noProof/>
            <w:webHidden/>
          </w:rPr>
          <w:fldChar w:fldCharType="begin"/>
        </w:r>
        <w:r w:rsidR="00A32B6B">
          <w:rPr>
            <w:noProof/>
            <w:webHidden/>
          </w:rPr>
          <w:instrText xml:space="preserve"> PAGEREF _Toc55999345 \h </w:instrText>
        </w:r>
        <w:r w:rsidR="00A32B6B">
          <w:rPr>
            <w:noProof/>
            <w:webHidden/>
          </w:rPr>
        </w:r>
        <w:r w:rsidR="00A32B6B">
          <w:rPr>
            <w:noProof/>
            <w:webHidden/>
          </w:rPr>
          <w:fldChar w:fldCharType="separate"/>
        </w:r>
        <w:r>
          <w:rPr>
            <w:noProof/>
            <w:webHidden/>
          </w:rPr>
          <w:t>90</w:t>
        </w:r>
        <w:r w:rsidR="00A32B6B">
          <w:rPr>
            <w:noProof/>
            <w:webHidden/>
          </w:rPr>
          <w:fldChar w:fldCharType="end"/>
        </w:r>
      </w:hyperlink>
    </w:p>
    <w:p w14:paraId="13B682C7" w14:textId="22F3FB6F" w:rsidR="00A32B6B" w:rsidRDefault="00CF4E86">
      <w:pPr>
        <w:pStyle w:val="Kazalovsebine2"/>
        <w:tabs>
          <w:tab w:val="right" w:leader="dot" w:pos="9062"/>
        </w:tabs>
        <w:rPr>
          <w:rFonts w:eastAsiaTheme="minorEastAsia" w:cstheme="minorBidi"/>
          <w:b w:val="0"/>
          <w:bCs w:val="0"/>
          <w:noProof/>
          <w:lang w:eastAsia="sl-SI"/>
        </w:rPr>
      </w:pPr>
      <w:hyperlink w:anchor="_Toc55999346" w:history="1">
        <w:r w:rsidR="00A32B6B" w:rsidRPr="00A72A3B">
          <w:rPr>
            <w:rStyle w:val="Hiperpovezava"/>
            <w:rFonts w:ascii="Arial" w:hAnsi="Arial" w:cs="Arial"/>
            <w:noProof/>
          </w:rPr>
          <w:t>5.6 KLJUČNE UGOTOVITVE</w:t>
        </w:r>
        <w:r w:rsidR="00A32B6B">
          <w:rPr>
            <w:noProof/>
            <w:webHidden/>
          </w:rPr>
          <w:tab/>
        </w:r>
        <w:r w:rsidR="00A32B6B">
          <w:rPr>
            <w:noProof/>
            <w:webHidden/>
          </w:rPr>
          <w:fldChar w:fldCharType="begin"/>
        </w:r>
        <w:r w:rsidR="00A32B6B">
          <w:rPr>
            <w:noProof/>
            <w:webHidden/>
          </w:rPr>
          <w:instrText xml:space="preserve"> PAGEREF _Toc55999346 \h </w:instrText>
        </w:r>
        <w:r w:rsidR="00A32B6B">
          <w:rPr>
            <w:noProof/>
            <w:webHidden/>
          </w:rPr>
        </w:r>
        <w:r w:rsidR="00A32B6B">
          <w:rPr>
            <w:noProof/>
            <w:webHidden/>
          </w:rPr>
          <w:fldChar w:fldCharType="separate"/>
        </w:r>
        <w:r>
          <w:rPr>
            <w:noProof/>
            <w:webHidden/>
          </w:rPr>
          <w:t>91</w:t>
        </w:r>
        <w:r w:rsidR="00A32B6B">
          <w:rPr>
            <w:noProof/>
            <w:webHidden/>
          </w:rPr>
          <w:fldChar w:fldCharType="end"/>
        </w:r>
      </w:hyperlink>
    </w:p>
    <w:p w14:paraId="5BC3BC52" w14:textId="2B07C7D4" w:rsidR="00A32B6B" w:rsidRDefault="00CF4E86" w:rsidP="00B17449">
      <w:pPr>
        <w:pStyle w:val="Kazalovsebine2"/>
        <w:tabs>
          <w:tab w:val="right" w:leader="dot" w:pos="9062"/>
        </w:tabs>
        <w:outlineLvl w:val="0"/>
        <w:rPr>
          <w:noProof/>
        </w:rPr>
      </w:pPr>
      <w:hyperlink w:anchor="_Toc55999347" w:history="1">
        <w:r w:rsidR="00A32B6B" w:rsidRPr="00A72A3B">
          <w:rPr>
            <w:rStyle w:val="Hiperpovezava"/>
            <w:rFonts w:ascii="Arial" w:hAnsi="Arial" w:cs="Arial"/>
            <w:noProof/>
          </w:rPr>
          <w:t>6 ANALIZA SWOT</w:t>
        </w:r>
        <w:r w:rsidR="00A32B6B">
          <w:rPr>
            <w:noProof/>
            <w:webHidden/>
          </w:rPr>
          <w:tab/>
        </w:r>
        <w:r w:rsidR="00A32B6B">
          <w:rPr>
            <w:noProof/>
            <w:webHidden/>
          </w:rPr>
          <w:fldChar w:fldCharType="begin"/>
        </w:r>
        <w:r w:rsidR="00A32B6B">
          <w:rPr>
            <w:noProof/>
            <w:webHidden/>
          </w:rPr>
          <w:instrText xml:space="preserve"> PAGEREF _Toc55999347 \h </w:instrText>
        </w:r>
        <w:r w:rsidR="00A32B6B">
          <w:rPr>
            <w:noProof/>
            <w:webHidden/>
          </w:rPr>
        </w:r>
        <w:r w:rsidR="00A32B6B">
          <w:rPr>
            <w:noProof/>
            <w:webHidden/>
          </w:rPr>
          <w:fldChar w:fldCharType="separate"/>
        </w:r>
        <w:r>
          <w:rPr>
            <w:noProof/>
            <w:webHidden/>
          </w:rPr>
          <w:t>92</w:t>
        </w:r>
        <w:r w:rsidR="00A32B6B">
          <w:rPr>
            <w:noProof/>
            <w:webHidden/>
          </w:rPr>
          <w:fldChar w:fldCharType="end"/>
        </w:r>
      </w:hyperlink>
    </w:p>
    <w:p w14:paraId="6DBDD81F" w14:textId="77777777" w:rsidR="00B17449" w:rsidRDefault="00B17449" w:rsidP="00B17449">
      <w:pPr>
        <w:rPr>
          <w:lang w:eastAsia="en-GB"/>
        </w:rPr>
      </w:pPr>
    </w:p>
    <w:p w14:paraId="57899DC8" w14:textId="1CDCFD71" w:rsidR="00B17449" w:rsidRPr="00B17449" w:rsidRDefault="00B17449" w:rsidP="00B17449">
      <w:pPr>
        <w:rPr>
          <w:lang w:eastAsia="en-GB"/>
        </w:rPr>
      </w:pPr>
    </w:p>
    <w:p w14:paraId="6D9FB699" w14:textId="6496AF3C" w:rsidR="00157A6F" w:rsidRPr="00157A6F" w:rsidRDefault="00157A6F" w:rsidP="00157A6F">
      <w:pPr>
        <w:rPr>
          <w:lang w:eastAsia="en-GB"/>
        </w:rPr>
      </w:pPr>
      <w:r>
        <w:rPr>
          <w:lang w:eastAsia="en-GB"/>
        </w:rPr>
        <w:t xml:space="preserve">     </w:t>
      </w:r>
    </w:p>
    <w:p w14:paraId="07889890" w14:textId="4FA1F8DF" w:rsidR="00CA480A" w:rsidRPr="00A52F41" w:rsidRDefault="00163103" w:rsidP="00EA2E4C">
      <w:pPr>
        <w:pStyle w:val="Kazaloslik"/>
        <w:tabs>
          <w:tab w:val="right" w:leader="underscore" w:pos="9628"/>
        </w:tabs>
        <w:jc w:val="both"/>
        <w:rPr>
          <w:rFonts w:ascii="Arial" w:hAnsi="Arial" w:cs="Arial"/>
        </w:rPr>
      </w:pPr>
      <w:r w:rsidRPr="00A52F41">
        <w:rPr>
          <w:rFonts w:ascii="Arial" w:hAnsi="Arial" w:cs="Arial"/>
          <w:b/>
          <w:bCs/>
        </w:rPr>
        <w:fldChar w:fldCharType="end"/>
      </w:r>
    </w:p>
    <w:p w14:paraId="1E51894E" w14:textId="77777777" w:rsidR="00CD4BB2" w:rsidRDefault="00CD4BB2">
      <w:pPr>
        <w:rPr>
          <w:rFonts w:ascii="Arial" w:hAnsi="Arial" w:cs="Arial"/>
          <w:sz w:val="20"/>
          <w:szCs w:val="20"/>
        </w:rPr>
      </w:pPr>
      <w:r>
        <w:rPr>
          <w:rFonts w:ascii="Arial" w:hAnsi="Arial" w:cs="Arial"/>
          <w:sz w:val="20"/>
          <w:szCs w:val="20"/>
        </w:rPr>
        <w:br w:type="page"/>
      </w:r>
    </w:p>
    <w:p w14:paraId="07F4544D" w14:textId="5578FCDA" w:rsidR="00C01FEA" w:rsidRPr="00A52F41" w:rsidRDefault="00C01FEA">
      <w:pPr>
        <w:spacing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lastRenderedPageBreak/>
        <w:t xml:space="preserve">Slika </w:t>
      </w:r>
      <w:r w:rsidRPr="00A52F41">
        <w:rPr>
          <w:rFonts w:ascii="Arial" w:hAnsi="Arial" w:cs="Arial"/>
          <w:b/>
          <w:color w:val="000000"/>
          <w:sz w:val="20"/>
          <w:szCs w:val="20"/>
          <w:lang w:eastAsia="sl-SI"/>
        </w:rPr>
        <w:fldChar w:fldCharType="begin"/>
      </w:r>
      <w:r w:rsidRPr="00A52F41">
        <w:rPr>
          <w:rFonts w:ascii="Arial" w:hAnsi="Arial" w:cs="Arial"/>
          <w:color w:val="000000"/>
          <w:sz w:val="20"/>
          <w:szCs w:val="20"/>
          <w:lang w:eastAsia="sl-SI"/>
        </w:rPr>
        <w:instrText xml:space="preserve"> SEQ Slika \* ARABIC </w:instrText>
      </w:r>
      <w:r w:rsidRPr="00A52F41">
        <w:rPr>
          <w:rFonts w:ascii="Arial" w:hAnsi="Arial" w:cs="Arial"/>
          <w:b/>
          <w:color w:val="000000"/>
          <w:sz w:val="20"/>
          <w:szCs w:val="20"/>
          <w:lang w:eastAsia="sl-SI"/>
        </w:rPr>
        <w:fldChar w:fldCharType="separate"/>
      </w:r>
      <w:r w:rsidR="00CF4E86">
        <w:rPr>
          <w:rFonts w:ascii="Arial" w:hAnsi="Arial" w:cs="Arial"/>
          <w:noProof/>
          <w:color w:val="000000"/>
          <w:sz w:val="20"/>
          <w:szCs w:val="20"/>
          <w:lang w:eastAsia="sl-SI"/>
        </w:rPr>
        <w:t>1</w:t>
      </w:r>
      <w:r w:rsidRPr="00A52F41">
        <w:rPr>
          <w:rFonts w:ascii="Arial" w:hAnsi="Arial" w:cs="Arial"/>
          <w:b/>
          <w:color w:val="000000"/>
          <w:sz w:val="20"/>
          <w:szCs w:val="20"/>
          <w:lang w:eastAsia="sl-SI"/>
        </w:rPr>
        <w:fldChar w:fldCharType="end"/>
      </w:r>
      <w:r w:rsidRPr="00A52F41">
        <w:rPr>
          <w:rFonts w:ascii="Arial" w:hAnsi="Arial" w:cs="Arial"/>
          <w:color w:val="000000"/>
          <w:sz w:val="20"/>
          <w:szCs w:val="20"/>
          <w:lang w:eastAsia="sl-SI"/>
        </w:rPr>
        <w:t>: Delež strukture prebivalstva v Sloveniji in na podeželju</w:t>
      </w:r>
    </w:p>
    <w:p w14:paraId="4352C079" w14:textId="266D13E9" w:rsidR="00C01FEA" w:rsidRPr="00A52F41" w:rsidRDefault="00C01FEA" w:rsidP="001D5FC0">
      <w:pPr>
        <w:pStyle w:val="Napis"/>
        <w:keepNext w:val="0"/>
        <w:spacing w:before="0" w:line="360" w:lineRule="auto"/>
        <w:jc w:val="both"/>
        <w:rPr>
          <w:sz w:val="20"/>
          <w:szCs w:val="20"/>
        </w:rPr>
      </w:pPr>
      <w:r w:rsidRPr="00A52F41">
        <w:rPr>
          <w:sz w:val="20"/>
          <w:szCs w:val="20"/>
        </w:rPr>
        <w:t xml:space="preserve">Slika </w:t>
      </w:r>
      <w:r w:rsidRPr="00A52F41">
        <w:rPr>
          <w:sz w:val="20"/>
          <w:szCs w:val="20"/>
        </w:rPr>
        <w:fldChar w:fldCharType="begin"/>
      </w:r>
      <w:r w:rsidRPr="00A52F41">
        <w:rPr>
          <w:sz w:val="20"/>
          <w:szCs w:val="20"/>
        </w:rPr>
        <w:instrText xml:space="preserve"> SEQ Slika \* ARABIC </w:instrText>
      </w:r>
      <w:r w:rsidRPr="00A52F41">
        <w:rPr>
          <w:sz w:val="20"/>
          <w:szCs w:val="20"/>
        </w:rPr>
        <w:fldChar w:fldCharType="separate"/>
      </w:r>
      <w:r w:rsidR="00CF4E86">
        <w:rPr>
          <w:noProof/>
          <w:sz w:val="20"/>
          <w:szCs w:val="20"/>
        </w:rPr>
        <w:t>2</w:t>
      </w:r>
      <w:r w:rsidRPr="00A52F41">
        <w:rPr>
          <w:sz w:val="20"/>
          <w:szCs w:val="20"/>
        </w:rPr>
        <w:fldChar w:fldCharType="end"/>
      </w:r>
      <w:r w:rsidRPr="00A52F41">
        <w:rPr>
          <w:sz w:val="20"/>
          <w:szCs w:val="20"/>
        </w:rPr>
        <w:t>: Gibanje števila mladih in starih na podeželju</w:t>
      </w:r>
    </w:p>
    <w:p w14:paraId="58AECC21" w14:textId="753D2AC6" w:rsidR="00C01FEA" w:rsidRPr="00A52F41" w:rsidRDefault="00C01FEA" w:rsidP="001D5FC0">
      <w:pPr>
        <w:pStyle w:val="Napis"/>
        <w:keepNext w:val="0"/>
        <w:spacing w:before="0" w:line="360" w:lineRule="auto"/>
        <w:jc w:val="both"/>
        <w:rPr>
          <w:sz w:val="20"/>
          <w:szCs w:val="20"/>
        </w:rPr>
      </w:pPr>
      <w:r w:rsidRPr="00A52F41">
        <w:rPr>
          <w:color w:val="000000" w:themeColor="text1"/>
          <w:sz w:val="20"/>
          <w:szCs w:val="20"/>
        </w:rPr>
        <w:t xml:space="preserve">Slika 3: Gibanje števila prebivalcev v slovenskih </w:t>
      </w:r>
      <w:r w:rsidR="00F618FE">
        <w:rPr>
          <w:color w:val="000000" w:themeColor="text1"/>
          <w:sz w:val="20"/>
          <w:szCs w:val="20"/>
        </w:rPr>
        <w:t>občinah med letoma 2008 in 2017</w:t>
      </w:r>
    </w:p>
    <w:p w14:paraId="44D9F697" w14:textId="77777777" w:rsidR="00C01FEA" w:rsidRPr="00A52F41" w:rsidRDefault="00C01FEA" w:rsidP="001D5FC0">
      <w:pPr>
        <w:pStyle w:val="Napis"/>
        <w:keepNext w:val="0"/>
        <w:spacing w:before="0" w:line="360" w:lineRule="auto"/>
        <w:jc w:val="both"/>
        <w:rPr>
          <w:sz w:val="20"/>
          <w:szCs w:val="20"/>
        </w:rPr>
      </w:pPr>
      <w:r w:rsidRPr="00A52F41">
        <w:rPr>
          <w:sz w:val="20"/>
          <w:szCs w:val="20"/>
        </w:rPr>
        <w:t xml:space="preserve">Slika 4: Naravni in selitveni prirast po letih </w:t>
      </w:r>
    </w:p>
    <w:p w14:paraId="78D5C835" w14:textId="77777777" w:rsidR="00C01FEA" w:rsidRDefault="00C01FEA" w:rsidP="001D5FC0">
      <w:pPr>
        <w:pStyle w:val="Napis"/>
        <w:keepNext w:val="0"/>
        <w:spacing w:before="0" w:line="360" w:lineRule="auto"/>
        <w:jc w:val="both"/>
        <w:rPr>
          <w:sz w:val="20"/>
          <w:szCs w:val="20"/>
        </w:rPr>
      </w:pPr>
      <w:r w:rsidRPr="00A52F41">
        <w:rPr>
          <w:sz w:val="20"/>
          <w:szCs w:val="20"/>
        </w:rPr>
        <w:t xml:space="preserve">Slika 5: Koeficient starostne odvisnosti </w:t>
      </w:r>
    </w:p>
    <w:p w14:paraId="3C6E92CA" w14:textId="77777777" w:rsidR="00C01FEA" w:rsidRPr="00A52F41" w:rsidRDefault="00C01FEA">
      <w:pPr>
        <w:spacing w:after="0" w:line="360" w:lineRule="auto"/>
        <w:jc w:val="both"/>
        <w:rPr>
          <w:rFonts w:ascii="Arial" w:hAnsi="Arial" w:cs="Arial"/>
          <w:sz w:val="20"/>
          <w:szCs w:val="20"/>
        </w:rPr>
      </w:pPr>
      <w:r w:rsidRPr="00A52F41">
        <w:rPr>
          <w:rFonts w:ascii="Arial" w:hAnsi="Arial" w:cs="Arial"/>
          <w:sz w:val="20"/>
          <w:szCs w:val="20"/>
        </w:rPr>
        <w:t>Slika 6: Območja glede na gibanje števila prebivalstva in projekcije</w:t>
      </w:r>
    </w:p>
    <w:p w14:paraId="79021AD5" w14:textId="77777777" w:rsidR="00C01FEA" w:rsidRDefault="00C01FEA">
      <w:pPr>
        <w:spacing w:after="0" w:line="360" w:lineRule="auto"/>
        <w:jc w:val="both"/>
        <w:rPr>
          <w:rFonts w:ascii="Arial" w:hAnsi="Arial" w:cs="Arial"/>
          <w:sz w:val="20"/>
          <w:szCs w:val="20"/>
        </w:rPr>
      </w:pPr>
      <w:r>
        <w:rPr>
          <w:rFonts w:ascii="Arial" w:hAnsi="Arial" w:cs="Arial"/>
          <w:sz w:val="20"/>
          <w:szCs w:val="20"/>
        </w:rPr>
        <w:t>S</w:t>
      </w:r>
      <w:r w:rsidRPr="00A52F41">
        <w:rPr>
          <w:rFonts w:ascii="Arial" w:hAnsi="Arial" w:cs="Arial"/>
          <w:sz w:val="20"/>
          <w:szCs w:val="20"/>
        </w:rPr>
        <w:t>lika 7: Demografsko-naselbinski tipi</w:t>
      </w:r>
    </w:p>
    <w:p w14:paraId="60CC5A35" w14:textId="77777777" w:rsidR="00C01FEA" w:rsidRPr="00A52F41" w:rsidRDefault="00C01FEA">
      <w:pPr>
        <w:spacing w:after="0" w:line="360" w:lineRule="auto"/>
        <w:jc w:val="both"/>
        <w:rPr>
          <w:rFonts w:ascii="Arial" w:hAnsi="Arial" w:cs="Arial"/>
          <w:sz w:val="20"/>
          <w:szCs w:val="20"/>
        </w:rPr>
      </w:pPr>
      <w:r w:rsidRPr="00A52F41">
        <w:rPr>
          <w:rFonts w:ascii="Arial" w:hAnsi="Arial" w:cs="Arial"/>
          <w:sz w:val="20"/>
          <w:szCs w:val="20"/>
        </w:rPr>
        <w:t>Slika 8: Tipizacija obmejnih problemskih območij</w:t>
      </w:r>
    </w:p>
    <w:p w14:paraId="1AAD94C6" w14:textId="77777777" w:rsidR="00C01FEA" w:rsidRDefault="00C01FEA" w:rsidP="001D5FC0">
      <w:pPr>
        <w:pStyle w:val="Napis"/>
        <w:keepNext w:val="0"/>
        <w:spacing w:before="0" w:line="360" w:lineRule="auto"/>
        <w:jc w:val="both"/>
        <w:rPr>
          <w:sz w:val="20"/>
          <w:szCs w:val="20"/>
        </w:rPr>
      </w:pPr>
      <w:r w:rsidRPr="00A52F41">
        <w:rPr>
          <w:sz w:val="20"/>
          <w:szCs w:val="20"/>
        </w:rPr>
        <w:t xml:space="preserve">Slika </w:t>
      </w:r>
      <w:r>
        <w:rPr>
          <w:sz w:val="20"/>
          <w:szCs w:val="20"/>
        </w:rPr>
        <w:t xml:space="preserve">9: </w:t>
      </w:r>
      <w:r w:rsidRPr="00A52F41">
        <w:rPr>
          <w:sz w:val="20"/>
          <w:szCs w:val="20"/>
        </w:rPr>
        <w:t xml:space="preserve">Naravni prirast </w:t>
      </w:r>
      <w:r>
        <w:rPr>
          <w:sz w:val="20"/>
          <w:szCs w:val="20"/>
        </w:rPr>
        <w:t>po občinah (leto 2018)</w:t>
      </w:r>
    </w:p>
    <w:p w14:paraId="10312A87" w14:textId="224068F7" w:rsidR="00C01FEA" w:rsidRDefault="00C01FEA" w:rsidP="001D5FC0">
      <w:pPr>
        <w:pStyle w:val="Napis"/>
        <w:keepNext w:val="0"/>
        <w:spacing w:before="0" w:line="360" w:lineRule="auto"/>
        <w:jc w:val="both"/>
        <w:rPr>
          <w:sz w:val="20"/>
          <w:szCs w:val="20"/>
        </w:rPr>
      </w:pPr>
      <w:r w:rsidRPr="00A52F41">
        <w:rPr>
          <w:sz w:val="20"/>
          <w:szCs w:val="20"/>
        </w:rPr>
        <w:t>Slika</w:t>
      </w:r>
      <w:r w:rsidR="00995C99">
        <w:rPr>
          <w:sz w:val="20"/>
          <w:szCs w:val="20"/>
        </w:rPr>
        <w:t xml:space="preserve"> </w:t>
      </w:r>
      <w:r w:rsidRPr="00A52F41">
        <w:rPr>
          <w:sz w:val="20"/>
          <w:szCs w:val="20"/>
        </w:rPr>
        <w:t xml:space="preserve">10: </w:t>
      </w:r>
      <w:r>
        <w:rPr>
          <w:sz w:val="20"/>
          <w:szCs w:val="20"/>
        </w:rPr>
        <w:t>S</w:t>
      </w:r>
      <w:r w:rsidRPr="00A52F41">
        <w:rPr>
          <w:sz w:val="20"/>
          <w:szCs w:val="20"/>
        </w:rPr>
        <w:t xml:space="preserve">kupni prirast po občinah (leto 2018) </w:t>
      </w:r>
    </w:p>
    <w:p w14:paraId="4939322B" w14:textId="43F8500D" w:rsidR="00C01FEA" w:rsidRPr="00A52F41" w:rsidRDefault="00C01FEA" w:rsidP="001D5FC0">
      <w:pPr>
        <w:pStyle w:val="Napis"/>
        <w:keepNext w:val="0"/>
        <w:spacing w:before="0" w:line="360" w:lineRule="auto"/>
        <w:jc w:val="both"/>
        <w:rPr>
          <w:sz w:val="20"/>
          <w:szCs w:val="20"/>
        </w:rPr>
      </w:pPr>
      <w:r w:rsidRPr="00A52F41">
        <w:rPr>
          <w:sz w:val="20"/>
          <w:szCs w:val="20"/>
        </w:rPr>
        <w:t xml:space="preserve">Slika 11: Notranje odselitve </w:t>
      </w:r>
      <w:r w:rsidR="00A762D1">
        <w:rPr>
          <w:sz w:val="20"/>
          <w:szCs w:val="20"/>
        </w:rPr>
        <w:t xml:space="preserve">za </w:t>
      </w:r>
      <w:r>
        <w:rPr>
          <w:sz w:val="20"/>
          <w:szCs w:val="20"/>
        </w:rPr>
        <w:t xml:space="preserve">leto </w:t>
      </w:r>
      <w:r w:rsidRPr="00A52F41">
        <w:rPr>
          <w:sz w:val="20"/>
          <w:szCs w:val="20"/>
        </w:rPr>
        <w:t xml:space="preserve">2018 </w:t>
      </w:r>
    </w:p>
    <w:p w14:paraId="32466D25" w14:textId="6669CB17" w:rsidR="00C01FEA" w:rsidRPr="00A52F41" w:rsidRDefault="00C01FEA">
      <w:pPr>
        <w:autoSpaceDE w:val="0"/>
        <w:autoSpaceDN w:val="0"/>
        <w:adjustRightInd w:val="0"/>
        <w:spacing w:after="0" w:line="360" w:lineRule="auto"/>
        <w:jc w:val="both"/>
        <w:rPr>
          <w:rFonts w:ascii="Arial" w:hAnsi="Arial" w:cs="Arial"/>
          <w:sz w:val="20"/>
          <w:szCs w:val="20"/>
        </w:rPr>
      </w:pPr>
      <w:r w:rsidRPr="00A52F41">
        <w:rPr>
          <w:rFonts w:ascii="Arial" w:hAnsi="Arial" w:cs="Arial"/>
          <w:sz w:val="20"/>
          <w:szCs w:val="20"/>
        </w:rPr>
        <w:t xml:space="preserve">Slika </w:t>
      </w:r>
      <w:r w:rsidRPr="00A52F41">
        <w:rPr>
          <w:rFonts w:ascii="Arial" w:hAnsi="Arial" w:cs="Arial"/>
          <w:color w:val="000000" w:themeColor="text1"/>
          <w:sz w:val="20"/>
          <w:szCs w:val="20"/>
        </w:rPr>
        <w:t>12</w:t>
      </w:r>
      <w:r w:rsidRPr="00A52F41">
        <w:rPr>
          <w:rFonts w:ascii="Arial" w:hAnsi="Arial" w:cs="Arial"/>
          <w:sz w:val="20"/>
          <w:szCs w:val="20"/>
        </w:rPr>
        <w:t>: Notranji selitveni prirast po občinah</w:t>
      </w:r>
      <w:r w:rsidR="00A762D1">
        <w:rPr>
          <w:rFonts w:ascii="Arial" w:hAnsi="Arial" w:cs="Arial"/>
          <w:sz w:val="20"/>
          <w:szCs w:val="20"/>
        </w:rPr>
        <w:t xml:space="preserve"> za leto</w:t>
      </w:r>
      <w:r w:rsidRPr="00A52F41">
        <w:rPr>
          <w:rFonts w:ascii="Arial" w:hAnsi="Arial" w:cs="Arial"/>
          <w:sz w:val="20"/>
          <w:szCs w:val="20"/>
        </w:rPr>
        <w:t xml:space="preserve"> 2018</w:t>
      </w:r>
      <w:r w:rsidR="00A762D1">
        <w:rPr>
          <w:rFonts w:ascii="Arial" w:hAnsi="Arial" w:cs="Arial"/>
          <w:sz w:val="20"/>
          <w:szCs w:val="20"/>
        </w:rPr>
        <w:t xml:space="preserve"> (</w:t>
      </w:r>
      <w:r w:rsidRPr="00A52F41">
        <w:rPr>
          <w:rFonts w:ascii="Arial" w:hAnsi="Arial" w:cs="Arial"/>
          <w:sz w:val="20"/>
          <w:szCs w:val="20"/>
        </w:rPr>
        <w:t>na 1.000 prebivalcev</w:t>
      </w:r>
      <w:r w:rsidR="00A762D1">
        <w:rPr>
          <w:rFonts w:ascii="Arial" w:hAnsi="Arial" w:cs="Arial"/>
          <w:sz w:val="20"/>
          <w:szCs w:val="20"/>
        </w:rPr>
        <w:t>)</w:t>
      </w:r>
      <w:r w:rsidRPr="00A52F41">
        <w:rPr>
          <w:rFonts w:ascii="Arial" w:hAnsi="Arial" w:cs="Arial"/>
          <w:sz w:val="20"/>
          <w:szCs w:val="20"/>
        </w:rPr>
        <w:t xml:space="preserve"> </w:t>
      </w:r>
    </w:p>
    <w:p w14:paraId="52D5EFE5" w14:textId="343E2A2F" w:rsidR="00C01FEA" w:rsidRPr="00A52F41" w:rsidRDefault="00C01FEA" w:rsidP="001D5FC0">
      <w:pPr>
        <w:pStyle w:val="Napis"/>
        <w:keepNext w:val="0"/>
        <w:spacing w:before="0" w:line="360" w:lineRule="auto"/>
        <w:jc w:val="both"/>
        <w:rPr>
          <w:sz w:val="20"/>
          <w:szCs w:val="20"/>
        </w:rPr>
      </w:pPr>
      <w:r w:rsidRPr="00A52F41">
        <w:rPr>
          <w:sz w:val="20"/>
          <w:szCs w:val="20"/>
        </w:rPr>
        <w:t xml:space="preserve">Slika 13: Notranje selitve med mladimi </w:t>
      </w:r>
      <w:r w:rsidR="00A762D1">
        <w:rPr>
          <w:sz w:val="20"/>
          <w:szCs w:val="20"/>
        </w:rPr>
        <w:t xml:space="preserve">za </w:t>
      </w:r>
      <w:r w:rsidRPr="00A52F41">
        <w:rPr>
          <w:sz w:val="20"/>
          <w:szCs w:val="20"/>
        </w:rPr>
        <w:t>let</w:t>
      </w:r>
      <w:r w:rsidR="00A762D1">
        <w:rPr>
          <w:sz w:val="20"/>
          <w:szCs w:val="20"/>
        </w:rPr>
        <w:t>o</w:t>
      </w:r>
      <w:r w:rsidRPr="00A52F41">
        <w:rPr>
          <w:sz w:val="20"/>
          <w:szCs w:val="20"/>
        </w:rPr>
        <w:t xml:space="preserve"> 2018</w:t>
      </w:r>
    </w:p>
    <w:p w14:paraId="7460FAA8" w14:textId="77777777" w:rsidR="00C01FEA" w:rsidRPr="007344C6" w:rsidRDefault="00C01FEA">
      <w:pPr>
        <w:shd w:val="clear" w:color="auto" w:fill="FFFFFF" w:themeFill="background1"/>
        <w:spacing w:after="0" w:line="360" w:lineRule="auto"/>
        <w:jc w:val="both"/>
        <w:rPr>
          <w:rFonts w:ascii="Arial" w:hAnsi="Arial" w:cs="Arial"/>
          <w:sz w:val="20"/>
          <w:szCs w:val="20"/>
        </w:rPr>
      </w:pPr>
      <w:r>
        <w:rPr>
          <w:rFonts w:ascii="Arial" w:hAnsi="Arial" w:cs="Arial"/>
          <w:sz w:val="20"/>
          <w:szCs w:val="20"/>
        </w:rPr>
        <w:t>Slika 14</w:t>
      </w:r>
      <w:r w:rsidRPr="007344C6">
        <w:rPr>
          <w:rFonts w:ascii="Arial" w:hAnsi="Arial" w:cs="Arial"/>
          <w:sz w:val="20"/>
          <w:szCs w:val="20"/>
        </w:rPr>
        <w:t>: Indeks razvojne ogroženosti regij 2019</w:t>
      </w:r>
    </w:p>
    <w:p w14:paraId="477CF066" w14:textId="77777777" w:rsidR="00C01FEA" w:rsidRPr="00A52F41" w:rsidRDefault="00C01FEA" w:rsidP="001D5FC0">
      <w:pPr>
        <w:pStyle w:val="Navadensplet"/>
        <w:shd w:val="clear" w:color="auto" w:fill="FFFFFF"/>
        <w:spacing w:line="360" w:lineRule="auto"/>
        <w:rPr>
          <w:rFonts w:ascii="Arial" w:hAnsi="Arial" w:cs="Arial"/>
        </w:rPr>
      </w:pPr>
      <w:r w:rsidRPr="007344C6">
        <w:rPr>
          <w:rFonts w:ascii="Arial" w:hAnsi="Arial" w:cs="Arial"/>
        </w:rPr>
        <w:t>Slika 1</w:t>
      </w:r>
      <w:r>
        <w:rPr>
          <w:rFonts w:ascii="Arial" w:hAnsi="Arial" w:cs="Arial"/>
        </w:rPr>
        <w:t>5</w:t>
      </w:r>
      <w:r w:rsidRPr="007344C6">
        <w:rPr>
          <w:rFonts w:ascii="Arial" w:hAnsi="Arial" w:cs="Arial"/>
        </w:rPr>
        <w:t>: Osebe, izpostavljene tveganju socialne izključenosti, 2019</w:t>
      </w:r>
    </w:p>
    <w:p w14:paraId="1F1F4C27" w14:textId="77777777" w:rsidR="00C01FEA" w:rsidRPr="007344C6" w:rsidRDefault="00C01FEA" w:rsidP="001D5FC0">
      <w:pPr>
        <w:pStyle w:val="Napis"/>
        <w:keepNext w:val="0"/>
        <w:spacing w:before="0" w:line="360" w:lineRule="auto"/>
        <w:jc w:val="both"/>
        <w:rPr>
          <w:bCs/>
          <w:sz w:val="20"/>
          <w:szCs w:val="20"/>
          <w:shd w:val="clear" w:color="auto" w:fill="FFFFFF"/>
        </w:rPr>
      </w:pPr>
      <w:r w:rsidRPr="007344C6">
        <w:rPr>
          <w:sz w:val="20"/>
          <w:szCs w:val="20"/>
        </w:rPr>
        <w:t>Slika 1</w:t>
      </w:r>
      <w:r>
        <w:rPr>
          <w:sz w:val="20"/>
          <w:szCs w:val="20"/>
        </w:rPr>
        <w:t>6</w:t>
      </w:r>
      <w:r w:rsidRPr="007344C6">
        <w:rPr>
          <w:sz w:val="20"/>
          <w:szCs w:val="20"/>
        </w:rPr>
        <w:t xml:space="preserve">: </w:t>
      </w:r>
      <w:r w:rsidRPr="007344C6">
        <w:rPr>
          <w:sz w:val="20"/>
          <w:szCs w:val="20"/>
          <w:shd w:val="clear" w:color="auto" w:fill="FFFFFF"/>
        </w:rPr>
        <w:t>Stopnja tveganja socialne izključenosti, statistične regije, Slovenija, 2019</w:t>
      </w:r>
    </w:p>
    <w:p w14:paraId="0EB93882" w14:textId="77777777" w:rsidR="00C01FEA" w:rsidRPr="00026AF3" w:rsidRDefault="00C01FEA" w:rsidP="001D5FC0">
      <w:pPr>
        <w:pStyle w:val="Napis"/>
        <w:keepNext w:val="0"/>
        <w:spacing w:before="0" w:line="360" w:lineRule="auto"/>
        <w:jc w:val="both"/>
        <w:rPr>
          <w:sz w:val="20"/>
          <w:szCs w:val="20"/>
        </w:rPr>
      </w:pPr>
      <w:r>
        <w:rPr>
          <w:sz w:val="20"/>
          <w:szCs w:val="20"/>
        </w:rPr>
        <w:t>Slika 17</w:t>
      </w:r>
      <w:r w:rsidRPr="00026AF3">
        <w:rPr>
          <w:sz w:val="20"/>
          <w:szCs w:val="20"/>
        </w:rPr>
        <w:t>: Delež učencev, dijakov in študentov od celotnega prebivalstva na podeželju oz. Sloveniji (leto 2018)</w:t>
      </w:r>
    </w:p>
    <w:p w14:paraId="72B97983" w14:textId="77777777" w:rsidR="00C01FEA" w:rsidRPr="00026AF3" w:rsidRDefault="00C01FEA">
      <w:pPr>
        <w:autoSpaceDE w:val="0"/>
        <w:autoSpaceDN w:val="0"/>
        <w:adjustRightInd w:val="0"/>
        <w:spacing w:after="0" w:line="360" w:lineRule="auto"/>
        <w:jc w:val="both"/>
        <w:rPr>
          <w:rFonts w:ascii="Arial" w:hAnsi="Arial" w:cs="Arial"/>
          <w:sz w:val="20"/>
          <w:szCs w:val="20"/>
        </w:rPr>
      </w:pPr>
      <w:r w:rsidRPr="00026AF3">
        <w:rPr>
          <w:rFonts w:ascii="Arial" w:hAnsi="Arial" w:cs="Arial"/>
          <w:sz w:val="20"/>
          <w:szCs w:val="20"/>
        </w:rPr>
        <w:t>Slika 1</w:t>
      </w:r>
      <w:r>
        <w:rPr>
          <w:rFonts w:ascii="Arial" w:hAnsi="Arial" w:cs="Arial"/>
          <w:sz w:val="20"/>
          <w:szCs w:val="20"/>
        </w:rPr>
        <w:t>8</w:t>
      </w:r>
      <w:r w:rsidRPr="00026AF3">
        <w:rPr>
          <w:rFonts w:ascii="Arial" w:hAnsi="Arial" w:cs="Arial"/>
          <w:sz w:val="20"/>
          <w:szCs w:val="20"/>
        </w:rPr>
        <w:t>: Stopnja izobrazbe v letu 2019</w:t>
      </w:r>
    </w:p>
    <w:p w14:paraId="50778FD3" w14:textId="77777777" w:rsidR="00C01FEA" w:rsidRPr="00326F27" w:rsidRDefault="00C01FEA">
      <w:pPr>
        <w:pStyle w:val="Default"/>
        <w:spacing w:line="360" w:lineRule="auto"/>
        <w:jc w:val="both"/>
        <w:rPr>
          <w:rFonts w:ascii="Arial" w:hAnsi="Arial" w:cs="Arial"/>
          <w:sz w:val="20"/>
          <w:szCs w:val="20"/>
          <w:lang w:val="sl-SI"/>
        </w:rPr>
      </w:pPr>
      <w:r w:rsidRPr="00326F27">
        <w:rPr>
          <w:rFonts w:ascii="Arial" w:hAnsi="Arial" w:cs="Arial"/>
          <w:iCs/>
          <w:sz w:val="20"/>
          <w:szCs w:val="20"/>
          <w:lang w:val="sl-SI"/>
        </w:rPr>
        <w:t>Slika 19: Stopnja centralnosti glede na prebivalstvo in storitve</w:t>
      </w:r>
    </w:p>
    <w:p w14:paraId="15D56799" w14:textId="77777777" w:rsidR="00C01FEA" w:rsidRPr="00026AF3" w:rsidRDefault="00C01FEA">
      <w:pPr>
        <w:pStyle w:val="Navadensplet"/>
        <w:spacing w:line="360" w:lineRule="auto"/>
        <w:rPr>
          <w:rFonts w:ascii="Arial" w:hAnsi="Arial" w:cs="Arial"/>
        </w:rPr>
      </w:pPr>
      <w:r>
        <w:rPr>
          <w:rFonts w:ascii="Arial" w:hAnsi="Arial" w:cs="Arial"/>
        </w:rPr>
        <w:t>Slika 20</w:t>
      </w:r>
      <w:r w:rsidRPr="00026AF3">
        <w:rPr>
          <w:rFonts w:ascii="Arial" w:hAnsi="Arial" w:cs="Arial"/>
        </w:rPr>
        <w:t>: Število mest v domovih za starejše in število prebivalcev, starih 65 let in več, po statističnih regijah, 1.1.2018</w:t>
      </w:r>
    </w:p>
    <w:p w14:paraId="36F4192C" w14:textId="77777777" w:rsidR="00C01FEA" w:rsidRPr="00026AF3" w:rsidRDefault="00C01FEA">
      <w:pPr>
        <w:pStyle w:val="Navadensplet"/>
        <w:spacing w:line="360" w:lineRule="auto"/>
        <w:rPr>
          <w:rFonts w:ascii="Arial" w:hAnsi="Arial" w:cs="Arial"/>
        </w:rPr>
      </w:pPr>
      <w:r>
        <w:rPr>
          <w:rFonts w:ascii="Arial" w:hAnsi="Arial" w:cs="Arial"/>
        </w:rPr>
        <w:t>Slika 21</w:t>
      </w:r>
      <w:r w:rsidRPr="00026AF3">
        <w:rPr>
          <w:rFonts w:ascii="Arial" w:hAnsi="Arial" w:cs="Arial"/>
        </w:rPr>
        <w:t>: Ustanove, ki z delovanjem in mreženjem ustvarjajo vmesnik, stičišče med starostniki i</w:t>
      </w:r>
      <w:r>
        <w:rPr>
          <w:rFonts w:ascii="Arial" w:hAnsi="Arial" w:cs="Arial"/>
        </w:rPr>
        <w:t>n njihovim okoljem na podeželju</w:t>
      </w:r>
    </w:p>
    <w:p w14:paraId="4D76767D" w14:textId="77777777" w:rsidR="00C01FEA" w:rsidRPr="00026AF3" w:rsidRDefault="00C01FEA">
      <w:pPr>
        <w:spacing w:after="0" w:line="360" w:lineRule="auto"/>
        <w:jc w:val="both"/>
        <w:rPr>
          <w:rFonts w:ascii="Arial" w:hAnsi="Arial" w:cs="Arial"/>
          <w:sz w:val="20"/>
          <w:szCs w:val="20"/>
        </w:rPr>
      </w:pPr>
      <w:r w:rsidRPr="00A52F41">
        <w:rPr>
          <w:rFonts w:ascii="Arial" w:hAnsi="Arial" w:cs="Arial"/>
          <w:sz w:val="20"/>
          <w:szCs w:val="20"/>
        </w:rPr>
        <w:t>Slika 2</w:t>
      </w:r>
      <w:r>
        <w:rPr>
          <w:rFonts w:ascii="Arial" w:hAnsi="Arial" w:cs="Arial"/>
          <w:sz w:val="20"/>
          <w:szCs w:val="20"/>
        </w:rPr>
        <w:t>2</w:t>
      </w:r>
      <w:r w:rsidRPr="00A52F41">
        <w:rPr>
          <w:rFonts w:ascii="Arial" w:hAnsi="Arial" w:cs="Arial"/>
          <w:sz w:val="20"/>
          <w:szCs w:val="20"/>
        </w:rPr>
        <w:t xml:space="preserve">: BDP na prebivalca </w:t>
      </w:r>
      <w:r>
        <w:rPr>
          <w:rFonts w:ascii="Arial" w:hAnsi="Arial" w:cs="Arial"/>
          <w:sz w:val="20"/>
          <w:szCs w:val="20"/>
        </w:rPr>
        <w:t>glede na posamezno regijo, 2018</w:t>
      </w:r>
    </w:p>
    <w:p w14:paraId="54AC7A84" w14:textId="77777777" w:rsidR="00C01FEA" w:rsidRPr="00A52F41" w:rsidRDefault="00C01FEA">
      <w:pPr>
        <w:spacing w:after="0" w:line="360" w:lineRule="auto"/>
        <w:jc w:val="both"/>
        <w:rPr>
          <w:rFonts w:ascii="Arial" w:hAnsi="Arial" w:cs="Arial"/>
          <w:sz w:val="20"/>
          <w:szCs w:val="20"/>
        </w:rPr>
      </w:pPr>
      <w:r w:rsidRPr="00A52F41">
        <w:rPr>
          <w:rFonts w:ascii="Arial" w:hAnsi="Arial" w:cs="Arial"/>
          <w:sz w:val="20"/>
          <w:szCs w:val="20"/>
        </w:rPr>
        <w:t>Slika 2</w:t>
      </w:r>
      <w:r>
        <w:rPr>
          <w:rFonts w:ascii="Arial" w:hAnsi="Arial" w:cs="Arial"/>
          <w:sz w:val="20"/>
          <w:szCs w:val="20"/>
        </w:rPr>
        <w:t>3</w:t>
      </w:r>
      <w:r w:rsidRPr="00A52F41">
        <w:rPr>
          <w:rFonts w:ascii="Arial" w:hAnsi="Arial" w:cs="Arial"/>
          <w:sz w:val="20"/>
          <w:szCs w:val="20"/>
        </w:rPr>
        <w:t>: Razčlenitev bruto domačega proizvoda na prebivalca na stopnjo zaposlen</w:t>
      </w:r>
      <w:r>
        <w:rPr>
          <w:rFonts w:ascii="Arial" w:hAnsi="Arial" w:cs="Arial"/>
          <w:sz w:val="20"/>
          <w:szCs w:val="20"/>
        </w:rPr>
        <w:t>osti in produktivnosti dela</w:t>
      </w:r>
    </w:p>
    <w:p w14:paraId="77E50360" w14:textId="77777777" w:rsidR="00C01FEA" w:rsidRPr="00A52F41" w:rsidRDefault="00C01FEA">
      <w:pPr>
        <w:pStyle w:val="Default"/>
        <w:spacing w:line="360" w:lineRule="auto"/>
        <w:jc w:val="both"/>
        <w:rPr>
          <w:rFonts w:ascii="Arial" w:hAnsi="Arial" w:cs="Arial"/>
          <w:color w:val="auto"/>
          <w:sz w:val="20"/>
          <w:szCs w:val="20"/>
          <w:lang w:val="sl-SI"/>
        </w:rPr>
      </w:pPr>
      <w:r w:rsidRPr="00A52F41">
        <w:rPr>
          <w:rFonts w:ascii="Arial" w:hAnsi="Arial" w:cs="Arial"/>
          <w:color w:val="auto"/>
          <w:sz w:val="20"/>
          <w:szCs w:val="20"/>
          <w:lang w:val="sl-SI"/>
        </w:rPr>
        <w:t>Slika 2</w:t>
      </w:r>
      <w:r>
        <w:rPr>
          <w:rFonts w:ascii="Arial" w:hAnsi="Arial" w:cs="Arial"/>
          <w:color w:val="auto"/>
          <w:sz w:val="20"/>
          <w:szCs w:val="20"/>
          <w:lang w:val="sl-SI"/>
        </w:rPr>
        <w:t>4</w:t>
      </w:r>
      <w:r w:rsidRPr="00A52F41">
        <w:rPr>
          <w:rFonts w:ascii="Arial" w:hAnsi="Arial" w:cs="Arial"/>
          <w:color w:val="auto"/>
          <w:sz w:val="20"/>
          <w:szCs w:val="20"/>
          <w:lang w:val="sl-SI"/>
        </w:rPr>
        <w:t>: Bruto dodana vrednost na zaposlenega v gospodarskih družbah, zadrugah in samostojnih podjetnikih posamezniki</w:t>
      </w:r>
    </w:p>
    <w:p w14:paraId="27BF6985" w14:textId="77777777" w:rsidR="00C01FEA" w:rsidRPr="00A52F41" w:rsidRDefault="00C01FEA">
      <w:pPr>
        <w:spacing w:after="0" w:line="360" w:lineRule="auto"/>
        <w:jc w:val="both"/>
        <w:rPr>
          <w:rFonts w:ascii="Arial" w:hAnsi="Arial" w:cs="Arial"/>
          <w:sz w:val="20"/>
          <w:szCs w:val="20"/>
        </w:rPr>
      </w:pPr>
      <w:r w:rsidRPr="00A52F41">
        <w:rPr>
          <w:rFonts w:ascii="Arial" w:hAnsi="Arial" w:cs="Arial"/>
          <w:sz w:val="20"/>
          <w:szCs w:val="20"/>
        </w:rPr>
        <w:t>Slika 2</w:t>
      </w:r>
      <w:r>
        <w:rPr>
          <w:rFonts w:ascii="Arial" w:hAnsi="Arial" w:cs="Arial"/>
          <w:sz w:val="20"/>
          <w:szCs w:val="20"/>
        </w:rPr>
        <w:t>5</w:t>
      </w:r>
      <w:r w:rsidRPr="00A52F41">
        <w:rPr>
          <w:rFonts w:ascii="Arial" w:hAnsi="Arial" w:cs="Arial"/>
          <w:sz w:val="20"/>
          <w:szCs w:val="20"/>
        </w:rPr>
        <w:t>: Podatki za podjetja po velikostnih razredih, glede na število oseb in prihodek</w:t>
      </w:r>
    </w:p>
    <w:p w14:paraId="753FDFAA" w14:textId="77777777" w:rsidR="00C01FEA" w:rsidRPr="00A52F41" w:rsidRDefault="00C01FEA">
      <w:pPr>
        <w:spacing w:after="0" w:line="360" w:lineRule="auto"/>
        <w:jc w:val="both"/>
        <w:rPr>
          <w:rFonts w:ascii="Arial" w:hAnsi="Arial" w:cs="Arial"/>
          <w:sz w:val="20"/>
          <w:szCs w:val="20"/>
        </w:rPr>
      </w:pPr>
      <w:r w:rsidRPr="00A52F41">
        <w:rPr>
          <w:rFonts w:ascii="Arial" w:hAnsi="Arial" w:cs="Arial"/>
          <w:sz w:val="20"/>
          <w:szCs w:val="20"/>
        </w:rPr>
        <w:t>Slika 2</w:t>
      </w:r>
      <w:r>
        <w:rPr>
          <w:rFonts w:ascii="Arial" w:hAnsi="Arial" w:cs="Arial"/>
          <w:sz w:val="20"/>
          <w:szCs w:val="20"/>
        </w:rPr>
        <w:t>6</w:t>
      </w:r>
      <w:r w:rsidRPr="00A52F41">
        <w:rPr>
          <w:rFonts w:ascii="Arial" w:hAnsi="Arial" w:cs="Arial"/>
          <w:sz w:val="20"/>
          <w:szCs w:val="20"/>
        </w:rPr>
        <w:t>: Število podjetij po statističnih regijah leta 2018</w:t>
      </w:r>
    </w:p>
    <w:p w14:paraId="4671D51C" w14:textId="1FD89A62" w:rsidR="00C01FEA" w:rsidRPr="00A52F41" w:rsidRDefault="00C01FEA">
      <w:pPr>
        <w:spacing w:after="0" w:line="360" w:lineRule="auto"/>
        <w:jc w:val="both"/>
        <w:rPr>
          <w:rFonts w:ascii="Arial" w:hAnsi="Arial" w:cs="Arial"/>
          <w:sz w:val="20"/>
          <w:szCs w:val="20"/>
        </w:rPr>
      </w:pPr>
      <w:r w:rsidRPr="00A52F41">
        <w:rPr>
          <w:rFonts w:ascii="Arial" w:hAnsi="Arial" w:cs="Arial"/>
          <w:sz w:val="20"/>
          <w:szCs w:val="20"/>
        </w:rPr>
        <w:t xml:space="preserve">Slika </w:t>
      </w:r>
      <w:r w:rsidR="00A762D1">
        <w:rPr>
          <w:rFonts w:ascii="Arial" w:hAnsi="Arial" w:cs="Arial"/>
          <w:sz w:val="20"/>
          <w:szCs w:val="20"/>
        </w:rPr>
        <w:t>27</w:t>
      </w:r>
      <w:r w:rsidRPr="00A52F41">
        <w:rPr>
          <w:rFonts w:ascii="Arial" w:hAnsi="Arial" w:cs="Arial"/>
          <w:sz w:val="20"/>
          <w:szCs w:val="20"/>
        </w:rPr>
        <w:t>: Investicije po statističnih regijah leta 2018</w:t>
      </w:r>
    </w:p>
    <w:p w14:paraId="180978A1" w14:textId="56BF6331" w:rsidR="00C01FEA" w:rsidRPr="00A52F41" w:rsidRDefault="00C01FEA">
      <w:pPr>
        <w:spacing w:after="0" w:line="360" w:lineRule="auto"/>
        <w:jc w:val="both"/>
        <w:rPr>
          <w:rFonts w:ascii="Arial" w:hAnsi="Arial" w:cs="Arial"/>
          <w:sz w:val="20"/>
          <w:szCs w:val="20"/>
        </w:rPr>
      </w:pPr>
      <w:r w:rsidRPr="00A52F41">
        <w:rPr>
          <w:rFonts w:ascii="Arial" w:hAnsi="Arial" w:cs="Arial"/>
          <w:sz w:val="20"/>
          <w:szCs w:val="20"/>
        </w:rPr>
        <w:t xml:space="preserve">Slika </w:t>
      </w:r>
      <w:r w:rsidR="00A762D1">
        <w:rPr>
          <w:rFonts w:ascii="Arial" w:hAnsi="Arial" w:cs="Arial"/>
          <w:sz w:val="20"/>
          <w:szCs w:val="20"/>
        </w:rPr>
        <w:t>28</w:t>
      </w:r>
      <w:r w:rsidRPr="00A52F41">
        <w:rPr>
          <w:rFonts w:ascii="Arial" w:hAnsi="Arial" w:cs="Arial"/>
          <w:sz w:val="20"/>
          <w:szCs w:val="20"/>
        </w:rPr>
        <w:t>: Aktivno in neaktivno prebivalstvo, Slovenija, 2018</w:t>
      </w:r>
    </w:p>
    <w:p w14:paraId="53957848" w14:textId="4413CDA3" w:rsidR="00C01FEA" w:rsidRPr="00A52F41" w:rsidRDefault="00C01FEA">
      <w:pPr>
        <w:spacing w:after="0" w:line="360" w:lineRule="auto"/>
        <w:jc w:val="both"/>
        <w:rPr>
          <w:rFonts w:ascii="Arial" w:hAnsi="Arial" w:cs="Arial"/>
          <w:sz w:val="20"/>
          <w:szCs w:val="20"/>
        </w:rPr>
      </w:pPr>
      <w:r w:rsidRPr="00A52F41">
        <w:rPr>
          <w:rFonts w:ascii="Arial" w:hAnsi="Arial" w:cs="Arial"/>
          <w:sz w:val="20"/>
          <w:szCs w:val="20"/>
        </w:rPr>
        <w:t xml:space="preserve">Slika </w:t>
      </w:r>
      <w:r w:rsidR="00A762D1">
        <w:rPr>
          <w:rFonts w:ascii="Arial" w:hAnsi="Arial" w:cs="Arial"/>
          <w:sz w:val="20"/>
          <w:szCs w:val="20"/>
        </w:rPr>
        <w:t>29</w:t>
      </w:r>
      <w:r w:rsidRPr="00A52F41">
        <w:rPr>
          <w:rFonts w:ascii="Arial" w:hAnsi="Arial" w:cs="Arial"/>
          <w:sz w:val="20"/>
          <w:szCs w:val="20"/>
        </w:rPr>
        <w:t>: Gib</w:t>
      </w:r>
      <w:r>
        <w:rPr>
          <w:rFonts w:ascii="Arial" w:hAnsi="Arial" w:cs="Arial"/>
          <w:sz w:val="20"/>
          <w:szCs w:val="20"/>
        </w:rPr>
        <w:t>anje stopnje delavne aktivnosti</w:t>
      </w:r>
    </w:p>
    <w:p w14:paraId="7824E957" w14:textId="12E05253" w:rsidR="00C01FEA" w:rsidRPr="00F618FE" w:rsidRDefault="00C01FEA" w:rsidP="00F618FE">
      <w:pPr>
        <w:pStyle w:val="Default"/>
        <w:spacing w:line="360" w:lineRule="auto"/>
        <w:jc w:val="both"/>
        <w:rPr>
          <w:rFonts w:ascii="Arial" w:hAnsi="Arial" w:cs="Arial"/>
          <w:color w:val="auto"/>
          <w:sz w:val="20"/>
          <w:szCs w:val="20"/>
          <w:lang w:val="sl-SI"/>
        </w:rPr>
      </w:pPr>
      <w:r>
        <w:rPr>
          <w:rFonts w:ascii="Arial" w:hAnsi="Arial" w:cs="Arial"/>
          <w:color w:val="auto"/>
          <w:sz w:val="20"/>
          <w:szCs w:val="20"/>
          <w:lang w:val="sl-SI"/>
        </w:rPr>
        <w:t>Slika 3</w:t>
      </w:r>
      <w:r w:rsidR="00A762D1">
        <w:rPr>
          <w:rFonts w:ascii="Arial" w:hAnsi="Arial" w:cs="Arial"/>
          <w:color w:val="auto"/>
          <w:sz w:val="20"/>
          <w:szCs w:val="20"/>
          <w:lang w:val="sl-SI"/>
        </w:rPr>
        <w:t>0</w:t>
      </w:r>
      <w:r w:rsidRPr="00A52F41">
        <w:rPr>
          <w:rFonts w:ascii="Arial" w:hAnsi="Arial" w:cs="Arial"/>
          <w:color w:val="auto"/>
          <w:sz w:val="20"/>
          <w:szCs w:val="20"/>
          <w:lang w:val="sl-SI"/>
        </w:rPr>
        <w:t>: Kategorije brezposelnih oseb, deleži (julij 2020)</w:t>
      </w:r>
    </w:p>
    <w:p w14:paraId="3B189748" w14:textId="7C1FA073" w:rsidR="00C01FEA" w:rsidRPr="00A52F41" w:rsidRDefault="00C01FEA">
      <w:pPr>
        <w:spacing w:after="0" w:line="360" w:lineRule="auto"/>
        <w:jc w:val="both"/>
        <w:rPr>
          <w:rFonts w:ascii="Arial" w:hAnsi="Arial" w:cs="Arial"/>
          <w:sz w:val="20"/>
          <w:szCs w:val="20"/>
        </w:rPr>
      </w:pPr>
      <w:r w:rsidRPr="00A52F41">
        <w:rPr>
          <w:rFonts w:ascii="Arial" w:hAnsi="Arial" w:cs="Arial"/>
          <w:sz w:val="20"/>
          <w:szCs w:val="20"/>
        </w:rPr>
        <w:t>Slika 3</w:t>
      </w:r>
      <w:r w:rsidR="00A762D1">
        <w:rPr>
          <w:rFonts w:ascii="Arial" w:hAnsi="Arial" w:cs="Arial"/>
          <w:sz w:val="20"/>
          <w:szCs w:val="20"/>
        </w:rPr>
        <w:t>1</w:t>
      </w:r>
      <w:r w:rsidRPr="00A52F41">
        <w:rPr>
          <w:rFonts w:ascii="Arial" w:hAnsi="Arial" w:cs="Arial"/>
          <w:sz w:val="20"/>
          <w:szCs w:val="20"/>
        </w:rPr>
        <w:t>: Število prenočitev v turističnih nastanitvenih zmogljivostih na število prebivalcev</w:t>
      </w:r>
    </w:p>
    <w:p w14:paraId="3970758E" w14:textId="645B43A0" w:rsidR="00C01FEA" w:rsidRDefault="00C01FEA">
      <w:pPr>
        <w:spacing w:after="0" w:line="360" w:lineRule="auto"/>
        <w:jc w:val="both"/>
        <w:rPr>
          <w:rFonts w:ascii="Arial" w:hAnsi="Arial" w:cs="Arial"/>
          <w:sz w:val="20"/>
          <w:szCs w:val="20"/>
        </w:rPr>
      </w:pPr>
      <w:r w:rsidRPr="00A52F41">
        <w:rPr>
          <w:rFonts w:ascii="Arial" w:hAnsi="Arial" w:cs="Arial"/>
          <w:sz w:val="20"/>
          <w:szCs w:val="20"/>
        </w:rPr>
        <w:t>Slika 3</w:t>
      </w:r>
      <w:r w:rsidR="00A762D1">
        <w:rPr>
          <w:rFonts w:ascii="Arial" w:hAnsi="Arial" w:cs="Arial"/>
          <w:sz w:val="20"/>
          <w:szCs w:val="20"/>
        </w:rPr>
        <w:t>2</w:t>
      </w:r>
      <w:r w:rsidRPr="00A52F41">
        <w:rPr>
          <w:rFonts w:ascii="Arial" w:hAnsi="Arial" w:cs="Arial"/>
          <w:sz w:val="20"/>
          <w:szCs w:val="20"/>
        </w:rPr>
        <w:t>: Prenočitve turistov v letu 2018</w:t>
      </w:r>
    </w:p>
    <w:p w14:paraId="2A5A9E9B" w14:textId="1C3E480A" w:rsidR="00C01FEA" w:rsidRDefault="00C01FEA" w:rsidP="001D5FC0">
      <w:pPr>
        <w:pStyle w:val="Napis"/>
        <w:keepNext w:val="0"/>
        <w:spacing w:before="0" w:line="360" w:lineRule="auto"/>
        <w:jc w:val="both"/>
      </w:pPr>
      <w:r w:rsidRPr="00083AB5">
        <w:rPr>
          <w:sz w:val="20"/>
          <w:szCs w:val="20"/>
        </w:rPr>
        <w:t>Slika 3</w:t>
      </w:r>
      <w:r w:rsidR="00A762D1">
        <w:rPr>
          <w:sz w:val="20"/>
          <w:szCs w:val="20"/>
        </w:rPr>
        <w:t>3</w:t>
      </w:r>
      <w:r w:rsidRPr="00083AB5">
        <w:rPr>
          <w:sz w:val="20"/>
          <w:szCs w:val="20"/>
        </w:rPr>
        <w:t>: Biogospodarstvo in krožno gospodarstvo</w:t>
      </w:r>
    </w:p>
    <w:p w14:paraId="718367DD" w14:textId="1C5E653A" w:rsidR="00C01FEA" w:rsidRPr="001D5FC0" w:rsidRDefault="00C01FEA" w:rsidP="001D5FC0">
      <w:pPr>
        <w:spacing w:after="0" w:line="360" w:lineRule="auto"/>
        <w:jc w:val="both"/>
        <w:rPr>
          <w:rFonts w:ascii="Arial" w:hAnsi="Arial" w:cs="Arial"/>
          <w:sz w:val="20"/>
          <w:szCs w:val="20"/>
        </w:rPr>
      </w:pPr>
      <w:r w:rsidRPr="001D5FC0">
        <w:rPr>
          <w:rFonts w:ascii="Arial" w:hAnsi="Arial" w:cs="Arial"/>
          <w:sz w:val="20"/>
          <w:szCs w:val="20"/>
        </w:rPr>
        <w:t>Slika 3</w:t>
      </w:r>
      <w:r w:rsidR="00A762D1">
        <w:rPr>
          <w:rFonts w:ascii="Arial" w:hAnsi="Arial" w:cs="Arial"/>
          <w:sz w:val="20"/>
          <w:szCs w:val="20"/>
        </w:rPr>
        <w:t>4</w:t>
      </w:r>
      <w:r w:rsidRPr="001D5FC0">
        <w:rPr>
          <w:rFonts w:ascii="Arial" w:hAnsi="Arial" w:cs="Arial"/>
          <w:sz w:val="20"/>
          <w:szCs w:val="20"/>
        </w:rPr>
        <w:t>: Bruto dodana vrednost na zaposlenega v biogospodarstvu</w:t>
      </w:r>
    </w:p>
    <w:p w14:paraId="59347508" w14:textId="6C5E2162" w:rsidR="00C01FEA" w:rsidRPr="00083AB5" w:rsidRDefault="00C01FEA">
      <w:pPr>
        <w:spacing w:after="0" w:line="360" w:lineRule="auto"/>
        <w:jc w:val="both"/>
        <w:rPr>
          <w:rFonts w:ascii="Arial" w:hAnsi="Arial" w:cs="Arial"/>
          <w:sz w:val="20"/>
          <w:szCs w:val="20"/>
        </w:rPr>
      </w:pPr>
      <w:r w:rsidRPr="00083AB5">
        <w:rPr>
          <w:rFonts w:ascii="Arial" w:hAnsi="Arial" w:cs="Arial"/>
          <w:sz w:val="20"/>
          <w:szCs w:val="20"/>
        </w:rPr>
        <w:t>Slika 3</w:t>
      </w:r>
      <w:r w:rsidR="00A762D1">
        <w:rPr>
          <w:rFonts w:ascii="Arial" w:hAnsi="Arial" w:cs="Arial"/>
          <w:sz w:val="20"/>
          <w:szCs w:val="20"/>
        </w:rPr>
        <w:t>5</w:t>
      </w:r>
      <w:r w:rsidRPr="00083AB5">
        <w:rPr>
          <w:rFonts w:ascii="Arial" w:hAnsi="Arial" w:cs="Arial"/>
          <w:sz w:val="20"/>
          <w:szCs w:val="20"/>
        </w:rPr>
        <w:t>: Ravnan</w:t>
      </w:r>
      <w:r>
        <w:rPr>
          <w:rFonts w:ascii="Arial" w:hAnsi="Arial" w:cs="Arial"/>
          <w:sz w:val="20"/>
          <w:szCs w:val="20"/>
        </w:rPr>
        <w:t xml:space="preserve">je z odpadno hrano v Sloveniji </w:t>
      </w:r>
    </w:p>
    <w:p w14:paraId="4C7A958A" w14:textId="72339918" w:rsidR="00C01FEA" w:rsidRPr="00A52F41" w:rsidRDefault="00C01FEA">
      <w:pPr>
        <w:autoSpaceDE w:val="0"/>
        <w:autoSpaceDN w:val="0"/>
        <w:adjustRightInd w:val="0"/>
        <w:spacing w:after="0" w:line="360" w:lineRule="auto"/>
        <w:jc w:val="both"/>
        <w:rPr>
          <w:rFonts w:ascii="Arial" w:hAnsi="Arial" w:cs="Arial"/>
          <w:sz w:val="20"/>
          <w:szCs w:val="20"/>
        </w:rPr>
      </w:pPr>
      <w:r w:rsidRPr="00A52F41">
        <w:rPr>
          <w:rFonts w:ascii="Arial" w:hAnsi="Arial" w:cs="Arial"/>
          <w:sz w:val="20"/>
          <w:szCs w:val="20"/>
        </w:rPr>
        <w:lastRenderedPageBreak/>
        <w:t>Slika 3</w:t>
      </w:r>
      <w:r w:rsidR="00A762D1">
        <w:rPr>
          <w:rFonts w:ascii="Arial" w:hAnsi="Arial" w:cs="Arial"/>
          <w:sz w:val="20"/>
          <w:szCs w:val="20"/>
        </w:rPr>
        <w:t>6</w:t>
      </w:r>
      <w:r w:rsidRPr="00A52F41">
        <w:rPr>
          <w:rFonts w:ascii="Arial" w:hAnsi="Arial" w:cs="Arial"/>
          <w:sz w:val="20"/>
          <w:szCs w:val="20"/>
        </w:rPr>
        <w:t>: Število bioplinarn na 1 mio prebivalcev v evropskih državah</w:t>
      </w:r>
    </w:p>
    <w:p w14:paraId="15C79C9D" w14:textId="7DF226D5" w:rsidR="00C01FEA" w:rsidRPr="00083AB5" w:rsidRDefault="00C01FEA">
      <w:pPr>
        <w:spacing w:after="0" w:line="360" w:lineRule="auto"/>
        <w:jc w:val="both"/>
        <w:rPr>
          <w:rFonts w:ascii="Arial" w:hAnsi="Arial" w:cs="Arial"/>
          <w:sz w:val="20"/>
          <w:szCs w:val="20"/>
        </w:rPr>
      </w:pPr>
      <w:r>
        <w:rPr>
          <w:rFonts w:ascii="Arial" w:hAnsi="Arial" w:cs="Arial"/>
          <w:sz w:val="20"/>
          <w:szCs w:val="20"/>
        </w:rPr>
        <w:t xml:space="preserve">Slika </w:t>
      </w:r>
      <w:r w:rsidR="00A762D1">
        <w:rPr>
          <w:rFonts w:ascii="Arial" w:hAnsi="Arial" w:cs="Arial"/>
          <w:sz w:val="20"/>
          <w:szCs w:val="20"/>
        </w:rPr>
        <w:t>37</w:t>
      </w:r>
      <w:r w:rsidRPr="00083AB5">
        <w:rPr>
          <w:rFonts w:ascii="Arial" w:hAnsi="Arial" w:cs="Arial"/>
          <w:sz w:val="20"/>
          <w:szCs w:val="20"/>
        </w:rPr>
        <w:t>: Končna poraba energije, glede na en</w:t>
      </w:r>
      <w:r>
        <w:rPr>
          <w:rFonts w:ascii="Arial" w:hAnsi="Arial" w:cs="Arial"/>
          <w:sz w:val="20"/>
          <w:szCs w:val="20"/>
        </w:rPr>
        <w:t xml:space="preserve">ergetski vir (v 1000 </w:t>
      </w:r>
      <w:r w:rsidR="008A4189">
        <w:rPr>
          <w:rFonts w:ascii="Arial" w:hAnsi="Arial" w:cs="Arial"/>
          <w:sz w:val="20"/>
          <w:szCs w:val="20"/>
        </w:rPr>
        <w:t>T</w:t>
      </w:r>
      <w:r>
        <w:rPr>
          <w:rFonts w:ascii="Arial" w:hAnsi="Arial" w:cs="Arial"/>
          <w:sz w:val="20"/>
          <w:szCs w:val="20"/>
        </w:rPr>
        <w:t>oe)</w:t>
      </w:r>
    </w:p>
    <w:p w14:paraId="25CFDF78" w14:textId="50568772" w:rsidR="00C01FEA" w:rsidRPr="00C01FEA" w:rsidRDefault="00C01FEA">
      <w:pPr>
        <w:spacing w:after="0" w:line="360" w:lineRule="auto"/>
        <w:jc w:val="both"/>
        <w:rPr>
          <w:rFonts w:ascii="Arial" w:eastAsia="Arial" w:hAnsi="Arial" w:cs="Arial"/>
          <w:sz w:val="20"/>
          <w:szCs w:val="20"/>
        </w:rPr>
      </w:pPr>
      <w:r>
        <w:rPr>
          <w:rFonts w:ascii="Arial" w:eastAsia="Arial" w:hAnsi="Arial" w:cs="Arial"/>
          <w:sz w:val="20"/>
          <w:szCs w:val="20"/>
        </w:rPr>
        <w:t xml:space="preserve">Slika </w:t>
      </w:r>
      <w:r w:rsidR="00A762D1">
        <w:rPr>
          <w:rFonts w:ascii="Arial" w:eastAsia="Arial" w:hAnsi="Arial" w:cs="Arial"/>
          <w:sz w:val="20"/>
          <w:szCs w:val="20"/>
        </w:rPr>
        <w:t>38</w:t>
      </w:r>
      <w:r w:rsidRPr="00A52F41">
        <w:rPr>
          <w:rFonts w:ascii="Arial" w:eastAsia="Arial" w:hAnsi="Arial" w:cs="Arial"/>
          <w:sz w:val="20"/>
          <w:szCs w:val="20"/>
        </w:rPr>
        <w:t xml:space="preserve">: </w:t>
      </w:r>
      <w:r w:rsidRPr="00A52F41">
        <w:rPr>
          <w:rFonts w:ascii="Arial" w:eastAsia="Arial" w:hAnsi="Arial" w:cs="Arial"/>
          <w:bCs/>
          <w:sz w:val="20"/>
          <w:szCs w:val="20"/>
        </w:rPr>
        <w:t>Poraba energije za proizvodnjo porabljenih dušikovih in fosforjevih gnojil (v GJ/ha KZU) in plinskega olja v kmetijstvu (v TJ/leto)</w:t>
      </w:r>
    </w:p>
    <w:p w14:paraId="32BCCD6B" w14:textId="2297062B" w:rsidR="00C01FEA" w:rsidRPr="00083AB5" w:rsidRDefault="00C01FEA">
      <w:pPr>
        <w:spacing w:after="0" w:line="360" w:lineRule="auto"/>
        <w:jc w:val="both"/>
        <w:rPr>
          <w:rFonts w:ascii="Arial" w:hAnsi="Arial" w:cs="Arial"/>
          <w:sz w:val="20"/>
          <w:szCs w:val="20"/>
          <w:highlight w:val="yellow"/>
        </w:rPr>
      </w:pPr>
      <w:r w:rsidRPr="00083AB5">
        <w:rPr>
          <w:rFonts w:ascii="Arial" w:hAnsi="Arial" w:cs="Arial"/>
          <w:sz w:val="20"/>
          <w:szCs w:val="20"/>
        </w:rPr>
        <w:t xml:space="preserve">Slika </w:t>
      </w:r>
      <w:r w:rsidR="00A762D1">
        <w:rPr>
          <w:rFonts w:ascii="Arial" w:hAnsi="Arial" w:cs="Arial"/>
          <w:sz w:val="20"/>
          <w:szCs w:val="20"/>
        </w:rPr>
        <w:t>39</w:t>
      </w:r>
      <w:r w:rsidRPr="00083AB5">
        <w:rPr>
          <w:rFonts w:ascii="Arial" w:hAnsi="Arial" w:cs="Arial"/>
          <w:sz w:val="20"/>
          <w:szCs w:val="20"/>
        </w:rPr>
        <w:t>: Delež energije iz obnovljivih virov v bruto končni porabi energije (%)</w:t>
      </w:r>
    </w:p>
    <w:p w14:paraId="10215F03" w14:textId="16D46CBA" w:rsidR="00C01FEA" w:rsidRDefault="00C01FEA">
      <w:pPr>
        <w:spacing w:after="0" w:line="360" w:lineRule="auto"/>
        <w:jc w:val="both"/>
        <w:rPr>
          <w:rFonts w:ascii="Arial" w:hAnsi="Arial" w:cs="Arial"/>
          <w:sz w:val="20"/>
          <w:szCs w:val="20"/>
        </w:rPr>
      </w:pPr>
      <w:r>
        <w:rPr>
          <w:rFonts w:ascii="Arial" w:hAnsi="Arial" w:cs="Arial"/>
          <w:sz w:val="20"/>
          <w:szCs w:val="20"/>
        </w:rPr>
        <w:t>S</w:t>
      </w:r>
      <w:r w:rsidRPr="00C01FEA">
        <w:rPr>
          <w:rFonts w:ascii="Arial" w:hAnsi="Arial" w:cs="Arial"/>
          <w:sz w:val="20"/>
          <w:szCs w:val="20"/>
        </w:rPr>
        <w:t>lika 4</w:t>
      </w:r>
      <w:r w:rsidR="00A762D1">
        <w:rPr>
          <w:rFonts w:ascii="Arial" w:hAnsi="Arial" w:cs="Arial"/>
          <w:sz w:val="20"/>
          <w:szCs w:val="20"/>
        </w:rPr>
        <w:t>0</w:t>
      </w:r>
      <w:r w:rsidRPr="00C01FEA">
        <w:rPr>
          <w:rFonts w:ascii="Arial" w:hAnsi="Arial" w:cs="Arial"/>
          <w:sz w:val="20"/>
          <w:szCs w:val="20"/>
        </w:rPr>
        <w:t>: Raba obnovljivih virov energije</w:t>
      </w:r>
    </w:p>
    <w:p w14:paraId="6B46A119" w14:textId="6E5BCB86" w:rsidR="00C01FEA" w:rsidRPr="00C01FEA" w:rsidRDefault="00C01FEA">
      <w:pPr>
        <w:spacing w:after="0" w:line="360" w:lineRule="auto"/>
        <w:jc w:val="both"/>
        <w:rPr>
          <w:rFonts w:ascii="Arial" w:hAnsi="Arial" w:cs="Arial"/>
          <w:sz w:val="20"/>
          <w:szCs w:val="20"/>
        </w:rPr>
      </w:pPr>
      <w:r w:rsidRPr="00C01FEA">
        <w:rPr>
          <w:rFonts w:ascii="Arial" w:hAnsi="Arial" w:cs="Arial"/>
          <w:sz w:val="20"/>
          <w:szCs w:val="20"/>
        </w:rPr>
        <w:t>Slika 4</w:t>
      </w:r>
      <w:r w:rsidR="00A762D1">
        <w:rPr>
          <w:rFonts w:ascii="Arial" w:hAnsi="Arial" w:cs="Arial"/>
          <w:sz w:val="20"/>
          <w:szCs w:val="20"/>
        </w:rPr>
        <w:t>1</w:t>
      </w:r>
      <w:r w:rsidRPr="00C01FEA">
        <w:rPr>
          <w:rFonts w:ascii="Arial" w:hAnsi="Arial" w:cs="Arial"/>
          <w:sz w:val="20"/>
          <w:szCs w:val="20"/>
        </w:rPr>
        <w:t>: Proizvodnja obnovljivih virov energije iz kmetijstva in gozdarstva (Toe/1000 ha) in poraba obnovljivih virov energije v kmetijstvu in gozdarstvu (%)</w:t>
      </w:r>
    </w:p>
    <w:p w14:paraId="0F9F1FF7" w14:textId="529BB71C" w:rsidR="00C01FEA" w:rsidRDefault="00C01FEA">
      <w:pPr>
        <w:spacing w:after="0" w:line="360" w:lineRule="auto"/>
        <w:jc w:val="both"/>
        <w:rPr>
          <w:rFonts w:ascii="Arial" w:hAnsi="Arial" w:cs="Arial"/>
          <w:sz w:val="20"/>
          <w:szCs w:val="20"/>
        </w:rPr>
      </w:pPr>
      <w:r w:rsidRPr="00C01FEA">
        <w:rPr>
          <w:rFonts w:ascii="Arial" w:hAnsi="Arial" w:cs="Arial"/>
          <w:sz w:val="20"/>
          <w:szCs w:val="20"/>
        </w:rPr>
        <w:t>Slika 4</w:t>
      </w:r>
      <w:r w:rsidR="00A762D1">
        <w:rPr>
          <w:rFonts w:ascii="Arial" w:hAnsi="Arial" w:cs="Arial"/>
          <w:sz w:val="20"/>
          <w:szCs w:val="20"/>
        </w:rPr>
        <w:t>2</w:t>
      </w:r>
      <w:r w:rsidRPr="00C01FEA">
        <w:rPr>
          <w:rFonts w:ascii="Arial" w:hAnsi="Arial" w:cs="Arial"/>
          <w:sz w:val="20"/>
          <w:szCs w:val="20"/>
        </w:rPr>
        <w:t>: Obnovljeni objekti v okviru ukrepov 322 in 323 po tipu objekta</w:t>
      </w:r>
    </w:p>
    <w:p w14:paraId="6699FF26" w14:textId="3ACC8883" w:rsidR="00C01FEA" w:rsidRPr="00C01FEA" w:rsidRDefault="00C01FEA">
      <w:pPr>
        <w:spacing w:after="0" w:line="360" w:lineRule="auto"/>
        <w:jc w:val="both"/>
        <w:rPr>
          <w:rFonts w:ascii="Arial" w:hAnsi="Arial" w:cs="Arial"/>
          <w:sz w:val="20"/>
          <w:szCs w:val="20"/>
        </w:rPr>
      </w:pPr>
      <w:r w:rsidRPr="00C01FEA">
        <w:rPr>
          <w:rFonts w:ascii="Arial" w:hAnsi="Arial" w:cs="Arial"/>
          <w:sz w:val="20"/>
          <w:szCs w:val="20"/>
        </w:rPr>
        <w:t>Slika 4</w:t>
      </w:r>
      <w:r w:rsidR="00A762D1">
        <w:rPr>
          <w:rFonts w:ascii="Arial" w:hAnsi="Arial" w:cs="Arial"/>
          <w:sz w:val="20"/>
          <w:szCs w:val="20"/>
        </w:rPr>
        <w:t>3</w:t>
      </w:r>
      <w:r w:rsidRPr="00C01FEA">
        <w:rPr>
          <w:rFonts w:ascii="Arial" w:hAnsi="Arial" w:cs="Arial"/>
          <w:sz w:val="20"/>
          <w:szCs w:val="20"/>
        </w:rPr>
        <w:t xml:space="preserve"> Lokacija obnovljenih objektov v okviru ukrepov 322 in 322</w:t>
      </w:r>
    </w:p>
    <w:p w14:paraId="3CDE4C64" w14:textId="539DCD2D" w:rsidR="00C01FEA" w:rsidRPr="00C01FEA" w:rsidRDefault="00C01FEA">
      <w:pPr>
        <w:spacing w:after="0" w:line="360" w:lineRule="auto"/>
        <w:jc w:val="both"/>
        <w:rPr>
          <w:rFonts w:ascii="Arial" w:hAnsi="Arial" w:cs="Arial"/>
          <w:sz w:val="20"/>
          <w:szCs w:val="20"/>
        </w:rPr>
      </w:pPr>
      <w:r w:rsidRPr="00C01FEA">
        <w:rPr>
          <w:rFonts w:ascii="Arial" w:hAnsi="Arial" w:cs="Arial"/>
          <w:sz w:val="20"/>
          <w:szCs w:val="20"/>
        </w:rPr>
        <w:t>Slika 4</w:t>
      </w:r>
      <w:r w:rsidR="00A762D1">
        <w:rPr>
          <w:rFonts w:ascii="Arial" w:hAnsi="Arial" w:cs="Arial"/>
          <w:sz w:val="20"/>
          <w:szCs w:val="20"/>
        </w:rPr>
        <w:t>4</w:t>
      </w:r>
      <w:r w:rsidRPr="00C01FEA">
        <w:rPr>
          <w:rFonts w:ascii="Arial" w:hAnsi="Arial" w:cs="Arial"/>
          <w:sz w:val="20"/>
          <w:szCs w:val="20"/>
        </w:rPr>
        <w:t>: Lokalne akcijske skupine v Sloveniji 2014-2020</w:t>
      </w:r>
    </w:p>
    <w:p w14:paraId="37256E46" w14:textId="67D50B0A" w:rsidR="00C01FEA" w:rsidRDefault="00C01FEA">
      <w:pPr>
        <w:spacing w:after="0" w:line="360" w:lineRule="auto"/>
        <w:jc w:val="both"/>
        <w:rPr>
          <w:rFonts w:ascii="Arial" w:hAnsi="Arial" w:cs="Arial"/>
          <w:sz w:val="20"/>
          <w:szCs w:val="20"/>
        </w:rPr>
      </w:pPr>
      <w:r>
        <w:rPr>
          <w:rFonts w:ascii="Arial" w:hAnsi="Arial" w:cs="Arial"/>
          <w:sz w:val="20"/>
          <w:szCs w:val="20"/>
        </w:rPr>
        <w:t>Slika 4</w:t>
      </w:r>
      <w:r w:rsidR="00A762D1">
        <w:rPr>
          <w:rFonts w:ascii="Arial" w:hAnsi="Arial" w:cs="Arial"/>
          <w:sz w:val="20"/>
          <w:szCs w:val="20"/>
        </w:rPr>
        <w:t>5</w:t>
      </w:r>
      <w:r w:rsidRPr="00C01FEA">
        <w:rPr>
          <w:rFonts w:ascii="Arial" w:hAnsi="Arial" w:cs="Arial"/>
          <w:sz w:val="20"/>
          <w:szCs w:val="20"/>
        </w:rPr>
        <w:t>: Vsebinska analiza projektov LEADER za podukrep 19.2</w:t>
      </w:r>
    </w:p>
    <w:p w14:paraId="32043405" w14:textId="77777777" w:rsidR="00CD4BB2" w:rsidRDefault="00CD4BB2">
      <w:pPr>
        <w:rPr>
          <w:rFonts w:ascii="Arial" w:hAnsi="Arial" w:cs="Arial"/>
          <w:sz w:val="20"/>
          <w:szCs w:val="20"/>
        </w:rPr>
      </w:pPr>
      <w:r>
        <w:rPr>
          <w:rFonts w:ascii="Arial" w:hAnsi="Arial" w:cs="Arial"/>
          <w:sz w:val="20"/>
          <w:szCs w:val="20"/>
        </w:rPr>
        <w:br w:type="page"/>
      </w:r>
    </w:p>
    <w:p w14:paraId="482EC40C" w14:textId="7E782410" w:rsidR="002D6764" w:rsidRPr="00A52F41" w:rsidRDefault="002D6764" w:rsidP="001D5FC0">
      <w:pPr>
        <w:pStyle w:val="Napis"/>
        <w:keepNext w:val="0"/>
        <w:spacing w:before="0" w:line="360" w:lineRule="auto"/>
        <w:jc w:val="both"/>
        <w:rPr>
          <w:sz w:val="20"/>
          <w:szCs w:val="20"/>
        </w:rPr>
      </w:pPr>
      <w:r w:rsidRPr="00A52F41">
        <w:rPr>
          <w:sz w:val="20"/>
          <w:szCs w:val="20"/>
        </w:rPr>
        <w:lastRenderedPageBreak/>
        <w:t xml:space="preserve">Tabela </w:t>
      </w:r>
      <w:r w:rsidRPr="00A52F41">
        <w:rPr>
          <w:sz w:val="20"/>
          <w:szCs w:val="20"/>
        </w:rPr>
        <w:fldChar w:fldCharType="begin"/>
      </w:r>
      <w:r w:rsidRPr="00A52F41">
        <w:rPr>
          <w:sz w:val="20"/>
          <w:szCs w:val="20"/>
        </w:rPr>
        <w:instrText xml:space="preserve"> SEQ Tabela \* ARABIC </w:instrText>
      </w:r>
      <w:r w:rsidRPr="00A52F41">
        <w:rPr>
          <w:sz w:val="20"/>
          <w:szCs w:val="20"/>
        </w:rPr>
        <w:fldChar w:fldCharType="separate"/>
      </w:r>
      <w:r w:rsidR="00CF4E86">
        <w:rPr>
          <w:noProof/>
          <w:sz w:val="20"/>
          <w:szCs w:val="20"/>
        </w:rPr>
        <w:t>1</w:t>
      </w:r>
      <w:r w:rsidRPr="00A52F41">
        <w:rPr>
          <w:sz w:val="20"/>
          <w:szCs w:val="20"/>
        </w:rPr>
        <w:fldChar w:fldCharType="end"/>
      </w:r>
      <w:r w:rsidRPr="00A52F41">
        <w:rPr>
          <w:sz w:val="20"/>
          <w:szCs w:val="20"/>
        </w:rPr>
        <w:t>: Uporabljeni kazalniki stanja v okviru specifičnega cilja SC8</w:t>
      </w:r>
    </w:p>
    <w:p w14:paraId="4523CE36" w14:textId="77777777" w:rsidR="002D6764" w:rsidRPr="00A52F41" w:rsidRDefault="002D6764" w:rsidP="001D5FC0">
      <w:pPr>
        <w:pStyle w:val="Napis"/>
        <w:keepNext w:val="0"/>
        <w:spacing w:before="0" w:line="360" w:lineRule="auto"/>
        <w:jc w:val="both"/>
        <w:rPr>
          <w:sz w:val="20"/>
          <w:szCs w:val="20"/>
        </w:rPr>
      </w:pPr>
      <w:r w:rsidRPr="00A52F41">
        <w:rPr>
          <w:sz w:val="20"/>
          <w:szCs w:val="20"/>
        </w:rPr>
        <w:t>Tabela 2: Porazdelitev površine po vrstah regij in podeželju</w:t>
      </w:r>
    </w:p>
    <w:p w14:paraId="09AABCE5" w14:textId="77777777" w:rsidR="002D6764" w:rsidRPr="00A52F41" w:rsidRDefault="002D6764" w:rsidP="001D5FC0">
      <w:pPr>
        <w:pStyle w:val="Napis"/>
        <w:keepNext w:val="0"/>
        <w:spacing w:before="0" w:line="360" w:lineRule="auto"/>
        <w:jc w:val="both"/>
        <w:rPr>
          <w:sz w:val="20"/>
          <w:szCs w:val="20"/>
        </w:rPr>
      </w:pPr>
      <w:r>
        <w:rPr>
          <w:sz w:val="20"/>
          <w:szCs w:val="20"/>
        </w:rPr>
        <w:t>Tabela</w:t>
      </w:r>
      <w:r w:rsidRPr="00A52F41">
        <w:rPr>
          <w:sz w:val="20"/>
          <w:szCs w:val="20"/>
        </w:rPr>
        <w:t xml:space="preserve"> 3: Število in starostna struktura prebivalstva na podeželju</w:t>
      </w:r>
    </w:p>
    <w:p w14:paraId="761D5768" w14:textId="77777777" w:rsidR="002D6764" w:rsidRPr="00A52F41" w:rsidRDefault="002D6764" w:rsidP="001D5FC0">
      <w:pPr>
        <w:pStyle w:val="Napis"/>
        <w:keepNext w:val="0"/>
        <w:spacing w:before="0" w:line="360" w:lineRule="auto"/>
        <w:jc w:val="both"/>
        <w:rPr>
          <w:sz w:val="20"/>
          <w:szCs w:val="20"/>
        </w:rPr>
      </w:pPr>
      <w:r>
        <w:rPr>
          <w:sz w:val="20"/>
          <w:szCs w:val="20"/>
        </w:rPr>
        <w:t>Tabela</w:t>
      </w:r>
      <w:r w:rsidRPr="00A52F41">
        <w:rPr>
          <w:sz w:val="20"/>
          <w:szCs w:val="20"/>
        </w:rPr>
        <w:t xml:space="preserve"> 4: Gibanje števila prebivalstva in gostote naseljenosti</w:t>
      </w:r>
    </w:p>
    <w:p w14:paraId="5EAF3627" w14:textId="77777777" w:rsidR="002D6764" w:rsidRPr="00A52F41" w:rsidRDefault="002D6764" w:rsidP="001D5FC0">
      <w:pPr>
        <w:pStyle w:val="Napis"/>
        <w:keepNext w:val="0"/>
        <w:spacing w:before="0" w:line="360" w:lineRule="auto"/>
        <w:jc w:val="both"/>
        <w:rPr>
          <w:sz w:val="20"/>
          <w:szCs w:val="20"/>
        </w:rPr>
      </w:pPr>
      <w:r>
        <w:rPr>
          <w:sz w:val="20"/>
          <w:szCs w:val="20"/>
        </w:rPr>
        <w:t>Tabela</w:t>
      </w:r>
      <w:r w:rsidRPr="00A52F41">
        <w:rPr>
          <w:sz w:val="20"/>
          <w:szCs w:val="20"/>
        </w:rPr>
        <w:t xml:space="preserve"> 5: Naravni prirast (na 1.000 prebivalcev)</w:t>
      </w:r>
    </w:p>
    <w:p w14:paraId="02BD5C4D" w14:textId="77777777" w:rsidR="002D6764" w:rsidRPr="008D2C61" w:rsidRDefault="002D6764" w:rsidP="001D5FC0">
      <w:pPr>
        <w:pStyle w:val="Napis"/>
        <w:keepNext w:val="0"/>
        <w:spacing w:before="0" w:line="360" w:lineRule="auto"/>
        <w:jc w:val="both"/>
        <w:rPr>
          <w:sz w:val="20"/>
          <w:szCs w:val="20"/>
        </w:rPr>
      </w:pPr>
      <w:r>
        <w:rPr>
          <w:sz w:val="20"/>
          <w:szCs w:val="20"/>
        </w:rPr>
        <w:t>Tabela</w:t>
      </w:r>
      <w:r w:rsidRPr="00A52F41">
        <w:rPr>
          <w:sz w:val="20"/>
          <w:szCs w:val="20"/>
        </w:rPr>
        <w:t xml:space="preserve"> 6: Izbrani socioekonomski in demografski kazalniki po demografsko naselbinskih</w:t>
      </w:r>
      <w:r>
        <w:rPr>
          <w:sz w:val="20"/>
          <w:szCs w:val="20"/>
        </w:rPr>
        <w:t xml:space="preserve"> tipih</w:t>
      </w:r>
    </w:p>
    <w:p w14:paraId="358A9931" w14:textId="77777777" w:rsidR="002D6764" w:rsidRPr="00A52F41" w:rsidRDefault="002D6764" w:rsidP="001D5FC0">
      <w:pPr>
        <w:pStyle w:val="Napis"/>
        <w:keepNext w:val="0"/>
        <w:spacing w:before="0" w:line="360" w:lineRule="auto"/>
        <w:jc w:val="both"/>
        <w:rPr>
          <w:sz w:val="20"/>
          <w:szCs w:val="20"/>
        </w:rPr>
      </w:pPr>
      <w:r>
        <w:rPr>
          <w:sz w:val="20"/>
          <w:szCs w:val="20"/>
        </w:rPr>
        <w:t>Tabela 7</w:t>
      </w:r>
      <w:r w:rsidRPr="00A52F41">
        <w:rPr>
          <w:sz w:val="20"/>
          <w:szCs w:val="20"/>
        </w:rPr>
        <w:t>: Skupni selitveni prirast (na 1.000 prebivalcev)</w:t>
      </w:r>
    </w:p>
    <w:p w14:paraId="2123AE84" w14:textId="77777777" w:rsidR="002D6764" w:rsidRPr="00A52F41" w:rsidRDefault="002D6764" w:rsidP="001D5FC0">
      <w:pPr>
        <w:pStyle w:val="Napis"/>
        <w:keepNext w:val="0"/>
        <w:spacing w:before="0" w:line="360" w:lineRule="auto"/>
        <w:jc w:val="both"/>
        <w:rPr>
          <w:sz w:val="20"/>
          <w:szCs w:val="20"/>
        </w:rPr>
      </w:pPr>
      <w:r>
        <w:rPr>
          <w:sz w:val="20"/>
          <w:szCs w:val="20"/>
        </w:rPr>
        <w:t>Tabela 8</w:t>
      </w:r>
      <w:r w:rsidRPr="00A52F41">
        <w:rPr>
          <w:sz w:val="20"/>
          <w:szCs w:val="20"/>
        </w:rPr>
        <w:t>: Meddržavne selitve po letih</w:t>
      </w:r>
    </w:p>
    <w:p w14:paraId="70EAD3E5" w14:textId="77777777" w:rsidR="002D6764" w:rsidRPr="007344C6" w:rsidRDefault="002D6764" w:rsidP="001D5FC0">
      <w:pPr>
        <w:pStyle w:val="Napis"/>
        <w:keepNext w:val="0"/>
        <w:spacing w:before="0" w:line="360" w:lineRule="auto"/>
        <w:jc w:val="both"/>
        <w:rPr>
          <w:sz w:val="20"/>
          <w:szCs w:val="20"/>
        </w:rPr>
      </w:pPr>
      <w:r>
        <w:rPr>
          <w:sz w:val="20"/>
          <w:szCs w:val="20"/>
        </w:rPr>
        <w:t>Tabela 9</w:t>
      </w:r>
      <w:r w:rsidRPr="007344C6">
        <w:rPr>
          <w:sz w:val="20"/>
          <w:szCs w:val="20"/>
        </w:rPr>
        <w:t>: Osnovni podatki dohodka, revščine in socialne izključenosti v Sloveniji</w:t>
      </w:r>
    </w:p>
    <w:p w14:paraId="7BCFDF24" w14:textId="77777777" w:rsidR="002D6764" w:rsidRPr="007344C6" w:rsidRDefault="002D6764" w:rsidP="001D5FC0">
      <w:pPr>
        <w:pStyle w:val="Napis"/>
        <w:keepNext w:val="0"/>
        <w:spacing w:before="0" w:line="360" w:lineRule="auto"/>
        <w:jc w:val="both"/>
        <w:rPr>
          <w:sz w:val="20"/>
          <w:szCs w:val="20"/>
        </w:rPr>
      </w:pPr>
      <w:r>
        <w:rPr>
          <w:sz w:val="20"/>
          <w:szCs w:val="20"/>
        </w:rPr>
        <w:t>Tabela</w:t>
      </w:r>
      <w:r w:rsidRPr="007344C6">
        <w:rPr>
          <w:sz w:val="20"/>
          <w:szCs w:val="20"/>
        </w:rPr>
        <w:t xml:space="preserve"> </w:t>
      </w:r>
      <w:r>
        <w:rPr>
          <w:sz w:val="20"/>
          <w:szCs w:val="20"/>
        </w:rPr>
        <w:t>10</w:t>
      </w:r>
      <w:r w:rsidRPr="007344C6">
        <w:rPr>
          <w:sz w:val="20"/>
          <w:szCs w:val="20"/>
        </w:rPr>
        <w:t>: Primerjava IRO za obdobje 2007-2013 in IRO za leto 2019</w:t>
      </w:r>
    </w:p>
    <w:p w14:paraId="70B05818" w14:textId="77777777" w:rsidR="002D6764" w:rsidRPr="00A52F41" w:rsidRDefault="002D6764" w:rsidP="001D5FC0">
      <w:pPr>
        <w:pStyle w:val="Navadensplet"/>
        <w:shd w:val="clear" w:color="auto" w:fill="FFFFFF"/>
        <w:spacing w:line="360" w:lineRule="auto"/>
        <w:rPr>
          <w:rFonts w:ascii="Arial" w:hAnsi="Arial" w:cs="Arial"/>
        </w:rPr>
      </w:pPr>
      <w:r>
        <w:rPr>
          <w:rFonts w:ascii="Arial" w:hAnsi="Arial" w:cs="Arial"/>
        </w:rPr>
        <w:t>Tabela 11</w:t>
      </w:r>
      <w:r w:rsidRPr="00A52F41">
        <w:rPr>
          <w:rFonts w:ascii="Arial" w:hAnsi="Arial" w:cs="Arial"/>
        </w:rPr>
        <w:t>: Osnovni kazalniki revščine in socialne izključenosti po letih</w:t>
      </w:r>
    </w:p>
    <w:p w14:paraId="38307FD7" w14:textId="77777777" w:rsidR="002D6764" w:rsidRPr="007344C6" w:rsidRDefault="002D6764" w:rsidP="001D5FC0">
      <w:pPr>
        <w:pStyle w:val="Napis"/>
        <w:keepNext w:val="0"/>
        <w:spacing w:before="0" w:line="360" w:lineRule="auto"/>
        <w:jc w:val="both"/>
        <w:rPr>
          <w:sz w:val="20"/>
          <w:szCs w:val="20"/>
        </w:rPr>
      </w:pPr>
      <w:r>
        <w:rPr>
          <w:sz w:val="20"/>
          <w:szCs w:val="20"/>
        </w:rPr>
        <w:t>Tabela</w:t>
      </w:r>
      <w:r w:rsidRPr="007344C6">
        <w:rPr>
          <w:sz w:val="20"/>
          <w:szCs w:val="20"/>
        </w:rPr>
        <w:t xml:space="preserve"> </w:t>
      </w:r>
      <w:r>
        <w:rPr>
          <w:sz w:val="20"/>
          <w:szCs w:val="20"/>
        </w:rPr>
        <w:t>12</w:t>
      </w:r>
      <w:r w:rsidRPr="007344C6">
        <w:rPr>
          <w:sz w:val="20"/>
          <w:szCs w:val="20"/>
        </w:rPr>
        <w:t>: Stopnja tveganja socialne izključenosti po starosti in spolu (% oseb), 2019</w:t>
      </w:r>
    </w:p>
    <w:p w14:paraId="37A51CF8" w14:textId="77777777" w:rsidR="002D6764" w:rsidRPr="00A52F41" w:rsidRDefault="002D6764" w:rsidP="001D5FC0">
      <w:pPr>
        <w:spacing w:after="0" w:line="360" w:lineRule="auto"/>
        <w:jc w:val="both"/>
        <w:rPr>
          <w:rFonts w:ascii="Arial" w:hAnsi="Arial" w:cs="Arial"/>
          <w:noProof/>
          <w:sz w:val="20"/>
          <w:szCs w:val="20"/>
        </w:rPr>
      </w:pPr>
      <w:r>
        <w:rPr>
          <w:rFonts w:ascii="Arial" w:hAnsi="Arial" w:cs="Arial"/>
          <w:sz w:val="20"/>
          <w:szCs w:val="20"/>
        </w:rPr>
        <w:t>Tabela</w:t>
      </w:r>
      <w:r>
        <w:rPr>
          <w:rFonts w:ascii="Arial" w:hAnsi="Arial" w:cs="Arial"/>
          <w:noProof/>
          <w:sz w:val="20"/>
          <w:szCs w:val="20"/>
        </w:rPr>
        <w:t xml:space="preserve"> 13</w:t>
      </w:r>
      <w:r w:rsidRPr="00A52F41">
        <w:rPr>
          <w:rFonts w:ascii="Arial" w:hAnsi="Arial" w:cs="Arial"/>
          <w:noProof/>
          <w:sz w:val="20"/>
          <w:szCs w:val="20"/>
        </w:rPr>
        <w:t>: Število nepridobitnih organizacij in društev na podeželju, po letih</w:t>
      </w:r>
    </w:p>
    <w:p w14:paraId="545522F8" w14:textId="77777777" w:rsidR="002D6764" w:rsidRPr="00A52F41" w:rsidRDefault="002D6764" w:rsidP="001D5FC0">
      <w:pPr>
        <w:spacing w:after="0" w:line="360" w:lineRule="auto"/>
        <w:jc w:val="both"/>
        <w:rPr>
          <w:rFonts w:ascii="Arial" w:hAnsi="Arial" w:cs="Arial"/>
          <w:sz w:val="20"/>
          <w:szCs w:val="20"/>
        </w:rPr>
      </w:pPr>
      <w:r>
        <w:rPr>
          <w:rFonts w:ascii="Arial" w:hAnsi="Arial" w:cs="Arial"/>
          <w:sz w:val="20"/>
          <w:szCs w:val="20"/>
        </w:rPr>
        <w:t>Tabela</w:t>
      </w:r>
      <w:r w:rsidRPr="00A52F41">
        <w:rPr>
          <w:rFonts w:ascii="Arial" w:hAnsi="Arial" w:cs="Arial"/>
          <w:sz w:val="20"/>
          <w:szCs w:val="20"/>
        </w:rPr>
        <w:t xml:space="preserve"> </w:t>
      </w:r>
      <w:r>
        <w:rPr>
          <w:rFonts w:ascii="Arial" w:hAnsi="Arial" w:cs="Arial"/>
          <w:sz w:val="20"/>
          <w:szCs w:val="20"/>
        </w:rPr>
        <w:t>14</w:t>
      </w:r>
      <w:r w:rsidRPr="00A52F41">
        <w:rPr>
          <w:rFonts w:ascii="Arial" w:hAnsi="Arial" w:cs="Arial"/>
          <w:sz w:val="20"/>
          <w:szCs w:val="20"/>
        </w:rPr>
        <w:t>: Vrsta društva po letih (v letih 2008, 2013, 2018)</w:t>
      </w:r>
    </w:p>
    <w:p w14:paraId="612B6BDE" w14:textId="77777777" w:rsidR="002D6764" w:rsidRPr="00A52F41" w:rsidRDefault="002D6764" w:rsidP="001D5FC0">
      <w:pPr>
        <w:shd w:val="clear" w:color="auto" w:fill="FFFFFF"/>
        <w:spacing w:after="0" w:line="360" w:lineRule="auto"/>
        <w:jc w:val="both"/>
        <w:rPr>
          <w:rFonts w:ascii="Arial" w:hAnsi="Arial" w:cs="Arial"/>
          <w:sz w:val="20"/>
          <w:szCs w:val="20"/>
        </w:rPr>
      </w:pPr>
      <w:r>
        <w:rPr>
          <w:rFonts w:ascii="Arial" w:hAnsi="Arial" w:cs="Arial"/>
          <w:sz w:val="20"/>
          <w:szCs w:val="20"/>
        </w:rPr>
        <w:t>Tabela 15</w:t>
      </w:r>
      <w:r w:rsidRPr="00A52F41">
        <w:rPr>
          <w:rFonts w:ascii="Arial" w:hAnsi="Arial" w:cs="Arial"/>
          <w:sz w:val="20"/>
          <w:szCs w:val="20"/>
        </w:rPr>
        <w:t>: Vključeni v formalno izobraževanje po vrsti programa, 2008, 2018</w:t>
      </w:r>
    </w:p>
    <w:p w14:paraId="59D61371" w14:textId="77777777" w:rsidR="002D6764" w:rsidRPr="00026AF3" w:rsidRDefault="002D6764" w:rsidP="001D5FC0">
      <w:pPr>
        <w:pStyle w:val="Napis"/>
        <w:keepNext w:val="0"/>
        <w:spacing w:before="0" w:line="360" w:lineRule="auto"/>
        <w:jc w:val="both"/>
        <w:rPr>
          <w:sz w:val="20"/>
          <w:szCs w:val="20"/>
        </w:rPr>
      </w:pPr>
      <w:r>
        <w:rPr>
          <w:sz w:val="20"/>
          <w:szCs w:val="20"/>
        </w:rPr>
        <w:t>Tabela</w:t>
      </w:r>
      <w:r w:rsidRPr="00026AF3">
        <w:rPr>
          <w:sz w:val="20"/>
          <w:szCs w:val="20"/>
        </w:rPr>
        <w:t xml:space="preserve"> </w:t>
      </w:r>
      <w:r>
        <w:rPr>
          <w:sz w:val="20"/>
          <w:szCs w:val="20"/>
        </w:rPr>
        <w:t>16</w:t>
      </w:r>
      <w:r w:rsidRPr="00026AF3">
        <w:rPr>
          <w:sz w:val="20"/>
          <w:szCs w:val="20"/>
        </w:rPr>
        <w:t>: Stopnja izobrazbe v letu 2019</w:t>
      </w:r>
    </w:p>
    <w:p w14:paraId="04B4B032" w14:textId="6928D9A1" w:rsidR="002D6764" w:rsidRPr="00A52F41" w:rsidRDefault="002D6764" w:rsidP="001D5FC0">
      <w:pPr>
        <w:pStyle w:val="Navadensplet"/>
        <w:spacing w:line="360" w:lineRule="auto"/>
        <w:rPr>
          <w:rFonts w:ascii="Arial" w:hAnsi="Arial" w:cs="Arial"/>
        </w:rPr>
      </w:pPr>
      <w:r>
        <w:rPr>
          <w:rFonts w:ascii="Arial" w:hAnsi="Arial" w:cs="Arial"/>
        </w:rPr>
        <w:t>Tabela</w:t>
      </w:r>
      <w:r w:rsidRPr="00A52F41">
        <w:rPr>
          <w:rFonts w:ascii="Arial" w:hAnsi="Arial" w:cs="Arial"/>
        </w:rPr>
        <w:t xml:space="preserve"> </w:t>
      </w:r>
      <w:r>
        <w:rPr>
          <w:rFonts w:ascii="Arial" w:hAnsi="Arial" w:cs="Arial"/>
        </w:rPr>
        <w:t>17</w:t>
      </w:r>
      <w:r w:rsidRPr="00A52F41">
        <w:rPr>
          <w:rFonts w:ascii="Arial" w:hAnsi="Arial" w:cs="Arial"/>
        </w:rPr>
        <w:t xml:space="preserve">: </w:t>
      </w:r>
      <w:r w:rsidR="00C34490">
        <w:rPr>
          <w:rFonts w:ascii="Arial" w:hAnsi="Arial" w:cs="Arial"/>
        </w:rPr>
        <w:t>Institucionalno (d</w:t>
      </w:r>
      <w:r w:rsidRPr="00A52F41">
        <w:rPr>
          <w:rFonts w:ascii="Arial" w:hAnsi="Arial" w:cs="Arial"/>
        </w:rPr>
        <w:t>omsko</w:t>
      </w:r>
      <w:r w:rsidR="00C34490">
        <w:rPr>
          <w:rFonts w:ascii="Arial" w:hAnsi="Arial" w:cs="Arial"/>
        </w:rPr>
        <w:t>)</w:t>
      </w:r>
      <w:r w:rsidRPr="00A52F41">
        <w:rPr>
          <w:rFonts w:ascii="Arial" w:hAnsi="Arial" w:cs="Arial"/>
        </w:rPr>
        <w:t xml:space="preserve"> varstvo starejših, pokritost potreb, maj 2019</w:t>
      </w:r>
    </w:p>
    <w:p w14:paraId="22D80EFC" w14:textId="77777777" w:rsidR="002D6764" w:rsidRPr="00A52F41" w:rsidRDefault="002D6764" w:rsidP="001D5FC0">
      <w:pPr>
        <w:spacing w:after="0" w:line="360"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Tabela 18</w:t>
      </w:r>
      <w:r w:rsidRPr="00A52F41">
        <w:rPr>
          <w:rFonts w:ascii="Arial" w:eastAsia="Arial" w:hAnsi="Arial" w:cs="Arial"/>
          <w:color w:val="000000" w:themeColor="text1"/>
          <w:sz w:val="20"/>
          <w:szCs w:val="20"/>
        </w:rPr>
        <w:t xml:space="preserve">: Vpisane enote dediščine, v Sloveniji in na podeželju po letih  </w:t>
      </w:r>
      <w:r w:rsidRPr="00A52F41">
        <w:rPr>
          <w:rFonts w:ascii="Arial" w:hAnsi="Arial" w:cs="Arial"/>
          <w:b/>
          <w:bCs/>
          <w:color w:val="000000"/>
          <w:sz w:val="20"/>
          <w:szCs w:val="20"/>
          <w:lang w:eastAsia="sl-SI"/>
        </w:rPr>
        <w:t xml:space="preserve"> </w:t>
      </w:r>
    </w:p>
    <w:p w14:paraId="55C3A273" w14:textId="77777777" w:rsidR="002D6764" w:rsidRPr="00026AF3" w:rsidRDefault="002D6764" w:rsidP="001D5FC0">
      <w:pPr>
        <w:pStyle w:val="Napis"/>
        <w:keepNext w:val="0"/>
        <w:spacing w:before="0" w:line="360" w:lineRule="auto"/>
        <w:jc w:val="both"/>
        <w:rPr>
          <w:sz w:val="20"/>
          <w:szCs w:val="20"/>
        </w:rPr>
      </w:pPr>
      <w:r>
        <w:rPr>
          <w:sz w:val="20"/>
          <w:szCs w:val="20"/>
        </w:rPr>
        <w:t>Tabela</w:t>
      </w:r>
      <w:r w:rsidRPr="00026AF3">
        <w:rPr>
          <w:sz w:val="20"/>
          <w:szCs w:val="20"/>
        </w:rPr>
        <w:t xml:space="preserve"> 1</w:t>
      </w:r>
      <w:r>
        <w:rPr>
          <w:sz w:val="20"/>
          <w:szCs w:val="20"/>
        </w:rPr>
        <w:t>9</w:t>
      </w:r>
      <w:r w:rsidRPr="00026AF3">
        <w:rPr>
          <w:sz w:val="20"/>
          <w:szCs w:val="20"/>
        </w:rPr>
        <w:t>: Bruto domači proizvod na prebivalca glede na posamezno regijo v letih 2008, 2013 in 2018</w:t>
      </w:r>
    </w:p>
    <w:p w14:paraId="4D3C0BDD" w14:textId="77777777" w:rsidR="002D6764" w:rsidRPr="00A52F41" w:rsidRDefault="002D6764" w:rsidP="001D5FC0">
      <w:pPr>
        <w:pStyle w:val="Default"/>
        <w:spacing w:line="360" w:lineRule="auto"/>
        <w:jc w:val="both"/>
        <w:rPr>
          <w:rFonts w:ascii="Arial" w:hAnsi="Arial" w:cs="Arial"/>
          <w:color w:val="auto"/>
          <w:sz w:val="20"/>
          <w:szCs w:val="20"/>
          <w:lang w:val="sl-SI"/>
        </w:rPr>
      </w:pPr>
      <w:r>
        <w:rPr>
          <w:rFonts w:ascii="Arial" w:hAnsi="Arial" w:cs="Arial"/>
          <w:color w:val="auto"/>
          <w:sz w:val="20"/>
          <w:szCs w:val="20"/>
          <w:lang w:val="sl-SI"/>
        </w:rPr>
        <w:t>Tabela 20:</w:t>
      </w:r>
      <w:r w:rsidRPr="00A52F41">
        <w:rPr>
          <w:rFonts w:ascii="Arial" w:hAnsi="Arial" w:cs="Arial"/>
          <w:color w:val="auto"/>
          <w:sz w:val="20"/>
          <w:szCs w:val="20"/>
          <w:lang w:val="sl-SI"/>
        </w:rPr>
        <w:t xml:space="preserve"> Število podjetij in prihodek po letih</w:t>
      </w:r>
    </w:p>
    <w:p w14:paraId="7C5F46B5" w14:textId="73ED8B24" w:rsidR="002D6764" w:rsidRPr="00A52F41" w:rsidRDefault="002D6764" w:rsidP="001D5FC0">
      <w:pPr>
        <w:pStyle w:val="Default"/>
        <w:spacing w:line="360" w:lineRule="auto"/>
        <w:jc w:val="both"/>
        <w:rPr>
          <w:rFonts w:ascii="Arial" w:hAnsi="Arial" w:cs="Arial"/>
          <w:color w:val="auto"/>
          <w:sz w:val="20"/>
          <w:szCs w:val="20"/>
          <w:lang w:val="sl-SI"/>
        </w:rPr>
      </w:pPr>
      <w:r>
        <w:rPr>
          <w:rFonts w:ascii="Arial" w:hAnsi="Arial" w:cs="Arial"/>
          <w:color w:val="auto"/>
          <w:sz w:val="20"/>
          <w:szCs w:val="20"/>
          <w:lang w:val="sl-SI"/>
        </w:rPr>
        <w:t xml:space="preserve">Tabela </w:t>
      </w:r>
      <w:r w:rsidR="00C34490">
        <w:rPr>
          <w:rFonts w:ascii="Arial" w:hAnsi="Arial" w:cs="Arial"/>
          <w:color w:val="auto"/>
          <w:sz w:val="20"/>
          <w:szCs w:val="20"/>
          <w:lang w:val="sl-SI"/>
        </w:rPr>
        <w:t>21</w:t>
      </w:r>
      <w:r>
        <w:rPr>
          <w:rFonts w:ascii="Arial" w:hAnsi="Arial" w:cs="Arial"/>
          <w:color w:val="auto"/>
          <w:sz w:val="20"/>
          <w:szCs w:val="20"/>
          <w:lang w:val="sl-SI"/>
        </w:rPr>
        <w:t>: Stopnja zaposlenosti, stopnja samozaposlenosti, stopnja brezposelnosti</w:t>
      </w:r>
    </w:p>
    <w:p w14:paraId="6E287620" w14:textId="7AFFD2E5" w:rsidR="002D6764" w:rsidRDefault="002D6764" w:rsidP="001D5FC0">
      <w:pPr>
        <w:pStyle w:val="Default"/>
        <w:spacing w:line="360" w:lineRule="auto"/>
        <w:jc w:val="both"/>
        <w:rPr>
          <w:rFonts w:ascii="Arial" w:hAnsi="Arial" w:cs="Arial"/>
          <w:color w:val="auto"/>
          <w:sz w:val="20"/>
          <w:szCs w:val="20"/>
          <w:lang w:val="sl-SI"/>
        </w:rPr>
      </w:pPr>
      <w:r>
        <w:rPr>
          <w:rFonts w:ascii="Arial" w:hAnsi="Arial" w:cs="Arial"/>
          <w:color w:val="auto"/>
          <w:sz w:val="20"/>
          <w:szCs w:val="20"/>
          <w:lang w:val="sl-SI"/>
        </w:rPr>
        <w:t>Tabela 2</w:t>
      </w:r>
      <w:r w:rsidR="00C34490">
        <w:rPr>
          <w:rFonts w:ascii="Arial" w:hAnsi="Arial" w:cs="Arial"/>
          <w:color w:val="auto"/>
          <w:sz w:val="20"/>
          <w:szCs w:val="20"/>
          <w:lang w:val="sl-SI"/>
        </w:rPr>
        <w:t>2</w:t>
      </w:r>
      <w:r w:rsidRPr="00A52F41">
        <w:rPr>
          <w:rFonts w:ascii="Arial" w:hAnsi="Arial" w:cs="Arial"/>
          <w:color w:val="auto"/>
          <w:sz w:val="20"/>
          <w:szCs w:val="20"/>
          <w:lang w:val="sl-SI"/>
        </w:rPr>
        <w:t>: Primerjava delovno aktivnih prebivalcev, zaposlenih in samozaposlenih oseb po letih</w:t>
      </w:r>
    </w:p>
    <w:p w14:paraId="38D89656" w14:textId="50C45D7E" w:rsidR="00C34490" w:rsidRPr="00A52F41" w:rsidRDefault="00C34490" w:rsidP="001D5FC0">
      <w:pPr>
        <w:pStyle w:val="Default"/>
        <w:spacing w:line="360" w:lineRule="auto"/>
        <w:jc w:val="both"/>
        <w:rPr>
          <w:rFonts w:ascii="Arial" w:hAnsi="Arial" w:cs="Arial"/>
          <w:color w:val="auto"/>
          <w:sz w:val="20"/>
          <w:szCs w:val="20"/>
          <w:lang w:val="sl-SI"/>
        </w:rPr>
      </w:pPr>
      <w:r>
        <w:rPr>
          <w:rFonts w:ascii="Arial" w:hAnsi="Arial" w:cs="Arial"/>
          <w:color w:val="auto"/>
          <w:sz w:val="20"/>
          <w:szCs w:val="20"/>
          <w:lang w:val="sl-SI"/>
        </w:rPr>
        <w:t>Tabela 23: Število nekmetijskih dopolnilnih dejavnosti na kmetijah</w:t>
      </w:r>
    </w:p>
    <w:p w14:paraId="2148AAE1" w14:textId="434A8DE8" w:rsidR="002D6764" w:rsidRDefault="002D6764" w:rsidP="001D5FC0">
      <w:pPr>
        <w:pStyle w:val="Default"/>
        <w:spacing w:line="360" w:lineRule="auto"/>
        <w:jc w:val="both"/>
        <w:rPr>
          <w:rFonts w:ascii="Arial" w:hAnsi="Arial" w:cs="Arial"/>
          <w:color w:val="auto"/>
          <w:sz w:val="20"/>
          <w:szCs w:val="20"/>
          <w:lang w:val="sl-SI"/>
        </w:rPr>
      </w:pPr>
      <w:r>
        <w:rPr>
          <w:rFonts w:ascii="Arial" w:hAnsi="Arial" w:cs="Arial"/>
          <w:color w:val="auto"/>
          <w:sz w:val="20"/>
          <w:szCs w:val="20"/>
          <w:lang w:val="sl-SI"/>
        </w:rPr>
        <w:t>Tabela 24</w:t>
      </w:r>
      <w:r w:rsidRPr="00A52F41">
        <w:rPr>
          <w:rFonts w:ascii="Arial" w:hAnsi="Arial" w:cs="Arial"/>
          <w:color w:val="auto"/>
          <w:sz w:val="20"/>
          <w:szCs w:val="20"/>
          <w:lang w:val="sl-SI"/>
        </w:rPr>
        <w:t xml:space="preserve">: </w:t>
      </w:r>
      <w:r w:rsidR="00C34490">
        <w:rPr>
          <w:rFonts w:ascii="Arial" w:hAnsi="Arial" w:cs="Arial"/>
          <w:color w:val="auto"/>
          <w:sz w:val="20"/>
          <w:szCs w:val="20"/>
          <w:lang w:val="sl-SI"/>
        </w:rPr>
        <w:t>Nekmetijske dopolnilne dejavnosti</w:t>
      </w:r>
    </w:p>
    <w:p w14:paraId="0CB1F289" w14:textId="0131401D" w:rsidR="00C34490" w:rsidRPr="00A52F41" w:rsidRDefault="00C34490" w:rsidP="001D5FC0">
      <w:pPr>
        <w:pStyle w:val="Default"/>
        <w:spacing w:line="360" w:lineRule="auto"/>
        <w:jc w:val="both"/>
        <w:rPr>
          <w:rFonts w:ascii="Arial" w:hAnsi="Arial" w:cs="Arial"/>
          <w:color w:val="auto"/>
          <w:sz w:val="20"/>
          <w:szCs w:val="20"/>
          <w:lang w:val="sl-SI"/>
        </w:rPr>
      </w:pPr>
      <w:r>
        <w:rPr>
          <w:rFonts w:ascii="Arial" w:hAnsi="Arial" w:cs="Arial"/>
          <w:color w:val="auto"/>
          <w:sz w:val="20"/>
          <w:szCs w:val="20"/>
          <w:lang w:val="sl-SI"/>
        </w:rPr>
        <w:t>Tabela 25: Deset najpogosteje registriranih nekmetijskih dopolnilnih delavnosti glede na leto 2020</w:t>
      </w:r>
    </w:p>
    <w:p w14:paraId="7BD039F3" w14:textId="1E32DAB8" w:rsidR="002D6764" w:rsidRPr="002630F2" w:rsidRDefault="002D6764" w:rsidP="001D5FC0">
      <w:pPr>
        <w:spacing w:after="0" w:line="360" w:lineRule="auto"/>
        <w:jc w:val="both"/>
        <w:rPr>
          <w:rFonts w:ascii="Arial" w:hAnsi="Arial" w:cs="Arial"/>
          <w:sz w:val="20"/>
          <w:szCs w:val="20"/>
        </w:rPr>
      </w:pPr>
      <w:r w:rsidRPr="00C57228">
        <w:rPr>
          <w:rFonts w:ascii="Arial" w:hAnsi="Arial" w:cs="Arial"/>
          <w:bCs/>
          <w:sz w:val="20"/>
          <w:szCs w:val="20"/>
        </w:rPr>
        <w:t>Tabela 2</w:t>
      </w:r>
      <w:r w:rsidR="00C34490">
        <w:rPr>
          <w:rFonts w:ascii="Arial" w:hAnsi="Arial" w:cs="Arial"/>
          <w:bCs/>
          <w:sz w:val="20"/>
          <w:szCs w:val="20"/>
        </w:rPr>
        <w:t>6</w:t>
      </w:r>
      <w:r w:rsidRPr="00C57228">
        <w:rPr>
          <w:rFonts w:ascii="Arial" w:hAnsi="Arial" w:cs="Arial"/>
          <w:bCs/>
          <w:sz w:val="20"/>
          <w:szCs w:val="20"/>
        </w:rPr>
        <w:t>: Bruto dodana vrednost biogospodarstva v Sloveniji (mio EUR)</w:t>
      </w:r>
      <w:r w:rsidRPr="00C57228" w:rsidDel="008C506B">
        <w:rPr>
          <w:rFonts w:ascii="Arial" w:hAnsi="Arial" w:cs="Arial"/>
          <w:sz w:val="20"/>
          <w:szCs w:val="20"/>
        </w:rPr>
        <w:t xml:space="preserve"> </w:t>
      </w:r>
    </w:p>
    <w:p w14:paraId="7E4C12AA" w14:textId="1FFD8BBA" w:rsidR="002D6764" w:rsidRDefault="002D6764" w:rsidP="001D5FC0">
      <w:pPr>
        <w:spacing w:after="0" w:line="360" w:lineRule="auto"/>
        <w:jc w:val="both"/>
        <w:rPr>
          <w:rFonts w:ascii="Arial" w:hAnsi="Arial" w:cs="Arial"/>
          <w:bCs/>
          <w:sz w:val="20"/>
          <w:szCs w:val="20"/>
        </w:rPr>
      </w:pPr>
      <w:r w:rsidRPr="00C57228">
        <w:rPr>
          <w:rFonts w:ascii="Arial" w:hAnsi="Arial" w:cs="Arial"/>
          <w:bCs/>
          <w:sz w:val="20"/>
          <w:szCs w:val="20"/>
        </w:rPr>
        <w:t>Tabela 2</w:t>
      </w:r>
      <w:r w:rsidR="00C34490">
        <w:rPr>
          <w:rFonts w:ascii="Arial" w:hAnsi="Arial" w:cs="Arial"/>
          <w:bCs/>
          <w:sz w:val="20"/>
          <w:szCs w:val="20"/>
        </w:rPr>
        <w:t>7</w:t>
      </w:r>
      <w:r w:rsidRPr="00C57228">
        <w:rPr>
          <w:rFonts w:ascii="Arial" w:hAnsi="Arial" w:cs="Arial"/>
          <w:bCs/>
          <w:sz w:val="20"/>
          <w:szCs w:val="20"/>
        </w:rPr>
        <w:t xml:space="preserve">: Zaposlenost v biogospodarstvu </w:t>
      </w:r>
    </w:p>
    <w:p w14:paraId="5FE4E3B1" w14:textId="7F87D8C5" w:rsidR="00C34490" w:rsidRDefault="00C34490" w:rsidP="001D5FC0">
      <w:pPr>
        <w:spacing w:after="0" w:line="360" w:lineRule="auto"/>
        <w:jc w:val="both"/>
        <w:rPr>
          <w:rFonts w:ascii="Arial" w:hAnsi="Arial" w:cs="Arial"/>
          <w:bCs/>
          <w:sz w:val="20"/>
          <w:szCs w:val="20"/>
        </w:rPr>
      </w:pPr>
      <w:r>
        <w:rPr>
          <w:rFonts w:ascii="Arial" w:hAnsi="Arial" w:cs="Arial"/>
          <w:bCs/>
          <w:sz w:val="20"/>
          <w:szCs w:val="20"/>
        </w:rPr>
        <w:t>Tabela 28: Raba energije v kmetijstvu, gozdarstvo in živilski industriji</w:t>
      </w:r>
    </w:p>
    <w:p w14:paraId="1993F5FB" w14:textId="5BF2CC6F" w:rsidR="00C34490" w:rsidRDefault="00C34490" w:rsidP="001D5FC0">
      <w:pPr>
        <w:spacing w:after="0" w:line="360" w:lineRule="auto"/>
        <w:jc w:val="both"/>
        <w:rPr>
          <w:rFonts w:ascii="Arial" w:hAnsi="Arial" w:cs="Arial"/>
          <w:bCs/>
          <w:sz w:val="20"/>
          <w:szCs w:val="20"/>
        </w:rPr>
      </w:pPr>
      <w:r>
        <w:rPr>
          <w:rFonts w:ascii="Arial" w:hAnsi="Arial" w:cs="Arial"/>
          <w:bCs/>
          <w:sz w:val="20"/>
          <w:szCs w:val="20"/>
        </w:rPr>
        <w:t>Tabela 29: Proizvodnja obnovljive energije v kmetijstvu in gozdarstvo</w:t>
      </w:r>
    </w:p>
    <w:p w14:paraId="4774F978" w14:textId="5CE631F7" w:rsidR="002D6764" w:rsidRPr="002D6764" w:rsidRDefault="002D6764" w:rsidP="001D5FC0">
      <w:pPr>
        <w:pStyle w:val="Napis"/>
        <w:keepNext w:val="0"/>
        <w:spacing w:before="0" w:line="360" w:lineRule="auto"/>
        <w:jc w:val="both"/>
        <w:rPr>
          <w:sz w:val="20"/>
          <w:szCs w:val="20"/>
        </w:rPr>
      </w:pPr>
      <w:r w:rsidRPr="002D6764">
        <w:rPr>
          <w:sz w:val="20"/>
          <w:szCs w:val="20"/>
        </w:rPr>
        <w:t xml:space="preserve">Tabela </w:t>
      </w:r>
      <w:r w:rsidR="00C34490">
        <w:rPr>
          <w:sz w:val="20"/>
          <w:szCs w:val="20"/>
        </w:rPr>
        <w:t>30</w:t>
      </w:r>
      <w:r w:rsidRPr="002D6764">
        <w:rPr>
          <w:sz w:val="20"/>
          <w:szCs w:val="20"/>
        </w:rPr>
        <w:t>: Lesna zaloga (m</w:t>
      </w:r>
      <w:r w:rsidRPr="002D6764">
        <w:rPr>
          <w:sz w:val="20"/>
          <w:szCs w:val="20"/>
          <w:vertAlign w:val="superscript"/>
        </w:rPr>
        <w:t>3</w:t>
      </w:r>
      <w:r w:rsidRPr="002D6764">
        <w:rPr>
          <w:sz w:val="20"/>
          <w:szCs w:val="20"/>
        </w:rPr>
        <w:t xml:space="preserve">/ha) po letih </w:t>
      </w:r>
    </w:p>
    <w:p w14:paraId="6D935838" w14:textId="0617B0F1" w:rsidR="002D6764" w:rsidRPr="00A52F41" w:rsidRDefault="002D6764" w:rsidP="001D5FC0">
      <w:pPr>
        <w:spacing w:after="0" w:line="360" w:lineRule="auto"/>
        <w:jc w:val="both"/>
        <w:rPr>
          <w:rFonts w:ascii="Arial" w:hAnsi="Arial" w:cs="Arial"/>
          <w:sz w:val="20"/>
          <w:szCs w:val="20"/>
        </w:rPr>
      </w:pPr>
      <w:r>
        <w:rPr>
          <w:rFonts w:ascii="Arial" w:hAnsi="Arial" w:cs="Arial"/>
          <w:sz w:val="20"/>
          <w:szCs w:val="20"/>
        </w:rPr>
        <w:t xml:space="preserve">Tabela </w:t>
      </w:r>
      <w:r w:rsidR="00C34490">
        <w:rPr>
          <w:rFonts w:ascii="Arial" w:hAnsi="Arial" w:cs="Arial"/>
          <w:sz w:val="20"/>
          <w:szCs w:val="20"/>
        </w:rPr>
        <w:t>31</w:t>
      </w:r>
      <w:r>
        <w:rPr>
          <w:rFonts w:ascii="Arial" w:hAnsi="Arial" w:cs="Arial"/>
          <w:sz w:val="20"/>
          <w:szCs w:val="20"/>
        </w:rPr>
        <w:t>: Registracija dopolnilnih dejavnosti po letih</w:t>
      </w:r>
    </w:p>
    <w:p w14:paraId="48AC3E33" w14:textId="55EBC9B8" w:rsidR="002D6764" w:rsidRPr="002D6764" w:rsidRDefault="002D6764" w:rsidP="001D5FC0">
      <w:pPr>
        <w:spacing w:after="0" w:line="360" w:lineRule="auto"/>
        <w:jc w:val="both"/>
        <w:rPr>
          <w:rFonts w:ascii="Arial" w:eastAsia="Calibri" w:hAnsi="Arial" w:cs="Arial"/>
          <w:bCs/>
          <w:color w:val="000000"/>
          <w:sz w:val="20"/>
          <w:szCs w:val="20"/>
        </w:rPr>
      </w:pPr>
      <w:r w:rsidRPr="002D6764">
        <w:rPr>
          <w:rFonts w:ascii="Arial" w:hAnsi="Arial" w:cs="Arial"/>
          <w:sz w:val="20"/>
          <w:szCs w:val="20"/>
        </w:rPr>
        <w:t xml:space="preserve">Tabela </w:t>
      </w:r>
      <w:r w:rsidR="00C34490">
        <w:rPr>
          <w:rFonts w:ascii="Arial" w:hAnsi="Arial" w:cs="Arial"/>
          <w:sz w:val="20"/>
          <w:szCs w:val="20"/>
        </w:rPr>
        <w:t>3</w:t>
      </w:r>
      <w:r w:rsidRPr="002D6764">
        <w:rPr>
          <w:rFonts w:ascii="Arial" w:hAnsi="Arial" w:cs="Arial"/>
          <w:sz w:val="20"/>
          <w:szCs w:val="20"/>
        </w:rPr>
        <w:t xml:space="preserve">2: </w:t>
      </w:r>
      <w:r w:rsidRPr="002D6764">
        <w:rPr>
          <w:rFonts w:ascii="Arial" w:eastAsia="Calibri" w:hAnsi="Arial" w:cs="Arial"/>
          <w:bCs/>
          <w:color w:val="000000"/>
          <w:sz w:val="20"/>
          <w:szCs w:val="20"/>
        </w:rPr>
        <w:t>Naložbe v KMG iz PRP 2014–2020</w:t>
      </w:r>
    </w:p>
    <w:p w14:paraId="12DB0D10" w14:textId="51A66C36" w:rsidR="002D6764" w:rsidRDefault="002D6764" w:rsidP="001D5FC0">
      <w:pPr>
        <w:tabs>
          <w:tab w:val="left" w:pos="8080"/>
        </w:tabs>
        <w:spacing w:after="0" w:line="360" w:lineRule="auto"/>
        <w:jc w:val="both"/>
        <w:rPr>
          <w:rFonts w:ascii="Arial" w:hAnsi="Arial" w:cs="Arial"/>
          <w:sz w:val="20"/>
          <w:szCs w:val="20"/>
        </w:rPr>
      </w:pPr>
      <w:r>
        <w:rPr>
          <w:rFonts w:ascii="Arial" w:hAnsi="Arial" w:cs="Arial"/>
          <w:sz w:val="20"/>
          <w:szCs w:val="20"/>
        </w:rPr>
        <w:t>Tabela 3</w:t>
      </w:r>
      <w:r w:rsidR="00C34490">
        <w:rPr>
          <w:rFonts w:ascii="Arial" w:hAnsi="Arial" w:cs="Arial"/>
          <w:sz w:val="20"/>
          <w:szCs w:val="20"/>
        </w:rPr>
        <w:t>3</w:t>
      </w:r>
      <w:r>
        <w:rPr>
          <w:rFonts w:ascii="Arial" w:hAnsi="Arial" w:cs="Arial"/>
          <w:sz w:val="20"/>
          <w:szCs w:val="20"/>
        </w:rPr>
        <w:t xml:space="preserve">: </w:t>
      </w:r>
      <w:r w:rsidRPr="002D6764">
        <w:rPr>
          <w:rFonts w:ascii="Arial" w:hAnsi="Arial" w:cs="Arial"/>
          <w:sz w:val="20"/>
          <w:szCs w:val="20"/>
        </w:rPr>
        <w:t>Podpore v okviru PRP 2007–2013 na področju turizma in gostinstva</w:t>
      </w:r>
    </w:p>
    <w:p w14:paraId="7890CCD1" w14:textId="55BBCDB6" w:rsidR="002D6764" w:rsidRPr="002D6764" w:rsidRDefault="002D6764" w:rsidP="001D5FC0">
      <w:pPr>
        <w:pStyle w:val="Napis"/>
        <w:keepNext w:val="0"/>
        <w:spacing w:before="0" w:line="360" w:lineRule="auto"/>
        <w:jc w:val="both"/>
        <w:rPr>
          <w:rFonts w:eastAsiaTheme="minorHAnsi"/>
          <w:sz w:val="20"/>
          <w:szCs w:val="20"/>
          <w:lang w:eastAsia="en-US"/>
        </w:rPr>
      </w:pPr>
      <w:r w:rsidRPr="002D6764">
        <w:rPr>
          <w:rFonts w:eastAsiaTheme="minorHAnsi"/>
          <w:sz w:val="20"/>
          <w:szCs w:val="20"/>
          <w:lang w:eastAsia="en-US"/>
        </w:rPr>
        <w:t>Tabela 3</w:t>
      </w:r>
      <w:r w:rsidR="00C34490">
        <w:rPr>
          <w:rFonts w:eastAsiaTheme="minorHAnsi"/>
          <w:sz w:val="20"/>
          <w:szCs w:val="20"/>
          <w:lang w:eastAsia="en-US"/>
        </w:rPr>
        <w:t>4</w:t>
      </w:r>
      <w:r w:rsidRPr="002D6764">
        <w:rPr>
          <w:rFonts w:eastAsiaTheme="minorHAnsi"/>
          <w:sz w:val="20"/>
          <w:szCs w:val="20"/>
          <w:lang w:eastAsia="en-US"/>
        </w:rPr>
        <w:t xml:space="preserve">: Poročilo o izvajanju Evropske kohezijske politike 2014–2020 za obdobje od januarja 2014 do konca </w:t>
      </w:r>
      <w:r w:rsidR="00C34490">
        <w:rPr>
          <w:rFonts w:eastAsiaTheme="minorHAnsi"/>
          <w:sz w:val="20"/>
          <w:szCs w:val="20"/>
          <w:lang w:eastAsia="en-US"/>
        </w:rPr>
        <w:t>junija</w:t>
      </w:r>
      <w:r w:rsidR="00C34490" w:rsidRPr="002D6764">
        <w:rPr>
          <w:rFonts w:eastAsiaTheme="minorHAnsi"/>
          <w:sz w:val="20"/>
          <w:szCs w:val="20"/>
          <w:lang w:eastAsia="en-US"/>
        </w:rPr>
        <w:t xml:space="preserve"> </w:t>
      </w:r>
      <w:r w:rsidRPr="002D6764">
        <w:rPr>
          <w:rFonts w:eastAsiaTheme="minorHAnsi"/>
          <w:sz w:val="20"/>
          <w:szCs w:val="20"/>
          <w:lang w:eastAsia="en-US"/>
        </w:rPr>
        <w:t>2020 – prednostna os 9</w:t>
      </w:r>
    </w:p>
    <w:p w14:paraId="660E5BFE" w14:textId="20CF9AE8" w:rsidR="002D6764" w:rsidRPr="00A52F41" w:rsidRDefault="002D6764" w:rsidP="001D5FC0">
      <w:pPr>
        <w:spacing w:after="0" w:line="360" w:lineRule="auto"/>
        <w:jc w:val="both"/>
        <w:rPr>
          <w:rFonts w:ascii="Arial" w:hAnsi="Arial" w:cs="Arial"/>
          <w:sz w:val="20"/>
          <w:szCs w:val="20"/>
        </w:rPr>
      </w:pPr>
      <w:r>
        <w:rPr>
          <w:rFonts w:ascii="Arial" w:hAnsi="Arial" w:cs="Arial"/>
          <w:sz w:val="20"/>
          <w:szCs w:val="20"/>
        </w:rPr>
        <w:t>Tabela 3</w:t>
      </w:r>
      <w:r w:rsidR="00C34490">
        <w:rPr>
          <w:rFonts w:ascii="Arial" w:hAnsi="Arial" w:cs="Arial"/>
          <w:sz w:val="20"/>
          <w:szCs w:val="20"/>
        </w:rPr>
        <w:t>5</w:t>
      </w:r>
      <w:r>
        <w:rPr>
          <w:rFonts w:ascii="Arial" w:hAnsi="Arial" w:cs="Arial"/>
          <w:sz w:val="20"/>
          <w:szCs w:val="20"/>
        </w:rPr>
        <w:t xml:space="preserve">: </w:t>
      </w:r>
      <w:r w:rsidRPr="00A52F41">
        <w:rPr>
          <w:rFonts w:ascii="Arial" w:hAnsi="Arial" w:cs="Arial"/>
          <w:sz w:val="20"/>
          <w:szCs w:val="20"/>
        </w:rPr>
        <w:t>Izvajanje CLLD v okviru ESRR do 30. 6. 2020</w:t>
      </w:r>
    </w:p>
    <w:p w14:paraId="4FEC1908" w14:textId="57767D50" w:rsidR="002D6764" w:rsidRPr="002D6764" w:rsidRDefault="002D6764" w:rsidP="001D5FC0">
      <w:pPr>
        <w:pStyle w:val="Napis"/>
        <w:keepNext w:val="0"/>
        <w:spacing w:before="0" w:line="360" w:lineRule="auto"/>
        <w:jc w:val="both"/>
        <w:rPr>
          <w:sz w:val="20"/>
          <w:szCs w:val="20"/>
        </w:rPr>
      </w:pPr>
      <w:r w:rsidRPr="002D6764">
        <w:rPr>
          <w:sz w:val="20"/>
          <w:szCs w:val="20"/>
        </w:rPr>
        <w:t>Tabela 3</w:t>
      </w:r>
      <w:r w:rsidR="00C34490">
        <w:rPr>
          <w:sz w:val="20"/>
          <w:szCs w:val="20"/>
        </w:rPr>
        <w:t>6</w:t>
      </w:r>
      <w:r w:rsidRPr="002D6764">
        <w:rPr>
          <w:sz w:val="20"/>
          <w:szCs w:val="20"/>
        </w:rPr>
        <w:t>: Poročilo o izvajanju Evropske kohezijske politike 2014–2020 za obdobje od januarja 2014 do konca marca 2020 – prednostna os 2</w:t>
      </w:r>
    </w:p>
    <w:p w14:paraId="2F89281E" w14:textId="77777777" w:rsidR="00CA480A" w:rsidRPr="00A52F41" w:rsidRDefault="00CA480A" w:rsidP="002D6764">
      <w:pPr>
        <w:spacing w:line="360" w:lineRule="auto"/>
        <w:jc w:val="both"/>
        <w:rPr>
          <w:rFonts w:ascii="Arial" w:eastAsia="Arial" w:hAnsi="Arial" w:cs="Arial"/>
          <w:b/>
          <w:sz w:val="20"/>
          <w:szCs w:val="20"/>
        </w:rPr>
      </w:pPr>
      <w:r w:rsidRPr="00A52F41">
        <w:rPr>
          <w:rFonts w:ascii="Arial" w:eastAsia="Arial" w:hAnsi="Arial" w:cs="Arial"/>
          <w:b/>
          <w:sz w:val="20"/>
          <w:szCs w:val="20"/>
        </w:rPr>
        <w:br w:type="page"/>
      </w:r>
    </w:p>
    <w:p w14:paraId="3BD4C311" w14:textId="77777777" w:rsidR="00CA480A" w:rsidRPr="00F5427E" w:rsidRDefault="00CA6187" w:rsidP="00F5427E">
      <w:pPr>
        <w:spacing w:line="360" w:lineRule="auto"/>
        <w:jc w:val="both"/>
        <w:rPr>
          <w:rFonts w:ascii="Arial" w:hAnsi="Arial" w:cs="Arial"/>
          <w:b/>
          <w:sz w:val="28"/>
          <w:szCs w:val="28"/>
        </w:rPr>
      </w:pPr>
      <w:r w:rsidRPr="00F5427E">
        <w:rPr>
          <w:rFonts w:ascii="Arial" w:hAnsi="Arial" w:cs="Arial"/>
          <w:b/>
          <w:sz w:val="28"/>
          <w:szCs w:val="28"/>
        </w:rPr>
        <w:lastRenderedPageBreak/>
        <w:t>SEZNAM UPORABLJENIH KRATIC IN SIMBOLOV</w:t>
      </w:r>
    </w:p>
    <w:tbl>
      <w:tblPr>
        <w:tblStyle w:val="Tabelamrea"/>
        <w:tblW w:w="0" w:type="auto"/>
        <w:tblLook w:val="04A0" w:firstRow="1" w:lastRow="0" w:firstColumn="1" w:lastColumn="0" w:noHBand="0" w:noVBand="1"/>
      </w:tblPr>
      <w:tblGrid>
        <w:gridCol w:w="2740"/>
        <w:gridCol w:w="6322"/>
      </w:tblGrid>
      <w:tr w:rsidR="00163103" w:rsidRPr="00A52F41" w14:paraId="4EA43712" w14:textId="77777777" w:rsidTr="00EA2E4C">
        <w:trPr>
          <w:trHeight w:val="433"/>
        </w:trPr>
        <w:tc>
          <w:tcPr>
            <w:tcW w:w="2804" w:type="dxa"/>
          </w:tcPr>
          <w:p w14:paraId="6C4C378B" w14:textId="77777777" w:rsidR="00163103" w:rsidRPr="00A52F41" w:rsidRDefault="00163103" w:rsidP="00EA2E4C">
            <w:pPr>
              <w:pStyle w:val="1"/>
              <w:spacing w:line="240" w:lineRule="auto"/>
            </w:pPr>
            <w:r w:rsidRPr="00A52F41">
              <w:t>OECD</w:t>
            </w:r>
          </w:p>
        </w:tc>
        <w:tc>
          <w:tcPr>
            <w:tcW w:w="6484" w:type="dxa"/>
          </w:tcPr>
          <w:p w14:paraId="42FBBD91" w14:textId="77777777" w:rsidR="00163103" w:rsidRPr="001E4DE5" w:rsidRDefault="00163103" w:rsidP="00EA2E4C">
            <w:pPr>
              <w:pStyle w:val="1"/>
              <w:spacing w:line="240" w:lineRule="auto"/>
            </w:pPr>
            <w:r w:rsidRPr="00A52F41">
              <w:t xml:space="preserve">Organisation for economic co-operation and development/ </w:t>
            </w:r>
            <w:r w:rsidRPr="001E4DE5">
              <w:t>Organizacija za gospodarsko sodelovanje in razvoj</w:t>
            </w:r>
          </w:p>
        </w:tc>
      </w:tr>
      <w:tr w:rsidR="00163103" w:rsidRPr="00A52F41" w14:paraId="779A9DBD" w14:textId="77777777" w:rsidTr="00EA2E4C">
        <w:trPr>
          <w:trHeight w:val="433"/>
        </w:trPr>
        <w:tc>
          <w:tcPr>
            <w:tcW w:w="2804" w:type="dxa"/>
          </w:tcPr>
          <w:p w14:paraId="0CE18DC0" w14:textId="77777777" w:rsidR="00163103" w:rsidRPr="00A52F41" w:rsidRDefault="00163103" w:rsidP="00EA2E4C">
            <w:pPr>
              <w:pStyle w:val="1"/>
              <w:spacing w:line="240" w:lineRule="auto"/>
            </w:pPr>
            <w:r w:rsidRPr="00A52F41">
              <w:t>ZRC SAZU</w:t>
            </w:r>
          </w:p>
        </w:tc>
        <w:tc>
          <w:tcPr>
            <w:tcW w:w="6484" w:type="dxa"/>
          </w:tcPr>
          <w:p w14:paraId="4407BAEB" w14:textId="77777777" w:rsidR="00163103" w:rsidRPr="00A52F41" w:rsidRDefault="00163103" w:rsidP="00EA2E4C">
            <w:pPr>
              <w:pStyle w:val="1"/>
              <w:spacing w:line="240" w:lineRule="auto"/>
            </w:pPr>
            <w:r w:rsidRPr="00A52F41">
              <w:t>Znanstvenoraziskovalni center Slovenske akademije znanosti in umetnosti</w:t>
            </w:r>
          </w:p>
        </w:tc>
      </w:tr>
      <w:tr w:rsidR="00163103" w:rsidRPr="00A52F41" w14:paraId="18769CBA" w14:textId="77777777" w:rsidTr="00EA2E4C">
        <w:trPr>
          <w:trHeight w:val="457"/>
        </w:trPr>
        <w:tc>
          <w:tcPr>
            <w:tcW w:w="2804" w:type="dxa"/>
          </w:tcPr>
          <w:p w14:paraId="01A249BC" w14:textId="77777777" w:rsidR="00163103" w:rsidRPr="00A52F41" w:rsidRDefault="00163103" w:rsidP="00EA2E4C">
            <w:pPr>
              <w:pStyle w:val="1"/>
              <w:spacing w:line="240" w:lineRule="auto"/>
            </w:pPr>
            <w:r w:rsidRPr="00A52F41">
              <w:t>SURS</w:t>
            </w:r>
          </w:p>
        </w:tc>
        <w:tc>
          <w:tcPr>
            <w:tcW w:w="6484" w:type="dxa"/>
          </w:tcPr>
          <w:p w14:paraId="49F35E54" w14:textId="77777777" w:rsidR="00163103" w:rsidRPr="00A52F41" w:rsidRDefault="00163103" w:rsidP="00EA2E4C">
            <w:pPr>
              <w:pStyle w:val="1"/>
              <w:spacing w:line="240" w:lineRule="auto"/>
            </w:pPr>
            <w:r w:rsidRPr="00A52F41">
              <w:t>Statistični urad Republike Slovenije</w:t>
            </w:r>
          </w:p>
        </w:tc>
      </w:tr>
      <w:tr w:rsidR="00163103" w:rsidRPr="00A52F41" w14:paraId="27622DE3" w14:textId="77777777" w:rsidTr="00EA2E4C">
        <w:trPr>
          <w:trHeight w:val="433"/>
        </w:trPr>
        <w:tc>
          <w:tcPr>
            <w:tcW w:w="2804" w:type="dxa"/>
          </w:tcPr>
          <w:p w14:paraId="19675334" w14:textId="77777777" w:rsidR="00163103" w:rsidRPr="00A52F41" w:rsidRDefault="00163103" w:rsidP="00EA2E4C">
            <w:pPr>
              <w:pStyle w:val="1"/>
              <w:spacing w:line="240" w:lineRule="auto"/>
            </w:pPr>
            <w:r w:rsidRPr="00A52F41">
              <w:t>GURS</w:t>
            </w:r>
          </w:p>
        </w:tc>
        <w:tc>
          <w:tcPr>
            <w:tcW w:w="6484" w:type="dxa"/>
          </w:tcPr>
          <w:p w14:paraId="2BEFBE3E" w14:textId="77777777" w:rsidR="00163103" w:rsidRPr="00A52F41" w:rsidRDefault="00163103" w:rsidP="00EA2E4C">
            <w:pPr>
              <w:pStyle w:val="1"/>
              <w:spacing w:line="240" w:lineRule="auto"/>
            </w:pPr>
            <w:r w:rsidRPr="00A52F41">
              <w:t>Geodetska uprava Republike Slovenije</w:t>
            </w:r>
          </w:p>
        </w:tc>
      </w:tr>
      <w:tr w:rsidR="00163103" w:rsidRPr="00A52F41" w14:paraId="2DDA70F3" w14:textId="77777777" w:rsidTr="00EA2E4C">
        <w:trPr>
          <w:trHeight w:val="433"/>
        </w:trPr>
        <w:tc>
          <w:tcPr>
            <w:tcW w:w="2804" w:type="dxa"/>
          </w:tcPr>
          <w:p w14:paraId="7C871D60" w14:textId="77777777" w:rsidR="00163103" w:rsidRPr="00A52F41" w:rsidRDefault="00163103" w:rsidP="00EA2E4C">
            <w:pPr>
              <w:pStyle w:val="1"/>
              <w:spacing w:line="240" w:lineRule="auto"/>
            </w:pPr>
            <w:r w:rsidRPr="00A52F41">
              <w:t>ZSRR-2</w:t>
            </w:r>
          </w:p>
        </w:tc>
        <w:tc>
          <w:tcPr>
            <w:tcW w:w="6484" w:type="dxa"/>
          </w:tcPr>
          <w:p w14:paraId="667EE9C1" w14:textId="77777777" w:rsidR="00163103" w:rsidRPr="00A52F41" w:rsidRDefault="00163103" w:rsidP="00EA2E4C">
            <w:pPr>
              <w:pStyle w:val="1"/>
              <w:spacing w:line="240" w:lineRule="auto"/>
            </w:pPr>
            <w:r w:rsidRPr="00A52F41">
              <w:t>Zakon o spodbujanju skladnega regionalnega razvoja</w:t>
            </w:r>
          </w:p>
        </w:tc>
      </w:tr>
      <w:tr w:rsidR="00163103" w:rsidRPr="00A52F41" w14:paraId="7DF50295" w14:textId="77777777" w:rsidTr="00EA2E4C">
        <w:trPr>
          <w:trHeight w:val="457"/>
        </w:trPr>
        <w:tc>
          <w:tcPr>
            <w:tcW w:w="2804" w:type="dxa"/>
          </w:tcPr>
          <w:p w14:paraId="302BD9F8" w14:textId="77777777" w:rsidR="00163103" w:rsidRPr="00A52F41" w:rsidRDefault="00163103" w:rsidP="00EA2E4C">
            <w:pPr>
              <w:pStyle w:val="1"/>
              <w:spacing w:line="240" w:lineRule="auto"/>
            </w:pPr>
            <w:r w:rsidRPr="00A52F41">
              <w:t>EU</w:t>
            </w:r>
          </w:p>
        </w:tc>
        <w:tc>
          <w:tcPr>
            <w:tcW w:w="6484" w:type="dxa"/>
          </w:tcPr>
          <w:p w14:paraId="1D55C1B5" w14:textId="77777777" w:rsidR="00163103" w:rsidRPr="00A52F41" w:rsidRDefault="00163103" w:rsidP="00EA2E4C">
            <w:pPr>
              <w:pStyle w:val="1"/>
              <w:spacing w:line="240" w:lineRule="auto"/>
            </w:pPr>
            <w:r w:rsidRPr="00A52F41">
              <w:t>Evropska unija</w:t>
            </w:r>
          </w:p>
        </w:tc>
      </w:tr>
      <w:tr w:rsidR="00163103" w:rsidRPr="00A52F41" w14:paraId="1450A64E" w14:textId="77777777" w:rsidTr="00EA2E4C">
        <w:trPr>
          <w:trHeight w:val="433"/>
        </w:trPr>
        <w:tc>
          <w:tcPr>
            <w:tcW w:w="2804" w:type="dxa"/>
          </w:tcPr>
          <w:p w14:paraId="3B71196C" w14:textId="77777777" w:rsidR="00163103" w:rsidRPr="00A52F41" w:rsidRDefault="00163103" w:rsidP="00EA2E4C">
            <w:pPr>
              <w:pStyle w:val="1"/>
              <w:spacing w:line="240" w:lineRule="auto"/>
            </w:pPr>
            <w:r w:rsidRPr="00A52F41">
              <w:t>RS</w:t>
            </w:r>
          </w:p>
        </w:tc>
        <w:tc>
          <w:tcPr>
            <w:tcW w:w="6484" w:type="dxa"/>
          </w:tcPr>
          <w:p w14:paraId="7CE9117B" w14:textId="77777777" w:rsidR="00163103" w:rsidRPr="00A52F41" w:rsidRDefault="00163103" w:rsidP="00EA2E4C">
            <w:pPr>
              <w:pStyle w:val="1"/>
              <w:spacing w:line="240" w:lineRule="auto"/>
            </w:pPr>
            <w:r w:rsidRPr="00A52F41">
              <w:t>Republika Slovenija</w:t>
            </w:r>
          </w:p>
        </w:tc>
      </w:tr>
      <w:tr w:rsidR="00163103" w:rsidRPr="00A52F41" w14:paraId="7C9EFF25" w14:textId="77777777" w:rsidTr="00EA2E4C">
        <w:trPr>
          <w:trHeight w:val="433"/>
        </w:trPr>
        <w:tc>
          <w:tcPr>
            <w:tcW w:w="2804" w:type="dxa"/>
          </w:tcPr>
          <w:p w14:paraId="7508B34F" w14:textId="77777777" w:rsidR="00163103" w:rsidRPr="00A52F41" w:rsidRDefault="00163103" w:rsidP="00EA2E4C">
            <w:pPr>
              <w:pStyle w:val="1"/>
              <w:spacing w:line="240" w:lineRule="auto"/>
            </w:pPr>
            <w:r w:rsidRPr="00A52F41">
              <w:t>UMAR</w:t>
            </w:r>
          </w:p>
        </w:tc>
        <w:tc>
          <w:tcPr>
            <w:tcW w:w="6484" w:type="dxa"/>
          </w:tcPr>
          <w:p w14:paraId="69D3C7A5" w14:textId="77777777" w:rsidR="00163103" w:rsidRPr="00A52F41" w:rsidRDefault="00163103" w:rsidP="00EA2E4C">
            <w:pPr>
              <w:pStyle w:val="1"/>
              <w:spacing w:line="240" w:lineRule="auto"/>
            </w:pPr>
            <w:r w:rsidRPr="00A52F41">
              <w:t>Urad Republike Slovenije za makroekonomske analize in razvoj</w:t>
            </w:r>
          </w:p>
        </w:tc>
      </w:tr>
      <w:tr w:rsidR="00163103" w:rsidRPr="00A52F41" w14:paraId="72F8ECEA" w14:textId="77777777" w:rsidTr="00EA2E4C">
        <w:trPr>
          <w:trHeight w:val="457"/>
        </w:trPr>
        <w:tc>
          <w:tcPr>
            <w:tcW w:w="2804" w:type="dxa"/>
          </w:tcPr>
          <w:p w14:paraId="7AAF3875" w14:textId="77777777" w:rsidR="00163103" w:rsidRPr="00A52F41" w:rsidRDefault="00163103" w:rsidP="00EA2E4C">
            <w:pPr>
              <w:pStyle w:val="1"/>
              <w:spacing w:line="240" w:lineRule="auto"/>
            </w:pPr>
            <w:r w:rsidRPr="00A52F41">
              <w:t>BDP</w:t>
            </w:r>
          </w:p>
        </w:tc>
        <w:tc>
          <w:tcPr>
            <w:tcW w:w="6484" w:type="dxa"/>
          </w:tcPr>
          <w:p w14:paraId="2F15D0D3" w14:textId="77777777" w:rsidR="00163103" w:rsidRPr="00A52F41" w:rsidRDefault="00163103" w:rsidP="00EA2E4C">
            <w:pPr>
              <w:pStyle w:val="1"/>
              <w:spacing w:line="240" w:lineRule="auto"/>
            </w:pPr>
            <w:r w:rsidRPr="00A52F41">
              <w:t>Bruto domači proizvod</w:t>
            </w:r>
          </w:p>
        </w:tc>
      </w:tr>
      <w:tr w:rsidR="00163103" w:rsidRPr="00A52F41" w14:paraId="4DD94B2F" w14:textId="77777777" w:rsidTr="00EA2E4C">
        <w:trPr>
          <w:trHeight w:val="457"/>
        </w:trPr>
        <w:tc>
          <w:tcPr>
            <w:tcW w:w="2804" w:type="dxa"/>
          </w:tcPr>
          <w:p w14:paraId="52A5CB09" w14:textId="77777777" w:rsidR="00163103" w:rsidRPr="00A52F41" w:rsidRDefault="00163103" w:rsidP="00EA2E4C">
            <w:pPr>
              <w:pStyle w:val="1"/>
              <w:spacing w:line="240" w:lineRule="auto"/>
            </w:pPr>
            <w:r w:rsidRPr="00A52F41">
              <w:t>IRO</w:t>
            </w:r>
          </w:p>
        </w:tc>
        <w:tc>
          <w:tcPr>
            <w:tcW w:w="6484" w:type="dxa"/>
          </w:tcPr>
          <w:p w14:paraId="3D6B0631" w14:textId="77777777" w:rsidR="00163103" w:rsidRPr="00A52F41" w:rsidRDefault="00163103" w:rsidP="00EA2E4C">
            <w:pPr>
              <w:pStyle w:val="1"/>
              <w:spacing w:line="240" w:lineRule="auto"/>
            </w:pPr>
            <w:r w:rsidRPr="00A52F41">
              <w:t>Indeks razvojne ogroženosti</w:t>
            </w:r>
          </w:p>
        </w:tc>
      </w:tr>
      <w:tr w:rsidR="00163103" w:rsidRPr="00A52F41" w14:paraId="2DEEB273" w14:textId="77777777" w:rsidTr="00EA2E4C">
        <w:trPr>
          <w:trHeight w:val="457"/>
        </w:trPr>
        <w:tc>
          <w:tcPr>
            <w:tcW w:w="2804" w:type="dxa"/>
          </w:tcPr>
          <w:p w14:paraId="24262B8F" w14:textId="77777777" w:rsidR="00163103" w:rsidRPr="00A52F41" w:rsidRDefault="00163103" w:rsidP="00EA2E4C">
            <w:pPr>
              <w:pStyle w:val="1"/>
              <w:spacing w:line="240" w:lineRule="auto"/>
            </w:pPr>
            <w:r w:rsidRPr="00A52F41">
              <w:t>CRPOV</w:t>
            </w:r>
          </w:p>
        </w:tc>
        <w:tc>
          <w:tcPr>
            <w:tcW w:w="6484" w:type="dxa"/>
          </w:tcPr>
          <w:p w14:paraId="6761CC7D" w14:textId="77777777" w:rsidR="00163103" w:rsidRPr="00A52F41" w:rsidRDefault="00163103" w:rsidP="00EA2E4C">
            <w:pPr>
              <w:pStyle w:val="1"/>
              <w:spacing w:line="240" w:lineRule="auto"/>
            </w:pPr>
            <w:r w:rsidRPr="00A52F41">
              <w:t>Celostni razvoj podeželja in obnove vasi</w:t>
            </w:r>
          </w:p>
        </w:tc>
      </w:tr>
      <w:tr w:rsidR="00163103" w:rsidRPr="00A52F41" w14:paraId="02D5B519" w14:textId="77777777" w:rsidTr="00EA2E4C">
        <w:trPr>
          <w:trHeight w:val="457"/>
        </w:trPr>
        <w:tc>
          <w:tcPr>
            <w:tcW w:w="2804" w:type="dxa"/>
          </w:tcPr>
          <w:p w14:paraId="3940B3DA" w14:textId="77777777" w:rsidR="00163103" w:rsidRPr="00A52F41" w:rsidRDefault="00163103" w:rsidP="00EA2E4C">
            <w:pPr>
              <w:pStyle w:val="1"/>
              <w:spacing w:line="240" w:lineRule="auto"/>
            </w:pPr>
            <w:r w:rsidRPr="00A52F41">
              <w:t>LEADER</w:t>
            </w:r>
          </w:p>
        </w:tc>
        <w:tc>
          <w:tcPr>
            <w:tcW w:w="6484" w:type="dxa"/>
          </w:tcPr>
          <w:p w14:paraId="02409661" w14:textId="77777777" w:rsidR="00163103" w:rsidRPr="00A52F41" w:rsidRDefault="00163103" w:rsidP="00EA2E4C">
            <w:pPr>
              <w:pStyle w:val="1"/>
              <w:spacing w:line="240" w:lineRule="auto"/>
            </w:pPr>
            <w:r w:rsidRPr="00A52F41">
              <w:t>Liaison Entre Actions de Développement de l'Économie Rurale/ Povezave med ukrepi za razvoj podeželskega gospodarstva</w:t>
            </w:r>
          </w:p>
        </w:tc>
      </w:tr>
      <w:tr w:rsidR="00163103" w:rsidRPr="00A52F41" w14:paraId="0FBE526B" w14:textId="77777777" w:rsidTr="00EA2E4C">
        <w:trPr>
          <w:trHeight w:val="457"/>
        </w:trPr>
        <w:tc>
          <w:tcPr>
            <w:tcW w:w="2804" w:type="dxa"/>
          </w:tcPr>
          <w:p w14:paraId="5B9139DA" w14:textId="77777777" w:rsidR="00163103" w:rsidRPr="00A52F41" w:rsidRDefault="00163103" w:rsidP="00EA2E4C">
            <w:pPr>
              <w:pStyle w:val="1"/>
              <w:spacing w:line="240" w:lineRule="auto"/>
            </w:pPr>
            <w:r w:rsidRPr="00A52F41">
              <w:t>AJPES</w:t>
            </w:r>
          </w:p>
        </w:tc>
        <w:tc>
          <w:tcPr>
            <w:tcW w:w="6484" w:type="dxa"/>
          </w:tcPr>
          <w:p w14:paraId="6D6552C1" w14:textId="77777777" w:rsidR="00163103" w:rsidRPr="00A52F41" w:rsidRDefault="00163103" w:rsidP="00EA2E4C">
            <w:pPr>
              <w:pStyle w:val="1"/>
              <w:spacing w:line="240" w:lineRule="auto"/>
              <w:rPr>
                <w:bCs/>
              </w:rPr>
            </w:pPr>
            <w:r w:rsidRPr="00A52F41">
              <w:rPr>
                <w:bCs/>
              </w:rPr>
              <w:t>Agencija Republike Slovenije za javnopravne evidence In storitve</w:t>
            </w:r>
          </w:p>
          <w:p w14:paraId="6324A442" w14:textId="77777777" w:rsidR="00163103" w:rsidRPr="00A52F41" w:rsidRDefault="00163103" w:rsidP="00EA2E4C">
            <w:pPr>
              <w:pStyle w:val="1"/>
              <w:spacing w:line="240" w:lineRule="auto"/>
            </w:pPr>
          </w:p>
        </w:tc>
      </w:tr>
      <w:tr w:rsidR="00163103" w:rsidRPr="00A52F41" w14:paraId="2A759E4E" w14:textId="77777777" w:rsidTr="00EA2E4C">
        <w:trPr>
          <w:trHeight w:val="457"/>
        </w:trPr>
        <w:tc>
          <w:tcPr>
            <w:tcW w:w="2804" w:type="dxa"/>
          </w:tcPr>
          <w:p w14:paraId="136C8F91" w14:textId="77777777" w:rsidR="00163103" w:rsidRPr="00A52F41" w:rsidRDefault="00163103" w:rsidP="00EA2E4C">
            <w:pPr>
              <w:pStyle w:val="1"/>
              <w:spacing w:line="240" w:lineRule="auto"/>
            </w:pPr>
            <w:r w:rsidRPr="00A52F41">
              <w:t>IKT</w:t>
            </w:r>
          </w:p>
        </w:tc>
        <w:tc>
          <w:tcPr>
            <w:tcW w:w="6484" w:type="dxa"/>
          </w:tcPr>
          <w:p w14:paraId="46CC6619" w14:textId="77777777" w:rsidR="00163103" w:rsidRPr="00A52F41" w:rsidRDefault="00163103" w:rsidP="00EA2E4C">
            <w:pPr>
              <w:pStyle w:val="1"/>
              <w:spacing w:line="240" w:lineRule="auto"/>
            </w:pPr>
            <w:r w:rsidRPr="00A52F41">
              <w:t>Informacijsko-komunikacijska tehnologija</w:t>
            </w:r>
          </w:p>
        </w:tc>
      </w:tr>
      <w:tr w:rsidR="00163103" w:rsidRPr="00A52F41" w14:paraId="3E1DD70B" w14:textId="77777777" w:rsidTr="00EA2E4C">
        <w:trPr>
          <w:trHeight w:val="457"/>
        </w:trPr>
        <w:tc>
          <w:tcPr>
            <w:tcW w:w="2804" w:type="dxa"/>
          </w:tcPr>
          <w:p w14:paraId="7D46EC46" w14:textId="77777777" w:rsidR="00163103" w:rsidRPr="00A52F41" w:rsidRDefault="00163103" w:rsidP="00EA2E4C">
            <w:pPr>
              <w:pStyle w:val="1"/>
              <w:spacing w:line="240" w:lineRule="auto"/>
            </w:pPr>
            <w:r w:rsidRPr="00A52F41">
              <w:rPr>
                <w:rFonts w:eastAsia="Arial"/>
                <w:color w:val="000000" w:themeColor="text1"/>
              </w:rPr>
              <w:t>ZVKD-1</w:t>
            </w:r>
          </w:p>
        </w:tc>
        <w:tc>
          <w:tcPr>
            <w:tcW w:w="6484" w:type="dxa"/>
          </w:tcPr>
          <w:p w14:paraId="24E346BF" w14:textId="77777777" w:rsidR="00163103" w:rsidRPr="00A52F41" w:rsidRDefault="00163103" w:rsidP="00EA2E4C">
            <w:pPr>
              <w:pStyle w:val="1"/>
              <w:spacing w:line="240" w:lineRule="auto"/>
            </w:pPr>
            <w:r w:rsidRPr="00A52F41">
              <w:rPr>
                <w:rFonts w:eastAsia="Arial"/>
                <w:color w:val="000000" w:themeColor="text1"/>
              </w:rPr>
              <w:t>Zakon o varstvu kulturne dediščine</w:t>
            </w:r>
          </w:p>
        </w:tc>
      </w:tr>
      <w:tr w:rsidR="00163103" w:rsidRPr="00A52F41" w14:paraId="6DD263EF" w14:textId="77777777" w:rsidTr="00EA2E4C">
        <w:trPr>
          <w:trHeight w:val="457"/>
        </w:trPr>
        <w:tc>
          <w:tcPr>
            <w:tcW w:w="2804" w:type="dxa"/>
          </w:tcPr>
          <w:p w14:paraId="19CF89AE" w14:textId="77777777" w:rsidR="00163103" w:rsidRPr="00A52F41" w:rsidRDefault="00163103" w:rsidP="00EA2E4C">
            <w:pPr>
              <w:pStyle w:val="1"/>
              <w:spacing w:line="240" w:lineRule="auto"/>
            </w:pPr>
            <w:r w:rsidRPr="00A52F41">
              <w:t>BDV</w:t>
            </w:r>
          </w:p>
        </w:tc>
        <w:tc>
          <w:tcPr>
            <w:tcW w:w="6484" w:type="dxa"/>
          </w:tcPr>
          <w:p w14:paraId="49E19308" w14:textId="77777777" w:rsidR="00163103" w:rsidRPr="00A52F41" w:rsidRDefault="00163103" w:rsidP="00EA2E4C">
            <w:pPr>
              <w:pStyle w:val="1"/>
              <w:spacing w:line="240" w:lineRule="auto"/>
            </w:pPr>
            <w:r w:rsidRPr="00A52F41">
              <w:t>Bruto dodana vrednost</w:t>
            </w:r>
          </w:p>
        </w:tc>
      </w:tr>
      <w:tr w:rsidR="00163103" w:rsidRPr="00A52F41" w14:paraId="08407B6C" w14:textId="77777777" w:rsidTr="00EA2E4C">
        <w:trPr>
          <w:trHeight w:val="457"/>
        </w:trPr>
        <w:tc>
          <w:tcPr>
            <w:tcW w:w="2804" w:type="dxa"/>
          </w:tcPr>
          <w:p w14:paraId="3B50B359" w14:textId="77777777" w:rsidR="00163103" w:rsidRPr="00A52F41" w:rsidRDefault="00163103" w:rsidP="00EA2E4C">
            <w:pPr>
              <w:pStyle w:val="1"/>
              <w:spacing w:line="240" w:lineRule="auto"/>
            </w:pPr>
            <w:r w:rsidRPr="00A52F41">
              <w:t>LAS</w:t>
            </w:r>
          </w:p>
        </w:tc>
        <w:tc>
          <w:tcPr>
            <w:tcW w:w="6484" w:type="dxa"/>
          </w:tcPr>
          <w:p w14:paraId="21FD29FC" w14:textId="77777777" w:rsidR="00163103" w:rsidRPr="00A52F41" w:rsidRDefault="00163103" w:rsidP="00EA2E4C">
            <w:pPr>
              <w:pStyle w:val="1"/>
              <w:spacing w:line="240" w:lineRule="auto"/>
            </w:pPr>
            <w:r w:rsidRPr="00A52F41">
              <w:t>Lokalna akcijska skupina</w:t>
            </w:r>
          </w:p>
        </w:tc>
      </w:tr>
      <w:tr w:rsidR="00163103" w:rsidRPr="00A52F41" w14:paraId="4E2CFCAD" w14:textId="77777777" w:rsidTr="00EA2E4C">
        <w:trPr>
          <w:trHeight w:val="457"/>
        </w:trPr>
        <w:tc>
          <w:tcPr>
            <w:tcW w:w="2804" w:type="dxa"/>
          </w:tcPr>
          <w:p w14:paraId="2CCB8DAA" w14:textId="77777777" w:rsidR="00163103" w:rsidRPr="00A52F41" w:rsidRDefault="00163103" w:rsidP="00EA2E4C">
            <w:pPr>
              <w:pStyle w:val="1"/>
              <w:spacing w:line="240" w:lineRule="auto"/>
            </w:pPr>
            <w:r w:rsidRPr="00A52F41">
              <w:t>RRA</w:t>
            </w:r>
          </w:p>
        </w:tc>
        <w:tc>
          <w:tcPr>
            <w:tcW w:w="6484" w:type="dxa"/>
          </w:tcPr>
          <w:p w14:paraId="18068BC6" w14:textId="77777777" w:rsidR="00163103" w:rsidRPr="00A52F41" w:rsidRDefault="00163103" w:rsidP="00EA2E4C">
            <w:pPr>
              <w:pStyle w:val="1"/>
              <w:spacing w:line="240" w:lineRule="auto"/>
            </w:pPr>
            <w:r w:rsidRPr="00A52F41">
              <w:t>Regionalna razvojna agencija</w:t>
            </w:r>
          </w:p>
        </w:tc>
      </w:tr>
      <w:tr w:rsidR="00163103" w:rsidRPr="00A52F41" w14:paraId="4EF5658C" w14:textId="77777777" w:rsidTr="00EA2E4C">
        <w:trPr>
          <w:trHeight w:val="457"/>
        </w:trPr>
        <w:tc>
          <w:tcPr>
            <w:tcW w:w="2804" w:type="dxa"/>
          </w:tcPr>
          <w:p w14:paraId="2EE65935" w14:textId="77777777" w:rsidR="00163103" w:rsidRPr="00A52F41" w:rsidRDefault="00163103" w:rsidP="00EA2E4C">
            <w:pPr>
              <w:pStyle w:val="1"/>
              <w:spacing w:line="240" w:lineRule="auto"/>
            </w:pPr>
            <w:r w:rsidRPr="00A52F41">
              <w:t>CLLD</w:t>
            </w:r>
          </w:p>
        </w:tc>
        <w:tc>
          <w:tcPr>
            <w:tcW w:w="6484" w:type="dxa"/>
          </w:tcPr>
          <w:p w14:paraId="55F9105B" w14:textId="77777777" w:rsidR="00163103" w:rsidRPr="00A52F41" w:rsidRDefault="00163103" w:rsidP="00EA2E4C">
            <w:pPr>
              <w:pStyle w:val="1"/>
              <w:spacing w:line="240" w:lineRule="auto"/>
            </w:pPr>
            <w:r w:rsidRPr="00A52F41">
              <w:t>Community-Led Local Development/ Lokalni razvoj, ki ga vodi skupnost</w:t>
            </w:r>
          </w:p>
        </w:tc>
      </w:tr>
      <w:tr w:rsidR="00163103" w:rsidRPr="00A52F41" w14:paraId="6BB07ECD" w14:textId="77777777" w:rsidTr="00EA2E4C">
        <w:trPr>
          <w:trHeight w:val="457"/>
        </w:trPr>
        <w:tc>
          <w:tcPr>
            <w:tcW w:w="2804" w:type="dxa"/>
          </w:tcPr>
          <w:p w14:paraId="37459AAE" w14:textId="77777777" w:rsidR="00163103" w:rsidRPr="00A52F41" w:rsidRDefault="00163103" w:rsidP="00EA2E4C">
            <w:pPr>
              <w:pStyle w:val="1"/>
              <w:spacing w:line="240" w:lineRule="auto"/>
            </w:pPr>
            <w:r w:rsidRPr="00A52F41">
              <w:t>EKSRP</w:t>
            </w:r>
          </w:p>
        </w:tc>
        <w:tc>
          <w:tcPr>
            <w:tcW w:w="6484" w:type="dxa"/>
          </w:tcPr>
          <w:p w14:paraId="044BD17E" w14:textId="77777777" w:rsidR="00163103" w:rsidRPr="00A52F41" w:rsidRDefault="00163103" w:rsidP="00EA2E4C">
            <w:pPr>
              <w:pStyle w:val="1"/>
              <w:spacing w:line="240" w:lineRule="auto"/>
            </w:pPr>
            <w:r w:rsidRPr="00A52F41">
              <w:t>Evropski kmetijski sklad za razvoj podeželja</w:t>
            </w:r>
          </w:p>
        </w:tc>
      </w:tr>
      <w:tr w:rsidR="00163103" w:rsidRPr="00A52F41" w14:paraId="196B5D9A" w14:textId="77777777" w:rsidTr="00EA2E4C">
        <w:trPr>
          <w:trHeight w:val="457"/>
        </w:trPr>
        <w:tc>
          <w:tcPr>
            <w:tcW w:w="2804" w:type="dxa"/>
          </w:tcPr>
          <w:p w14:paraId="6CFD68DE" w14:textId="77777777" w:rsidR="00163103" w:rsidRPr="00A52F41" w:rsidRDefault="00163103" w:rsidP="00EA2E4C">
            <w:pPr>
              <w:pStyle w:val="1"/>
              <w:spacing w:line="240" w:lineRule="auto"/>
            </w:pPr>
            <w:r w:rsidRPr="00A52F41">
              <w:t>PRP</w:t>
            </w:r>
          </w:p>
        </w:tc>
        <w:tc>
          <w:tcPr>
            <w:tcW w:w="6484" w:type="dxa"/>
          </w:tcPr>
          <w:p w14:paraId="50AD0A27" w14:textId="77777777" w:rsidR="00163103" w:rsidRPr="00A52F41" w:rsidRDefault="00163103" w:rsidP="00EA2E4C">
            <w:pPr>
              <w:pStyle w:val="1"/>
              <w:spacing w:line="240" w:lineRule="auto"/>
            </w:pPr>
            <w:r w:rsidRPr="00A52F41">
              <w:t>Program razvoja podeželja</w:t>
            </w:r>
          </w:p>
        </w:tc>
      </w:tr>
      <w:tr w:rsidR="00163103" w:rsidRPr="00A52F41" w14:paraId="2AB58998" w14:textId="77777777" w:rsidTr="00EA2E4C">
        <w:trPr>
          <w:trHeight w:val="457"/>
        </w:trPr>
        <w:tc>
          <w:tcPr>
            <w:tcW w:w="2804" w:type="dxa"/>
          </w:tcPr>
          <w:p w14:paraId="46F291D8" w14:textId="77777777" w:rsidR="00163103" w:rsidRPr="00A52F41" w:rsidRDefault="00163103" w:rsidP="00EA2E4C">
            <w:pPr>
              <w:pStyle w:val="1"/>
              <w:spacing w:line="240" w:lineRule="auto"/>
            </w:pPr>
            <w:r w:rsidRPr="00A52F41">
              <w:t>MKGP</w:t>
            </w:r>
          </w:p>
        </w:tc>
        <w:tc>
          <w:tcPr>
            <w:tcW w:w="6484" w:type="dxa"/>
          </w:tcPr>
          <w:p w14:paraId="62D1EE72" w14:textId="77777777" w:rsidR="00163103" w:rsidRPr="00A52F41" w:rsidRDefault="00163103" w:rsidP="00EA2E4C">
            <w:pPr>
              <w:pStyle w:val="1"/>
              <w:spacing w:line="240" w:lineRule="auto"/>
            </w:pPr>
            <w:r w:rsidRPr="00A52F41">
              <w:t>Ministrstvo za kmetijstvo, gozdarstvo in prehrano</w:t>
            </w:r>
          </w:p>
        </w:tc>
      </w:tr>
      <w:tr w:rsidR="00163103" w:rsidRPr="00A52F41" w14:paraId="22F9F037" w14:textId="77777777" w:rsidTr="00EA2E4C">
        <w:trPr>
          <w:trHeight w:val="457"/>
        </w:trPr>
        <w:tc>
          <w:tcPr>
            <w:tcW w:w="2804" w:type="dxa"/>
          </w:tcPr>
          <w:p w14:paraId="116C6191" w14:textId="77777777" w:rsidR="00163103" w:rsidRPr="00A52F41" w:rsidRDefault="00163103" w:rsidP="00EA2E4C">
            <w:pPr>
              <w:pStyle w:val="1"/>
              <w:spacing w:line="240" w:lineRule="auto"/>
            </w:pPr>
            <w:r w:rsidRPr="00A52F41">
              <w:t>ARSKTRP</w:t>
            </w:r>
          </w:p>
        </w:tc>
        <w:tc>
          <w:tcPr>
            <w:tcW w:w="6484" w:type="dxa"/>
          </w:tcPr>
          <w:p w14:paraId="05E7A6E2" w14:textId="77777777" w:rsidR="00163103" w:rsidRPr="00A52F41" w:rsidRDefault="00163103" w:rsidP="00EA2E4C">
            <w:pPr>
              <w:pStyle w:val="1"/>
              <w:spacing w:line="240" w:lineRule="auto"/>
            </w:pPr>
            <w:r w:rsidRPr="00A52F41">
              <w:t>Agencija Republike Slovenije za kmetijske trge in razvoj podeželja</w:t>
            </w:r>
          </w:p>
        </w:tc>
      </w:tr>
      <w:tr w:rsidR="00163103" w:rsidRPr="00A52F41" w14:paraId="4EE3C681" w14:textId="77777777" w:rsidTr="00EA2E4C">
        <w:trPr>
          <w:trHeight w:val="457"/>
        </w:trPr>
        <w:tc>
          <w:tcPr>
            <w:tcW w:w="2804" w:type="dxa"/>
          </w:tcPr>
          <w:p w14:paraId="698125BA" w14:textId="77777777" w:rsidR="00163103" w:rsidRPr="00A52F41" w:rsidRDefault="00163103" w:rsidP="00EA2E4C">
            <w:pPr>
              <w:pStyle w:val="1"/>
              <w:spacing w:line="240" w:lineRule="auto"/>
            </w:pPr>
            <w:r w:rsidRPr="00A52F41">
              <w:t>TNP</w:t>
            </w:r>
          </w:p>
        </w:tc>
        <w:tc>
          <w:tcPr>
            <w:tcW w:w="6484" w:type="dxa"/>
          </w:tcPr>
          <w:p w14:paraId="1A912FCF" w14:textId="77777777" w:rsidR="00163103" w:rsidRPr="00A52F41" w:rsidRDefault="00163103" w:rsidP="00EA2E4C">
            <w:pPr>
              <w:pStyle w:val="1"/>
              <w:spacing w:line="240" w:lineRule="auto"/>
            </w:pPr>
            <w:r w:rsidRPr="00A52F41">
              <w:t>Triglavski narodni park</w:t>
            </w:r>
          </w:p>
        </w:tc>
      </w:tr>
      <w:tr w:rsidR="00163103" w:rsidRPr="00A52F41" w14:paraId="6FC4BFFC" w14:textId="77777777" w:rsidTr="00EA2E4C">
        <w:trPr>
          <w:trHeight w:val="457"/>
        </w:trPr>
        <w:tc>
          <w:tcPr>
            <w:tcW w:w="2804" w:type="dxa"/>
          </w:tcPr>
          <w:p w14:paraId="13432672" w14:textId="77777777" w:rsidR="00163103" w:rsidRPr="00A52F41" w:rsidRDefault="00163103" w:rsidP="00EA2E4C">
            <w:pPr>
              <w:pStyle w:val="1"/>
              <w:spacing w:line="240" w:lineRule="auto"/>
            </w:pPr>
            <w:r w:rsidRPr="00A52F41">
              <w:t>OP EKP</w:t>
            </w:r>
          </w:p>
        </w:tc>
        <w:tc>
          <w:tcPr>
            <w:tcW w:w="6484" w:type="dxa"/>
          </w:tcPr>
          <w:p w14:paraId="1226A641" w14:textId="77777777" w:rsidR="00163103" w:rsidRPr="00A52F41" w:rsidRDefault="00163103" w:rsidP="00EA2E4C">
            <w:pPr>
              <w:pStyle w:val="1"/>
              <w:spacing w:line="240" w:lineRule="auto"/>
            </w:pPr>
            <w:r w:rsidRPr="00A52F41">
              <w:t>Operativni program evropske kohezijske politike</w:t>
            </w:r>
          </w:p>
        </w:tc>
      </w:tr>
      <w:tr w:rsidR="00163103" w:rsidRPr="00A52F41" w14:paraId="75DD7139" w14:textId="77777777" w:rsidTr="00EA2E4C">
        <w:trPr>
          <w:trHeight w:val="457"/>
        </w:trPr>
        <w:tc>
          <w:tcPr>
            <w:tcW w:w="2804" w:type="dxa"/>
          </w:tcPr>
          <w:p w14:paraId="6A062579" w14:textId="77777777" w:rsidR="00163103" w:rsidRPr="00A52F41" w:rsidRDefault="00163103" w:rsidP="00EA2E4C">
            <w:pPr>
              <w:pStyle w:val="1"/>
              <w:spacing w:line="240" w:lineRule="auto"/>
            </w:pPr>
            <w:r w:rsidRPr="00A52F41">
              <w:t>ESPR</w:t>
            </w:r>
          </w:p>
        </w:tc>
        <w:tc>
          <w:tcPr>
            <w:tcW w:w="6484" w:type="dxa"/>
          </w:tcPr>
          <w:p w14:paraId="08D887C6" w14:textId="77777777" w:rsidR="00163103" w:rsidRPr="00A52F41" w:rsidRDefault="00163103" w:rsidP="00EA2E4C">
            <w:pPr>
              <w:pStyle w:val="1"/>
              <w:spacing w:line="240" w:lineRule="auto"/>
            </w:pPr>
            <w:r w:rsidRPr="00A52F41">
              <w:t>Evropski sklad za pomorstvo in ribištvo</w:t>
            </w:r>
          </w:p>
        </w:tc>
      </w:tr>
      <w:tr w:rsidR="00163103" w:rsidRPr="00A52F41" w14:paraId="5E7CF1F4" w14:textId="77777777" w:rsidTr="00EA2E4C">
        <w:trPr>
          <w:trHeight w:val="457"/>
        </w:trPr>
        <w:tc>
          <w:tcPr>
            <w:tcW w:w="2804" w:type="dxa"/>
          </w:tcPr>
          <w:p w14:paraId="4B4D7DAF" w14:textId="77777777" w:rsidR="00163103" w:rsidRPr="00A52F41" w:rsidRDefault="00163103" w:rsidP="00EA2E4C">
            <w:pPr>
              <w:pStyle w:val="1"/>
              <w:spacing w:line="240" w:lineRule="auto"/>
            </w:pPr>
            <w:r w:rsidRPr="00A52F41">
              <w:t>OVE</w:t>
            </w:r>
          </w:p>
        </w:tc>
        <w:tc>
          <w:tcPr>
            <w:tcW w:w="6484" w:type="dxa"/>
          </w:tcPr>
          <w:p w14:paraId="76DB84A7" w14:textId="77777777" w:rsidR="00163103" w:rsidRPr="00A52F41" w:rsidRDefault="00163103" w:rsidP="00EA2E4C">
            <w:pPr>
              <w:pStyle w:val="1"/>
              <w:spacing w:line="240" w:lineRule="auto"/>
            </w:pPr>
            <w:r w:rsidRPr="00A52F41">
              <w:t>Obnovljivi viri energije</w:t>
            </w:r>
          </w:p>
        </w:tc>
      </w:tr>
      <w:tr w:rsidR="00163103" w:rsidRPr="00A52F41" w14:paraId="03F011FB" w14:textId="77777777" w:rsidTr="00EA2E4C">
        <w:trPr>
          <w:trHeight w:val="457"/>
        </w:trPr>
        <w:tc>
          <w:tcPr>
            <w:tcW w:w="2804" w:type="dxa"/>
          </w:tcPr>
          <w:p w14:paraId="7A5AFE12" w14:textId="77777777" w:rsidR="00163103" w:rsidRPr="00A52F41" w:rsidRDefault="00163103" w:rsidP="00EA2E4C">
            <w:pPr>
              <w:pStyle w:val="1"/>
              <w:spacing w:line="240" w:lineRule="auto"/>
            </w:pPr>
            <w:r w:rsidRPr="00A52F41">
              <w:t>ESRR</w:t>
            </w:r>
          </w:p>
        </w:tc>
        <w:tc>
          <w:tcPr>
            <w:tcW w:w="6484" w:type="dxa"/>
          </w:tcPr>
          <w:p w14:paraId="0FD1EFFA" w14:textId="77777777" w:rsidR="00163103" w:rsidRPr="00A52F41" w:rsidRDefault="00163103" w:rsidP="00EA2E4C">
            <w:pPr>
              <w:pStyle w:val="1"/>
              <w:spacing w:line="240" w:lineRule="auto"/>
            </w:pPr>
            <w:r w:rsidRPr="00A52F41">
              <w:t>Evropski sklad za regionalni razvoj</w:t>
            </w:r>
          </w:p>
        </w:tc>
      </w:tr>
    </w:tbl>
    <w:p w14:paraId="2BEE7A97" w14:textId="77777777" w:rsidR="00B42FF0" w:rsidRDefault="00B42FF0">
      <w:r>
        <w:br w:type="page"/>
      </w:r>
    </w:p>
    <w:p w14:paraId="4BAB060C" w14:textId="77777777" w:rsidR="00CA6187" w:rsidRPr="0004661A" w:rsidRDefault="00CA6187" w:rsidP="0004661A">
      <w:pPr>
        <w:spacing w:line="360" w:lineRule="auto"/>
        <w:jc w:val="both"/>
        <w:rPr>
          <w:rFonts w:ascii="Arial" w:hAnsi="Arial" w:cs="Arial"/>
          <w:b/>
          <w:sz w:val="28"/>
          <w:szCs w:val="28"/>
        </w:rPr>
      </w:pPr>
      <w:r w:rsidRPr="0004661A">
        <w:rPr>
          <w:rFonts w:ascii="Arial" w:hAnsi="Arial" w:cs="Arial"/>
          <w:b/>
          <w:sz w:val="28"/>
          <w:szCs w:val="28"/>
        </w:rPr>
        <w:lastRenderedPageBreak/>
        <w:t>POVZETEK</w:t>
      </w:r>
    </w:p>
    <w:p w14:paraId="7B13DF96" w14:textId="77777777" w:rsidR="009E0216" w:rsidRPr="00A52F41" w:rsidRDefault="009E0216" w:rsidP="00A417A4">
      <w:pPr>
        <w:spacing w:before="200" w:line="360" w:lineRule="auto"/>
        <w:jc w:val="both"/>
        <w:rPr>
          <w:rFonts w:ascii="Arial" w:hAnsi="Arial" w:cs="Arial"/>
          <w:sz w:val="20"/>
          <w:szCs w:val="20"/>
        </w:rPr>
      </w:pPr>
      <w:r w:rsidRPr="00A52F41">
        <w:rPr>
          <w:rFonts w:ascii="Arial" w:hAnsi="Arial" w:cs="Arial"/>
          <w:sz w:val="20"/>
          <w:szCs w:val="20"/>
        </w:rPr>
        <w:t xml:space="preserve">V okviru specifičnega cilja »Spodbujanje zaposlovanja, rasti, socialne vključenosti in lokalnega razvoja na podeželskih območjih, vključno z biogospodarstvom in trajnostnim gozdarstvom« so analizirane vsebine in podprte potrebe, ki izhajajo iz izzivov, ciljev in mehanizmov, določenih v strateškem dokumentu Resolucije »Naša Hrana, podeželje in naravni viri od leta 2021«, umeščenih v skupino ciljev »Dvig kakovosti življenja in krepitev gospodarske aktivnosti na podeželju«. V to skupino ciljev spadajo naslednji specifični cilji: Spodbujanje dopolnilnih dejavnosti na kmetijah, Krepitev lokalnih pobud in medpanožnega sodelovanja ter krepitev navezave turizma na kakovostno hrano iz lokalnega okolja, Razvoj biogospodarstva, Socialna vključenost, ženske na podeželju in skrb za ranljive skupine ter Zmanjševanje vrzeli v dostopnosti in kakovosti storitev v urbanem in ruralnem okolju.  </w:t>
      </w:r>
    </w:p>
    <w:p w14:paraId="4475668B" w14:textId="71EC419F" w:rsidR="009E0216" w:rsidRPr="00A417A4" w:rsidRDefault="00603B15" w:rsidP="00A417A4">
      <w:pPr>
        <w:pStyle w:val="SCslika"/>
      </w:pPr>
      <w:bookmarkStart w:id="1" w:name="_Toc49245361"/>
      <w:r w:rsidRPr="00A417A4">
        <w:t xml:space="preserve">Tabela </w:t>
      </w:r>
      <w:r w:rsidR="006114CA">
        <w:t>1</w:t>
      </w:r>
      <w:r w:rsidRPr="00A417A4">
        <w:t xml:space="preserve">: Uporabljeni kazalniki stanja v okviru </w:t>
      </w:r>
      <w:bookmarkEnd w:id="1"/>
      <w:r w:rsidR="00163103" w:rsidRPr="00A417A4">
        <w:t>specifičnega cilja SC8</w:t>
      </w:r>
    </w:p>
    <w:tbl>
      <w:tblPr>
        <w:tblStyle w:val="Tabelamrea"/>
        <w:tblW w:w="0" w:type="auto"/>
        <w:tblLook w:val="04A0" w:firstRow="1" w:lastRow="0" w:firstColumn="1" w:lastColumn="0" w:noHBand="0" w:noVBand="1"/>
      </w:tblPr>
      <w:tblGrid>
        <w:gridCol w:w="2486"/>
        <w:gridCol w:w="1934"/>
        <w:gridCol w:w="4359"/>
      </w:tblGrid>
      <w:tr w:rsidR="00CA6187" w:rsidRPr="00A52F41" w14:paraId="0F87367B" w14:textId="77777777" w:rsidTr="00C0502F">
        <w:tc>
          <w:tcPr>
            <w:tcW w:w="2486" w:type="dxa"/>
            <w:shd w:val="clear" w:color="auto" w:fill="92D050"/>
          </w:tcPr>
          <w:p w14:paraId="66EBAF72" w14:textId="77777777" w:rsidR="00CA6187" w:rsidRPr="00A52F41" w:rsidRDefault="00CA6187" w:rsidP="00EA2E4C">
            <w:pPr>
              <w:spacing w:line="360" w:lineRule="auto"/>
              <w:jc w:val="both"/>
              <w:rPr>
                <w:rFonts w:ascii="Arial" w:hAnsi="Arial" w:cs="Arial"/>
                <w:b/>
                <w:sz w:val="20"/>
                <w:szCs w:val="20"/>
              </w:rPr>
            </w:pPr>
            <w:r w:rsidRPr="00A52F41">
              <w:rPr>
                <w:rFonts w:ascii="Arial" w:hAnsi="Arial" w:cs="Arial"/>
                <w:b/>
                <w:sz w:val="20"/>
                <w:szCs w:val="20"/>
              </w:rPr>
              <w:t>Področje</w:t>
            </w:r>
          </w:p>
        </w:tc>
        <w:tc>
          <w:tcPr>
            <w:tcW w:w="1934" w:type="dxa"/>
            <w:shd w:val="clear" w:color="auto" w:fill="92D050"/>
          </w:tcPr>
          <w:p w14:paraId="7AB69728" w14:textId="77777777" w:rsidR="00CA6187" w:rsidRPr="00A52F41" w:rsidRDefault="00CA6187" w:rsidP="00EA2E4C">
            <w:pPr>
              <w:spacing w:line="360" w:lineRule="auto"/>
              <w:jc w:val="both"/>
              <w:rPr>
                <w:rFonts w:ascii="Arial" w:hAnsi="Arial" w:cs="Arial"/>
                <w:b/>
                <w:sz w:val="20"/>
                <w:szCs w:val="20"/>
              </w:rPr>
            </w:pPr>
            <w:r w:rsidRPr="00A52F41">
              <w:rPr>
                <w:rFonts w:ascii="Arial" w:hAnsi="Arial" w:cs="Arial"/>
                <w:b/>
                <w:sz w:val="20"/>
                <w:szCs w:val="20"/>
              </w:rPr>
              <w:t>Oznaka kazalnika PMEF</w:t>
            </w:r>
          </w:p>
        </w:tc>
        <w:tc>
          <w:tcPr>
            <w:tcW w:w="4359" w:type="dxa"/>
            <w:shd w:val="clear" w:color="auto" w:fill="92D050"/>
          </w:tcPr>
          <w:p w14:paraId="49D1C534" w14:textId="77777777" w:rsidR="00CA6187" w:rsidRPr="00A52F41" w:rsidRDefault="00CA6187" w:rsidP="00EA2E4C">
            <w:pPr>
              <w:spacing w:line="360" w:lineRule="auto"/>
              <w:jc w:val="both"/>
              <w:rPr>
                <w:rFonts w:ascii="Arial" w:hAnsi="Arial" w:cs="Arial"/>
                <w:b/>
                <w:sz w:val="20"/>
                <w:szCs w:val="20"/>
              </w:rPr>
            </w:pPr>
            <w:r w:rsidRPr="00A52F41">
              <w:rPr>
                <w:rFonts w:ascii="Arial" w:hAnsi="Arial" w:cs="Arial"/>
                <w:b/>
                <w:sz w:val="20"/>
                <w:szCs w:val="20"/>
              </w:rPr>
              <w:t>Kazalnik PMEF</w:t>
            </w:r>
          </w:p>
        </w:tc>
      </w:tr>
      <w:tr w:rsidR="00CA6187" w:rsidRPr="00A52F41" w14:paraId="137DD30F" w14:textId="77777777" w:rsidTr="00C0502F">
        <w:tc>
          <w:tcPr>
            <w:tcW w:w="2486" w:type="dxa"/>
            <w:vMerge w:val="restart"/>
          </w:tcPr>
          <w:p w14:paraId="5141D750" w14:textId="77777777" w:rsidR="00CA6187" w:rsidRPr="00A52F41" w:rsidRDefault="00CA6187"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Prebivalstvo</w:t>
            </w:r>
          </w:p>
        </w:tc>
        <w:tc>
          <w:tcPr>
            <w:tcW w:w="1934" w:type="dxa"/>
          </w:tcPr>
          <w:p w14:paraId="65EDEE9A" w14:textId="77777777" w:rsidR="00CA6187" w:rsidRPr="00A52F41" w:rsidRDefault="00CA6187"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 xml:space="preserve">C.01 </w:t>
            </w:r>
          </w:p>
        </w:tc>
        <w:tc>
          <w:tcPr>
            <w:tcW w:w="4359" w:type="dxa"/>
          </w:tcPr>
          <w:p w14:paraId="73E78247" w14:textId="77777777" w:rsidR="00CA6187" w:rsidRPr="00A52F41" w:rsidRDefault="00CA6187"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Število prebivalcev</w:t>
            </w:r>
          </w:p>
        </w:tc>
      </w:tr>
      <w:tr w:rsidR="00CA6187" w:rsidRPr="00A52F41" w14:paraId="1159A137" w14:textId="77777777" w:rsidTr="00C0502F">
        <w:tc>
          <w:tcPr>
            <w:tcW w:w="2486" w:type="dxa"/>
            <w:vMerge/>
          </w:tcPr>
          <w:p w14:paraId="5D16A443" w14:textId="77777777" w:rsidR="00CA6187" w:rsidRPr="00A52F41" w:rsidRDefault="00CA6187" w:rsidP="00EA2E4C">
            <w:pPr>
              <w:spacing w:line="360" w:lineRule="auto"/>
              <w:jc w:val="both"/>
              <w:rPr>
                <w:rFonts w:ascii="Arial" w:eastAsia="Arial" w:hAnsi="Arial" w:cs="Arial"/>
                <w:color w:val="000000"/>
                <w:sz w:val="20"/>
                <w:szCs w:val="20"/>
              </w:rPr>
            </w:pPr>
          </w:p>
        </w:tc>
        <w:tc>
          <w:tcPr>
            <w:tcW w:w="1934" w:type="dxa"/>
          </w:tcPr>
          <w:p w14:paraId="48A898EC" w14:textId="77777777" w:rsidR="00CA6187" w:rsidRPr="00A52F41" w:rsidRDefault="00CA6187"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 xml:space="preserve">C.02 </w:t>
            </w:r>
          </w:p>
        </w:tc>
        <w:tc>
          <w:tcPr>
            <w:tcW w:w="4359" w:type="dxa"/>
          </w:tcPr>
          <w:p w14:paraId="06FF75DF" w14:textId="77777777" w:rsidR="00CA6187" w:rsidRPr="00A52F41" w:rsidRDefault="00CA6187"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Gostota prebivalstva</w:t>
            </w:r>
          </w:p>
        </w:tc>
      </w:tr>
      <w:tr w:rsidR="00CA6187" w:rsidRPr="00A52F41" w14:paraId="583E284F" w14:textId="77777777" w:rsidTr="00C0502F">
        <w:tc>
          <w:tcPr>
            <w:tcW w:w="2486" w:type="dxa"/>
            <w:vMerge/>
          </w:tcPr>
          <w:p w14:paraId="368A6D1C" w14:textId="77777777" w:rsidR="00CA6187" w:rsidRPr="00A52F41" w:rsidRDefault="00CA6187" w:rsidP="00EA2E4C">
            <w:pPr>
              <w:spacing w:line="360" w:lineRule="auto"/>
              <w:jc w:val="both"/>
              <w:rPr>
                <w:rFonts w:ascii="Arial" w:eastAsia="Arial" w:hAnsi="Arial" w:cs="Arial"/>
                <w:color w:val="000000"/>
                <w:sz w:val="20"/>
                <w:szCs w:val="20"/>
              </w:rPr>
            </w:pPr>
          </w:p>
        </w:tc>
        <w:tc>
          <w:tcPr>
            <w:tcW w:w="1934" w:type="dxa"/>
          </w:tcPr>
          <w:p w14:paraId="77889280" w14:textId="77777777" w:rsidR="00CA6187" w:rsidRPr="00A52F41" w:rsidRDefault="00CA6187"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 xml:space="preserve">C.03 </w:t>
            </w:r>
          </w:p>
        </w:tc>
        <w:tc>
          <w:tcPr>
            <w:tcW w:w="4359" w:type="dxa"/>
          </w:tcPr>
          <w:p w14:paraId="4D6935B4" w14:textId="77777777" w:rsidR="00CA6187" w:rsidRPr="00A52F41" w:rsidRDefault="00CA6187"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Starostna struktura prebivalstva</w:t>
            </w:r>
          </w:p>
        </w:tc>
      </w:tr>
      <w:tr w:rsidR="00CA6187" w:rsidRPr="00A52F41" w14:paraId="426806C2" w14:textId="77777777" w:rsidTr="00C0502F">
        <w:tc>
          <w:tcPr>
            <w:tcW w:w="2486" w:type="dxa"/>
          </w:tcPr>
          <w:p w14:paraId="639D4A72" w14:textId="77777777" w:rsidR="00CA6187" w:rsidRPr="00A52F41" w:rsidRDefault="00CA6187"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Površina</w:t>
            </w:r>
          </w:p>
        </w:tc>
        <w:tc>
          <w:tcPr>
            <w:tcW w:w="1934" w:type="dxa"/>
          </w:tcPr>
          <w:p w14:paraId="243DD8E6" w14:textId="77777777" w:rsidR="00CA6187" w:rsidRPr="00A52F41" w:rsidRDefault="00CA6187"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C.04</w:t>
            </w:r>
          </w:p>
        </w:tc>
        <w:tc>
          <w:tcPr>
            <w:tcW w:w="4359" w:type="dxa"/>
          </w:tcPr>
          <w:p w14:paraId="73B6AF17" w14:textId="77777777" w:rsidR="00CA6187" w:rsidRPr="00A52F41" w:rsidRDefault="00CA6187"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Celotna površina</w:t>
            </w:r>
          </w:p>
        </w:tc>
      </w:tr>
      <w:tr w:rsidR="00163103" w:rsidRPr="00A52F41" w14:paraId="0037278E" w14:textId="77777777" w:rsidTr="00163103">
        <w:trPr>
          <w:trHeight w:val="64"/>
        </w:trPr>
        <w:tc>
          <w:tcPr>
            <w:tcW w:w="2486" w:type="dxa"/>
            <w:vMerge w:val="restart"/>
          </w:tcPr>
          <w:p w14:paraId="2BD80EA1"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Trg dela</w:t>
            </w:r>
          </w:p>
        </w:tc>
        <w:tc>
          <w:tcPr>
            <w:tcW w:w="1934" w:type="dxa"/>
          </w:tcPr>
          <w:p w14:paraId="1AB5FB46"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C.06</w:t>
            </w:r>
          </w:p>
        </w:tc>
        <w:tc>
          <w:tcPr>
            <w:tcW w:w="4359" w:type="dxa"/>
          </w:tcPr>
          <w:p w14:paraId="52757C87"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Stopnja zaposlenosti</w:t>
            </w:r>
          </w:p>
        </w:tc>
      </w:tr>
      <w:tr w:rsidR="00163103" w:rsidRPr="00A52F41" w14:paraId="08E3DC4B" w14:textId="77777777" w:rsidTr="00163103">
        <w:trPr>
          <w:trHeight w:val="64"/>
        </w:trPr>
        <w:tc>
          <w:tcPr>
            <w:tcW w:w="2486" w:type="dxa"/>
            <w:vMerge/>
          </w:tcPr>
          <w:p w14:paraId="5EF52443" w14:textId="77777777" w:rsidR="00163103" w:rsidRPr="00A52F41" w:rsidRDefault="00163103" w:rsidP="00EA2E4C">
            <w:pPr>
              <w:spacing w:line="360" w:lineRule="auto"/>
              <w:jc w:val="both"/>
              <w:rPr>
                <w:rFonts w:ascii="Arial" w:eastAsia="Arial" w:hAnsi="Arial" w:cs="Arial"/>
                <w:color w:val="000000"/>
                <w:sz w:val="20"/>
                <w:szCs w:val="20"/>
              </w:rPr>
            </w:pPr>
          </w:p>
        </w:tc>
        <w:tc>
          <w:tcPr>
            <w:tcW w:w="1934" w:type="dxa"/>
          </w:tcPr>
          <w:p w14:paraId="7D7D0896"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C.07</w:t>
            </w:r>
          </w:p>
        </w:tc>
        <w:tc>
          <w:tcPr>
            <w:tcW w:w="4359" w:type="dxa"/>
          </w:tcPr>
          <w:p w14:paraId="40BF6072"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Stopnja brezposelnosti</w:t>
            </w:r>
          </w:p>
        </w:tc>
      </w:tr>
      <w:tr w:rsidR="00163103" w:rsidRPr="00A52F41" w14:paraId="2CA60BF9" w14:textId="77777777" w:rsidTr="00163103">
        <w:trPr>
          <w:trHeight w:val="64"/>
        </w:trPr>
        <w:tc>
          <w:tcPr>
            <w:tcW w:w="2486" w:type="dxa"/>
            <w:vMerge/>
          </w:tcPr>
          <w:p w14:paraId="2886EBC9" w14:textId="77777777" w:rsidR="00163103" w:rsidRPr="00A52F41" w:rsidRDefault="00163103" w:rsidP="00EA2E4C">
            <w:pPr>
              <w:spacing w:line="360" w:lineRule="auto"/>
              <w:jc w:val="both"/>
              <w:rPr>
                <w:rFonts w:ascii="Arial" w:eastAsia="Arial" w:hAnsi="Arial" w:cs="Arial"/>
                <w:color w:val="000000"/>
                <w:sz w:val="20"/>
                <w:szCs w:val="20"/>
              </w:rPr>
            </w:pPr>
          </w:p>
        </w:tc>
        <w:tc>
          <w:tcPr>
            <w:tcW w:w="1934" w:type="dxa"/>
          </w:tcPr>
          <w:p w14:paraId="5B103CE2"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C.08</w:t>
            </w:r>
          </w:p>
        </w:tc>
        <w:tc>
          <w:tcPr>
            <w:tcW w:w="4359" w:type="dxa"/>
          </w:tcPr>
          <w:p w14:paraId="18FC9327"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Zaposlovanje</w:t>
            </w:r>
          </w:p>
        </w:tc>
      </w:tr>
      <w:tr w:rsidR="00163103" w:rsidRPr="00A52F41" w14:paraId="37EF04FF" w14:textId="77777777" w:rsidTr="00163103">
        <w:trPr>
          <w:trHeight w:val="64"/>
        </w:trPr>
        <w:tc>
          <w:tcPr>
            <w:tcW w:w="2486" w:type="dxa"/>
            <w:vMerge w:val="restart"/>
          </w:tcPr>
          <w:p w14:paraId="792609E6"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Gospodarstvo</w:t>
            </w:r>
          </w:p>
        </w:tc>
        <w:tc>
          <w:tcPr>
            <w:tcW w:w="1934" w:type="dxa"/>
          </w:tcPr>
          <w:p w14:paraId="4356B078"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C.09</w:t>
            </w:r>
          </w:p>
        </w:tc>
        <w:tc>
          <w:tcPr>
            <w:tcW w:w="4359" w:type="dxa"/>
          </w:tcPr>
          <w:p w14:paraId="6FBCC56E"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BDP na prebivalca</w:t>
            </w:r>
          </w:p>
        </w:tc>
      </w:tr>
      <w:tr w:rsidR="00163103" w:rsidRPr="00A52F41" w14:paraId="5726E13F" w14:textId="77777777" w:rsidTr="00163103">
        <w:trPr>
          <w:trHeight w:val="64"/>
        </w:trPr>
        <w:tc>
          <w:tcPr>
            <w:tcW w:w="2486" w:type="dxa"/>
            <w:vMerge/>
          </w:tcPr>
          <w:p w14:paraId="679F842D" w14:textId="77777777" w:rsidR="00163103" w:rsidRPr="00A52F41" w:rsidRDefault="00163103" w:rsidP="00EA2E4C">
            <w:pPr>
              <w:spacing w:line="360" w:lineRule="auto"/>
              <w:jc w:val="both"/>
              <w:rPr>
                <w:rFonts w:ascii="Arial" w:eastAsia="Arial" w:hAnsi="Arial" w:cs="Arial"/>
                <w:color w:val="000000"/>
                <w:sz w:val="20"/>
                <w:szCs w:val="20"/>
              </w:rPr>
            </w:pPr>
          </w:p>
        </w:tc>
        <w:tc>
          <w:tcPr>
            <w:tcW w:w="1934" w:type="dxa"/>
          </w:tcPr>
          <w:p w14:paraId="6D9E8E82"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C.10</w:t>
            </w:r>
          </w:p>
        </w:tc>
        <w:tc>
          <w:tcPr>
            <w:tcW w:w="4359" w:type="dxa"/>
          </w:tcPr>
          <w:p w14:paraId="76CDFB19"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Stopnja revščine</w:t>
            </w:r>
          </w:p>
        </w:tc>
      </w:tr>
      <w:tr w:rsidR="00163103" w:rsidRPr="00A52F41" w14:paraId="3896254B" w14:textId="77777777" w:rsidTr="00163103">
        <w:trPr>
          <w:trHeight w:val="64"/>
        </w:trPr>
        <w:tc>
          <w:tcPr>
            <w:tcW w:w="2486" w:type="dxa"/>
            <w:vMerge/>
          </w:tcPr>
          <w:p w14:paraId="099C0EC6" w14:textId="77777777" w:rsidR="00163103" w:rsidRPr="00A52F41" w:rsidRDefault="00163103" w:rsidP="00EA2E4C">
            <w:pPr>
              <w:spacing w:line="360" w:lineRule="auto"/>
              <w:jc w:val="both"/>
              <w:rPr>
                <w:rFonts w:ascii="Arial" w:eastAsia="Arial" w:hAnsi="Arial" w:cs="Arial"/>
                <w:color w:val="000000"/>
                <w:sz w:val="20"/>
                <w:szCs w:val="20"/>
              </w:rPr>
            </w:pPr>
          </w:p>
        </w:tc>
        <w:tc>
          <w:tcPr>
            <w:tcW w:w="1934" w:type="dxa"/>
          </w:tcPr>
          <w:p w14:paraId="42EF7016"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C.11</w:t>
            </w:r>
          </w:p>
        </w:tc>
        <w:tc>
          <w:tcPr>
            <w:tcW w:w="4359" w:type="dxa"/>
          </w:tcPr>
          <w:p w14:paraId="76ABD1A2"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Bruto dodana vrednost</w:t>
            </w:r>
          </w:p>
        </w:tc>
      </w:tr>
      <w:tr w:rsidR="00163103" w:rsidRPr="00A52F41" w14:paraId="077F1496" w14:textId="77777777" w:rsidTr="00163103">
        <w:trPr>
          <w:trHeight w:val="64"/>
        </w:trPr>
        <w:tc>
          <w:tcPr>
            <w:tcW w:w="2486" w:type="dxa"/>
          </w:tcPr>
          <w:p w14:paraId="73218862"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Dopolnilne dejavnosti</w:t>
            </w:r>
          </w:p>
        </w:tc>
        <w:tc>
          <w:tcPr>
            <w:tcW w:w="1934" w:type="dxa"/>
          </w:tcPr>
          <w:p w14:paraId="687A0525"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 xml:space="preserve">C.31 </w:t>
            </w:r>
          </w:p>
        </w:tc>
        <w:tc>
          <w:tcPr>
            <w:tcW w:w="4359" w:type="dxa"/>
          </w:tcPr>
          <w:p w14:paraId="2C244BDC"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Turistična infrastruktura</w:t>
            </w:r>
          </w:p>
        </w:tc>
      </w:tr>
      <w:tr w:rsidR="00163103" w:rsidRPr="00A52F41" w14:paraId="72BA5AB7" w14:textId="77777777" w:rsidTr="00163103">
        <w:trPr>
          <w:trHeight w:val="64"/>
        </w:trPr>
        <w:tc>
          <w:tcPr>
            <w:tcW w:w="2486" w:type="dxa"/>
          </w:tcPr>
          <w:p w14:paraId="314573EB"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Energija</w:t>
            </w:r>
          </w:p>
        </w:tc>
        <w:tc>
          <w:tcPr>
            <w:tcW w:w="1934" w:type="dxa"/>
          </w:tcPr>
          <w:p w14:paraId="507CC567"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C.41</w:t>
            </w:r>
          </w:p>
        </w:tc>
        <w:tc>
          <w:tcPr>
            <w:tcW w:w="4359" w:type="dxa"/>
          </w:tcPr>
          <w:p w14:paraId="5DADE1C0" w14:textId="77777777" w:rsidR="00163103" w:rsidRPr="00A52F41" w:rsidRDefault="00163103" w:rsidP="00EA2E4C">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Proizvodnja obnovljive energije v kmetijstvu in gozdarstvu</w:t>
            </w:r>
          </w:p>
        </w:tc>
      </w:tr>
    </w:tbl>
    <w:p w14:paraId="723701C2" w14:textId="77777777" w:rsidR="00214241" w:rsidRPr="00A52F41" w:rsidRDefault="00214241" w:rsidP="00EA2E4C">
      <w:pPr>
        <w:pStyle w:val="Odstavekseznama"/>
        <w:spacing w:line="360" w:lineRule="auto"/>
        <w:jc w:val="both"/>
        <w:rPr>
          <w:rFonts w:ascii="Arial" w:hAnsi="Arial" w:cs="Arial"/>
          <w:b/>
          <w:sz w:val="20"/>
          <w:szCs w:val="20"/>
        </w:rPr>
      </w:pPr>
    </w:p>
    <w:p w14:paraId="434B633E" w14:textId="43915ACE" w:rsidR="009E0216" w:rsidRPr="00A52F41" w:rsidRDefault="009E0216" w:rsidP="002772FA">
      <w:pPr>
        <w:spacing w:before="200" w:line="360" w:lineRule="auto"/>
        <w:jc w:val="both"/>
        <w:rPr>
          <w:rFonts w:ascii="Arial" w:hAnsi="Arial" w:cs="Arial"/>
          <w:sz w:val="20"/>
          <w:szCs w:val="20"/>
        </w:rPr>
      </w:pPr>
      <w:r w:rsidRPr="00A52F41">
        <w:rPr>
          <w:rFonts w:ascii="Arial" w:hAnsi="Arial" w:cs="Arial"/>
          <w:sz w:val="20"/>
          <w:szCs w:val="20"/>
        </w:rPr>
        <w:t xml:space="preserve">Glede na tipologijo OECD, ki upošteva število prebivalcev, se Slovenija deli na zmerno podeželske in pretežno podeželske regije. Za namen Strateškega načrta, specifičnega cilja 8, podeželje obsega vsa </w:t>
      </w:r>
      <w:r w:rsidRPr="00A52F41">
        <w:rPr>
          <w:rFonts w:ascii="Arial" w:hAnsi="Arial" w:cs="Arial"/>
          <w:color w:val="000000"/>
          <w:sz w:val="20"/>
          <w:szCs w:val="20"/>
        </w:rPr>
        <w:t>naselja z manj kot 10.000 prebivalcev in v katerih je delež kmetijskih gospodarstev, glede na vsa gospodinjstva v tem naselju, višji kot 15 %</w:t>
      </w:r>
      <w:r w:rsidR="008829B8">
        <w:rPr>
          <w:rFonts w:ascii="Arial" w:hAnsi="Arial" w:cs="Arial"/>
          <w:color w:val="000000"/>
          <w:sz w:val="20"/>
          <w:szCs w:val="20"/>
        </w:rPr>
        <w:t>, p</w:t>
      </w:r>
      <w:r w:rsidR="008F7684">
        <w:rPr>
          <w:rFonts w:ascii="Arial" w:hAnsi="Arial" w:cs="Arial"/>
          <w:color w:val="000000"/>
          <w:sz w:val="20"/>
          <w:szCs w:val="20"/>
        </w:rPr>
        <w:t xml:space="preserve">ri čemer se </w:t>
      </w:r>
      <w:r w:rsidR="00B13353">
        <w:rPr>
          <w:rFonts w:ascii="Arial" w:hAnsi="Arial" w:cs="Arial"/>
          <w:color w:val="000000"/>
          <w:sz w:val="20"/>
          <w:szCs w:val="20"/>
        </w:rPr>
        <w:t>področje biogospodarstva oziroma krožnega</w:t>
      </w:r>
      <w:r w:rsidR="008F7684">
        <w:rPr>
          <w:rFonts w:ascii="Arial" w:hAnsi="Arial" w:cs="Arial"/>
          <w:color w:val="000000"/>
          <w:sz w:val="20"/>
          <w:szCs w:val="20"/>
        </w:rPr>
        <w:t xml:space="preserve"> gospodarstv</w:t>
      </w:r>
      <w:r w:rsidR="00B13353">
        <w:rPr>
          <w:rFonts w:ascii="Arial" w:hAnsi="Arial" w:cs="Arial"/>
          <w:color w:val="000000"/>
          <w:sz w:val="20"/>
          <w:szCs w:val="20"/>
        </w:rPr>
        <w:t>a in nekmetijskih</w:t>
      </w:r>
      <w:r w:rsidR="008F7684">
        <w:rPr>
          <w:rFonts w:ascii="Arial" w:hAnsi="Arial" w:cs="Arial"/>
          <w:color w:val="000000"/>
          <w:sz w:val="20"/>
          <w:szCs w:val="20"/>
        </w:rPr>
        <w:t xml:space="preserve"> dopolnilnih dejavnosti na kmetiji naslavlja na celotnem ozemlju Slovenije.  </w:t>
      </w:r>
    </w:p>
    <w:p w14:paraId="3E2B0D6D" w14:textId="77777777" w:rsidR="009E0216" w:rsidRPr="00A52F41" w:rsidRDefault="009E0216" w:rsidP="00EA2E4C">
      <w:pPr>
        <w:spacing w:line="360" w:lineRule="auto"/>
        <w:jc w:val="both"/>
        <w:rPr>
          <w:rFonts w:ascii="Arial" w:eastAsia="Arial" w:hAnsi="Arial" w:cs="Arial"/>
          <w:sz w:val="20"/>
          <w:szCs w:val="20"/>
        </w:rPr>
      </w:pPr>
      <w:r w:rsidRPr="00A52F41">
        <w:rPr>
          <w:rFonts w:ascii="Arial" w:eastAsia="Arial" w:hAnsi="Arial" w:cs="Arial"/>
          <w:sz w:val="20"/>
          <w:szCs w:val="20"/>
        </w:rPr>
        <w:t xml:space="preserve">Slovensko podeželje se sooča s številnimi strukturnimi težavami, ki pa se med regijami zelo razlikujejo. Prebivalstvo se hitro stara, njegovo obnavljanje je odvisno od migracij, povečuje se koeficient starostne odvisnosti mladih in starih, naravni prirast je negativen. Delež dnevnih migracij izven kraja bivališča je zaradi pomanjkanja kvalitetnih delovnih mest na podeželju zelo visok medtem ko se mladi in delovno aktivni prebivalci, ki so bolj izobraženi, odseljujejo. Za Slovenijo je značilno praznjenje obmejnih območij </w:t>
      </w:r>
      <w:r w:rsidRPr="00A52F41">
        <w:rPr>
          <w:rFonts w:ascii="Arial" w:eastAsia="Arial" w:hAnsi="Arial" w:cs="Arial"/>
          <w:sz w:val="20"/>
          <w:szCs w:val="20"/>
        </w:rPr>
        <w:lastRenderedPageBreak/>
        <w:t>in območij brez dobrih prometnih povezav, kar privede do drugih strukturnih težav teh območij. Problem staranja je tako na podeželju kot v mestih. Demografske spremembe že prinašajo posledice v gospodarstvu in zaposlovanju, oskrbi in zagotovitvi storitev splošnega pomena. Opremljenost s storitvami splošnega pomena je razmeroma ustrezna, večje spremembe v opremljenosti naselij pa so vidne v centralnih naseljih nižjih stopenj pod 10.000 prebivalci.</w:t>
      </w:r>
    </w:p>
    <w:p w14:paraId="14AEE884" w14:textId="77777777" w:rsidR="009E0216" w:rsidRPr="00A52F41" w:rsidRDefault="009E0216" w:rsidP="00EA2E4C">
      <w:pPr>
        <w:spacing w:line="360" w:lineRule="auto"/>
        <w:jc w:val="both"/>
        <w:rPr>
          <w:rFonts w:ascii="Arial" w:eastAsia="Arial" w:hAnsi="Arial" w:cs="Arial"/>
          <w:sz w:val="20"/>
          <w:szCs w:val="20"/>
        </w:rPr>
      </w:pPr>
      <w:r w:rsidRPr="00A52F41">
        <w:rPr>
          <w:rFonts w:ascii="Arial" w:eastAsia="Arial" w:hAnsi="Arial" w:cs="Arial"/>
          <w:sz w:val="20"/>
          <w:szCs w:val="20"/>
        </w:rPr>
        <w:t xml:space="preserve">Nekatere regije so razvojno zelo ogrožene, v povprečju je večja ogroženost v regijah vzhodne Slovenije. Stopnja tveganja revščine in socialne izključenosti določenih ranljivih skupin prebivalcev je visoka, med slovenskimi regijami pa se zelo razlikuje. </w:t>
      </w:r>
      <w:r w:rsidRPr="00A52F41">
        <w:rPr>
          <w:rFonts w:ascii="Arial" w:hAnsi="Arial" w:cs="Arial"/>
          <w:sz w:val="20"/>
          <w:szCs w:val="20"/>
        </w:rPr>
        <w:t>Na kakovost življenja in socialno vključenost vplivajo različni dejavniki. Med pokazatelji so: stopnja tveganja revščine, stopnja tveganja socialne izključenosti, delež gospodinjstev z dostopom do interneta, kazalnik zaupanja potrošnikov in samoocena splošnega zadovoljstva z življenjem. Zaradi izboljševanja izobrazbe mlajše populacije se je v zadnjih letih precej izboljšala izobrazbena raven celotnega prebivalstva: zmanjšal se je delež prebivalstva z največ osnovnošolsko izobrazbo, povečal pa se je delež terciarno izobraženih prebivalcev.</w:t>
      </w:r>
    </w:p>
    <w:p w14:paraId="151AC23C" w14:textId="77777777"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Slovensko podeželje se, poleg izzivov kot so negativni demografski trendi, pomanjkanje delovnih mest, praznjenje manj razvitih in od večjih središč bolj oddaljenih naselij, nezadostna infrastrukturna razvitost in pomanjkanje osnovnih storitev, (posledično) srečuje tudi z nižjo podjetniško aktivnostjo na podeželju. Dediščina je temelj kulturne pestrosti Slovenije, ki se prepleta z izjemno krajinsko in biotsko raznovrstnostjo, privlačnostjo države za življenje državljanov, za izobraževanje, za razvoj, za umetniško ustvarjanje, za turizem in druge gospodarske dejavnosti. Turizem je pomemben pospeševalec dejavnosti na podeželju. Možnosti za razvoj podeželja predstavljajo tudi podpore po konceptu Pametnih vasi. </w:t>
      </w:r>
    </w:p>
    <w:p w14:paraId="3E9A26B4" w14:textId="77777777"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Potenciali za razvoj so prav tako na področju biogospodarstva, ki sedaj v Sloveniji nima dovolj prepoznavne lastne identitete, po kateri bi se ločilo od drugih povezanih konceptov (npr. zeleno gospodarstvo ali krožno gospodarstvo).</w:t>
      </w:r>
    </w:p>
    <w:p w14:paraId="3ACB95FE" w14:textId="77777777" w:rsidR="00CA480A" w:rsidRPr="00A52F41" w:rsidRDefault="00CA480A" w:rsidP="001D5FC0">
      <w:pPr>
        <w:spacing w:before="200" w:line="360" w:lineRule="auto"/>
        <w:jc w:val="both"/>
        <w:rPr>
          <w:rFonts w:ascii="Arial" w:hAnsi="Arial" w:cs="Arial"/>
          <w:sz w:val="20"/>
          <w:szCs w:val="20"/>
        </w:rPr>
      </w:pPr>
    </w:p>
    <w:p w14:paraId="2A81A79A" w14:textId="419B5763" w:rsidR="009E0216" w:rsidRPr="006114CA" w:rsidRDefault="006114CA" w:rsidP="008D32AC">
      <w:pPr>
        <w:pStyle w:val="Naslov2"/>
        <w:keepLines w:val="0"/>
        <w:tabs>
          <w:tab w:val="left" w:pos="0"/>
          <w:tab w:val="left" w:pos="480"/>
          <w:tab w:val="left" w:pos="1276"/>
          <w:tab w:val="left" w:pos="4537"/>
        </w:tabs>
        <w:spacing w:after="200" w:line="360" w:lineRule="auto"/>
        <w:ind w:left="360"/>
        <w:jc w:val="both"/>
        <w:rPr>
          <w:rFonts w:ascii="Arial" w:hAnsi="Arial" w:cs="Arial"/>
          <w:color w:val="auto"/>
          <w:sz w:val="24"/>
          <w:szCs w:val="24"/>
        </w:rPr>
      </w:pPr>
      <w:bookmarkStart w:id="2" w:name="_Toc55999323"/>
      <w:r>
        <w:rPr>
          <w:rFonts w:ascii="Arial" w:hAnsi="Arial" w:cs="Arial"/>
          <w:color w:val="auto"/>
          <w:sz w:val="24"/>
          <w:szCs w:val="24"/>
        </w:rPr>
        <w:t xml:space="preserve">1 </w:t>
      </w:r>
      <w:r w:rsidR="009E0216" w:rsidRPr="006114CA">
        <w:rPr>
          <w:rFonts w:ascii="Arial" w:hAnsi="Arial" w:cs="Arial"/>
          <w:color w:val="auto"/>
          <w:sz w:val="24"/>
          <w:szCs w:val="24"/>
        </w:rPr>
        <w:t>SPLOŠNE ZNAČILNOSTI PODEŽELJA</w:t>
      </w:r>
      <w:bookmarkEnd w:id="2"/>
    </w:p>
    <w:p w14:paraId="2D9BA58D" w14:textId="77777777" w:rsidR="00503C7A" w:rsidRDefault="00503C7A" w:rsidP="008829B8">
      <w:pPr>
        <w:spacing w:line="360" w:lineRule="auto"/>
        <w:jc w:val="both"/>
      </w:pPr>
      <w:r>
        <w:t>UVOD</w:t>
      </w:r>
    </w:p>
    <w:p w14:paraId="789F0127" w14:textId="6F9DE1F5" w:rsidR="00503C7A" w:rsidRPr="008829B8" w:rsidRDefault="00503C7A" w:rsidP="008829B8">
      <w:pPr>
        <w:spacing w:before="200" w:line="360" w:lineRule="auto"/>
        <w:jc w:val="both"/>
        <w:rPr>
          <w:rFonts w:ascii="Arial" w:hAnsi="Arial" w:cs="Arial"/>
          <w:sz w:val="20"/>
          <w:szCs w:val="20"/>
        </w:rPr>
      </w:pPr>
      <w:r w:rsidRPr="00503C7A">
        <w:t>Slovenija je glede na tipologijo OECD, ki upošteva število prebivalcev, razdeljena na zmerno podeželske in pretežno podeželske regije. Od tega spadajo 3 statistične regije (osrednjeslovenska, gorenjska in obalno</w:t>
      </w:r>
      <w:r w:rsidR="008829B8">
        <w:t>-</w:t>
      </w:r>
      <w:r w:rsidRPr="00503C7A">
        <w:t>kraška) med zmerno podeželske regije, ostale statistične regije pa med pretežno podeželske regije. Glede na ruralnost vse regije štejemo kot podeželske regije. Za namen Strateškega načrta, specifičnega cilja 8</w:t>
      </w:r>
      <w:r w:rsidR="00161CA9">
        <w:t xml:space="preserve"> </w:t>
      </w:r>
      <w:r w:rsidR="00ED040F">
        <w:t>p</w:t>
      </w:r>
      <w:r w:rsidR="00161CA9">
        <w:t>ri intervencija</w:t>
      </w:r>
      <w:r w:rsidR="008829B8">
        <w:t>h</w:t>
      </w:r>
      <w:r w:rsidR="00161CA9">
        <w:t>, ki se bodo izvajale</w:t>
      </w:r>
      <w:r w:rsidR="008C0F9D">
        <w:t xml:space="preserve"> v okviru </w:t>
      </w:r>
      <w:r w:rsidR="00161CA9">
        <w:t xml:space="preserve"> </w:t>
      </w:r>
      <w:r w:rsidRPr="00503C7A">
        <w:t xml:space="preserve">podeželje obsega vsa naselja z manj kot 10.000 prebivalcev in v katerih je delež kmetijskih gospodarstev, glede na vsa gospodinjstva v tem naselju, višji kot 15 %. </w:t>
      </w:r>
      <w:r w:rsidR="00161CA9">
        <w:t xml:space="preserve">Pri intervencijah, ki bodo naslavljale </w:t>
      </w:r>
      <w:r w:rsidR="00B751CA">
        <w:rPr>
          <w:rFonts w:ascii="Arial" w:hAnsi="Arial" w:cs="Arial"/>
          <w:color w:val="000000"/>
          <w:sz w:val="20"/>
          <w:szCs w:val="20"/>
        </w:rPr>
        <w:t xml:space="preserve">področje biogospodarstva oziroma krožnega gospodarstva in nekmetijskih dopolnilnih dejavnosti na kmetiji </w:t>
      </w:r>
      <w:r w:rsidR="00161CA9">
        <w:rPr>
          <w:rFonts w:ascii="Arial" w:hAnsi="Arial" w:cs="Arial"/>
          <w:color w:val="000000"/>
          <w:sz w:val="20"/>
          <w:szCs w:val="20"/>
        </w:rPr>
        <w:t xml:space="preserve">pa bo zajemalo </w:t>
      </w:r>
      <w:r w:rsidR="00B751CA">
        <w:rPr>
          <w:rFonts w:ascii="Arial" w:hAnsi="Arial" w:cs="Arial"/>
          <w:color w:val="000000"/>
          <w:sz w:val="20"/>
          <w:szCs w:val="20"/>
        </w:rPr>
        <w:t>celotn</w:t>
      </w:r>
      <w:r w:rsidR="00161CA9">
        <w:rPr>
          <w:rFonts w:ascii="Arial" w:hAnsi="Arial" w:cs="Arial"/>
          <w:color w:val="000000"/>
          <w:sz w:val="20"/>
          <w:szCs w:val="20"/>
        </w:rPr>
        <w:t>o</w:t>
      </w:r>
      <w:r w:rsidR="00B751CA">
        <w:rPr>
          <w:rFonts w:ascii="Arial" w:hAnsi="Arial" w:cs="Arial"/>
          <w:color w:val="000000"/>
          <w:sz w:val="20"/>
          <w:szCs w:val="20"/>
        </w:rPr>
        <w:t xml:space="preserve"> ozemlj</w:t>
      </w:r>
      <w:r w:rsidR="00161CA9">
        <w:rPr>
          <w:rFonts w:ascii="Arial" w:hAnsi="Arial" w:cs="Arial"/>
          <w:color w:val="000000"/>
          <w:sz w:val="20"/>
          <w:szCs w:val="20"/>
        </w:rPr>
        <w:t>e</w:t>
      </w:r>
      <w:r w:rsidR="00B751CA">
        <w:rPr>
          <w:rFonts w:ascii="Arial" w:hAnsi="Arial" w:cs="Arial"/>
          <w:color w:val="000000"/>
          <w:sz w:val="20"/>
          <w:szCs w:val="20"/>
        </w:rPr>
        <w:t xml:space="preserve"> Slovenije. </w:t>
      </w:r>
    </w:p>
    <w:p w14:paraId="4B077B56" w14:textId="77777777" w:rsidR="009E0216" w:rsidRPr="001D5FC0" w:rsidRDefault="009E0216" w:rsidP="00A05198">
      <w:pPr>
        <w:pStyle w:val="Naslov2"/>
        <w:keepLines w:val="0"/>
        <w:numPr>
          <w:ilvl w:val="1"/>
          <w:numId w:val="34"/>
        </w:numPr>
        <w:tabs>
          <w:tab w:val="left" w:pos="0"/>
          <w:tab w:val="left" w:pos="480"/>
          <w:tab w:val="left" w:pos="1276"/>
          <w:tab w:val="left" w:pos="4537"/>
        </w:tabs>
        <w:spacing w:after="200" w:line="360" w:lineRule="auto"/>
        <w:jc w:val="both"/>
        <w:rPr>
          <w:rFonts w:ascii="Arial" w:hAnsi="Arial" w:cs="Arial"/>
          <w:color w:val="auto"/>
          <w:sz w:val="24"/>
          <w:szCs w:val="24"/>
        </w:rPr>
      </w:pPr>
      <w:bookmarkStart w:id="3" w:name="_Toc55999324"/>
      <w:r w:rsidRPr="001D5FC0">
        <w:rPr>
          <w:rFonts w:ascii="Arial" w:hAnsi="Arial" w:cs="Arial"/>
          <w:color w:val="auto"/>
          <w:sz w:val="24"/>
          <w:szCs w:val="24"/>
        </w:rPr>
        <w:lastRenderedPageBreak/>
        <w:t>POVRŠINA IN PREBIVALSTVO</w:t>
      </w:r>
      <w:bookmarkEnd w:id="3"/>
    </w:p>
    <w:p w14:paraId="6ECC7F32" w14:textId="1A1BE480" w:rsidR="00503C7A" w:rsidRPr="00D774BC" w:rsidRDefault="00503C7A" w:rsidP="00D774BC">
      <w:pPr>
        <w:spacing w:line="360" w:lineRule="auto"/>
        <w:jc w:val="both"/>
        <w:rPr>
          <w:rFonts w:ascii="Arial" w:hAnsi="Arial" w:cs="Arial"/>
          <w:sz w:val="20"/>
          <w:szCs w:val="20"/>
        </w:rPr>
      </w:pPr>
      <w:r w:rsidRPr="00D774BC">
        <w:rPr>
          <w:rFonts w:ascii="Arial" w:hAnsi="Arial" w:cs="Arial"/>
          <w:sz w:val="20"/>
          <w:szCs w:val="20"/>
        </w:rPr>
        <w:t>Površina Slovenije obsega 20.271 km2, od tega pretežno podeželske regije predstavljajo 72,80 % površine, ostalih 27,20 % pa zmerno podeželske regije. Gled</w:t>
      </w:r>
      <w:r w:rsidRPr="00503C7A">
        <w:rPr>
          <w:rFonts w:ascii="Arial" w:hAnsi="Arial" w:cs="Arial"/>
          <w:sz w:val="20"/>
          <w:szCs w:val="20"/>
        </w:rPr>
        <w:t xml:space="preserve">e na opredelitev podeželja v </w:t>
      </w:r>
      <w:r>
        <w:rPr>
          <w:rFonts w:ascii="Arial" w:hAnsi="Arial" w:cs="Arial"/>
          <w:sz w:val="20"/>
          <w:szCs w:val="20"/>
        </w:rPr>
        <w:t>tem specifičnem cilju</w:t>
      </w:r>
      <w:r w:rsidRPr="00D774BC">
        <w:rPr>
          <w:rFonts w:ascii="Arial" w:hAnsi="Arial" w:cs="Arial"/>
          <w:sz w:val="20"/>
          <w:szCs w:val="20"/>
        </w:rPr>
        <w:t xml:space="preserve"> podeželje obsega 90 % površine Slovenije.</w:t>
      </w:r>
    </w:p>
    <w:p w14:paraId="06341FD8" w14:textId="77777777" w:rsidR="009E0216" w:rsidRPr="00A417A4" w:rsidRDefault="00CA480A" w:rsidP="00A417A4">
      <w:pPr>
        <w:pStyle w:val="SCslika"/>
        <w:keepNext/>
        <w:keepLines/>
      </w:pPr>
      <w:bookmarkStart w:id="4" w:name="_Toc47092630"/>
      <w:r w:rsidRPr="00A417A4">
        <w:t>Tabela 2</w:t>
      </w:r>
      <w:r w:rsidR="009E0216" w:rsidRPr="00A417A4">
        <w:t>: Porazdelitev površine po vrstah regij in podeželju</w:t>
      </w:r>
      <w:bookmarkEnd w:id="4"/>
    </w:p>
    <w:tbl>
      <w:tblPr>
        <w:tblStyle w:val="Tabelamrea"/>
        <w:tblW w:w="0" w:type="auto"/>
        <w:tblInd w:w="108" w:type="dxa"/>
        <w:tblLook w:val="04A0" w:firstRow="1" w:lastRow="0" w:firstColumn="1" w:lastColumn="0" w:noHBand="0" w:noVBand="1"/>
      </w:tblPr>
      <w:tblGrid>
        <w:gridCol w:w="3402"/>
        <w:gridCol w:w="1701"/>
        <w:gridCol w:w="1701"/>
      </w:tblGrid>
      <w:tr w:rsidR="009E0216" w:rsidRPr="00BF74B9" w14:paraId="37719651" w14:textId="77777777" w:rsidTr="00D774BC">
        <w:trPr>
          <w:trHeight w:val="258"/>
        </w:trPr>
        <w:tc>
          <w:tcPr>
            <w:tcW w:w="3402" w:type="dxa"/>
          </w:tcPr>
          <w:p w14:paraId="18B649DC" w14:textId="7B6778DF" w:rsidR="009E0216" w:rsidRPr="00FF16E0" w:rsidRDefault="009E0216" w:rsidP="00D774BC">
            <w:pPr>
              <w:spacing w:line="312" w:lineRule="auto"/>
              <w:jc w:val="both"/>
              <w:rPr>
                <w:rFonts w:ascii="Arial" w:hAnsi="Arial" w:cs="Arial"/>
                <w:b/>
                <w:bCs/>
                <w:color w:val="000000"/>
                <w:sz w:val="20"/>
                <w:szCs w:val="20"/>
              </w:rPr>
            </w:pPr>
            <w:r w:rsidRPr="00FF16E0">
              <w:rPr>
                <w:rFonts w:ascii="Arial" w:hAnsi="Arial" w:cs="Arial"/>
                <w:b/>
                <w:bCs/>
                <w:color w:val="000000"/>
                <w:sz w:val="20"/>
                <w:szCs w:val="20"/>
              </w:rPr>
              <w:t xml:space="preserve">C.04 </w:t>
            </w:r>
            <w:r w:rsidR="00D774BC">
              <w:rPr>
                <w:rFonts w:ascii="Arial" w:hAnsi="Arial" w:cs="Arial"/>
                <w:b/>
                <w:bCs/>
                <w:color w:val="000000"/>
                <w:sz w:val="20"/>
                <w:szCs w:val="20"/>
              </w:rPr>
              <w:t xml:space="preserve"> </w:t>
            </w:r>
            <w:r w:rsidR="00BF74B9" w:rsidRPr="00FF16E0">
              <w:rPr>
                <w:rFonts w:ascii="Arial" w:hAnsi="Arial" w:cs="Arial"/>
                <w:b/>
                <w:bCs/>
                <w:color w:val="000000"/>
                <w:sz w:val="20"/>
                <w:szCs w:val="20"/>
              </w:rPr>
              <w:t>Celotna površina</w:t>
            </w:r>
          </w:p>
        </w:tc>
        <w:tc>
          <w:tcPr>
            <w:tcW w:w="1701" w:type="dxa"/>
          </w:tcPr>
          <w:p w14:paraId="243C2CBA" w14:textId="601605DA" w:rsidR="00503C7A" w:rsidRPr="00FF16E0" w:rsidRDefault="009E0216" w:rsidP="00D774BC">
            <w:pPr>
              <w:spacing w:line="312" w:lineRule="auto"/>
              <w:jc w:val="center"/>
              <w:rPr>
                <w:rFonts w:ascii="Arial" w:hAnsi="Arial" w:cs="Arial"/>
                <w:b/>
                <w:bCs/>
                <w:color w:val="000000"/>
                <w:sz w:val="20"/>
                <w:szCs w:val="20"/>
              </w:rPr>
            </w:pPr>
            <w:r w:rsidRPr="00FF16E0">
              <w:rPr>
                <w:rFonts w:ascii="Arial" w:hAnsi="Arial" w:cs="Arial"/>
                <w:b/>
                <w:bCs/>
                <w:color w:val="000000"/>
                <w:sz w:val="20"/>
                <w:szCs w:val="20"/>
              </w:rPr>
              <w:t>Površina</w:t>
            </w:r>
            <w:r w:rsidR="00D774BC">
              <w:rPr>
                <w:rFonts w:ascii="Arial" w:hAnsi="Arial" w:cs="Arial"/>
                <w:b/>
                <w:bCs/>
                <w:color w:val="000000"/>
                <w:sz w:val="20"/>
                <w:szCs w:val="20"/>
              </w:rPr>
              <w:t xml:space="preserve"> </w:t>
            </w:r>
            <w:r w:rsidR="00503C7A">
              <w:rPr>
                <w:rFonts w:ascii="Arial" w:hAnsi="Arial" w:cs="Arial"/>
                <w:b/>
                <w:bCs/>
                <w:color w:val="000000"/>
                <w:sz w:val="20"/>
                <w:szCs w:val="20"/>
              </w:rPr>
              <w:t>(km²)</w:t>
            </w:r>
          </w:p>
        </w:tc>
        <w:tc>
          <w:tcPr>
            <w:tcW w:w="1701" w:type="dxa"/>
          </w:tcPr>
          <w:p w14:paraId="338CB111" w14:textId="3DEBEEC3" w:rsidR="009E0216" w:rsidRPr="00FF16E0" w:rsidRDefault="009E0216" w:rsidP="00A24205">
            <w:pPr>
              <w:spacing w:line="312" w:lineRule="auto"/>
              <w:jc w:val="center"/>
              <w:rPr>
                <w:rFonts w:ascii="Arial" w:hAnsi="Arial" w:cs="Arial"/>
                <w:b/>
                <w:bCs/>
                <w:color w:val="000000"/>
                <w:sz w:val="20"/>
                <w:szCs w:val="20"/>
              </w:rPr>
            </w:pPr>
            <w:r w:rsidRPr="00FF16E0">
              <w:rPr>
                <w:rFonts w:ascii="Arial" w:hAnsi="Arial" w:cs="Arial"/>
                <w:b/>
                <w:bCs/>
                <w:color w:val="000000"/>
                <w:sz w:val="20"/>
                <w:szCs w:val="20"/>
              </w:rPr>
              <w:t>Delež</w:t>
            </w:r>
          </w:p>
        </w:tc>
      </w:tr>
      <w:tr w:rsidR="009E0216" w:rsidRPr="00BF74B9" w14:paraId="7B0BDAB6" w14:textId="77777777" w:rsidTr="00D774BC">
        <w:trPr>
          <w:trHeight w:val="258"/>
        </w:trPr>
        <w:tc>
          <w:tcPr>
            <w:tcW w:w="3402" w:type="dxa"/>
          </w:tcPr>
          <w:p w14:paraId="1BA083A9" w14:textId="77777777" w:rsidR="009E0216" w:rsidRPr="00BF74B9" w:rsidRDefault="009E0216" w:rsidP="003D2EA2">
            <w:pPr>
              <w:spacing w:line="312" w:lineRule="auto"/>
              <w:jc w:val="both"/>
              <w:rPr>
                <w:rFonts w:ascii="Arial" w:hAnsi="Arial" w:cs="Arial"/>
                <w:bCs/>
                <w:color w:val="000000"/>
                <w:sz w:val="20"/>
                <w:szCs w:val="20"/>
              </w:rPr>
            </w:pPr>
            <w:r w:rsidRPr="00BF74B9">
              <w:rPr>
                <w:rFonts w:ascii="Arial" w:hAnsi="Arial" w:cs="Arial"/>
                <w:bCs/>
                <w:color w:val="000000"/>
                <w:sz w:val="20"/>
                <w:szCs w:val="20"/>
              </w:rPr>
              <w:t>Slovenija</w:t>
            </w:r>
          </w:p>
        </w:tc>
        <w:tc>
          <w:tcPr>
            <w:tcW w:w="1701" w:type="dxa"/>
          </w:tcPr>
          <w:p w14:paraId="77E7A2E3" w14:textId="77777777" w:rsidR="009E0216" w:rsidRPr="00BF74B9" w:rsidRDefault="009E0216" w:rsidP="00F732C4">
            <w:pPr>
              <w:spacing w:line="312" w:lineRule="auto"/>
              <w:jc w:val="right"/>
              <w:rPr>
                <w:rFonts w:ascii="Arial" w:hAnsi="Arial" w:cs="Arial"/>
                <w:bCs/>
                <w:color w:val="000000"/>
                <w:sz w:val="20"/>
                <w:szCs w:val="20"/>
              </w:rPr>
            </w:pPr>
            <w:r w:rsidRPr="00BF74B9">
              <w:rPr>
                <w:rFonts w:ascii="Arial" w:hAnsi="Arial" w:cs="Arial"/>
                <w:bCs/>
                <w:color w:val="000000"/>
                <w:sz w:val="20"/>
                <w:szCs w:val="20"/>
              </w:rPr>
              <w:t>20.271</w:t>
            </w:r>
          </w:p>
        </w:tc>
        <w:tc>
          <w:tcPr>
            <w:tcW w:w="1701" w:type="dxa"/>
          </w:tcPr>
          <w:p w14:paraId="0C60DD06" w14:textId="2B0BBBDF" w:rsidR="009E0216" w:rsidRPr="00BF74B9" w:rsidRDefault="009E0216" w:rsidP="00A24205">
            <w:pPr>
              <w:spacing w:line="312" w:lineRule="auto"/>
              <w:jc w:val="right"/>
              <w:rPr>
                <w:rFonts w:ascii="Arial" w:hAnsi="Arial" w:cs="Arial"/>
                <w:bCs/>
                <w:color w:val="000000"/>
                <w:sz w:val="20"/>
                <w:szCs w:val="20"/>
              </w:rPr>
            </w:pPr>
            <w:r w:rsidRPr="00BF74B9">
              <w:rPr>
                <w:rFonts w:ascii="Arial" w:hAnsi="Arial" w:cs="Arial"/>
                <w:bCs/>
                <w:color w:val="000000"/>
                <w:sz w:val="20"/>
                <w:szCs w:val="20"/>
              </w:rPr>
              <w:t>100 %</w:t>
            </w:r>
          </w:p>
        </w:tc>
      </w:tr>
      <w:tr w:rsidR="009E0216" w:rsidRPr="00BF74B9" w14:paraId="07A0C4E5" w14:textId="77777777" w:rsidTr="00D774BC">
        <w:trPr>
          <w:trHeight w:val="258"/>
        </w:trPr>
        <w:tc>
          <w:tcPr>
            <w:tcW w:w="3402" w:type="dxa"/>
          </w:tcPr>
          <w:p w14:paraId="10D2666A" w14:textId="34B04AD5" w:rsidR="009E0216" w:rsidRPr="00BF74B9" w:rsidRDefault="009E0216" w:rsidP="003D2EA2">
            <w:pPr>
              <w:spacing w:line="312" w:lineRule="auto"/>
              <w:jc w:val="both"/>
              <w:rPr>
                <w:rFonts w:ascii="Arial" w:hAnsi="Arial" w:cs="Arial"/>
                <w:bCs/>
                <w:color w:val="000000"/>
                <w:sz w:val="20"/>
                <w:szCs w:val="20"/>
              </w:rPr>
            </w:pPr>
            <w:r w:rsidRPr="00BF74B9">
              <w:rPr>
                <w:rFonts w:ascii="Arial" w:hAnsi="Arial" w:cs="Arial"/>
                <w:bCs/>
                <w:color w:val="000000"/>
                <w:sz w:val="20"/>
                <w:szCs w:val="20"/>
              </w:rPr>
              <w:t xml:space="preserve">Zmerno </w:t>
            </w:r>
            <w:r w:rsidR="00FF16E0" w:rsidRPr="00BF74B9">
              <w:rPr>
                <w:rFonts w:ascii="Arial" w:hAnsi="Arial" w:cs="Arial"/>
                <w:bCs/>
                <w:color w:val="000000"/>
                <w:sz w:val="20"/>
                <w:szCs w:val="20"/>
              </w:rPr>
              <w:t>podeželske</w:t>
            </w:r>
          </w:p>
        </w:tc>
        <w:tc>
          <w:tcPr>
            <w:tcW w:w="1701" w:type="dxa"/>
          </w:tcPr>
          <w:p w14:paraId="72AFB25E" w14:textId="77777777" w:rsidR="009E0216" w:rsidRPr="00BF74B9" w:rsidRDefault="009E0216" w:rsidP="00F732C4">
            <w:pPr>
              <w:spacing w:line="312" w:lineRule="auto"/>
              <w:jc w:val="right"/>
              <w:rPr>
                <w:rFonts w:ascii="Arial" w:hAnsi="Arial" w:cs="Arial"/>
                <w:bCs/>
                <w:color w:val="000000"/>
                <w:sz w:val="20"/>
                <w:szCs w:val="20"/>
              </w:rPr>
            </w:pPr>
          </w:p>
        </w:tc>
        <w:tc>
          <w:tcPr>
            <w:tcW w:w="1701" w:type="dxa"/>
          </w:tcPr>
          <w:p w14:paraId="595AB363" w14:textId="77777777" w:rsidR="009E0216" w:rsidRPr="00BF74B9" w:rsidRDefault="009E0216" w:rsidP="00A24205">
            <w:pPr>
              <w:spacing w:line="312" w:lineRule="auto"/>
              <w:jc w:val="right"/>
              <w:rPr>
                <w:rFonts w:ascii="Arial" w:hAnsi="Arial" w:cs="Arial"/>
                <w:bCs/>
                <w:color w:val="000000"/>
                <w:sz w:val="20"/>
                <w:szCs w:val="20"/>
              </w:rPr>
            </w:pPr>
            <w:r w:rsidRPr="00BF74B9">
              <w:rPr>
                <w:rFonts w:ascii="Arial" w:hAnsi="Arial" w:cs="Arial"/>
                <w:bCs/>
                <w:color w:val="000000"/>
                <w:sz w:val="20"/>
                <w:szCs w:val="20"/>
              </w:rPr>
              <w:t>27,20 %</w:t>
            </w:r>
          </w:p>
        </w:tc>
      </w:tr>
      <w:tr w:rsidR="009E0216" w:rsidRPr="00BF74B9" w14:paraId="72F4983F" w14:textId="77777777" w:rsidTr="00D774BC">
        <w:trPr>
          <w:trHeight w:val="258"/>
        </w:trPr>
        <w:tc>
          <w:tcPr>
            <w:tcW w:w="3402" w:type="dxa"/>
          </w:tcPr>
          <w:p w14:paraId="3DAE3632" w14:textId="77777777" w:rsidR="009E0216" w:rsidRPr="00BF74B9" w:rsidRDefault="009E0216" w:rsidP="003D2EA2">
            <w:pPr>
              <w:spacing w:line="312" w:lineRule="auto"/>
              <w:jc w:val="both"/>
              <w:rPr>
                <w:rFonts w:ascii="Arial" w:hAnsi="Arial" w:cs="Arial"/>
                <w:bCs/>
                <w:color w:val="000000"/>
                <w:sz w:val="20"/>
                <w:szCs w:val="20"/>
              </w:rPr>
            </w:pPr>
            <w:r w:rsidRPr="00BF74B9">
              <w:rPr>
                <w:rFonts w:ascii="Arial" w:hAnsi="Arial" w:cs="Arial"/>
                <w:bCs/>
                <w:color w:val="000000"/>
                <w:sz w:val="20"/>
                <w:szCs w:val="20"/>
              </w:rPr>
              <w:t>Pretežno podeželske regije</w:t>
            </w:r>
          </w:p>
        </w:tc>
        <w:tc>
          <w:tcPr>
            <w:tcW w:w="1701" w:type="dxa"/>
          </w:tcPr>
          <w:p w14:paraId="5F61EE0F" w14:textId="77777777" w:rsidR="009E0216" w:rsidRPr="00BF74B9" w:rsidRDefault="009E0216" w:rsidP="00F732C4">
            <w:pPr>
              <w:spacing w:line="312" w:lineRule="auto"/>
              <w:jc w:val="right"/>
              <w:rPr>
                <w:rFonts w:ascii="Arial" w:hAnsi="Arial" w:cs="Arial"/>
                <w:bCs/>
                <w:color w:val="000000"/>
                <w:sz w:val="20"/>
                <w:szCs w:val="20"/>
              </w:rPr>
            </w:pPr>
          </w:p>
        </w:tc>
        <w:tc>
          <w:tcPr>
            <w:tcW w:w="1701" w:type="dxa"/>
          </w:tcPr>
          <w:p w14:paraId="4AF6A3BE" w14:textId="77777777" w:rsidR="009E0216" w:rsidRPr="00BF74B9" w:rsidRDefault="009E0216" w:rsidP="00A24205">
            <w:pPr>
              <w:spacing w:line="312" w:lineRule="auto"/>
              <w:jc w:val="right"/>
              <w:rPr>
                <w:rFonts w:ascii="Arial" w:hAnsi="Arial" w:cs="Arial"/>
                <w:bCs/>
                <w:color w:val="000000"/>
                <w:sz w:val="20"/>
                <w:szCs w:val="20"/>
              </w:rPr>
            </w:pPr>
            <w:r w:rsidRPr="00BF74B9">
              <w:rPr>
                <w:rFonts w:ascii="Arial" w:hAnsi="Arial" w:cs="Arial"/>
                <w:bCs/>
                <w:color w:val="000000"/>
                <w:sz w:val="20"/>
                <w:szCs w:val="20"/>
              </w:rPr>
              <w:t>72,80 %</w:t>
            </w:r>
          </w:p>
        </w:tc>
      </w:tr>
      <w:tr w:rsidR="009E0216" w:rsidRPr="00BF74B9" w14:paraId="14BF21C2" w14:textId="77777777" w:rsidTr="00D774BC">
        <w:trPr>
          <w:trHeight w:val="258"/>
        </w:trPr>
        <w:tc>
          <w:tcPr>
            <w:tcW w:w="3402" w:type="dxa"/>
          </w:tcPr>
          <w:p w14:paraId="2C819C21" w14:textId="77777777" w:rsidR="009E0216" w:rsidRPr="00BF74B9" w:rsidRDefault="009E0216" w:rsidP="003D2EA2">
            <w:pPr>
              <w:spacing w:line="312" w:lineRule="auto"/>
              <w:jc w:val="both"/>
              <w:rPr>
                <w:rFonts w:ascii="Arial" w:hAnsi="Arial" w:cs="Arial"/>
                <w:bCs/>
                <w:color w:val="000000"/>
                <w:sz w:val="20"/>
                <w:szCs w:val="20"/>
              </w:rPr>
            </w:pPr>
            <w:r w:rsidRPr="00BF74B9">
              <w:rPr>
                <w:rFonts w:ascii="Arial" w:hAnsi="Arial" w:cs="Arial"/>
                <w:bCs/>
                <w:color w:val="000000"/>
                <w:sz w:val="20"/>
                <w:szCs w:val="20"/>
              </w:rPr>
              <w:t>Podeželje</w:t>
            </w:r>
          </w:p>
        </w:tc>
        <w:tc>
          <w:tcPr>
            <w:tcW w:w="1701" w:type="dxa"/>
          </w:tcPr>
          <w:p w14:paraId="034F5F8E" w14:textId="77777777" w:rsidR="009E0216" w:rsidRPr="00BF74B9" w:rsidRDefault="009E0216" w:rsidP="00F732C4">
            <w:pPr>
              <w:spacing w:line="312" w:lineRule="auto"/>
              <w:jc w:val="right"/>
              <w:rPr>
                <w:rFonts w:ascii="Arial" w:hAnsi="Arial" w:cs="Arial"/>
                <w:bCs/>
                <w:color w:val="000000"/>
                <w:sz w:val="20"/>
                <w:szCs w:val="20"/>
              </w:rPr>
            </w:pPr>
            <w:r w:rsidRPr="00BF74B9">
              <w:rPr>
                <w:rFonts w:ascii="Arial" w:hAnsi="Arial" w:cs="Arial"/>
                <w:bCs/>
                <w:color w:val="000000"/>
                <w:sz w:val="20"/>
                <w:szCs w:val="20"/>
              </w:rPr>
              <w:t>18.205</w:t>
            </w:r>
          </w:p>
        </w:tc>
        <w:tc>
          <w:tcPr>
            <w:tcW w:w="1701" w:type="dxa"/>
          </w:tcPr>
          <w:p w14:paraId="17117B98" w14:textId="34065AE9" w:rsidR="009E0216" w:rsidRPr="00BF74B9" w:rsidRDefault="009E0216" w:rsidP="00A24205">
            <w:pPr>
              <w:spacing w:line="312" w:lineRule="auto"/>
              <w:jc w:val="right"/>
              <w:rPr>
                <w:rFonts w:ascii="Arial" w:hAnsi="Arial" w:cs="Arial"/>
                <w:bCs/>
                <w:color w:val="000000"/>
                <w:sz w:val="20"/>
                <w:szCs w:val="20"/>
              </w:rPr>
            </w:pPr>
            <w:r w:rsidRPr="00BF74B9">
              <w:rPr>
                <w:rFonts w:ascii="Arial" w:hAnsi="Arial" w:cs="Arial"/>
                <w:bCs/>
                <w:color w:val="000000"/>
                <w:sz w:val="20"/>
                <w:szCs w:val="20"/>
              </w:rPr>
              <w:t>90 %</w:t>
            </w:r>
          </w:p>
        </w:tc>
      </w:tr>
    </w:tbl>
    <w:p w14:paraId="037EC80D" w14:textId="77777777" w:rsidR="009E0216" w:rsidRPr="00A52F41" w:rsidRDefault="009E0216" w:rsidP="00FF16E0">
      <w:pPr>
        <w:tabs>
          <w:tab w:val="left" w:pos="5685"/>
        </w:tabs>
        <w:spacing w:line="360" w:lineRule="auto"/>
        <w:jc w:val="both"/>
        <w:rPr>
          <w:rFonts w:ascii="Arial" w:hAnsi="Arial" w:cs="Arial"/>
          <w:sz w:val="16"/>
          <w:szCs w:val="16"/>
        </w:rPr>
      </w:pPr>
      <w:r w:rsidRPr="00A52F41">
        <w:rPr>
          <w:rFonts w:ascii="Arial" w:hAnsi="Arial" w:cs="Arial"/>
          <w:sz w:val="16"/>
          <w:szCs w:val="16"/>
        </w:rPr>
        <w:t>Vir: SURS, EUROSTAT, lastni preračuni</w:t>
      </w:r>
      <w:r w:rsidRPr="00A52F41">
        <w:rPr>
          <w:rFonts w:ascii="Arial" w:hAnsi="Arial" w:cs="Arial"/>
          <w:sz w:val="16"/>
          <w:szCs w:val="16"/>
        </w:rPr>
        <w:tab/>
      </w:r>
    </w:p>
    <w:p w14:paraId="31CD5385" w14:textId="77777777" w:rsidR="009E0216" w:rsidRPr="00A52F41" w:rsidRDefault="009E0216" w:rsidP="00EA2E4C">
      <w:pPr>
        <w:spacing w:before="120" w:line="360" w:lineRule="auto"/>
        <w:jc w:val="both"/>
        <w:rPr>
          <w:rFonts w:ascii="Arial" w:eastAsia="Arial" w:hAnsi="Arial" w:cs="Arial"/>
          <w:bCs/>
          <w:sz w:val="20"/>
          <w:szCs w:val="20"/>
        </w:rPr>
      </w:pPr>
      <w:r w:rsidRPr="00A52F41">
        <w:rPr>
          <w:rFonts w:ascii="Arial" w:hAnsi="Arial" w:cs="Arial"/>
          <w:sz w:val="20"/>
          <w:szCs w:val="20"/>
        </w:rPr>
        <w:t>Za podeželje veljajo naslednje značilnosti: manjša gostota prebivalstva, prevladujeta kmetijska in gozdarska raba prostora, povezovanje kmetijskih dejavnosti s kmetijsko pridelavo in kmečkim prebivalstvom, počasnejša prebivalstvena rast, manjša socialna slojevitost, tesnejše vezi med prebivalci in manjša naselja z nižjimi stopnjami centralnosti.</w:t>
      </w:r>
      <w:r w:rsidRPr="00A52F41">
        <w:rPr>
          <w:rFonts w:ascii="Arial" w:eastAsia="Arial" w:hAnsi="Arial" w:cs="Arial"/>
          <w:sz w:val="20"/>
          <w:szCs w:val="20"/>
        </w:rPr>
        <w:t xml:space="preserve"> Na podeželju so se neagrarne dejavnosti pričele razvijati s širjenjem urbanega načina življenja in z zmanjševanjem pomena kmetijstva. To so oskrbne in storitvene dejavnosti, ki so namenjene lokalnemu prebivalstvu ter dejavnosti (turizem, rekreacija), ki jih koristijo tudi prebivalci urbanih območij (Klemenčič, Lampič in Potočnik Slavič, 2008, str. 114).</w:t>
      </w:r>
    </w:p>
    <w:p w14:paraId="5F537D2C" w14:textId="24E3CA08" w:rsidR="00F17E13" w:rsidRPr="00A52F41" w:rsidRDefault="009E0216" w:rsidP="00AE37BC">
      <w:pPr>
        <w:spacing w:before="120" w:line="360" w:lineRule="auto"/>
        <w:jc w:val="both"/>
        <w:rPr>
          <w:rFonts w:ascii="Arial" w:hAnsi="Arial" w:cs="Arial"/>
          <w:sz w:val="20"/>
          <w:szCs w:val="20"/>
        </w:rPr>
      </w:pPr>
      <w:r w:rsidRPr="00A52F41">
        <w:rPr>
          <w:rFonts w:ascii="Arial" w:hAnsi="Arial" w:cs="Arial"/>
          <w:sz w:val="20"/>
          <w:szCs w:val="20"/>
        </w:rPr>
        <w:t>Slovenija ima danes star demografski režim z nizko rodnostjo in smrtnostjo.</w:t>
      </w:r>
      <w:r w:rsidR="00F17E13">
        <w:rPr>
          <w:rFonts w:ascii="Arial" w:hAnsi="Arial" w:cs="Arial"/>
          <w:sz w:val="20"/>
          <w:szCs w:val="20"/>
        </w:rPr>
        <w:t xml:space="preserve"> </w:t>
      </w:r>
      <w:r w:rsidR="00F17E13" w:rsidRPr="00A52F41">
        <w:rPr>
          <w:rFonts w:ascii="Arial" w:hAnsi="Arial" w:cs="Arial"/>
          <w:sz w:val="20"/>
          <w:szCs w:val="20"/>
        </w:rPr>
        <w:t>Analiza podatkov</w:t>
      </w:r>
      <w:r w:rsidR="00F17E13">
        <w:rPr>
          <w:rFonts w:ascii="Arial" w:hAnsi="Arial" w:cs="Arial"/>
          <w:sz w:val="20"/>
          <w:szCs w:val="20"/>
        </w:rPr>
        <w:t xml:space="preserve"> SURS</w:t>
      </w:r>
      <w:r w:rsidR="00F17E13" w:rsidRPr="00A52F41">
        <w:rPr>
          <w:rFonts w:ascii="Arial" w:hAnsi="Arial" w:cs="Arial"/>
          <w:sz w:val="20"/>
          <w:szCs w:val="20"/>
        </w:rPr>
        <w:t xml:space="preserve"> za podeželje kaže, da število prebivalcev rahlo niha. Prebivalstvo na podeželju se stara, vendar podobno hitro kot v pov</w:t>
      </w:r>
      <w:r w:rsidR="00F17E13">
        <w:rPr>
          <w:rFonts w:ascii="Arial" w:hAnsi="Arial" w:cs="Arial"/>
          <w:sz w:val="20"/>
          <w:szCs w:val="20"/>
        </w:rPr>
        <w:t>p</w:t>
      </w:r>
      <w:r w:rsidR="00F17E13" w:rsidRPr="00A52F41">
        <w:rPr>
          <w:rFonts w:ascii="Arial" w:hAnsi="Arial" w:cs="Arial"/>
          <w:sz w:val="20"/>
          <w:szCs w:val="20"/>
        </w:rPr>
        <w:t xml:space="preserve">rečju v </w:t>
      </w:r>
      <w:r w:rsidR="00F17E13" w:rsidRPr="00BF74B9">
        <w:rPr>
          <w:rFonts w:ascii="Arial" w:hAnsi="Arial" w:cs="Arial"/>
          <w:sz w:val="20"/>
          <w:szCs w:val="20"/>
        </w:rPr>
        <w:t>Sloveniji (Tabela 3). Delež</w:t>
      </w:r>
      <w:r w:rsidR="00F17E13" w:rsidRPr="00A52F41">
        <w:rPr>
          <w:rFonts w:ascii="Arial" w:hAnsi="Arial" w:cs="Arial"/>
          <w:sz w:val="20"/>
          <w:szCs w:val="20"/>
        </w:rPr>
        <w:t xml:space="preserve"> otrok v starostni skupini 0-14 let na podeželju je nekoliko višji od slovenskega povprečja ter od leta 2008 minimalno raste (leta 2008 14 %, v letu 2018 pa 15,4 % vseh prebivalcev na podeželju). Slabši je podatek deleža mladih (15-26 let), ki ga je v vseh primerjalnih letih v povprečju več v celotni Sloveniji kot na podeželju in se tako z leti na podeželju in v slovenskem povprečju zmanjšuje (leta 2008 15,7 % prebivalcev, leta 2018 pa 10,9 % prebivalcev podeželja). Delež mladih se tudi v EU zmanjšuje, leta 2016 je znašal 18,3 %, kar je nad slovenskim povprečjem. Na podeželju se je delež mladih od leta 2005 zmanjšal iz 17 % na 11 % prebivalcev v letu 2019; delež starih na podeželju pa se je od leta 2005 povečal iz 15 % na 20 % v letu 2020 (</w:t>
      </w:r>
      <w:r w:rsidR="00F17E13">
        <w:rPr>
          <w:rFonts w:ascii="Arial" w:hAnsi="Arial" w:cs="Arial"/>
          <w:sz w:val="20"/>
          <w:szCs w:val="20"/>
        </w:rPr>
        <w:t>Tabela 3</w:t>
      </w:r>
      <w:r w:rsidR="00F17E13" w:rsidRPr="00A52F41">
        <w:rPr>
          <w:rFonts w:ascii="Arial" w:hAnsi="Arial" w:cs="Arial"/>
          <w:i/>
          <w:sz w:val="20"/>
          <w:szCs w:val="20"/>
        </w:rPr>
        <w:t xml:space="preserve">, </w:t>
      </w:r>
      <w:r w:rsidR="00F17E13" w:rsidRPr="005F2786">
        <w:rPr>
          <w:rFonts w:ascii="Arial" w:hAnsi="Arial" w:cs="Arial"/>
          <w:sz w:val="20"/>
          <w:szCs w:val="20"/>
        </w:rPr>
        <w:t>Slika 2</w:t>
      </w:r>
      <w:r w:rsidR="00F17E13" w:rsidRPr="00A52F41">
        <w:rPr>
          <w:rFonts w:ascii="Arial" w:hAnsi="Arial" w:cs="Arial"/>
          <w:sz w:val="20"/>
          <w:szCs w:val="20"/>
        </w:rPr>
        <w:t>). Delež starih (65+ let) se vztrajno povečuje, vendar na podeželju počasneje kot v slovenskem povprečju (leta 2008 15 % prebivalstva, leta 2018 pa 20 % prebivalstva na podeželju).</w:t>
      </w:r>
    </w:p>
    <w:p w14:paraId="6F56F827" w14:textId="60143642" w:rsidR="009E0216" w:rsidRPr="00A417A4" w:rsidRDefault="005B0F81" w:rsidP="00F25C63">
      <w:pPr>
        <w:pStyle w:val="SCslika"/>
        <w:keepNext/>
        <w:keepLines/>
      </w:pPr>
      <w:bookmarkStart w:id="5" w:name="_Ref46740003"/>
      <w:bookmarkStart w:id="6" w:name="_Ref46739997"/>
      <w:bookmarkStart w:id="7" w:name="_Toc47092631"/>
      <w:r w:rsidRPr="00A417A4">
        <w:lastRenderedPageBreak/>
        <w:t>Tabela</w:t>
      </w:r>
      <w:r w:rsidR="009E0216" w:rsidRPr="00A417A4">
        <w:t xml:space="preserve"> </w:t>
      </w:r>
      <w:bookmarkEnd w:id="5"/>
      <w:r w:rsidR="00A52F41" w:rsidRPr="00A417A4">
        <w:t>3</w:t>
      </w:r>
      <w:r w:rsidR="009E0216" w:rsidRPr="00A417A4">
        <w:t xml:space="preserve">: </w:t>
      </w:r>
      <w:r w:rsidR="00A52F41" w:rsidRPr="00A417A4">
        <w:t xml:space="preserve">Število in </w:t>
      </w:r>
      <w:r w:rsidR="009E0216" w:rsidRPr="00A417A4">
        <w:t>starostna struktura prebivalstva na podeželju</w:t>
      </w:r>
      <w:bookmarkEnd w:id="6"/>
      <w:bookmarkEnd w:id="7"/>
    </w:p>
    <w:tbl>
      <w:tblPr>
        <w:tblW w:w="8444" w:type="dxa"/>
        <w:tblInd w:w="70" w:type="dxa"/>
        <w:tblCellMar>
          <w:left w:w="70" w:type="dxa"/>
          <w:right w:w="70" w:type="dxa"/>
        </w:tblCellMar>
        <w:tblLook w:val="04A0" w:firstRow="1" w:lastRow="0" w:firstColumn="1" w:lastColumn="0" w:noHBand="0" w:noVBand="1"/>
      </w:tblPr>
      <w:tblGrid>
        <w:gridCol w:w="1073"/>
        <w:gridCol w:w="2268"/>
        <w:gridCol w:w="1275"/>
        <w:gridCol w:w="1338"/>
        <w:gridCol w:w="1356"/>
        <w:gridCol w:w="1134"/>
      </w:tblGrid>
      <w:tr w:rsidR="009E0216" w:rsidRPr="003D2EA2" w14:paraId="60C66F63" w14:textId="77777777" w:rsidTr="00AE37BC">
        <w:trPr>
          <w:trHeight w:val="315"/>
        </w:trPr>
        <w:tc>
          <w:tcPr>
            <w:tcW w:w="107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7AD8FD" w14:textId="77777777" w:rsidR="009E0216" w:rsidRPr="003D2EA2" w:rsidRDefault="009E0216" w:rsidP="00F25C63">
            <w:pPr>
              <w:keepNext/>
              <w:keepLines/>
              <w:spacing w:after="0" w:line="264" w:lineRule="auto"/>
              <w:rPr>
                <w:rFonts w:ascii="Arial" w:hAnsi="Arial" w:cs="Arial"/>
                <w:b/>
                <w:color w:val="000000"/>
                <w:sz w:val="20"/>
                <w:szCs w:val="20"/>
              </w:rPr>
            </w:pPr>
            <w:r w:rsidRPr="003D2EA2">
              <w:rPr>
                <w:rFonts w:ascii="Arial" w:hAnsi="Arial" w:cs="Arial"/>
                <w:b/>
                <w:color w:val="000000"/>
                <w:sz w:val="20"/>
                <w:szCs w:val="20"/>
              </w:rPr>
              <w:t>Leto</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591AD425" w14:textId="0A34F07A" w:rsidR="00BF74B9" w:rsidRPr="003D2EA2" w:rsidRDefault="00A801C3" w:rsidP="00F25C63">
            <w:pPr>
              <w:keepNext/>
              <w:keepLines/>
              <w:spacing w:after="0" w:line="264" w:lineRule="auto"/>
              <w:rPr>
                <w:rFonts w:ascii="Arial" w:hAnsi="Arial" w:cs="Arial"/>
                <w:b/>
                <w:color w:val="000000"/>
                <w:sz w:val="20"/>
                <w:szCs w:val="20"/>
              </w:rPr>
            </w:pPr>
            <w:r w:rsidRPr="003D2EA2">
              <w:rPr>
                <w:rFonts w:ascii="Arial" w:hAnsi="Arial" w:cs="Arial"/>
                <w:b/>
                <w:color w:val="000000"/>
                <w:sz w:val="20"/>
                <w:szCs w:val="20"/>
              </w:rPr>
              <w:t xml:space="preserve">C.01 </w:t>
            </w:r>
          </w:p>
          <w:p w14:paraId="61E3669B" w14:textId="65C8881E" w:rsidR="009E0216" w:rsidRPr="003D2EA2" w:rsidRDefault="00A801C3" w:rsidP="00F25C63">
            <w:pPr>
              <w:keepNext/>
              <w:keepLines/>
              <w:spacing w:after="0" w:line="264" w:lineRule="auto"/>
              <w:rPr>
                <w:rFonts w:ascii="Arial" w:hAnsi="Arial" w:cs="Arial"/>
                <w:b/>
                <w:color w:val="000000"/>
                <w:sz w:val="20"/>
                <w:szCs w:val="20"/>
              </w:rPr>
            </w:pPr>
            <w:r w:rsidRPr="003D2EA2">
              <w:rPr>
                <w:rFonts w:ascii="Arial" w:hAnsi="Arial" w:cs="Arial"/>
                <w:b/>
                <w:color w:val="000000"/>
                <w:sz w:val="20"/>
                <w:szCs w:val="20"/>
              </w:rPr>
              <w:t>š</w:t>
            </w:r>
            <w:r w:rsidR="009E0216" w:rsidRPr="003D2EA2">
              <w:rPr>
                <w:rFonts w:ascii="Arial" w:hAnsi="Arial" w:cs="Arial"/>
                <w:b/>
                <w:color w:val="000000"/>
                <w:sz w:val="20"/>
                <w:szCs w:val="20"/>
              </w:rPr>
              <w:t>t. prebivalcev</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14:paraId="6BE43C85" w14:textId="77777777" w:rsidR="009E0216" w:rsidRPr="003D2EA2" w:rsidRDefault="009E0216" w:rsidP="00F25C63">
            <w:pPr>
              <w:keepNext/>
              <w:keepLines/>
              <w:spacing w:after="0" w:line="264" w:lineRule="auto"/>
              <w:rPr>
                <w:rFonts w:ascii="Arial" w:hAnsi="Arial" w:cs="Arial"/>
                <w:b/>
                <w:bCs/>
                <w:color w:val="000000"/>
                <w:sz w:val="20"/>
                <w:szCs w:val="20"/>
              </w:rPr>
            </w:pPr>
            <w:r w:rsidRPr="003D2EA2">
              <w:rPr>
                <w:rFonts w:ascii="Arial" w:hAnsi="Arial" w:cs="Arial"/>
                <w:b/>
                <w:bCs/>
                <w:color w:val="000000"/>
                <w:sz w:val="20"/>
                <w:szCs w:val="20"/>
              </w:rPr>
              <w:t>0-14 let</w:t>
            </w:r>
          </w:p>
        </w:tc>
        <w:tc>
          <w:tcPr>
            <w:tcW w:w="1338" w:type="dxa"/>
            <w:tcBorders>
              <w:top w:val="single" w:sz="8" w:space="0" w:color="auto"/>
              <w:left w:val="nil"/>
              <w:bottom w:val="single" w:sz="8" w:space="0" w:color="auto"/>
              <w:right w:val="nil"/>
            </w:tcBorders>
            <w:shd w:val="clear" w:color="auto" w:fill="auto"/>
            <w:vAlign w:val="center"/>
            <w:hideMark/>
          </w:tcPr>
          <w:p w14:paraId="34078524" w14:textId="1F9F2AD2" w:rsidR="00AE37BC" w:rsidRDefault="00A801C3" w:rsidP="00F25C63">
            <w:pPr>
              <w:keepNext/>
              <w:keepLines/>
              <w:spacing w:after="0" w:line="264" w:lineRule="auto"/>
              <w:rPr>
                <w:rFonts w:ascii="Arial" w:hAnsi="Arial" w:cs="Arial"/>
                <w:b/>
                <w:bCs/>
                <w:color w:val="000000"/>
                <w:sz w:val="20"/>
                <w:szCs w:val="20"/>
              </w:rPr>
            </w:pPr>
            <w:r w:rsidRPr="003D2EA2">
              <w:rPr>
                <w:rFonts w:ascii="Arial" w:hAnsi="Arial" w:cs="Arial"/>
                <w:b/>
                <w:bCs/>
                <w:color w:val="000000"/>
                <w:sz w:val="20"/>
                <w:szCs w:val="20"/>
              </w:rPr>
              <w:t>Mladi</w:t>
            </w:r>
            <w:r w:rsidR="00503C7A">
              <w:rPr>
                <w:rFonts w:ascii="Arial" w:hAnsi="Arial" w:cs="Arial"/>
                <w:b/>
                <w:bCs/>
                <w:color w:val="000000"/>
                <w:sz w:val="20"/>
                <w:szCs w:val="20"/>
              </w:rPr>
              <w:t xml:space="preserve"> </w:t>
            </w:r>
          </w:p>
          <w:p w14:paraId="2DF2AFF5" w14:textId="73E85B67" w:rsidR="009E0216" w:rsidRPr="003D2EA2" w:rsidRDefault="00503C7A" w:rsidP="00F25C63">
            <w:pPr>
              <w:keepNext/>
              <w:keepLines/>
              <w:spacing w:after="0" w:line="264" w:lineRule="auto"/>
              <w:rPr>
                <w:rFonts w:ascii="Arial" w:hAnsi="Arial" w:cs="Arial"/>
                <w:b/>
                <w:bCs/>
                <w:color w:val="000000"/>
                <w:sz w:val="20"/>
                <w:szCs w:val="20"/>
              </w:rPr>
            </w:pPr>
            <w:r>
              <w:rPr>
                <w:rFonts w:ascii="Arial" w:hAnsi="Arial" w:cs="Arial"/>
                <w:b/>
                <w:bCs/>
                <w:color w:val="000000"/>
                <w:sz w:val="20"/>
                <w:szCs w:val="20"/>
              </w:rPr>
              <w:t>(15-26 let)</w:t>
            </w:r>
            <w:r w:rsidR="009E0216" w:rsidRPr="003D2EA2">
              <w:rPr>
                <w:rFonts w:ascii="Arial" w:hAnsi="Arial" w:cs="Arial"/>
                <w:b/>
                <w:bCs/>
                <w:color w:val="000000"/>
                <w:sz w:val="20"/>
                <w:szCs w:val="20"/>
              </w:rPr>
              <w:t xml:space="preserve"> </w:t>
            </w:r>
          </w:p>
        </w:tc>
        <w:tc>
          <w:tcPr>
            <w:tcW w:w="135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255045F" w14:textId="77777777" w:rsidR="009E0216" w:rsidRPr="003D2EA2" w:rsidRDefault="009E0216" w:rsidP="00F25C63">
            <w:pPr>
              <w:keepNext/>
              <w:keepLines/>
              <w:spacing w:after="0" w:line="264" w:lineRule="auto"/>
              <w:rPr>
                <w:rFonts w:ascii="Arial" w:hAnsi="Arial" w:cs="Arial"/>
                <w:b/>
                <w:bCs/>
                <w:color w:val="000000"/>
                <w:sz w:val="20"/>
                <w:szCs w:val="20"/>
              </w:rPr>
            </w:pPr>
            <w:r w:rsidRPr="003D2EA2">
              <w:rPr>
                <w:rFonts w:ascii="Arial" w:hAnsi="Arial" w:cs="Arial"/>
                <w:b/>
                <w:bCs/>
                <w:color w:val="000000"/>
                <w:sz w:val="20"/>
                <w:szCs w:val="20"/>
              </w:rPr>
              <w:t>15-64 let</w:t>
            </w:r>
          </w:p>
        </w:tc>
        <w:tc>
          <w:tcPr>
            <w:tcW w:w="1134"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2959D76" w14:textId="77777777" w:rsidR="009E0216" w:rsidRPr="003D2EA2" w:rsidRDefault="009E0216" w:rsidP="00F25C63">
            <w:pPr>
              <w:keepNext/>
              <w:keepLines/>
              <w:spacing w:after="0" w:line="264" w:lineRule="auto"/>
              <w:rPr>
                <w:rFonts w:ascii="Arial" w:hAnsi="Arial" w:cs="Arial"/>
                <w:b/>
                <w:bCs/>
                <w:color w:val="000000"/>
                <w:sz w:val="20"/>
                <w:szCs w:val="20"/>
              </w:rPr>
            </w:pPr>
            <w:r w:rsidRPr="003D2EA2">
              <w:rPr>
                <w:rFonts w:ascii="Arial" w:hAnsi="Arial" w:cs="Arial"/>
                <w:b/>
                <w:bCs/>
                <w:color w:val="000000"/>
                <w:sz w:val="20"/>
                <w:szCs w:val="20"/>
              </w:rPr>
              <w:t>65 + let</w:t>
            </w:r>
          </w:p>
        </w:tc>
      </w:tr>
      <w:tr w:rsidR="009E0216" w:rsidRPr="003D2EA2" w14:paraId="1EA59D79" w14:textId="77777777" w:rsidTr="00AE37BC">
        <w:trPr>
          <w:trHeight w:val="31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37AC19A8" w14:textId="77777777" w:rsidR="009E0216" w:rsidRPr="003D2EA2" w:rsidRDefault="009E0216" w:rsidP="00F25C63">
            <w:pPr>
              <w:keepNext/>
              <w:keepLines/>
              <w:spacing w:after="0" w:line="264" w:lineRule="auto"/>
              <w:jc w:val="both"/>
              <w:rPr>
                <w:rFonts w:ascii="Arial" w:hAnsi="Arial" w:cs="Arial"/>
                <w:b/>
                <w:bCs/>
                <w:color w:val="000000"/>
                <w:sz w:val="20"/>
                <w:szCs w:val="20"/>
              </w:rPr>
            </w:pPr>
            <w:r w:rsidRPr="003D2EA2">
              <w:rPr>
                <w:rFonts w:ascii="Arial" w:hAnsi="Arial" w:cs="Arial"/>
                <w:b/>
                <w:bCs/>
                <w:color w:val="000000"/>
                <w:sz w:val="20"/>
                <w:szCs w:val="20"/>
              </w:rPr>
              <w:t>2008</w:t>
            </w:r>
          </w:p>
        </w:tc>
        <w:tc>
          <w:tcPr>
            <w:tcW w:w="2268" w:type="dxa"/>
            <w:tcBorders>
              <w:top w:val="nil"/>
              <w:left w:val="nil"/>
              <w:bottom w:val="single" w:sz="8" w:space="0" w:color="auto"/>
              <w:right w:val="single" w:sz="8" w:space="0" w:color="auto"/>
            </w:tcBorders>
            <w:shd w:val="clear" w:color="auto" w:fill="auto"/>
            <w:noWrap/>
            <w:vAlign w:val="center"/>
            <w:hideMark/>
          </w:tcPr>
          <w:p w14:paraId="60612310" w14:textId="540D2135"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S</w:t>
            </w:r>
            <w:r w:rsidR="00620624" w:rsidRPr="003D2EA2">
              <w:rPr>
                <w:rFonts w:ascii="Arial" w:hAnsi="Arial" w:cs="Arial"/>
                <w:color w:val="000000"/>
                <w:sz w:val="20"/>
                <w:szCs w:val="20"/>
              </w:rPr>
              <w:t>lovenija</w:t>
            </w:r>
          </w:p>
        </w:tc>
        <w:tc>
          <w:tcPr>
            <w:tcW w:w="1275" w:type="dxa"/>
            <w:tcBorders>
              <w:top w:val="nil"/>
              <w:left w:val="nil"/>
              <w:bottom w:val="single" w:sz="8" w:space="0" w:color="auto"/>
              <w:right w:val="single" w:sz="8" w:space="0" w:color="auto"/>
            </w:tcBorders>
            <w:shd w:val="clear" w:color="auto" w:fill="auto"/>
            <w:noWrap/>
            <w:vAlign w:val="center"/>
            <w:hideMark/>
          </w:tcPr>
          <w:p w14:paraId="098AFF46" w14:textId="5956264E"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281</w:t>
            </w:r>
            <w:r w:rsidR="00A801C3" w:rsidRPr="003D2EA2">
              <w:rPr>
                <w:rFonts w:ascii="Arial" w:hAnsi="Arial" w:cs="Arial"/>
                <w:color w:val="000000"/>
                <w:sz w:val="20"/>
                <w:szCs w:val="20"/>
              </w:rPr>
              <w:t>.</w:t>
            </w:r>
            <w:r w:rsidRPr="003D2EA2">
              <w:rPr>
                <w:rFonts w:ascii="Arial" w:hAnsi="Arial" w:cs="Arial"/>
                <w:color w:val="000000"/>
                <w:sz w:val="20"/>
                <w:szCs w:val="20"/>
              </w:rPr>
              <w:t>081</w:t>
            </w:r>
          </w:p>
        </w:tc>
        <w:tc>
          <w:tcPr>
            <w:tcW w:w="1338" w:type="dxa"/>
            <w:tcBorders>
              <w:top w:val="nil"/>
              <w:left w:val="nil"/>
              <w:bottom w:val="single" w:sz="8" w:space="0" w:color="auto"/>
              <w:right w:val="nil"/>
            </w:tcBorders>
            <w:shd w:val="clear" w:color="auto" w:fill="auto"/>
            <w:noWrap/>
            <w:vAlign w:val="center"/>
            <w:hideMark/>
          </w:tcPr>
          <w:p w14:paraId="346FC778" w14:textId="6676BD09"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310</w:t>
            </w:r>
            <w:r w:rsidR="00620624" w:rsidRPr="003D2EA2">
              <w:rPr>
                <w:rFonts w:ascii="Arial" w:hAnsi="Arial" w:cs="Arial"/>
                <w:color w:val="000000"/>
                <w:sz w:val="20"/>
                <w:szCs w:val="20"/>
              </w:rPr>
              <w:t>.</w:t>
            </w:r>
            <w:r w:rsidRPr="003D2EA2">
              <w:rPr>
                <w:rFonts w:ascii="Arial" w:hAnsi="Arial" w:cs="Arial"/>
                <w:color w:val="000000"/>
                <w:sz w:val="20"/>
                <w:szCs w:val="20"/>
              </w:rPr>
              <w:t>290</w:t>
            </w:r>
          </w:p>
        </w:tc>
        <w:tc>
          <w:tcPr>
            <w:tcW w:w="1356" w:type="dxa"/>
            <w:tcBorders>
              <w:top w:val="nil"/>
              <w:left w:val="single" w:sz="8" w:space="0" w:color="auto"/>
              <w:bottom w:val="single" w:sz="8" w:space="0" w:color="auto"/>
              <w:right w:val="single" w:sz="4" w:space="0" w:color="auto"/>
            </w:tcBorders>
            <w:shd w:val="clear" w:color="auto" w:fill="auto"/>
            <w:noWrap/>
            <w:vAlign w:val="center"/>
            <w:hideMark/>
          </w:tcPr>
          <w:p w14:paraId="3F44126C" w14:textId="12E2CC21"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w:t>
            </w:r>
            <w:r w:rsidR="00620624" w:rsidRPr="003D2EA2">
              <w:rPr>
                <w:rFonts w:ascii="Arial" w:hAnsi="Arial" w:cs="Arial"/>
                <w:color w:val="000000"/>
                <w:sz w:val="20"/>
                <w:szCs w:val="20"/>
              </w:rPr>
              <w:t>.</w:t>
            </w:r>
            <w:r w:rsidRPr="003D2EA2">
              <w:rPr>
                <w:rFonts w:ascii="Arial" w:hAnsi="Arial" w:cs="Arial"/>
                <w:color w:val="000000"/>
                <w:sz w:val="20"/>
                <w:szCs w:val="20"/>
              </w:rPr>
              <w:t>417</w:t>
            </w:r>
            <w:r w:rsidR="00620624" w:rsidRPr="003D2EA2">
              <w:rPr>
                <w:rFonts w:ascii="Arial" w:hAnsi="Arial" w:cs="Arial"/>
                <w:color w:val="000000"/>
                <w:sz w:val="20"/>
                <w:szCs w:val="20"/>
              </w:rPr>
              <w:t>.</w:t>
            </w:r>
            <w:r w:rsidRPr="003D2EA2">
              <w:rPr>
                <w:rFonts w:ascii="Arial" w:hAnsi="Arial" w:cs="Arial"/>
                <w:color w:val="000000"/>
                <w:sz w:val="20"/>
                <w:szCs w:val="20"/>
              </w:rPr>
              <w:t>938</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1838C2E" w14:textId="2B4591C9"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326</w:t>
            </w:r>
            <w:r w:rsidR="00620624" w:rsidRPr="003D2EA2">
              <w:rPr>
                <w:rFonts w:ascii="Arial" w:hAnsi="Arial" w:cs="Arial"/>
                <w:color w:val="000000"/>
                <w:sz w:val="20"/>
                <w:szCs w:val="20"/>
              </w:rPr>
              <w:t>.</w:t>
            </w:r>
            <w:r w:rsidRPr="003D2EA2">
              <w:rPr>
                <w:rFonts w:ascii="Arial" w:hAnsi="Arial" w:cs="Arial"/>
                <w:color w:val="000000"/>
                <w:sz w:val="20"/>
                <w:szCs w:val="20"/>
              </w:rPr>
              <w:t>847</w:t>
            </w:r>
          </w:p>
        </w:tc>
      </w:tr>
      <w:tr w:rsidR="009E0216" w:rsidRPr="003D2EA2" w14:paraId="431AB5F9" w14:textId="77777777" w:rsidTr="00AE37BC">
        <w:trPr>
          <w:trHeight w:val="31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5296FFDA" w14:textId="77777777" w:rsidR="009E0216" w:rsidRPr="003D2EA2" w:rsidRDefault="009E0216" w:rsidP="00F25C63">
            <w:pPr>
              <w:keepNext/>
              <w:keepLines/>
              <w:spacing w:after="0" w:line="264" w:lineRule="auto"/>
              <w:jc w:val="both"/>
              <w:rPr>
                <w:rFonts w:ascii="Arial" w:hAnsi="Arial" w:cs="Arial"/>
                <w:b/>
                <w:bCs/>
                <w:color w:val="000000"/>
                <w:sz w:val="20"/>
                <w:szCs w:val="20"/>
              </w:rPr>
            </w:pPr>
            <w:r w:rsidRPr="003D2EA2">
              <w:rPr>
                <w:rFonts w:ascii="Arial" w:hAnsi="Arial" w:cs="Arial"/>
                <w:b/>
                <w:bCs/>
                <w:color w:val="000000"/>
                <w:sz w:val="20"/>
                <w:szCs w:val="20"/>
              </w:rPr>
              <w:t> </w:t>
            </w:r>
          </w:p>
        </w:tc>
        <w:tc>
          <w:tcPr>
            <w:tcW w:w="2268" w:type="dxa"/>
            <w:tcBorders>
              <w:top w:val="nil"/>
              <w:left w:val="nil"/>
              <w:bottom w:val="single" w:sz="8" w:space="0" w:color="auto"/>
              <w:right w:val="single" w:sz="8" w:space="0" w:color="auto"/>
            </w:tcBorders>
            <w:shd w:val="clear" w:color="auto" w:fill="auto"/>
            <w:noWrap/>
            <w:vAlign w:val="center"/>
            <w:hideMark/>
          </w:tcPr>
          <w:p w14:paraId="05E22052" w14:textId="77777777"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 od vsega preb.</w:t>
            </w:r>
          </w:p>
        </w:tc>
        <w:tc>
          <w:tcPr>
            <w:tcW w:w="1275" w:type="dxa"/>
            <w:tcBorders>
              <w:top w:val="nil"/>
              <w:left w:val="nil"/>
              <w:bottom w:val="single" w:sz="8" w:space="0" w:color="auto"/>
              <w:right w:val="single" w:sz="8" w:space="0" w:color="auto"/>
            </w:tcBorders>
            <w:shd w:val="clear" w:color="auto" w:fill="auto"/>
            <w:noWrap/>
            <w:vAlign w:val="center"/>
            <w:hideMark/>
          </w:tcPr>
          <w:p w14:paraId="4EFEA043"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13,9</w:t>
            </w:r>
          </w:p>
        </w:tc>
        <w:tc>
          <w:tcPr>
            <w:tcW w:w="1338" w:type="dxa"/>
            <w:tcBorders>
              <w:top w:val="nil"/>
              <w:left w:val="nil"/>
              <w:bottom w:val="single" w:sz="8" w:space="0" w:color="auto"/>
              <w:right w:val="single" w:sz="8" w:space="0" w:color="auto"/>
            </w:tcBorders>
            <w:shd w:val="clear" w:color="auto" w:fill="auto"/>
            <w:noWrap/>
            <w:vAlign w:val="center"/>
            <w:hideMark/>
          </w:tcPr>
          <w:p w14:paraId="19570634"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15,3</w:t>
            </w:r>
          </w:p>
        </w:tc>
        <w:tc>
          <w:tcPr>
            <w:tcW w:w="1356" w:type="dxa"/>
            <w:tcBorders>
              <w:top w:val="nil"/>
              <w:left w:val="nil"/>
              <w:bottom w:val="single" w:sz="8" w:space="0" w:color="auto"/>
              <w:right w:val="single" w:sz="4" w:space="0" w:color="auto"/>
            </w:tcBorders>
            <w:shd w:val="clear" w:color="auto" w:fill="auto"/>
            <w:noWrap/>
            <w:vAlign w:val="center"/>
            <w:hideMark/>
          </w:tcPr>
          <w:p w14:paraId="3A95C6E4"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70,0</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EFBF60B"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16,1</w:t>
            </w:r>
          </w:p>
        </w:tc>
      </w:tr>
      <w:tr w:rsidR="009E0216" w:rsidRPr="003D2EA2" w14:paraId="60A6E63D" w14:textId="77777777" w:rsidTr="00AE37BC">
        <w:trPr>
          <w:trHeight w:val="31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72C3F136" w14:textId="77777777"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 </w:t>
            </w:r>
          </w:p>
        </w:tc>
        <w:tc>
          <w:tcPr>
            <w:tcW w:w="2268" w:type="dxa"/>
            <w:tcBorders>
              <w:top w:val="nil"/>
              <w:left w:val="nil"/>
              <w:bottom w:val="single" w:sz="8" w:space="0" w:color="auto"/>
              <w:right w:val="single" w:sz="8" w:space="0" w:color="auto"/>
            </w:tcBorders>
            <w:shd w:val="clear" w:color="auto" w:fill="auto"/>
            <w:noWrap/>
            <w:vAlign w:val="center"/>
            <w:hideMark/>
          </w:tcPr>
          <w:p w14:paraId="6209AA10" w14:textId="77777777"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Podeželje</w:t>
            </w:r>
          </w:p>
        </w:tc>
        <w:tc>
          <w:tcPr>
            <w:tcW w:w="1275" w:type="dxa"/>
            <w:tcBorders>
              <w:top w:val="nil"/>
              <w:left w:val="nil"/>
              <w:bottom w:val="single" w:sz="8" w:space="0" w:color="auto"/>
              <w:right w:val="single" w:sz="8" w:space="0" w:color="auto"/>
            </w:tcBorders>
            <w:shd w:val="clear" w:color="auto" w:fill="auto"/>
            <w:noWrap/>
            <w:vAlign w:val="center"/>
            <w:hideMark/>
          </w:tcPr>
          <w:p w14:paraId="27CE14FC" w14:textId="02F355DB"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174</w:t>
            </w:r>
            <w:r w:rsidR="00A801C3" w:rsidRPr="003D2EA2">
              <w:rPr>
                <w:rFonts w:ascii="Arial" w:hAnsi="Arial" w:cs="Arial"/>
                <w:color w:val="000000"/>
                <w:sz w:val="20"/>
                <w:szCs w:val="20"/>
              </w:rPr>
              <w:t>.</w:t>
            </w:r>
            <w:r w:rsidRPr="003D2EA2">
              <w:rPr>
                <w:rFonts w:ascii="Arial" w:hAnsi="Arial" w:cs="Arial"/>
                <w:color w:val="000000"/>
                <w:sz w:val="20"/>
                <w:szCs w:val="20"/>
              </w:rPr>
              <w:t>245</w:t>
            </w:r>
          </w:p>
        </w:tc>
        <w:tc>
          <w:tcPr>
            <w:tcW w:w="1338" w:type="dxa"/>
            <w:tcBorders>
              <w:top w:val="nil"/>
              <w:left w:val="nil"/>
              <w:bottom w:val="single" w:sz="8" w:space="0" w:color="auto"/>
              <w:right w:val="nil"/>
            </w:tcBorders>
            <w:shd w:val="clear" w:color="auto" w:fill="auto"/>
            <w:noWrap/>
            <w:vAlign w:val="center"/>
            <w:hideMark/>
          </w:tcPr>
          <w:p w14:paraId="2807D3FA" w14:textId="0268BBD8"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190</w:t>
            </w:r>
            <w:r w:rsidR="00620624" w:rsidRPr="003D2EA2">
              <w:rPr>
                <w:rFonts w:ascii="Arial" w:hAnsi="Arial" w:cs="Arial"/>
                <w:color w:val="000000"/>
                <w:sz w:val="20"/>
                <w:szCs w:val="20"/>
              </w:rPr>
              <w:t>.</w:t>
            </w:r>
            <w:r w:rsidRPr="003D2EA2">
              <w:rPr>
                <w:rFonts w:ascii="Arial" w:hAnsi="Arial" w:cs="Arial"/>
                <w:color w:val="000000"/>
                <w:sz w:val="20"/>
                <w:szCs w:val="20"/>
              </w:rPr>
              <w:t>292</w:t>
            </w:r>
          </w:p>
        </w:tc>
        <w:tc>
          <w:tcPr>
            <w:tcW w:w="1356" w:type="dxa"/>
            <w:tcBorders>
              <w:top w:val="nil"/>
              <w:left w:val="single" w:sz="8" w:space="0" w:color="auto"/>
              <w:bottom w:val="single" w:sz="8" w:space="0" w:color="auto"/>
              <w:right w:val="single" w:sz="4" w:space="0" w:color="auto"/>
            </w:tcBorders>
            <w:shd w:val="clear" w:color="auto" w:fill="auto"/>
            <w:noWrap/>
            <w:vAlign w:val="center"/>
            <w:hideMark/>
          </w:tcPr>
          <w:p w14:paraId="4F5BDBC9" w14:textId="19A89465"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843</w:t>
            </w:r>
            <w:r w:rsidR="00620624" w:rsidRPr="003D2EA2">
              <w:rPr>
                <w:rFonts w:ascii="Arial" w:hAnsi="Arial" w:cs="Arial"/>
                <w:color w:val="000000"/>
                <w:sz w:val="20"/>
                <w:szCs w:val="20"/>
              </w:rPr>
              <w:t>.</w:t>
            </w:r>
            <w:r w:rsidRPr="003D2EA2">
              <w:rPr>
                <w:rFonts w:ascii="Arial" w:hAnsi="Arial" w:cs="Arial"/>
                <w:color w:val="000000"/>
                <w:sz w:val="20"/>
                <w:szCs w:val="20"/>
              </w:rPr>
              <w:t>948</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20B902E" w14:textId="3AAC64C2"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190</w:t>
            </w:r>
            <w:r w:rsidR="00620624" w:rsidRPr="003D2EA2">
              <w:rPr>
                <w:rFonts w:ascii="Arial" w:hAnsi="Arial" w:cs="Arial"/>
                <w:color w:val="000000"/>
                <w:sz w:val="20"/>
                <w:szCs w:val="20"/>
              </w:rPr>
              <w:t>.</w:t>
            </w:r>
            <w:r w:rsidRPr="003D2EA2">
              <w:rPr>
                <w:rFonts w:ascii="Arial" w:hAnsi="Arial" w:cs="Arial"/>
                <w:color w:val="000000"/>
                <w:sz w:val="20"/>
                <w:szCs w:val="20"/>
              </w:rPr>
              <w:t>289</w:t>
            </w:r>
          </w:p>
        </w:tc>
      </w:tr>
      <w:tr w:rsidR="009E0216" w:rsidRPr="003D2EA2" w14:paraId="7B9DA0FC" w14:textId="77777777" w:rsidTr="00AE37BC">
        <w:trPr>
          <w:trHeight w:val="31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7DDB8E78" w14:textId="77777777"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 </w:t>
            </w:r>
          </w:p>
        </w:tc>
        <w:tc>
          <w:tcPr>
            <w:tcW w:w="2268" w:type="dxa"/>
            <w:tcBorders>
              <w:top w:val="nil"/>
              <w:left w:val="nil"/>
              <w:bottom w:val="single" w:sz="8" w:space="0" w:color="auto"/>
              <w:right w:val="single" w:sz="8" w:space="0" w:color="auto"/>
            </w:tcBorders>
            <w:shd w:val="clear" w:color="auto" w:fill="auto"/>
            <w:noWrap/>
            <w:vAlign w:val="center"/>
            <w:hideMark/>
          </w:tcPr>
          <w:p w14:paraId="6AF58967" w14:textId="77777777"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 od vsega preb.</w:t>
            </w:r>
          </w:p>
        </w:tc>
        <w:tc>
          <w:tcPr>
            <w:tcW w:w="1275" w:type="dxa"/>
            <w:tcBorders>
              <w:top w:val="nil"/>
              <w:left w:val="nil"/>
              <w:bottom w:val="single" w:sz="8" w:space="0" w:color="auto"/>
              <w:right w:val="single" w:sz="8" w:space="0" w:color="auto"/>
            </w:tcBorders>
            <w:shd w:val="clear" w:color="auto" w:fill="auto"/>
            <w:noWrap/>
            <w:vAlign w:val="center"/>
            <w:hideMark/>
          </w:tcPr>
          <w:p w14:paraId="68A51F57"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14</w:t>
            </w:r>
          </w:p>
        </w:tc>
        <w:tc>
          <w:tcPr>
            <w:tcW w:w="1338" w:type="dxa"/>
            <w:tcBorders>
              <w:top w:val="nil"/>
              <w:left w:val="nil"/>
              <w:bottom w:val="single" w:sz="8" w:space="0" w:color="auto"/>
              <w:right w:val="nil"/>
            </w:tcBorders>
            <w:shd w:val="clear" w:color="auto" w:fill="auto"/>
            <w:noWrap/>
            <w:vAlign w:val="center"/>
            <w:hideMark/>
          </w:tcPr>
          <w:p w14:paraId="21B02E3D"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16</w:t>
            </w:r>
          </w:p>
        </w:tc>
        <w:tc>
          <w:tcPr>
            <w:tcW w:w="1356" w:type="dxa"/>
            <w:tcBorders>
              <w:top w:val="nil"/>
              <w:left w:val="single" w:sz="8" w:space="0" w:color="auto"/>
              <w:bottom w:val="single" w:sz="8" w:space="0" w:color="auto"/>
              <w:right w:val="single" w:sz="4" w:space="0" w:color="auto"/>
            </w:tcBorders>
            <w:shd w:val="clear" w:color="auto" w:fill="auto"/>
            <w:noWrap/>
            <w:vAlign w:val="center"/>
            <w:hideMark/>
          </w:tcPr>
          <w:p w14:paraId="7EEAA7A2"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70</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B2DEB04"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16</w:t>
            </w:r>
          </w:p>
        </w:tc>
      </w:tr>
      <w:tr w:rsidR="009E0216" w:rsidRPr="003D2EA2" w14:paraId="6BFD1B27" w14:textId="77777777" w:rsidTr="00AE37BC">
        <w:trPr>
          <w:trHeight w:val="31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6935EE03" w14:textId="77777777" w:rsidR="009E0216" w:rsidRPr="003D2EA2" w:rsidRDefault="009E0216" w:rsidP="00F25C63">
            <w:pPr>
              <w:keepNext/>
              <w:keepLines/>
              <w:spacing w:after="0" w:line="264" w:lineRule="auto"/>
              <w:jc w:val="both"/>
              <w:rPr>
                <w:rFonts w:ascii="Arial" w:hAnsi="Arial" w:cs="Arial"/>
                <w:b/>
                <w:bCs/>
                <w:color w:val="000000"/>
                <w:sz w:val="20"/>
                <w:szCs w:val="20"/>
              </w:rPr>
            </w:pPr>
            <w:r w:rsidRPr="003D2EA2">
              <w:rPr>
                <w:rFonts w:ascii="Arial" w:hAnsi="Arial" w:cs="Arial"/>
                <w:b/>
                <w:bCs/>
                <w:color w:val="000000"/>
                <w:sz w:val="20"/>
                <w:szCs w:val="20"/>
              </w:rPr>
              <w:t>2010</w:t>
            </w:r>
          </w:p>
        </w:tc>
        <w:tc>
          <w:tcPr>
            <w:tcW w:w="2268" w:type="dxa"/>
            <w:tcBorders>
              <w:top w:val="nil"/>
              <w:left w:val="nil"/>
              <w:bottom w:val="single" w:sz="8" w:space="0" w:color="auto"/>
              <w:right w:val="single" w:sz="8" w:space="0" w:color="auto"/>
            </w:tcBorders>
            <w:shd w:val="clear" w:color="auto" w:fill="auto"/>
            <w:noWrap/>
            <w:vAlign w:val="center"/>
            <w:hideMark/>
          </w:tcPr>
          <w:p w14:paraId="54F8DCB4" w14:textId="2C922892"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S</w:t>
            </w:r>
            <w:r w:rsidR="00620624" w:rsidRPr="003D2EA2">
              <w:rPr>
                <w:rFonts w:ascii="Arial" w:hAnsi="Arial" w:cs="Arial"/>
                <w:color w:val="000000"/>
                <w:sz w:val="20"/>
                <w:szCs w:val="20"/>
              </w:rPr>
              <w:t>lovenija</w:t>
            </w:r>
          </w:p>
        </w:tc>
        <w:tc>
          <w:tcPr>
            <w:tcW w:w="1275" w:type="dxa"/>
            <w:tcBorders>
              <w:top w:val="nil"/>
              <w:left w:val="nil"/>
              <w:bottom w:val="single" w:sz="8" w:space="0" w:color="auto"/>
              <w:right w:val="single" w:sz="8" w:space="0" w:color="auto"/>
            </w:tcBorders>
            <w:shd w:val="clear" w:color="auto" w:fill="auto"/>
            <w:noWrap/>
            <w:vAlign w:val="center"/>
            <w:hideMark/>
          </w:tcPr>
          <w:p w14:paraId="6A37C9A4" w14:textId="45F26AE1"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287</w:t>
            </w:r>
            <w:r w:rsidR="00A801C3" w:rsidRPr="003D2EA2">
              <w:rPr>
                <w:rFonts w:ascii="Arial" w:hAnsi="Arial" w:cs="Arial"/>
                <w:color w:val="000000"/>
                <w:sz w:val="20"/>
                <w:szCs w:val="20"/>
              </w:rPr>
              <w:t>.</w:t>
            </w:r>
            <w:r w:rsidRPr="003D2EA2">
              <w:rPr>
                <w:rFonts w:ascii="Arial" w:hAnsi="Arial" w:cs="Arial"/>
                <w:color w:val="000000"/>
                <w:sz w:val="20"/>
                <w:szCs w:val="20"/>
              </w:rPr>
              <w:t>275</w:t>
            </w:r>
          </w:p>
        </w:tc>
        <w:tc>
          <w:tcPr>
            <w:tcW w:w="1338" w:type="dxa"/>
            <w:tcBorders>
              <w:top w:val="nil"/>
              <w:left w:val="nil"/>
              <w:bottom w:val="single" w:sz="8" w:space="0" w:color="auto"/>
              <w:right w:val="nil"/>
            </w:tcBorders>
            <w:shd w:val="clear" w:color="auto" w:fill="auto"/>
            <w:noWrap/>
            <w:vAlign w:val="center"/>
            <w:hideMark/>
          </w:tcPr>
          <w:p w14:paraId="793F9A20" w14:textId="22E9B342"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294</w:t>
            </w:r>
            <w:r w:rsidR="00620624" w:rsidRPr="003D2EA2">
              <w:rPr>
                <w:rFonts w:ascii="Arial" w:hAnsi="Arial" w:cs="Arial"/>
                <w:color w:val="000000"/>
                <w:sz w:val="20"/>
                <w:szCs w:val="20"/>
              </w:rPr>
              <w:t>.</w:t>
            </w:r>
            <w:r w:rsidRPr="003D2EA2">
              <w:rPr>
                <w:rFonts w:ascii="Arial" w:hAnsi="Arial" w:cs="Arial"/>
                <w:color w:val="000000"/>
                <w:sz w:val="20"/>
                <w:szCs w:val="20"/>
              </w:rPr>
              <w:t>847</w:t>
            </w:r>
          </w:p>
        </w:tc>
        <w:tc>
          <w:tcPr>
            <w:tcW w:w="1356" w:type="dxa"/>
            <w:tcBorders>
              <w:top w:val="nil"/>
              <w:left w:val="single" w:sz="8" w:space="0" w:color="auto"/>
              <w:bottom w:val="single" w:sz="8" w:space="0" w:color="auto"/>
              <w:right w:val="single" w:sz="4" w:space="0" w:color="auto"/>
            </w:tcBorders>
            <w:shd w:val="clear" w:color="auto" w:fill="auto"/>
            <w:noWrap/>
            <w:vAlign w:val="center"/>
            <w:hideMark/>
          </w:tcPr>
          <w:p w14:paraId="1808C001" w14:textId="75500329"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w:t>
            </w:r>
            <w:r w:rsidR="00620624" w:rsidRPr="003D2EA2">
              <w:rPr>
                <w:rFonts w:ascii="Arial" w:hAnsi="Arial" w:cs="Arial"/>
                <w:color w:val="000000"/>
                <w:sz w:val="20"/>
                <w:szCs w:val="20"/>
              </w:rPr>
              <w:t>.</w:t>
            </w:r>
            <w:r w:rsidRPr="003D2EA2">
              <w:rPr>
                <w:rFonts w:ascii="Arial" w:hAnsi="Arial" w:cs="Arial"/>
                <w:color w:val="000000"/>
                <w:sz w:val="20"/>
                <w:szCs w:val="20"/>
              </w:rPr>
              <w:t>421</w:t>
            </w:r>
            <w:r w:rsidR="00620624" w:rsidRPr="003D2EA2">
              <w:rPr>
                <w:rFonts w:ascii="Arial" w:hAnsi="Arial" w:cs="Arial"/>
                <w:color w:val="000000"/>
                <w:sz w:val="20"/>
                <w:szCs w:val="20"/>
              </w:rPr>
              <w:t>.</w:t>
            </w:r>
            <w:r w:rsidRPr="003D2EA2">
              <w:rPr>
                <w:rFonts w:ascii="Arial" w:hAnsi="Arial" w:cs="Arial"/>
                <w:color w:val="000000"/>
                <w:sz w:val="20"/>
                <w:szCs w:val="20"/>
              </w:rPr>
              <w:t>436</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2BA9BF0" w14:textId="76F19AA9"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338</w:t>
            </w:r>
            <w:r w:rsidR="00620624" w:rsidRPr="003D2EA2">
              <w:rPr>
                <w:rFonts w:ascii="Arial" w:hAnsi="Arial" w:cs="Arial"/>
                <w:color w:val="000000"/>
                <w:sz w:val="20"/>
                <w:szCs w:val="20"/>
              </w:rPr>
              <w:t>.</w:t>
            </w:r>
            <w:r w:rsidRPr="003D2EA2">
              <w:rPr>
                <w:rFonts w:ascii="Arial" w:hAnsi="Arial" w:cs="Arial"/>
                <w:color w:val="000000"/>
                <w:sz w:val="20"/>
                <w:szCs w:val="20"/>
              </w:rPr>
              <w:t>265</w:t>
            </w:r>
          </w:p>
        </w:tc>
      </w:tr>
      <w:tr w:rsidR="009E0216" w:rsidRPr="003D2EA2" w14:paraId="2E8151E3" w14:textId="77777777" w:rsidTr="00AE37BC">
        <w:trPr>
          <w:trHeight w:val="31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6807A69E" w14:textId="77777777" w:rsidR="009E0216" w:rsidRPr="003D2EA2" w:rsidRDefault="009E0216" w:rsidP="00F25C63">
            <w:pPr>
              <w:keepNext/>
              <w:keepLines/>
              <w:spacing w:after="0" w:line="264" w:lineRule="auto"/>
              <w:jc w:val="both"/>
              <w:rPr>
                <w:rFonts w:ascii="Arial" w:hAnsi="Arial" w:cs="Arial"/>
                <w:b/>
                <w:bCs/>
                <w:color w:val="000000"/>
                <w:sz w:val="20"/>
                <w:szCs w:val="20"/>
              </w:rPr>
            </w:pPr>
            <w:r w:rsidRPr="003D2EA2">
              <w:rPr>
                <w:rFonts w:ascii="Arial" w:hAnsi="Arial" w:cs="Arial"/>
                <w:b/>
                <w:bCs/>
                <w:color w:val="000000"/>
                <w:sz w:val="20"/>
                <w:szCs w:val="20"/>
              </w:rPr>
              <w:t> </w:t>
            </w:r>
          </w:p>
        </w:tc>
        <w:tc>
          <w:tcPr>
            <w:tcW w:w="2268" w:type="dxa"/>
            <w:tcBorders>
              <w:top w:val="nil"/>
              <w:left w:val="nil"/>
              <w:bottom w:val="single" w:sz="8" w:space="0" w:color="auto"/>
              <w:right w:val="single" w:sz="8" w:space="0" w:color="auto"/>
            </w:tcBorders>
            <w:shd w:val="clear" w:color="auto" w:fill="auto"/>
            <w:noWrap/>
            <w:vAlign w:val="center"/>
            <w:hideMark/>
          </w:tcPr>
          <w:p w14:paraId="088FFA8E" w14:textId="77777777"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 od vsega preb.</w:t>
            </w:r>
          </w:p>
        </w:tc>
        <w:tc>
          <w:tcPr>
            <w:tcW w:w="1275" w:type="dxa"/>
            <w:tcBorders>
              <w:top w:val="nil"/>
              <w:left w:val="nil"/>
              <w:bottom w:val="single" w:sz="8" w:space="0" w:color="auto"/>
              <w:right w:val="single" w:sz="8" w:space="0" w:color="auto"/>
            </w:tcBorders>
            <w:shd w:val="clear" w:color="auto" w:fill="auto"/>
            <w:noWrap/>
            <w:vAlign w:val="center"/>
            <w:hideMark/>
          </w:tcPr>
          <w:p w14:paraId="168BD66E"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14,0</w:t>
            </w:r>
          </w:p>
        </w:tc>
        <w:tc>
          <w:tcPr>
            <w:tcW w:w="1338" w:type="dxa"/>
            <w:tcBorders>
              <w:top w:val="nil"/>
              <w:left w:val="nil"/>
              <w:bottom w:val="single" w:sz="8" w:space="0" w:color="auto"/>
              <w:right w:val="nil"/>
            </w:tcBorders>
            <w:shd w:val="clear" w:color="auto" w:fill="auto"/>
            <w:noWrap/>
            <w:vAlign w:val="center"/>
            <w:hideMark/>
          </w:tcPr>
          <w:p w14:paraId="0DAE0052"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14,4</w:t>
            </w:r>
          </w:p>
        </w:tc>
        <w:tc>
          <w:tcPr>
            <w:tcW w:w="1356" w:type="dxa"/>
            <w:tcBorders>
              <w:top w:val="nil"/>
              <w:left w:val="single" w:sz="8" w:space="0" w:color="auto"/>
              <w:bottom w:val="single" w:sz="8" w:space="0" w:color="auto"/>
              <w:right w:val="single" w:sz="4" w:space="0" w:color="auto"/>
            </w:tcBorders>
            <w:shd w:val="clear" w:color="auto" w:fill="auto"/>
            <w:noWrap/>
            <w:vAlign w:val="center"/>
            <w:hideMark/>
          </w:tcPr>
          <w:p w14:paraId="674F12C4"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69,4</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5F8FE642"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16,5</w:t>
            </w:r>
          </w:p>
        </w:tc>
      </w:tr>
      <w:tr w:rsidR="009E0216" w:rsidRPr="003D2EA2" w14:paraId="32669B53" w14:textId="77777777" w:rsidTr="00AE37BC">
        <w:trPr>
          <w:trHeight w:val="31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322F3820" w14:textId="77777777"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 </w:t>
            </w:r>
          </w:p>
        </w:tc>
        <w:tc>
          <w:tcPr>
            <w:tcW w:w="2268" w:type="dxa"/>
            <w:tcBorders>
              <w:top w:val="nil"/>
              <w:left w:val="nil"/>
              <w:bottom w:val="single" w:sz="8" w:space="0" w:color="auto"/>
              <w:right w:val="single" w:sz="8" w:space="0" w:color="auto"/>
            </w:tcBorders>
            <w:shd w:val="clear" w:color="auto" w:fill="auto"/>
            <w:noWrap/>
            <w:vAlign w:val="center"/>
            <w:hideMark/>
          </w:tcPr>
          <w:p w14:paraId="5888E21D" w14:textId="77777777"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Podeželje</w:t>
            </w:r>
          </w:p>
        </w:tc>
        <w:tc>
          <w:tcPr>
            <w:tcW w:w="1275" w:type="dxa"/>
            <w:tcBorders>
              <w:top w:val="nil"/>
              <w:left w:val="nil"/>
              <w:bottom w:val="single" w:sz="8" w:space="0" w:color="auto"/>
              <w:right w:val="single" w:sz="8" w:space="0" w:color="auto"/>
            </w:tcBorders>
            <w:shd w:val="clear" w:color="auto" w:fill="auto"/>
            <w:noWrap/>
            <w:vAlign w:val="center"/>
            <w:hideMark/>
          </w:tcPr>
          <w:p w14:paraId="16575F1C" w14:textId="04431BDE"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177</w:t>
            </w:r>
            <w:r w:rsidR="00A801C3" w:rsidRPr="003D2EA2">
              <w:rPr>
                <w:rFonts w:ascii="Arial" w:hAnsi="Arial" w:cs="Arial"/>
                <w:color w:val="000000"/>
                <w:sz w:val="20"/>
                <w:szCs w:val="20"/>
              </w:rPr>
              <w:t>.</w:t>
            </w:r>
            <w:r w:rsidRPr="003D2EA2">
              <w:rPr>
                <w:rFonts w:ascii="Arial" w:hAnsi="Arial" w:cs="Arial"/>
                <w:color w:val="000000"/>
                <w:sz w:val="20"/>
                <w:szCs w:val="20"/>
              </w:rPr>
              <w:t>026</w:t>
            </w:r>
          </w:p>
        </w:tc>
        <w:tc>
          <w:tcPr>
            <w:tcW w:w="1338" w:type="dxa"/>
            <w:tcBorders>
              <w:top w:val="nil"/>
              <w:left w:val="nil"/>
              <w:bottom w:val="single" w:sz="8" w:space="0" w:color="auto"/>
              <w:right w:val="nil"/>
            </w:tcBorders>
            <w:shd w:val="clear" w:color="auto" w:fill="auto"/>
            <w:noWrap/>
            <w:vAlign w:val="center"/>
            <w:hideMark/>
          </w:tcPr>
          <w:p w14:paraId="30E87037" w14:textId="3EA2723D"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172</w:t>
            </w:r>
            <w:r w:rsidR="00620624" w:rsidRPr="003D2EA2">
              <w:rPr>
                <w:rFonts w:ascii="Arial" w:hAnsi="Arial" w:cs="Arial"/>
                <w:color w:val="000000"/>
                <w:sz w:val="20"/>
                <w:szCs w:val="20"/>
              </w:rPr>
              <w:t>.</w:t>
            </w:r>
            <w:r w:rsidRPr="003D2EA2">
              <w:rPr>
                <w:rFonts w:ascii="Arial" w:hAnsi="Arial" w:cs="Arial"/>
                <w:color w:val="000000"/>
                <w:sz w:val="20"/>
                <w:szCs w:val="20"/>
              </w:rPr>
              <w:t>412</w:t>
            </w:r>
          </w:p>
        </w:tc>
        <w:tc>
          <w:tcPr>
            <w:tcW w:w="1356" w:type="dxa"/>
            <w:tcBorders>
              <w:top w:val="nil"/>
              <w:left w:val="single" w:sz="8" w:space="0" w:color="auto"/>
              <w:bottom w:val="single" w:sz="8" w:space="0" w:color="auto"/>
              <w:right w:val="single" w:sz="4" w:space="0" w:color="auto"/>
            </w:tcBorders>
            <w:shd w:val="clear" w:color="auto" w:fill="auto"/>
            <w:noWrap/>
            <w:vAlign w:val="center"/>
            <w:hideMark/>
          </w:tcPr>
          <w:p w14:paraId="6025CCEA" w14:textId="11C90F8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839</w:t>
            </w:r>
            <w:r w:rsidR="00620624" w:rsidRPr="003D2EA2">
              <w:rPr>
                <w:rFonts w:ascii="Arial" w:hAnsi="Arial" w:cs="Arial"/>
                <w:color w:val="000000"/>
                <w:sz w:val="20"/>
                <w:szCs w:val="20"/>
              </w:rPr>
              <w:t>.</w:t>
            </w:r>
            <w:r w:rsidRPr="003D2EA2">
              <w:rPr>
                <w:rFonts w:ascii="Arial" w:hAnsi="Arial" w:cs="Arial"/>
                <w:color w:val="000000"/>
                <w:sz w:val="20"/>
                <w:szCs w:val="20"/>
              </w:rPr>
              <w:t>914</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5330C2B" w14:textId="310869C1"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197</w:t>
            </w:r>
            <w:r w:rsidR="00620624" w:rsidRPr="003D2EA2">
              <w:rPr>
                <w:rFonts w:ascii="Arial" w:hAnsi="Arial" w:cs="Arial"/>
                <w:color w:val="000000"/>
                <w:sz w:val="20"/>
                <w:szCs w:val="20"/>
              </w:rPr>
              <w:t>.</w:t>
            </w:r>
            <w:r w:rsidRPr="003D2EA2">
              <w:rPr>
                <w:rFonts w:ascii="Arial" w:hAnsi="Arial" w:cs="Arial"/>
                <w:color w:val="000000"/>
                <w:sz w:val="20"/>
                <w:szCs w:val="20"/>
              </w:rPr>
              <w:t>541</w:t>
            </w:r>
          </w:p>
        </w:tc>
      </w:tr>
      <w:tr w:rsidR="009E0216" w:rsidRPr="003D2EA2" w14:paraId="3964506F" w14:textId="77777777" w:rsidTr="00AE37BC">
        <w:trPr>
          <w:trHeight w:val="31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2561807E" w14:textId="77777777"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 </w:t>
            </w:r>
          </w:p>
        </w:tc>
        <w:tc>
          <w:tcPr>
            <w:tcW w:w="2268" w:type="dxa"/>
            <w:tcBorders>
              <w:top w:val="nil"/>
              <w:left w:val="nil"/>
              <w:bottom w:val="single" w:sz="8" w:space="0" w:color="auto"/>
              <w:right w:val="single" w:sz="8" w:space="0" w:color="auto"/>
            </w:tcBorders>
            <w:shd w:val="clear" w:color="auto" w:fill="auto"/>
            <w:noWrap/>
            <w:vAlign w:val="center"/>
            <w:hideMark/>
          </w:tcPr>
          <w:p w14:paraId="288B243D" w14:textId="77777777"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 od vsega preb.</w:t>
            </w:r>
          </w:p>
        </w:tc>
        <w:tc>
          <w:tcPr>
            <w:tcW w:w="1275" w:type="dxa"/>
            <w:tcBorders>
              <w:top w:val="nil"/>
              <w:left w:val="nil"/>
              <w:bottom w:val="single" w:sz="8" w:space="0" w:color="auto"/>
              <w:right w:val="single" w:sz="8" w:space="0" w:color="auto"/>
            </w:tcBorders>
            <w:shd w:val="clear" w:color="auto" w:fill="auto"/>
            <w:noWrap/>
            <w:vAlign w:val="center"/>
            <w:hideMark/>
          </w:tcPr>
          <w:p w14:paraId="7CF9F00E"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14,6</w:t>
            </w:r>
          </w:p>
        </w:tc>
        <w:tc>
          <w:tcPr>
            <w:tcW w:w="1338" w:type="dxa"/>
            <w:tcBorders>
              <w:top w:val="nil"/>
              <w:left w:val="nil"/>
              <w:bottom w:val="single" w:sz="8" w:space="0" w:color="auto"/>
              <w:right w:val="nil"/>
            </w:tcBorders>
            <w:shd w:val="clear" w:color="auto" w:fill="auto"/>
            <w:noWrap/>
            <w:vAlign w:val="center"/>
            <w:hideMark/>
          </w:tcPr>
          <w:p w14:paraId="1B7B3642"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14,2</w:t>
            </w:r>
          </w:p>
        </w:tc>
        <w:tc>
          <w:tcPr>
            <w:tcW w:w="1356" w:type="dxa"/>
            <w:tcBorders>
              <w:top w:val="nil"/>
              <w:left w:val="single" w:sz="8" w:space="0" w:color="auto"/>
              <w:bottom w:val="single" w:sz="8" w:space="0" w:color="auto"/>
              <w:right w:val="single" w:sz="4" w:space="0" w:color="auto"/>
            </w:tcBorders>
            <w:shd w:val="clear" w:color="auto" w:fill="auto"/>
            <w:noWrap/>
            <w:vAlign w:val="center"/>
            <w:hideMark/>
          </w:tcPr>
          <w:p w14:paraId="60DD4E7A"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69,2</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518899F"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16,3</w:t>
            </w:r>
          </w:p>
        </w:tc>
      </w:tr>
      <w:tr w:rsidR="009E0216" w:rsidRPr="003D2EA2" w14:paraId="519F151A" w14:textId="77777777" w:rsidTr="00AE37BC">
        <w:trPr>
          <w:trHeight w:val="31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586E8A97" w14:textId="77777777" w:rsidR="009E0216" w:rsidRPr="003D2EA2" w:rsidRDefault="009E0216" w:rsidP="00F25C63">
            <w:pPr>
              <w:keepNext/>
              <w:keepLines/>
              <w:spacing w:after="0" w:line="264" w:lineRule="auto"/>
              <w:jc w:val="both"/>
              <w:rPr>
                <w:rFonts w:ascii="Arial" w:hAnsi="Arial" w:cs="Arial"/>
                <w:b/>
                <w:bCs/>
                <w:color w:val="000000"/>
                <w:sz w:val="20"/>
                <w:szCs w:val="20"/>
              </w:rPr>
            </w:pPr>
            <w:r w:rsidRPr="003D2EA2">
              <w:rPr>
                <w:rFonts w:ascii="Arial" w:hAnsi="Arial" w:cs="Arial"/>
                <w:b/>
                <w:bCs/>
                <w:color w:val="000000"/>
                <w:sz w:val="20"/>
                <w:szCs w:val="20"/>
              </w:rPr>
              <w:t>2015</w:t>
            </w:r>
          </w:p>
        </w:tc>
        <w:tc>
          <w:tcPr>
            <w:tcW w:w="2268" w:type="dxa"/>
            <w:tcBorders>
              <w:top w:val="nil"/>
              <w:left w:val="nil"/>
              <w:bottom w:val="single" w:sz="8" w:space="0" w:color="auto"/>
              <w:right w:val="single" w:sz="8" w:space="0" w:color="auto"/>
            </w:tcBorders>
            <w:shd w:val="clear" w:color="auto" w:fill="auto"/>
            <w:noWrap/>
            <w:vAlign w:val="center"/>
            <w:hideMark/>
          </w:tcPr>
          <w:p w14:paraId="23C79BA6" w14:textId="1456ADE8" w:rsidR="009E0216" w:rsidRPr="003D2EA2" w:rsidRDefault="00620624"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Slovenija</w:t>
            </w:r>
          </w:p>
        </w:tc>
        <w:tc>
          <w:tcPr>
            <w:tcW w:w="1275" w:type="dxa"/>
            <w:tcBorders>
              <w:top w:val="nil"/>
              <w:left w:val="nil"/>
              <w:bottom w:val="single" w:sz="8" w:space="0" w:color="auto"/>
              <w:right w:val="single" w:sz="8" w:space="0" w:color="auto"/>
            </w:tcBorders>
            <w:shd w:val="clear" w:color="auto" w:fill="auto"/>
            <w:noWrap/>
            <w:vAlign w:val="center"/>
            <w:hideMark/>
          </w:tcPr>
          <w:p w14:paraId="3BAAEC26" w14:textId="5D2AF856"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306</w:t>
            </w:r>
            <w:r w:rsidR="00A801C3" w:rsidRPr="003D2EA2">
              <w:rPr>
                <w:rFonts w:ascii="Arial" w:hAnsi="Arial" w:cs="Arial"/>
                <w:color w:val="000000"/>
                <w:sz w:val="20"/>
                <w:szCs w:val="20"/>
              </w:rPr>
              <w:t>.</w:t>
            </w:r>
            <w:r w:rsidRPr="003D2EA2">
              <w:rPr>
                <w:rFonts w:ascii="Arial" w:hAnsi="Arial" w:cs="Arial"/>
                <w:color w:val="000000"/>
                <w:sz w:val="20"/>
                <w:szCs w:val="20"/>
              </w:rPr>
              <w:t>390</w:t>
            </w:r>
          </w:p>
        </w:tc>
        <w:tc>
          <w:tcPr>
            <w:tcW w:w="1338" w:type="dxa"/>
            <w:tcBorders>
              <w:top w:val="nil"/>
              <w:left w:val="nil"/>
              <w:bottom w:val="single" w:sz="8" w:space="0" w:color="auto"/>
              <w:right w:val="nil"/>
            </w:tcBorders>
            <w:shd w:val="clear" w:color="auto" w:fill="auto"/>
            <w:noWrap/>
            <w:vAlign w:val="center"/>
            <w:hideMark/>
          </w:tcPr>
          <w:p w14:paraId="2732342A" w14:textId="265F9A05"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246</w:t>
            </w:r>
            <w:r w:rsidR="00620624" w:rsidRPr="003D2EA2">
              <w:rPr>
                <w:rFonts w:ascii="Arial" w:hAnsi="Arial" w:cs="Arial"/>
                <w:color w:val="000000"/>
                <w:sz w:val="20"/>
                <w:szCs w:val="20"/>
              </w:rPr>
              <w:t>.</w:t>
            </w:r>
            <w:r w:rsidRPr="003D2EA2">
              <w:rPr>
                <w:rFonts w:ascii="Arial" w:hAnsi="Arial" w:cs="Arial"/>
                <w:color w:val="000000"/>
                <w:sz w:val="20"/>
                <w:szCs w:val="20"/>
              </w:rPr>
              <w:t>964</w:t>
            </w:r>
          </w:p>
        </w:tc>
        <w:tc>
          <w:tcPr>
            <w:tcW w:w="1356" w:type="dxa"/>
            <w:tcBorders>
              <w:top w:val="nil"/>
              <w:left w:val="single" w:sz="8" w:space="0" w:color="auto"/>
              <w:bottom w:val="single" w:sz="8" w:space="0" w:color="auto"/>
              <w:right w:val="single" w:sz="4" w:space="0" w:color="auto"/>
            </w:tcBorders>
            <w:shd w:val="clear" w:color="auto" w:fill="auto"/>
            <w:noWrap/>
            <w:vAlign w:val="center"/>
            <w:hideMark/>
          </w:tcPr>
          <w:p w14:paraId="4C07F83D" w14:textId="65B3103A"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w:t>
            </w:r>
            <w:r w:rsidR="00620624" w:rsidRPr="003D2EA2">
              <w:rPr>
                <w:rFonts w:ascii="Arial" w:hAnsi="Arial" w:cs="Arial"/>
                <w:color w:val="000000"/>
                <w:sz w:val="20"/>
                <w:szCs w:val="20"/>
              </w:rPr>
              <w:t>.</w:t>
            </w:r>
            <w:r w:rsidRPr="003D2EA2">
              <w:rPr>
                <w:rFonts w:ascii="Arial" w:hAnsi="Arial" w:cs="Arial"/>
                <w:color w:val="000000"/>
                <w:sz w:val="20"/>
                <w:szCs w:val="20"/>
              </w:rPr>
              <w:t>377</w:t>
            </w:r>
            <w:r w:rsidR="00620624" w:rsidRPr="003D2EA2">
              <w:rPr>
                <w:rFonts w:ascii="Arial" w:hAnsi="Arial" w:cs="Arial"/>
                <w:color w:val="000000"/>
                <w:sz w:val="20"/>
                <w:szCs w:val="20"/>
              </w:rPr>
              <w:t>.</w:t>
            </w:r>
            <w:r w:rsidRPr="003D2EA2">
              <w:rPr>
                <w:rFonts w:ascii="Arial" w:hAnsi="Arial" w:cs="Arial"/>
                <w:color w:val="000000"/>
                <w:sz w:val="20"/>
                <w:szCs w:val="20"/>
              </w:rPr>
              <w:t>696</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8CB12DA" w14:textId="1A18C76B"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380</w:t>
            </w:r>
            <w:r w:rsidR="00620624" w:rsidRPr="003D2EA2">
              <w:rPr>
                <w:rFonts w:ascii="Arial" w:hAnsi="Arial" w:cs="Arial"/>
                <w:color w:val="000000"/>
                <w:sz w:val="20"/>
                <w:szCs w:val="20"/>
              </w:rPr>
              <w:t>.</w:t>
            </w:r>
            <w:r w:rsidRPr="003D2EA2">
              <w:rPr>
                <w:rFonts w:ascii="Arial" w:hAnsi="Arial" w:cs="Arial"/>
                <w:color w:val="000000"/>
                <w:sz w:val="20"/>
                <w:szCs w:val="20"/>
              </w:rPr>
              <w:t>102</w:t>
            </w:r>
          </w:p>
        </w:tc>
      </w:tr>
      <w:tr w:rsidR="009E0216" w:rsidRPr="003D2EA2" w14:paraId="5715E6EA" w14:textId="77777777" w:rsidTr="00AE37BC">
        <w:trPr>
          <w:trHeight w:val="31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5EF97377" w14:textId="77777777" w:rsidR="009E0216" w:rsidRPr="003D2EA2" w:rsidRDefault="009E0216" w:rsidP="00F25C63">
            <w:pPr>
              <w:keepNext/>
              <w:keepLines/>
              <w:spacing w:after="0" w:line="264" w:lineRule="auto"/>
              <w:jc w:val="both"/>
              <w:rPr>
                <w:rFonts w:ascii="Arial" w:hAnsi="Arial" w:cs="Arial"/>
                <w:b/>
                <w:bCs/>
                <w:color w:val="000000"/>
                <w:sz w:val="20"/>
                <w:szCs w:val="20"/>
              </w:rPr>
            </w:pPr>
            <w:r w:rsidRPr="003D2EA2">
              <w:rPr>
                <w:rFonts w:ascii="Arial" w:hAnsi="Arial" w:cs="Arial"/>
                <w:b/>
                <w:bCs/>
                <w:color w:val="000000"/>
                <w:sz w:val="20"/>
                <w:szCs w:val="20"/>
              </w:rPr>
              <w:t> </w:t>
            </w:r>
          </w:p>
        </w:tc>
        <w:tc>
          <w:tcPr>
            <w:tcW w:w="2268" w:type="dxa"/>
            <w:tcBorders>
              <w:top w:val="nil"/>
              <w:left w:val="nil"/>
              <w:bottom w:val="single" w:sz="8" w:space="0" w:color="auto"/>
              <w:right w:val="single" w:sz="8" w:space="0" w:color="auto"/>
            </w:tcBorders>
            <w:shd w:val="clear" w:color="auto" w:fill="auto"/>
            <w:noWrap/>
            <w:vAlign w:val="center"/>
            <w:hideMark/>
          </w:tcPr>
          <w:p w14:paraId="22CF8116" w14:textId="77777777"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 od vsega preb.</w:t>
            </w:r>
          </w:p>
        </w:tc>
        <w:tc>
          <w:tcPr>
            <w:tcW w:w="1275" w:type="dxa"/>
            <w:tcBorders>
              <w:top w:val="nil"/>
              <w:left w:val="nil"/>
              <w:bottom w:val="single" w:sz="8" w:space="0" w:color="auto"/>
              <w:right w:val="single" w:sz="8" w:space="0" w:color="auto"/>
            </w:tcBorders>
            <w:shd w:val="clear" w:color="auto" w:fill="auto"/>
            <w:noWrap/>
            <w:vAlign w:val="center"/>
            <w:hideMark/>
          </w:tcPr>
          <w:p w14:paraId="0D97EF34"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14,8</w:t>
            </w:r>
          </w:p>
        </w:tc>
        <w:tc>
          <w:tcPr>
            <w:tcW w:w="1338" w:type="dxa"/>
            <w:tcBorders>
              <w:top w:val="nil"/>
              <w:left w:val="nil"/>
              <w:bottom w:val="single" w:sz="8" w:space="0" w:color="auto"/>
              <w:right w:val="nil"/>
            </w:tcBorders>
            <w:shd w:val="clear" w:color="auto" w:fill="auto"/>
            <w:noWrap/>
            <w:vAlign w:val="center"/>
            <w:hideMark/>
          </w:tcPr>
          <w:p w14:paraId="18C058F0"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12,0</w:t>
            </w:r>
          </w:p>
        </w:tc>
        <w:tc>
          <w:tcPr>
            <w:tcW w:w="1356" w:type="dxa"/>
            <w:tcBorders>
              <w:top w:val="nil"/>
              <w:left w:val="single" w:sz="8" w:space="0" w:color="auto"/>
              <w:bottom w:val="single" w:sz="8" w:space="0" w:color="auto"/>
              <w:right w:val="single" w:sz="4" w:space="0" w:color="auto"/>
            </w:tcBorders>
            <w:shd w:val="clear" w:color="auto" w:fill="auto"/>
            <w:noWrap/>
            <w:vAlign w:val="center"/>
            <w:hideMark/>
          </w:tcPr>
          <w:p w14:paraId="2620A7C3"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66,7</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DD09CA3"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18,4</w:t>
            </w:r>
          </w:p>
        </w:tc>
      </w:tr>
      <w:tr w:rsidR="009E0216" w:rsidRPr="003D2EA2" w14:paraId="1073D962" w14:textId="77777777" w:rsidTr="00AE37BC">
        <w:trPr>
          <w:trHeight w:val="31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7E4886B5" w14:textId="77777777" w:rsidR="009E0216" w:rsidRPr="003D2EA2" w:rsidRDefault="009E0216" w:rsidP="00F25C63">
            <w:pPr>
              <w:keepNext/>
              <w:keepLines/>
              <w:spacing w:after="0" w:line="264" w:lineRule="auto"/>
              <w:jc w:val="both"/>
              <w:rPr>
                <w:rFonts w:ascii="Arial" w:hAnsi="Arial" w:cs="Arial"/>
                <w:b/>
                <w:bCs/>
                <w:color w:val="000000"/>
                <w:sz w:val="20"/>
                <w:szCs w:val="20"/>
              </w:rPr>
            </w:pPr>
            <w:r w:rsidRPr="003D2EA2">
              <w:rPr>
                <w:rFonts w:ascii="Arial" w:hAnsi="Arial" w:cs="Arial"/>
                <w:b/>
                <w:bCs/>
                <w:color w:val="000000"/>
                <w:sz w:val="20"/>
                <w:szCs w:val="20"/>
              </w:rPr>
              <w:t> </w:t>
            </w:r>
          </w:p>
        </w:tc>
        <w:tc>
          <w:tcPr>
            <w:tcW w:w="2268" w:type="dxa"/>
            <w:tcBorders>
              <w:top w:val="nil"/>
              <w:left w:val="nil"/>
              <w:bottom w:val="single" w:sz="8" w:space="0" w:color="auto"/>
              <w:right w:val="single" w:sz="8" w:space="0" w:color="auto"/>
            </w:tcBorders>
            <w:shd w:val="clear" w:color="auto" w:fill="auto"/>
            <w:noWrap/>
            <w:vAlign w:val="center"/>
            <w:hideMark/>
          </w:tcPr>
          <w:p w14:paraId="3F64B694" w14:textId="77777777"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Podeželje</w:t>
            </w:r>
          </w:p>
        </w:tc>
        <w:tc>
          <w:tcPr>
            <w:tcW w:w="1275" w:type="dxa"/>
            <w:tcBorders>
              <w:top w:val="nil"/>
              <w:left w:val="nil"/>
              <w:bottom w:val="single" w:sz="8" w:space="0" w:color="auto"/>
              <w:right w:val="single" w:sz="8" w:space="0" w:color="auto"/>
            </w:tcBorders>
            <w:shd w:val="clear" w:color="auto" w:fill="auto"/>
            <w:noWrap/>
            <w:vAlign w:val="center"/>
            <w:hideMark/>
          </w:tcPr>
          <w:p w14:paraId="15BD2A1A" w14:textId="20E6E68E"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185</w:t>
            </w:r>
            <w:r w:rsidR="00A801C3" w:rsidRPr="003D2EA2">
              <w:rPr>
                <w:rFonts w:ascii="Arial" w:hAnsi="Arial" w:cs="Arial"/>
                <w:color w:val="000000"/>
                <w:sz w:val="20"/>
                <w:szCs w:val="20"/>
              </w:rPr>
              <w:t>.</w:t>
            </w:r>
            <w:r w:rsidRPr="003D2EA2">
              <w:rPr>
                <w:rFonts w:ascii="Arial" w:hAnsi="Arial" w:cs="Arial"/>
                <w:color w:val="000000"/>
                <w:sz w:val="20"/>
                <w:szCs w:val="20"/>
              </w:rPr>
              <w:t>504</w:t>
            </w:r>
          </w:p>
        </w:tc>
        <w:tc>
          <w:tcPr>
            <w:tcW w:w="1338" w:type="dxa"/>
            <w:tcBorders>
              <w:top w:val="nil"/>
              <w:left w:val="nil"/>
              <w:bottom w:val="single" w:sz="8" w:space="0" w:color="auto"/>
              <w:right w:val="nil"/>
            </w:tcBorders>
            <w:shd w:val="clear" w:color="auto" w:fill="auto"/>
            <w:noWrap/>
            <w:vAlign w:val="center"/>
            <w:hideMark/>
          </w:tcPr>
          <w:p w14:paraId="1504F539" w14:textId="1DF9418B"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142</w:t>
            </w:r>
            <w:r w:rsidR="00620624" w:rsidRPr="003D2EA2">
              <w:rPr>
                <w:rFonts w:ascii="Arial" w:hAnsi="Arial" w:cs="Arial"/>
                <w:color w:val="000000"/>
                <w:sz w:val="20"/>
                <w:szCs w:val="20"/>
              </w:rPr>
              <w:t>.</w:t>
            </w:r>
            <w:r w:rsidRPr="003D2EA2">
              <w:rPr>
                <w:rFonts w:ascii="Arial" w:hAnsi="Arial" w:cs="Arial"/>
                <w:color w:val="000000"/>
                <w:sz w:val="20"/>
                <w:szCs w:val="20"/>
              </w:rPr>
              <w:t>012</w:t>
            </w:r>
          </w:p>
        </w:tc>
        <w:tc>
          <w:tcPr>
            <w:tcW w:w="1356" w:type="dxa"/>
            <w:tcBorders>
              <w:top w:val="nil"/>
              <w:left w:val="single" w:sz="8" w:space="0" w:color="auto"/>
              <w:bottom w:val="single" w:sz="8" w:space="0" w:color="auto"/>
              <w:right w:val="single" w:sz="4" w:space="0" w:color="auto"/>
            </w:tcBorders>
            <w:shd w:val="clear" w:color="auto" w:fill="auto"/>
            <w:noWrap/>
            <w:vAlign w:val="center"/>
            <w:hideMark/>
          </w:tcPr>
          <w:p w14:paraId="7A405402" w14:textId="2D5362D1"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815</w:t>
            </w:r>
            <w:r w:rsidR="00620624" w:rsidRPr="003D2EA2">
              <w:rPr>
                <w:rFonts w:ascii="Arial" w:hAnsi="Arial" w:cs="Arial"/>
                <w:color w:val="000000"/>
                <w:sz w:val="20"/>
                <w:szCs w:val="20"/>
              </w:rPr>
              <w:t>.</w:t>
            </w:r>
            <w:r w:rsidRPr="003D2EA2">
              <w:rPr>
                <w:rFonts w:ascii="Arial" w:hAnsi="Arial" w:cs="Arial"/>
                <w:color w:val="000000"/>
                <w:sz w:val="20"/>
                <w:szCs w:val="20"/>
              </w:rPr>
              <w:t>635</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0E3DBCC" w14:textId="6D8F6D46"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222</w:t>
            </w:r>
            <w:r w:rsidR="00620624" w:rsidRPr="003D2EA2">
              <w:rPr>
                <w:rFonts w:ascii="Arial" w:hAnsi="Arial" w:cs="Arial"/>
                <w:color w:val="000000"/>
                <w:sz w:val="20"/>
                <w:szCs w:val="20"/>
              </w:rPr>
              <w:t>.</w:t>
            </w:r>
            <w:r w:rsidRPr="003D2EA2">
              <w:rPr>
                <w:rFonts w:ascii="Arial" w:hAnsi="Arial" w:cs="Arial"/>
                <w:color w:val="000000"/>
                <w:sz w:val="20"/>
                <w:szCs w:val="20"/>
              </w:rPr>
              <w:t>846</w:t>
            </w:r>
          </w:p>
        </w:tc>
      </w:tr>
      <w:tr w:rsidR="009E0216" w:rsidRPr="003D2EA2" w14:paraId="06F622CB" w14:textId="77777777" w:rsidTr="00AE37BC">
        <w:trPr>
          <w:trHeight w:val="31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476747E3" w14:textId="77777777" w:rsidR="009E0216" w:rsidRPr="003D2EA2" w:rsidRDefault="009E0216" w:rsidP="00F25C63">
            <w:pPr>
              <w:keepNext/>
              <w:keepLines/>
              <w:spacing w:after="0" w:line="264" w:lineRule="auto"/>
              <w:jc w:val="both"/>
              <w:rPr>
                <w:rFonts w:ascii="Arial" w:hAnsi="Arial" w:cs="Arial"/>
                <w:b/>
                <w:bCs/>
                <w:color w:val="000000"/>
                <w:sz w:val="20"/>
                <w:szCs w:val="20"/>
              </w:rPr>
            </w:pPr>
            <w:r w:rsidRPr="003D2EA2">
              <w:rPr>
                <w:rFonts w:ascii="Arial" w:hAnsi="Arial" w:cs="Arial"/>
                <w:b/>
                <w:bCs/>
                <w:color w:val="000000"/>
                <w:sz w:val="20"/>
                <w:szCs w:val="20"/>
              </w:rPr>
              <w:t> </w:t>
            </w:r>
          </w:p>
        </w:tc>
        <w:tc>
          <w:tcPr>
            <w:tcW w:w="2268" w:type="dxa"/>
            <w:tcBorders>
              <w:top w:val="nil"/>
              <w:left w:val="nil"/>
              <w:bottom w:val="single" w:sz="8" w:space="0" w:color="auto"/>
              <w:right w:val="single" w:sz="8" w:space="0" w:color="auto"/>
            </w:tcBorders>
            <w:shd w:val="clear" w:color="auto" w:fill="auto"/>
            <w:noWrap/>
            <w:vAlign w:val="center"/>
            <w:hideMark/>
          </w:tcPr>
          <w:p w14:paraId="603DADA6" w14:textId="77777777"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 od vsega preb.</w:t>
            </w:r>
          </w:p>
        </w:tc>
        <w:tc>
          <w:tcPr>
            <w:tcW w:w="1275" w:type="dxa"/>
            <w:tcBorders>
              <w:top w:val="nil"/>
              <w:left w:val="nil"/>
              <w:bottom w:val="single" w:sz="8" w:space="0" w:color="auto"/>
              <w:right w:val="single" w:sz="8" w:space="0" w:color="auto"/>
            </w:tcBorders>
            <w:shd w:val="clear" w:color="auto" w:fill="auto"/>
            <w:noWrap/>
            <w:vAlign w:val="center"/>
            <w:hideMark/>
          </w:tcPr>
          <w:p w14:paraId="393B9F82" w14:textId="383A8D89"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15,2</w:t>
            </w:r>
          </w:p>
        </w:tc>
        <w:tc>
          <w:tcPr>
            <w:tcW w:w="1338" w:type="dxa"/>
            <w:tcBorders>
              <w:top w:val="nil"/>
              <w:left w:val="nil"/>
              <w:bottom w:val="single" w:sz="8" w:space="0" w:color="auto"/>
              <w:right w:val="nil"/>
            </w:tcBorders>
            <w:shd w:val="clear" w:color="auto" w:fill="auto"/>
            <w:noWrap/>
            <w:vAlign w:val="center"/>
            <w:hideMark/>
          </w:tcPr>
          <w:p w14:paraId="3F630EC6" w14:textId="3954930B"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11,6</w:t>
            </w:r>
          </w:p>
        </w:tc>
        <w:tc>
          <w:tcPr>
            <w:tcW w:w="1356" w:type="dxa"/>
            <w:tcBorders>
              <w:top w:val="nil"/>
              <w:left w:val="single" w:sz="8" w:space="0" w:color="auto"/>
              <w:bottom w:val="single" w:sz="8" w:space="0" w:color="auto"/>
              <w:right w:val="single" w:sz="4" w:space="0" w:color="auto"/>
            </w:tcBorders>
            <w:shd w:val="clear" w:color="auto" w:fill="auto"/>
            <w:noWrap/>
            <w:vAlign w:val="center"/>
            <w:hideMark/>
          </w:tcPr>
          <w:p w14:paraId="563AA5E2" w14:textId="7C99D16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66,6</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2FAB4C8" w14:textId="3403566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18,2</w:t>
            </w:r>
          </w:p>
        </w:tc>
      </w:tr>
      <w:tr w:rsidR="009E0216" w:rsidRPr="003D2EA2" w14:paraId="63A58040" w14:textId="77777777" w:rsidTr="00AE37BC">
        <w:trPr>
          <w:trHeight w:val="31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2BA179D3" w14:textId="77777777" w:rsidR="009E0216" w:rsidRPr="003D2EA2" w:rsidRDefault="009E0216" w:rsidP="00F25C63">
            <w:pPr>
              <w:keepNext/>
              <w:keepLines/>
              <w:spacing w:after="0" w:line="264" w:lineRule="auto"/>
              <w:jc w:val="both"/>
              <w:rPr>
                <w:rFonts w:ascii="Arial" w:hAnsi="Arial" w:cs="Arial"/>
                <w:b/>
                <w:bCs/>
                <w:color w:val="000000"/>
                <w:sz w:val="20"/>
                <w:szCs w:val="20"/>
              </w:rPr>
            </w:pPr>
            <w:r w:rsidRPr="003D2EA2">
              <w:rPr>
                <w:rFonts w:ascii="Arial" w:hAnsi="Arial" w:cs="Arial"/>
                <w:b/>
                <w:bCs/>
                <w:color w:val="000000"/>
                <w:sz w:val="20"/>
                <w:szCs w:val="20"/>
              </w:rPr>
              <w:t>2019</w:t>
            </w:r>
          </w:p>
        </w:tc>
        <w:tc>
          <w:tcPr>
            <w:tcW w:w="2268" w:type="dxa"/>
            <w:tcBorders>
              <w:top w:val="nil"/>
              <w:left w:val="nil"/>
              <w:bottom w:val="single" w:sz="8" w:space="0" w:color="auto"/>
              <w:right w:val="single" w:sz="8" w:space="0" w:color="auto"/>
            </w:tcBorders>
            <w:shd w:val="clear" w:color="auto" w:fill="auto"/>
            <w:noWrap/>
            <w:vAlign w:val="center"/>
            <w:hideMark/>
          </w:tcPr>
          <w:p w14:paraId="6CCB5058" w14:textId="571EF9DA" w:rsidR="009E0216" w:rsidRPr="003D2EA2" w:rsidRDefault="00620624"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Slovenija</w:t>
            </w:r>
          </w:p>
        </w:tc>
        <w:tc>
          <w:tcPr>
            <w:tcW w:w="1275" w:type="dxa"/>
            <w:tcBorders>
              <w:top w:val="nil"/>
              <w:left w:val="nil"/>
              <w:bottom w:val="single" w:sz="8" w:space="0" w:color="auto"/>
              <w:right w:val="single" w:sz="8" w:space="0" w:color="auto"/>
            </w:tcBorders>
            <w:shd w:val="clear" w:color="auto" w:fill="auto"/>
            <w:noWrap/>
            <w:vAlign w:val="center"/>
            <w:hideMark/>
          </w:tcPr>
          <w:p w14:paraId="4ED61EC1" w14:textId="7AC8C20B"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315</w:t>
            </w:r>
            <w:r w:rsidR="00A801C3" w:rsidRPr="003D2EA2">
              <w:rPr>
                <w:rFonts w:ascii="Arial" w:hAnsi="Arial" w:cs="Arial"/>
                <w:color w:val="000000"/>
                <w:sz w:val="20"/>
                <w:szCs w:val="20"/>
              </w:rPr>
              <w:t>.</w:t>
            </w:r>
            <w:r w:rsidRPr="003D2EA2">
              <w:rPr>
                <w:rFonts w:ascii="Arial" w:hAnsi="Arial" w:cs="Arial"/>
                <w:color w:val="000000"/>
                <w:sz w:val="20"/>
                <w:szCs w:val="20"/>
              </w:rPr>
              <w:t>802</w:t>
            </w:r>
          </w:p>
        </w:tc>
        <w:tc>
          <w:tcPr>
            <w:tcW w:w="1338" w:type="dxa"/>
            <w:tcBorders>
              <w:top w:val="nil"/>
              <w:left w:val="nil"/>
              <w:bottom w:val="single" w:sz="8" w:space="0" w:color="auto"/>
              <w:right w:val="nil"/>
            </w:tcBorders>
            <w:shd w:val="clear" w:color="auto" w:fill="auto"/>
            <w:noWrap/>
            <w:vAlign w:val="center"/>
            <w:hideMark/>
          </w:tcPr>
          <w:p w14:paraId="0766A36A" w14:textId="54AE2ECF"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240</w:t>
            </w:r>
            <w:r w:rsidR="00620624" w:rsidRPr="003D2EA2">
              <w:rPr>
                <w:rFonts w:ascii="Arial" w:hAnsi="Arial" w:cs="Arial"/>
                <w:color w:val="000000"/>
                <w:sz w:val="20"/>
                <w:szCs w:val="20"/>
              </w:rPr>
              <w:t>.</w:t>
            </w:r>
            <w:r w:rsidRPr="003D2EA2">
              <w:rPr>
                <w:rFonts w:ascii="Arial" w:hAnsi="Arial" w:cs="Arial"/>
                <w:color w:val="000000"/>
                <w:sz w:val="20"/>
                <w:szCs w:val="20"/>
              </w:rPr>
              <w:t>666</w:t>
            </w:r>
          </w:p>
        </w:tc>
        <w:tc>
          <w:tcPr>
            <w:tcW w:w="1356" w:type="dxa"/>
            <w:tcBorders>
              <w:top w:val="nil"/>
              <w:left w:val="single" w:sz="8" w:space="0" w:color="auto"/>
              <w:bottom w:val="single" w:sz="8" w:space="0" w:color="auto"/>
              <w:right w:val="single" w:sz="4" w:space="0" w:color="auto"/>
            </w:tcBorders>
            <w:shd w:val="clear" w:color="auto" w:fill="auto"/>
            <w:noWrap/>
            <w:vAlign w:val="center"/>
            <w:hideMark/>
          </w:tcPr>
          <w:p w14:paraId="0797D00F" w14:textId="77E906D3"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w:t>
            </w:r>
            <w:r w:rsidR="00620624" w:rsidRPr="003D2EA2">
              <w:rPr>
                <w:rFonts w:ascii="Arial" w:hAnsi="Arial" w:cs="Arial"/>
                <w:color w:val="000000"/>
                <w:sz w:val="20"/>
                <w:szCs w:val="20"/>
              </w:rPr>
              <w:t>.</w:t>
            </w:r>
            <w:r w:rsidRPr="003D2EA2">
              <w:rPr>
                <w:rFonts w:ascii="Arial" w:hAnsi="Arial" w:cs="Arial"/>
                <w:color w:val="000000"/>
                <w:sz w:val="20"/>
                <w:szCs w:val="20"/>
              </w:rPr>
              <w:t>356</w:t>
            </w:r>
            <w:r w:rsidR="00620624" w:rsidRPr="003D2EA2">
              <w:rPr>
                <w:rFonts w:ascii="Arial" w:hAnsi="Arial" w:cs="Arial"/>
                <w:color w:val="000000"/>
                <w:sz w:val="20"/>
                <w:szCs w:val="20"/>
              </w:rPr>
              <w:t>.</w:t>
            </w:r>
            <w:r w:rsidRPr="003D2EA2">
              <w:rPr>
                <w:rFonts w:ascii="Arial" w:hAnsi="Arial" w:cs="Arial"/>
                <w:color w:val="000000"/>
                <w:sz w:val="20"/>
                <w:szCs w:val="20"/>
              </w:rPr>
              <w:t>055</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6158BEA" w14:textId="380820B8"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424</w:t>
            </w:r>
            <w:r w:rsidR="00620624" w:rsidRPr="003D2EA2">
              <w:rPr>
                <w:rFonts w:ascii="Arial" w:hAnsi="Arial" w:cs="Arial"/>
                <w:color w:val="000000"/>
                <w:sz w:val="20"/>
                <w:szCs w:val="20"/>
              </w:rPr>
              <w:t>.</w:t>
            </w:r>
            <w:r w:rsidRPr="003D2EA2">
              <w:rPr>
                <w:rFonts w:ascii="Arial" w:hAnsi="Arial" w:cs="Arial"/>
                <w:color w:val="000000"/>
                <w:sz w:val="20"/>
                <w:szCs w:val="20"/>
              </w:rPr>
              <w:t>004</w:t>
            </w:r>
          </w:p>
        </w:tc>
      </w:tr>
      <w:tr w:rsidR="009E0216" w:rsidRPr="003D2EA2" w14:paraId="6AFACB36" w14:textId="77777777" w:rsidTr="00AE37BC">
        <w:trPr>
          <w:trHeight w:val="31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5F35F4D5" w14:textId="77777777" w:rsidR="009E0216" w:rsidRPr="003D2EA2" w:rsidRDefault="009E0216" w:rsidP="00F25C63">
            <w:pPr>
              <w:keepNext/>
              <w:keepLines/>
              <w:spacing w:after="0" w:line="264" w:lineRule="auto"/>
              <w:jc w:val="both"/>
              <w:rPr>
                <w:rFonts w:ascii="Arial" w:hAnsi="Arial" w:cs="Arial"/>
                <w:b/>
                <w:bCs/>
                <w:color w:val="000000"/>
                <w:sz w:val="20"/>
                <w:szCs w:val="20"/>
              </w:rPr>
            </w:pPr>
            <w:r w:rsidRPr="003D2EA2">
              <w:rPr>
                <w:rFonts w:ascii="Arial" w:hAnsi="Arial" w:cs="Arial"/>
                <w:b/>
                <w:bCs/>
                <w:color w:val="000000"/>
                <w:sz w:val="20"/>
                <w:szCs w:val="20"/>
              </w:rPr>
              <w:t> </w:t>
            </w:r>
          </w:p>
        </w:tc>
        <w:tc>
          <w:tcPr>
            <w:tcW w:w="2268" w:type="dxa"/>
            <w:tcBorders>
              <w:top w:val="nil"/>
              <w:left w:val="nil"/>
              <w:bottom w:val="single" w:sz="8" w:space="0" w:color="auto"/>
              <w:right w:val="single" w:sz="8" w:space="0" w:color="auto"/>
            </w:tcBorders>
            <w:shd w:val="clear" w:color="auto" w:fill="auto"/>
            <w:noWrap/>
            <w:vAlign w:val="center"/>
            <w:hideMark/>
          </w:tcPr>
          <w:p w14:paraId="33FE8A90" w14:textId="77777777"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 od vsega preb.</w:t>
            </w:r>
          </w:p>
        </w:tc>
        <w:tc>
          <w:tcPr>
            <w:tcW w:w="1275" w:type="dxa"/>
            <w:tcBorders>
              <w:top w:val="nil"/>
              <w:left w:val="nil"/>
              <w:bottom w:val="single" w:sz="8" w:space="0" w:color="auto"/>
              <w:right w:val="single" w:sz="8" w:space="0" w:color="auto"/>
            </w:tcBorders>
            <w:shd w:val="clear" w:color="auto" w:fill="auto"/>
            <w:noWrap/>
            <w:vAlign w:val="center"/>
            <w:hideMark/>
          </w:tcPr>
          <w:p w14:paraId="47168177"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15,1</w:t>
            </w:r>
          </w:p>
        </w:tc>
        <w:tc>
          <w:tcPr>
            <w:tcW w:w="1338" w:type="dxa"/>
            <w:tcBorders>
              <w:top w:val="nil"/>
              <w:left w:val="nil"/>
              <w:bottom w:val="single" w:sz="8" w:space="0" w:color="auto"/>
              <w:right w:val="nil"/>
            </w:tcBorders>
            <w:shd w:val="clear" w:color="auto" w:fill="auto"/>
            <w:noWrap/>
            <w:vAlign w:val="center"/>
            <w:hideMark/>
          </w:tcPr>
          <w:p w14:paraId="45719330"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11,5</w:t>
            </w:r>
          </w:p>
        </w:tc>
        <w:tc>
          <w:tcPr>
            <w:tcW w:w="1356" w:type="dxa"/>
            <w:tcBorders>
              <w:top w:val="nil"/>
              <w:left w:val="single" w:sz="8" w:space="0" w:color="auto"/>
              <w:bottom w:val="single" w:sz="8" w:space="0" w:color="auto"/>
              <w:right w:val="single" w:sz="4" w:space="0" w:color="auto"/>
            </w:tcBorders>
            <w:shd w:val="clear" w:color="auto" w:fill="auto"/>
            <w:noWrap/>
            <w:vAlign w:val="center"/>
            <w:hideMark/>
          </w:tcPr>
          <w:p w14:paraId="312873ED"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64,7</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7F41C9E"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20,2</w:t>
            </w:r>
          </w:p>
        </w:tc>
      </w:tr>
      <w:tr w:rsidR="009E0216" w:rsidRPr="003D2EA2" w14:paraId="66AA48C1" w14:textId="77777777" w:rsidTr="00AE37BC">
        <w:trPr>
          <w:trHeight w:val="315"/>
        </w:trPr>
        <w:tc>
          <w:tcPr>
            <w:tcW w:w="1073" w:type="dxa"/>
            <w:tcBorders>
              <w:top w:val="nil"/>
              <w:left w:val="single" w:sz="8" w:space="0" w:color="auto"/>
              <w:bottom w:val="nil"/>
              <w:right w:val="single" w:sz="8" w:space="0" w:color="auto"/>
            </w:tcBorders>
            <w:shd w:val="clear" w:color="auto" w:fill="auto"/>
            <w:noWrap/>
            <w:vAlign w:val="center"/>
            <w:hideMark/>
          </w:tcPr>
          <w:p w14:paraId="3252D386" w14:textId="77777777"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 </w:t>
            </w:r>
          </w:p>
        </w:tc>
        <w:tc>
          <w:tcPr>
            <w:tcW w:w="2268" w:type="dxa"/>
            <w:tcBorders>
              <w:top w:val="nil"/>
              <w:left w:val="nil"/>
              <w:bottom w:val="nil"/>
              <w:right w:val="single" w:sz="8" w:space="0" w:color="auto"/>
            </w:tcBorders>
            <w:shd w:val="clear" w:color="auto" w:fill="auto"/>
            <w:noWrap/>
            <w:vAlign w:val="center"/>
            <w:hideMark/>
          </w:tcPr>
          <w:p w14:paraId="2E898DBA" w14:textId="77777777"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Podeželje</w:t>
            </w:r>
          </w:p>
        </w:tc>
        <w:tc>
          <w:tcPr>
            <w:tcW w:w="1275" w:type="dxa"/>
            <w:tcBorders>
              <w:top w:val="nil"/>
              <w:left w:val="nil"/>
              <w:bottom w:val="nil"/>
              <w:right w:val="single" w:sz="8" w:space="0" w:color="auto"/>
            </w:tcBorders>
            <w:shd w:val="clear" w:color="auto" w:fill="auto"/>
            <w:noWrap/>
            <w:vAlign w:val="center"/>
            <w:hideMark/>
          </w:tcPr>
          <w:p w14:paraId="6E0EEE70" w14:textId="5AF2ED04"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190</w:t>
            </w:r>
            <w:r w:rsidR="00A801C3" w:rsidRPr="003D2EA2">
              <w:rPr>
                <w:rFonts w:ascii="Arial" w:hAnsi="Arial" w:cs="Arial"/>
                <w:color w:val="000000"/>
                <w:sz w:val="20"/>
                <w:szCs w:val="20"/>
              </w:rPr>
              <w:t>.</w:t>
            </w:r>
            <w:r w:rsidRPr="003D2EA2">
              <w:rPr>
                <w:rFonts w:ascii="Arial" w:hAnsi="Arial" w:cs="Arial"/>
                <w:color w:val="000000"/>
                <w:sz w:val="20"/>
                <w:szCs w:val="20"/>
              </w:rPr>
              <w:t>350</w:t>
            </w:r>
          </w:p>
        </w:tc>
        <w:tc>
          <w:tcPr>
            <w:tcW w:w="1338" w:type="dxa"/>
            <w:tcBorders>
              <w:top w:val="nil"/>
              <w:left w:val="nil"/>
              <w:bottom w:val="nil"/>
              <w:right w:val="nil"/>
            </w:tcBorders>
            <w:shd w:val="clear" w:color="auto" w:fill="auto"/>
            <w:noWrap/>
            <w:vAlign w:val="center"/>
            <w:hideMark/>
          </w:tcPr>
          <w:p w14:paraId="4DDE1EAC" w14:textId="5343363C"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135</w:t>
            </w:r>
            <w:r w:rsidR="00620624" w:rsidRPr="003D2EA2">
              <w:rPr>
                <w:rFonts w:ascii="Arial" w:hAnsi="Arial" w:cs="Arial"/>
                <w:color w:val="000000"/>
                <w:sz w:val="20"/>
                <w:szCs w:val="20"/>
              </w:rPr>
              <w:t>.</w:t>
            </w:r>
            <w:r w:rsidRPr="003D2EA2">
              <w:rPr>
                <w:rFonts w:ascii="Arial" w:hAnsi="Arial" w:cs="Arial"/>
                <w:color w:val="000000"/>
                <w:sz w:val="20"/>
                <w:szCs w:val="20"/>
              </w:rPr>
              <w:t>396</w:t>
            </w:r>
          </w:p>
        </w:tc>
        <w:tc>
          <w:tcPr>
            <w:tcW w:w="1356" w:type="dxa"/>
            <w:tcBorders>
              <w:top w:val="nil"/>
              <w:left w:val="single" w:sz="8" w:space="0" w:color="auto"/>
              <w:bottom w:val="nil"/>
              <w:right w:val="single" w:sz="4" w:space="0" w:color="auto"/>
            </w:tcBorders>
            <w:shd w:val="clear" w:color="auto" w:fill="auto"/>
            <w:noWrap/>
            <w:vAlign w:val="center"/>
            <w:hideMark/>
          </w:tcPr>
          <w:p w14:paraId="5D4B7A2F" w14:textId="078E4B64"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799</w:t>
            </w:r>
            <w:r w:rsidR="00620624" w:rsidRPr="003D2EA2">
              <w:rPr>
                <w:rFonts w:ascii="Arial" w:hAnsi="Arial" w:cs="Arial"/>
                <w:color w:val="000000"/>
                <w:sz w:val="20"/>
                <w:szCs w:val="20"/>
              </w:rPr>
              <w:t>.</w:t>
            </w:r>
            <w:r w:rsidRPr="003D2EA2">
              <w:rPr>
                <w:rFonts w:ascii="Arial" w:hAnsi="Arial" w:cs="Arial"/>
                <w:color w:val="000000"/>
                <w:sz w:val="20"/>
                <w:szCs w:val="20"/>
              </w:rPr>
              <w:t>670</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39B44C7" w14:textId="3FA605C9"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249</w:t>
            </w:r>
            <w:r w:rsidR="00620624" w:rsidRPr="003D2EA2">
              <w:rPr>
                <w:rFonts w:ascii="Arial" w:hAnsi="Arial" w:cs="Arial"/>
                <w:color w:val="000000"/>
                <w:sz w:val="20"/>
                <w:szCs w:val="20"/>
              </w:rPr>
              <w:t>.</w:t>
            </w:r>
            <w:r w:rsidRPr="003D2EA2">
              <w:rPr>
                <w:rFonts w:ascii="Arial" w:hAnsi="Arial" w:cs="Arial"/>
                <w:color w:val="000000"/>
                <w:sz w:val="20"/>
                <w:szCs w:val="20"/>
              </w:rPr>
              <w:t>177</w:t>
            </w:r>
          </w:p>
        </w:tc>
      </w:tr>
      <w:tr w:rsidR="009E0216" w:rsidRPr="003D2EA2" w14:paraId="6179CE2F" w14:textId="77777777" w:rsidTr="00AE37BC">
        <w:trPr>
          <w:trHeight w:val="315"/>
        </w:trPr>
        <w:tc>
          <w:tcPr>
            <w:tcW w:w="107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DB5F260" w14:textId="77777777"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 </w:t>
            </w:r>
          </w:p>
        </w:tc>
        <w:tc>
          <w:tcPr>
            <w:tcW w:w="2268" w:type="dxa"/>
            <w:tcBorders>
              <w:top w:val="single" w:sz="8" w:space="0" w:color="auto"/>
              <w:left w:val="nil"/>
              <w:bottom w:val="single" w:sz="8" w:space="0" w:color="auto"/>
              <w:right w:val="single" w:sz="4" w:space="0" w:color="auto"/>
            </w:tcBorders>
            <w:shd w:val="clear" w:color="auto" w:fill="auto"/>
            <w:noWrap/>
            <w:vAlign w:val="center"/>
            <w:hideMark/>
          </w:tcPr>
          <w:p w14:paraId="382013AF" w14:textId="77777777" w:rsidR="009E0216" w:rsidRPr="003D2EA2" w:rsidRDefault="009E0216" w:rsidP="00F25C63">
            <w:pPr>
              <w:keepNext/>
              <w:keepLines/>
              <w:spacing w:after="0" w:line="264" w:lineRule="auto"/>
              <w:jc w:val="both"/>
              <w:rPr>
                <w:rFonts w:ascii="Arial" w:hAnsi="Arial" w:cs="Arial"/>
                <w:color w:val="000000"/>
                <w:sz w:val="20"/>
                <w:szCs w:val="20"/>
              </w:rPr>
            </w:pPr>
            <w:r w:rsidRPr="003D2EA2">
              <w:rPr>
                <w:rFonts w:ascii="Arial" w:hAnsi="Arial" w:cs="Arial"/>
                <w:color w:val="000000"/>
                <w:sz w:val="20"/>
                <w:szCs w:val="20"/>
              </w:rPr>
              <w:t>% od vsega preb.</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14:paraId="419FED00"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15,4</w:t>
            </w:r>
          </w:p>
        </w:tc>
        <w:tc>
          <w:tcPr>
            <w:tcW w:w="1338" w:type="dxa"/>
            <w:tcBorders>
              <w:top w:val="single" w:sz="8" w:space="0" w:color="auto"/>
              <w:left w:val="nil"/>
              <w:bottom w:val="single" w:sz="8" w:space="0" w:color="auto"/>
              <w:right w:val="single" w:sz="8" w:space="0" w:color="auto"/>
            </w:tcBorders>
            <w:shd w:val="clear" w:color="auto" w:fill="auto"/>
            <w:noWrap/>
            <w:vAlign w:val="center"/>
            <w:hideMark/>
          </w:tcPr>
          <w:p w14:paraId="2F53FD55"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10,9</w:t>
            </w:r>
          </w:p>
        </w:tc>
        <w:tc>
          <w:tcPr>
            <w:tcW w:w="1356" w:type="dxa"/>
            <w:tcBorders>
              <w:top w:val="single" w:sz="8" w:space="0" w:color="auto"/>
              <w:left w:val="nil"/>
              <w:bottom w:val="single" w:sz="8" w:space="0" w:color="auto"/>
              <w:right w:val="single" w:sz="4" w:space="0" w:color="auto"/>
            </w:tcBorders>
            <w:shd w:val="clear" w:color="auto" w:fill="auto"/>
            <w:noWrap/>
            <w:vAlign w:val="center"/>
            <w:hideMark/>
          </w:tcPr>
          <w:p w14:paraId="442A61AC"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64,5</w:t>
            </w:r>
          </w:p>
        </w:tc>
        <w:tc>
          <w:tcPr>
            <w:tcW w:w="113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8F1DB61" w14:textId="77777777" w:rsidR="009E0216" w:rsidRPr="003D2EA2" w:rsidRDefault="009E0216" w:rsidP="00F25C63">
            <w:pPr>
              <w:keepNext/>
              <w:keepLines/>
              <w:spacing w:after="0" w:line="264" w:lineRule="auto"/>
              <w:jc w:val="right"/>
              <w:rPr>
                <w:rFonts w:ascii="Arial" w:hAnsi="Arial" w:cs="Arial"/>
                <w:color w:val="000000"/>
                <w:sz w:val="20"/>
                <w:szCs w:val="20"/>
              </w:rPr>
            </w:pPr>
            <w:r w:rsidRPr="003D2EA2">
              <w:rPr>
                <w:rFonts w:ascii="Arial" w:hAnsi="Arial" w:cs="Arial"/>
                <w:color w:val="000000"/>
                <w:sz w:val="20"/>
                <w:szCs w:val="20"/>
              </w:rPr>
              <w:t>20,1</w:t>
            </w:r>
          </w:p>
        </w:tc>
      </w:tr>
    </w:tbl>
    <w:p w14:paraId="18E7D8E3" w14:textId="77777777" w:rsidR="009E0216" w:rsidRPr="00A52F41" w:rsidRDefault="00A52F41" w:rsidP="00EA2E4C">
      <w:pPr>
        <w:spacing w:line="360" w:lineRule="auto"/>
        <w:jc w:val="both"/>
        <w:rPr>
          <w:rFonts w:ascii="Arial" w:hAnsi="Arial" w:cs="Arial"/>
          <w:color w:val="000000"/>
          <w:sz w:val="16"/>
          <w:szCs w:val="16"/>
          <w:lang w:eastAsia="sl-SI"/>
        </w:rPr>
      </w:pPr>
      <w:r w:rsidRPr="00A52F41">
        <w:rPr>
          <w:rFonts w:ascii="Arial" w:hAnsi="Arial" w:cs="Arial"/>
          <w:color w:val="000000"/>
          <w:sz w:val="16"/>
          <w:szCs w:val="16"/>
          <w:lang w:eastAsia="sl-SI"/>
        </w:rPr>
        <w:t>Vir: SURS</w:t>
      </w:r>
      <w:r w:rsidR="009E0216" w:rsidRPr="00A52F41">
        <w:rPr>
          <w:rFonts w:ascii="Arial" w:hAnsi="Arial" w:cs="Arial"/>
          <w:color w:val="000000"/>
          <w:sz w:val="16"/>
          <w:szCs w:val="16"/>
          <w:lang w:eastAsia="sl-SI"/>
        </w:rPr>
        <w:t>, lastni preračuni</w:t>
      </w:r>
    </w:p>
    <w:p w14:paraId="6075BBD0" w14:textId="52E86E91" w:rsidR="009F18EF" w:rsidRDefault="00A52F41" w:rsidP="009F18EF">
      <w:pPr>
        <w:pStyle w:val="SCslika"/>
        <w:keepNext/>
        <w:keepLines/>
        <w:jc w:val="left"/>
      </w:pPr>
      <w:r w:rsidRPr="00A417A4">
        <w:t xml:space="preserve">Slika </w:t>
      </w:r>
      <w:r w:rsidR="003A2A58">
        <w:t>1</w:t>
      </w:r>
      <w:r w:rsidRPr="00A417A4">
        <w:t>: Delež strukture prebivalstva v Sloveniji in na podeželju</w:t>
      </w:r>
    </w:p>
    <w:p w14:paraId="7FFDD0B7" w14:textId="0EEDD2A0" w:rsidR="009E0216" w:rsidRPr="00A52F41" w:rsidRDefault="009E0216" w:rsidP="009F18EF">
      <w:pPr>
        <w:pStyle w:val="SCslika"/>
        <w:keepNext/>
        <w:keepLines/>
        <w:spacing w:before="0" w:after="0" w:line="240" w:lineRule="auto"/>
        <w:jc w:val="left"/>
        <w:rPr>
          <w:sz w:val="16"/>
          <w:szCs w:val="16"/>
        </w:rPr>
      </w:pPr>
      <w:r w:rsidRPr="00A52F41">
        <w:rPr>
          <w:sz w:val="16"/>
          <w:szCs w:val="16"/>
        </w:rPr>
        <w:drawing>
          <wp:inline distT="0" distB="0" distL="0" distR="0" wp14:anchorId="08031F9E" wp14:editId="420E7585">
            <wp:extent cx="5909094" cy="3148330"/>
            <wp:effectExtent l="0" t="0" r="15875" b="13970"/>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3D0719" w14:textId="77777777" w:rsidR="00A52F41" w:rsidRDefault="00A52F41" w:rsidP="00EA2E4C">
      <w:pPr>
        <w:spacing w:line="360" w:lineRule="auto"/>
        <w:jc w:val="both"/>
        <w:rPr>
          <w:rFonts w:ascii="Arial" w:hAnsi="Arial" w:cs="Arial"/>
          <w:color w:val="000000"/>
          <w:sz w:val="16"/>
          <w:szCs w:val="16"/>
          <w:lang w:eastAsia="sl-SI"/>
        </w:rPr>
      </w:pPr>
      <w:r>
        <w:rPr>
          <w:rFonts w:ascii="Arial" w:hAnsi="Arial" w:cs="Arial"/>
          <w:color w:val="000000"/>
          <w:sz w:val="16"/>
          <w:szCs w:val="16"/>
          <w:lang w:eastAsia="sl-SI"/>
        </w:rPr>
        <w:t>Vir: SURS, lastni preračuni</w:t>
      </w:r>
    </w:p>
    <w:p w14:paraId="0B46256C" w14:textId="39E685F2" w:rsidR="00A52F41" w:rsidRPr="00A417A4" w:rsidRDefault="00A52F41" w:rsidP="009F18EF">
      <w:pPr>
        <w:pStyle w:val="SCslika"/>
        <w:keepNext/>
        <w:keepLines/>
        <w:spacing w:before="200"/>
      </w:pPr>
      <w:bookmarkStart w:id="8" w:name="_Toc47082359"/>
      <w:bookmarkStart w:id="9" w:name="_Toc47092600"/>
      <w:r w:rsidRPr="00A417A4">
        <w:lastRenderedPageBreak/>
        <w:t xml:space="preserve">Slika </w:t>
      </w:r>
      <w:r w:rsidR="003A2A58">
        <w:t>2</w:t>
      </w:r>
      <w:r w:rsidRPr="00A417A4">
        <w:t>: Gibanje števila mladih in starih na podeželju</w:t>
      </w:r>
      <w:bookmarkEnd w:id="8"/>
      <w:bookmarkEnd w:id="9"/>
    </w:p>
    <w:p w14:paraId="1D1663D2" w14:textId="4AA9735E" w:rsidR="009E0216" w:rsidRPr="00A52F41" w:rsidRDefault="009E0216" w:rsidP="00A801C3">
      <w:pPr>
        <w:pStyle w:val="Napis"/>
        <w:spacing w:line="240" w:lineRule="auto"/>
        <w:jc w:val="both"/>
        <w:rPr>
          <w:sz w:val="20"/>
          <w:szCs w:val="20"/>
        </w:rPr>
      </w:pPr>
      <w:r w:rsidRPr="00A52F41">
        <w:rPr>
          <w:noProof/>
          <w:sz w:val="20"/>
          <w:szCs w:val="20"/>
          <w:lang w:eastAsia="sl-SI"/>
        </w:rPr>
        <w:drawing>
          <wp:inline distT="0" distB="0" distL="0" distR="0" wp14:anchorId="19BBDA5D" wp14:editId="3FBF5658">
            <wp:extent cx="5908675" cy="2863969"/>
            <wp:effectExtent l="0" t="0" r="15875" b="1270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0042FB" w14:textId="77777777" w:rsidR="00A52F41" w:rsidRDefault="00A52F41" w:rsidP="00EA2E4C">
      <w:pPr>
        <w:spacing w:line="360" w:lineRule="auto"/>
        <w:jc w:val="both"/>
        <w:rPr>
          <w:rFonts w:ascii="Arial" w:hAnsi="Arial" w:cs="Arial"/>
          <w:color w:val="000000"/>
          <w:sz w:val="16"/>
          <w:szCs w:val="16"/>
          <w:lang w:eastAsia="sl-SI"/>
        </w:rPr>
      </w:pPr>
      <w:r>
        <w:rPr>
          <w:rFonts w:ascii="Arial" w:hAnsi="Arial" w:cs="Arial"/>
          <w:color w:val="000000"/>
          <w:sz w:val="16"/>
          <w:szCs w:val="16"/>
          <w:lang w:eastAsia="sl-SI"/>
        </w:rPr>
        <w:t>Vir: SURS, lastni preračuni</w:t>
      </w:r>
    </w:p>
    <w:p w14:paraId="48169344" w14:textId="77777777" w:rsidR="009E0216" w:rsidRPr="00A52F41" w:rsidRDefault="009E0216" w:rsidP="00EA2E4C">
      <w:pPr>
        <w:spacing w:before="120" w:line="360" w:lineRule="auto"/>
        <w:jc w:val="both"/>
        <w:rPr>
          <w:rFonts w:ascii="Arial" w:hAnsi="Arial" w:cs="Arial"/>
          <w:sz w:val="20"/>
          <w:szCs w:val="20"/>
        </w:rPr>
      </w:pPr>
      <w:r w:rsidRPr="00A52F41">
        <w:rPr>
          <w:rFonts w:ascii="Arial" w:hAnsi="Arial" w:cs="Arial"/>
          <w:sz w:val="20"/>
          <w:szCs w:val="20"/>
        </w:rPr>
        <w:t>Največji delež prebivalcev do 26 let je v osrednjeslovenski statistični regiji, najmanjši pa v pomurski, koroški, zasavski, posavski, goriški in notranjski statistični regiji. Delež prebivalcev, starih 0–14 let (%) je nad slovenskim povprečjem v jugovzhodni, osrednjeslovenski, primorsko–notranjski in gorenjski statistični regiji. Pod slovenskim povprečjem je v pomurski in podravski statistični regiji. Največji delež starih nad 65 let pa je v goriški in pomurski regiji.</w:t>
      </w:r>
    </w:p>
    <w:p w14:paraId="251C69C0" w14:textId="2EDD2FEB" w:rsidR="009E0216" w:rsidRDefault="009E0216" w:rsidP="00EA2E4C">
      <w:pPr>
        <w:pStyle w:val="tevilnatoka"/>
        <w:numPr>
          <w:ilvl w:val="0"/>
          <w:numId w:val="0"/>
        </w:numPr>
        <w:spacing w:line="360" w:lineRule="auto"/>
        <w:rPr>
          <w:sz w:val="20"/>
          <w:szCs w:val="20"/>
        </w:rPr>
      </w:pPr>
      <w:r w:rsidRPr="00A52F41">
        <w:rPr>
          <w:sz w:val="20"/>
          <w:szCs w:val="20"/>
        </w:rPr>
        <w:t>Zadnje demografske analize (ZRC SAZU, Geografski inštitut Antona Melika, Fakulteta za gradbeništvo in geodezijo) kažejo na zgoščanja prebivalcev v osrednjeslovenski statistični regiji in ob večjem delu avtocestnega križa ter na upad števila prebivalcev v posameznih mestih in obsežnih obmejnih območjih</w:t>
      </w:r>
      <w:r w:rsidR="00D8220A">
        <w:rPr>
          <w:sz w:val="20"/>
          <w:szCs w:val="20"/>
        </w:rPr>
        <w:t>, kot je razvidno iz Slike 3</w:t>
      </w:r>
      <w:r w:rsidRPr="00A52F41">
        <w:rPr>
          <w:sz w:val="20"/>
          <w:szCs w:val="20"/>
        </w:rPr>
        <w:t>. Območja, ki se iz vidika poseljenosti praznijo, se zadnjih 20 let širijo in obsegajo  57 % celotne Slovenije (po ocenah študije iz 50 % na 57 % v zadnjih dvajsetih letih). V zadnjih letih se demografsko krepijo predvsem suburbana območja v bližini večjih središč, ki imajo dobro prometno povezavo s centri nacionalnega in regionalnega pomena. Staranje in praznjenje je značilno za območja brez dobrih prometnih povezav, ki so gospodarsko manj uspešna in nimajo dovolj delovnih mest za praviloma bolj izobraženo mlajšo populacijo. Tu je višji delež opuščenih stavb, krajina se zarašča</w:t>
      </w:r>
      <w:r w:rsidR="00503C7A">
        <w:rPr>
          <w:sz w:val="20"/>
          <w:szCs w:val="20"/>
        </w:rPr>
        <w:t>.</w:t>
      </w:r>
      <w:r w:rsidRPr="00A52F41">
        <w:rPr>
          <w:sz w:val="20"/>
          <w:szCs w:val="20"/>
        </w:rPr>
        <w:t>. Problematična je oskrba prebivalcev s storitvami splošnega (npr. storitve javnega prevoza, poštne in zdravstvene storitve) in splošnega gospodarskega pomena - gospodarske dejavnosti v javnem interesu (Nared, Polajnar Horvat in Razpotnik Visković, 2019).</w:t>
      </w:r>
    </w:p>
    <w:p w14:paraId="4E11C09E" w14:textId="77777777" w:rsidR="00A52F41" w:rsidRDefault="00A52F41" w:rsidP="00EA2E4C">
      <w:pPr>
        <w:pStyle w:val="tevilnatoka"/>
        <w:numPr>
          <w:ilvl w:val="0"/>
          <w:numId w:val="0"/>
        </w:numPr>
        <w:spacing w:line="360" w:lineRule="auto"/>
        <w:rPr>
          <w:sz w:val="20"/>
          <w:szCs w:val="20"/>
        </w:rPr>
      </w:pPr>
    </w:p>
    <w:p w14:paraId="1A174D62" w14:textId="051AEC84" w:rsidR="009E0216" w:rsidRPr="00A417A4" w:rsidRDefault="00A52F41" w:rsidP="00A417A4">
      <w:pPr>
        <w:pStyle w:val="SCslika"/>
        <w:keepNext/>
        <w:keepLines/>
      </w:pPr>
      <w:r w:rsidRPr="00A417A4">
        <w:lastRenderedPageBreak/>
        <w:t xml:space="preserve">Slika 3: Gibanje števila prebivalcev v slovenskih občinah med letoma 2008 in 2017 </w:t>
      </w:r>
    </w:p>
    <w:p w14:paraId="0B00763B" w14:textId="29F995B2" w:rsidR="009E0216" w:rsidRPr="00A52F41" w:rsidRDefault="005F2786" w:rsidP="005F2786">
      <w:pPr>
        <w:spacing w:after="0" w:line="240" w:lineRule="auto"/>
        <w:jc w:val="both"/>
        <w:rPr>
          <w:rFonts w:ascii="Arial" w:hAnsi="Arial" w:cs="Arial"/>
          <w:i/>
          <w:sz w:val="20"/>
          <w:szCs w:val="20"/>
          <w:lang w:eastAsia="sl-SI"/>
        </w:rPr>
      </w:pPr>
      <w:r w:rsidRPr="005F2786">
        <w:rPr>
          <w:rFonts w:ascii="Arial" w:hAnsi="Arial" w:cs="Arial"/>
          <w:i/>
          <w:noProof/>
          <w:sz w:val="20"/>
          <w:szCs w:val="20"/>
          <w:lang w:eastAsia="sl-SI"/>
        </w:rPr>
        <w:drawing>
          <wp:inline distT="0" distB="0" distL="0" distR="0" wp14:anchorId="4F8AB49D" wp14:editId="2A603E72">
            <wp:extent cx="5882544" cy="3864634"/>
            <wp:effectExtent l="19050" t="19050" r="23495" b="215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4446" cy="3865884"/>
                    </a:xfrm>
                    <a:prstGeom prst="rect">
                      <a:avLst/>
                    </a:prstGeom>
                    <a:ln w="6350">
                      <a:solidFill>
                        <a:schemeClr val="tx1"/>
                      </a:solidFill>
                    </a:ln>
                  </pic:spPr>
                </pic:pic>
              </a:graphicData>
            </a:graphic>
          </wp:inline>
        </w:drawing>
      </w:r>
    </w:p>
    <w:p w14:paraId="2BC46FCE" w14:textId="77777777" w:rsidR="00D8220A" w:rsidRPr="00BE756C" w:rsidRDefault="00D8220A" w:rsidP="00E90755">
      <w:pPr>
        <w:pStyle w:val="Napis"/>
        <w:keepNext w:val="0"/>
        <w:widowControl w:val="0"/>
        <w:spacing w:before="0" w:line="360" w:lineRule="auto"/>
        <w:jc w:val="both"/>
      </w:pPr>
      <w:r w:rsidRPr="00BE756C">
        <w:t xml:space="preserve">Vir: Nared idr., 2019 </w:t>
      </w:r>
    </w:p>
    <w:p w14:paraId="28A3FEC2" w14:textId="77777777" w:rsidR="009E0216" w:rsidRPr="00A52F41" w:rsidRDefault="009E0216" w:rsidP="00E90755">
      <w:pPr>
        <w:pStyle w:val="tevilnatoka"/>
        <w:numPr>
          <w:ilvl w:val="0"/>
          <w:numId w:val="0"/>
        </w:numPr>
        <w:spacing w:before="200" w:after="200" w:line="360" w:lineRule="auto"/>
        <w:rPr>
          <w:sz w:val="20"/>
          <w:szCs w:val="20"/>
        </w:rPr>
      </w:pPr>
      <w:r w:rsidRPr="00A52F41">
        <w:rPr>
          <w:sz w:val="20"/>
          <w:szCs w:val="20"/>
        </w:rPr>
        <w:t>Gibanje števila prebivalcev Slovenije rahlo niha: rahlo raste tako na nivoju celotne Sloveniji, kot tudi na podeželju. Gostota naseljenosti je nižja od evropskega povprečja (leta 2018: Slovenija 102 prebivalca/km</w:t>
      </w:r>
      <w:r w:rsidRPr="00A52F41">
        <w:rPr>
          <w:sz w:val="20"/>
          <w:szCs w:val="20"/>
          <w:vertAlign w:val="superscript"/>
        </w:rPr>
        <w:t>2</w:t>
      </w:r>
      <w:r w:rsidRPr="00A52F41">
        <w:rPr>
          <w:sz w:val="20"/>
          <w:szCs w:val="20"/>
        </w:rPr>
        <w:t>, EU 28 118 prebivalcev/km</w:t>
      </w:r>
      <w:r w:rsidRPr="00A52F41">
        <w:rPr>
          <w:sz w:val="20"/>
          <w:szCs w:val="20"/>
          <w:vertAlign w:val="superscript"/>
        </w:rPr>
        <w:t>2</w:t>
      </w:r>
      <w:r w:rsidRPr="00A52F41">
        <w:rPr>
          <w:sz w:val="20"/>
          <w:szCs w:val="20"/>
        </w:rPr>
        <w:t>). Gostota se minimalno povečuje tako v povprečju v Sloveniji, kot na podeželju (v letu 2019 znaša 95 prebivalcev/km</w:t>
      </w:r>
      <w:r w:rsidRPr="00A52F41">
        <w:rPr>
          <w:sz w:val="20"/>
          <w:szCs w:val="20"/>
          <w:vertAlign w:val="superscript"/>
        </w:rPr>
        <w:t>2</w:t>
      </w:r>
      <w:r w:rsidRPr="00A52F41">
        <w:rPr>
          <w:sz w:val="20"/>
          <w:szCs w:val="20"/>
        </w:rPr>
        <w:t>). Dolgoletno povprečje deleža podeželskega prebivalstva je 60 % celotnega prebivalstva Slovenije. Število prebivalstva na podeželju (brez mest z več kot 10.000 prebivalci) je bilo leta 2014 1.420.504, leta 2019 pa 1.441.868, kar predstavlja 69 % prebivalstva Slovenije (SURS, 2020).</w:t>
      </w:r>
    </w:p>
    <w:p w14:paraId="2D5119DF" w14:textId="77777777" w:rsidR="009E0216" w:rsidRDefault="005B0F81" w:rsidP="009651EF">
      <w:pPr>
        <w:pStyle w:val="SCslika"/>
        <w:keepNext/>
        <w:keepLines/>
        <w:spacing w:before="200"/>
      </w:pPr>
      <w:bookmarkStart w:id="10" w:name="_Toc47092633"/>
      <w:r w:rsidRPr="00A417A4">
        <w:lastRenderedPageBreak/>
        <w:t>Tabela</w:t>
      </w:r>
      <w:r w:rsidR="00A52F41" w:rsidRPr="00A417A4">
        <w:t xml:space="preserve"> 4</w:t>
      </w:r>
      <w:r w:rsidR="009E0216" w:rsidRPr="00A417A4">
        <w:t>: Gibanje števila prebivalstva in gostote naseljenosti</w:t>
      </w:r>
      <w:bookmarkEnd w:id="10"/>
    </w:p>
    <w:tbl>
      <w:tblPr>
        <w:tblW w:w="7960" w:type="dxa"/>
        <w:tblInd w:w="75" w:type="dxa"/>
        <w:tblLayout w:type="fixed"/>
        <w:tblCellMar>
          <w:left w:w="70" w:type="dxa"/>
          <w:right w:w="70" w:type="dxa"/>
        </w:tblCellMar>
        <w:tblLook w:val="04A0" w:firstRow="1" w:lastRow="0" w:firstColumn="1" w:lastColumn="0" w:noHBand="0" w:noVBand="1"/>
      </w:tblPr>
      <w:tblGrid>
        <w:gridCol w:w="1340"/>
        <w:gridCol w:w="1666"/>
        <w:gridCol w:w="1667"/>
        <w:gridCol w:w="1643"/>
        <w:gridCol w:w="1644"/>
      </w:tblGrid>
      <w:tr w:rsidR="009651EF" w:rsidRPr="009651EF" w14:paraId="65DC4D82" w14:textId="77777777" w:rsidTr="009651EF">
        <w:trPr>
          <w:trHeight w:val="359"/>
        </w:trPr>
        <w:tc>
          <w:tcPr>
            <w:tcW w:w="1340" w:type="dxa"/>
            <w:vMerge w:val="restart"/>
            <w:tcBorders>
              <w:top w:val="single" w:sz="4" w:space="0" w:color="auto"/>
              <w:left w:val="single" w:sz="4" w:space="0" w:color="auto"/>
              <w:right w:val="single" w:sz="4" w:space="0" w:color="auto"/>
            </w:tcBorders>
            <w:shd w:val="clear" w:color="auto" w:fill="auto"/>
            <w:noWrap/>
            <w:vAlign w:val="center"/>
            <w:hideMark/>
          </w:tcPr>
          <w:p w14:paraId="15BD9425" w14:textId="3993515B" w:rsidR="009651EF" w:rsidRPr="009651EF" w:rsidRDefault="009651EF" w:rsidP="009651EF">
            <w:pPr>
              <w:keepNext/>
              <w:keepLines/>
              <w:spacing w:before="60" w:after="60" w:line="0" w:lineRule="atLeast"/>
              <w:jc w:val="center"/>
              <w:rPr>
                <w:rFonts w:ascii="Arial" w:eastAsia="Times New Roman" w:hAnsi="Arial" w:cs="Arial"/>
                <w:b/>
                <w:bCs/>
                <w:color w:val="000000"/>
                <w:sz w:val="20"/>
                <w:szCs w:val="20"/>
                <w:lang w:eastAsia="sl-SI"/>
              </w:rPr>
            </w:pPr>
            <w:r w:rsidRPr="009651EF">
              <w:rPr>
                <w:rFonts w:ascii="Arial" w:eastAsia="Times New Roman" w:hAnsi="Arial" w:cs="Arial"/>
                <w:b/>
                <w:bCs/>
                <w:color w:val="000000"/>
                <w:sz w:val="20"/>
                <w:szCs w:val="20"/>
                <w:lang w:eastAsia="sl-SI"/>
              </w:rPr>
              <w:t>Leto</w:t>
            </w:r>
          </w:p>
        </w:tc>
        <w:tc>
          <w:tcPr>
            <w:tcW w:w="3333" w:type="dxa"/>
            <w:gridSpan w:val="2"/>
            <w:tcBorders>
              <w:top w:val="single" w:sz="4" w:space="0" w:color="auto"/>
              <w:left w:val="nil"/>
              <w:bottom w:val="single" w:sz="4" w:space="0" w:color="auto"/>
              <w:right w:val="single" w:sz="4" w:space="0" w:color="auto"/>
            </w:tcBorders>
            <w:shd w:val="clear" w:color="auto" w:fill="auto"/>
            <w:vAlign w:val="center"/>
            <w:hideMark/>
          </w:tcPr>
          <w:p w14:paraId="19474CE0" w14:textId="013B8DE6" w:rsidR="009651EF" w:rsidRPr="009651EF" w:rsidRDefault="009651EF" w:rsidP="009651EF">
            <w:pPr>
              <w:keepNext/>
              <w:keepLines/>
              <w:spacing w:before="60" w:after="60" w:line="0" w:lineRule="atLeast"/>
              <w:jc w:val="center"/>
              <w:rPr>
                <w:rFonts w:ascii="Arial" w:eastAsia="Times New Roman" w:hAnsi="Arial" w:cs="Arial"/>
                <w:b/>
                <w:bCs/>
                <w:color w:val="000000"/>
                <w:sz w:val="20"/>
                <w:szCs w:val="20"/>
                <w:lang w:eastAsia="sl-SI"/>
              </w:rPr>
            </w:pPr>
            <w:r w:rsidRPr="009651EF">
              <w:rPr>
                <w:rFonts w:ascii="Arial" w:eastAsia="Times New Roman" w:hAnsi="Arial" w:cs="Arial"/>
                <w:b/>
                <w:bCs/>
                <w:color w:val="000000"/>
                <w:sz w:val="20"/>
                <w:szCs w:val="20"/>
                <w:lang w:eastAsia="sl-SI"/>
              </w:rPr>
              <w:t>Število prebivalcev (C.01</w:t>
            </w:r>
            <w:r w:rsidRPr="009651EF">
              <w:rPr>
                <w:rFonts w:ascii="Arial" w:eastAsia="Times New Roman" w:hAnsi="Arial" w:cs="Arial"/>
                <w:color w:val="000000"/>
                <w:sz w:val="16"/>
                <w:szCs w:val="16"/>
                <w:lang w:eastAsia="sl-SI"/>
              </w:rPr>
              <w:t> </w:t>
            </w:r>
            <w:r w:rsidRPr="009651EF">
              <w:rPr>
                <w:rFonts w:ascii="Arial" w:eastAsia="Times New Roman" w:hAnsi="Arial" w:cs="Arial"/>
                <w:b/>
                <w:bCs/>
                <w:color w:val="000000"/>
                <w:sz w:val="20"/>
                <w:szCs w:val="20"/>
                <w:lang w:eastAsia="sl-SI"/>
              </w:rPr>
              <w:t>)</w:t>
            </w:r>
          </w:p>
        </w:tc>
        <w:tc>
          <w:tcPr>
            <w:tcW w:w="3287" w:type="dxa"/>
            <w:gridSpan w:val="2"/>
            <w:tcBorders>
              <w:top w:val="single" w:sz="4" w:space="0" w:color="auto"/>
              <w:left w:val="nil"/>
              <w:bottom w:val="single" w:sz="4" w:space="0" w:color="auto"/>
              <w:right w:val="single" w:sz="4" w:space="0" w:color="auto"/>
            </w:tcBorders>
            <w:shd w:val="clear" w:color="auto" w:fill="auto"/>
            <w:vAlign w:val="center"/>
            <w:hideMark/>
          </w:tcPr>
          <w:p w14:paraId="0A0B12C9" w14:textId="0BE8D9CA" w:rsidR="009651EF" w:rsidRPr="009651EF" w:rsidRDefault="009651EF" w:rsidP="009651EF">
            <w:pPr>
              <w:keepNext/>
              <w:keepLines/>
              <w:spacing w:before="60" w:after="60" w:line="0" w:lineRule="atLeast"/>
              <w:jc w:val="center"/>
              <w:rPr>
                <w:rFonts w:ascii="Arial" w:eastAsia="Times New Roman" w:hAnsi="Arial" w:cs="Arial"/>
                <w:b/>
                <w:bCs/>
                <w:color w:val="000000"/>
                <w:sz w:val="20"/>
                <w:szCs w:val="20"/>
                <w:lang w:eastAsia="sl-SI"/>
              </w:rPr>
            </w:pPr>
            <w:r w:rsidRPr="009651EF">
              <w:rPr>
                <w:rFonts w:ascii="Arial" w:eastAsia="Times New Roman" w:hAnsi="Arial" w:cs="Arial"/>
                <w:b/>
                <w:bCs/>
                <w:color w:val="000000"/>
                <w:sz w:val="20"/>
                <w:szCs w:val="20"/>
                <w:lang w:eastAsia="sl-SI"/>
              </w:rPr>
              <w:t>Gostota prebivalstva (C.02)</w:t>
            </w:r>
          </w:p>
        </w:tc>
      </w:tr>
      <w:tr w:rsidR="009651EF" w:rsidRPr="009651EF" w14:paraId="434421E8" w14:textId="77777777" w:rsidTr="009651EF">
        <w:trPr>
          <w:trHeight w:val="421"/>
        </w:trPr>
        <w:tc>
          <w:tcPr>
            <w:tcW w:w="1340" w:type="dxa"/>
            <w:vMerge/>
            <w:tcBorders>
              <w:left w:val="single" w:sz="4" w:space="0" w:color="auto"/>
              <w:bottom w:val="single" w:sz="4" w:space="0" w:color="auto"/>
              <w:right w:val="single" w:sz="4" w:space="0" w:color="auto"/>
            </w:tcBorders>
            <w:shd w:val="clear" w:color="auto" w:fill="auto"/>
            <w:noWrap/>
            <w:vAlign w:val="bottom"/>
            <w:hideMark/>
          </w:tcPr>
          <w:p w14:paraId="4F965FAC" w14:textId="12B29FBD" w:rsidR="009651EF" w:rsidRPr="009651EF" w:rsidRDefault="009651EF" w:rsidP="009651EF">
            <w:pPr>
              <w:keepNext/>
              <w:keepLines/>
              <w:spacing w:before="60" w:after="60" w:line="0" w:lineRule="atLeast"/>
              <w:rPr>
                <w:rFonts w:ascii="Calibri" w:eastAsia="Times New Roman" w:hAnsi="Calibri" w:cs="Calibri"/>
                <w:color w:val="000000"/>
                <w:lang w:eastAsia="sl-SI"/>
              </w:rPr>
            </w:pPr>
          </w:p>
        </w:tc>
        <w:tc>
          <w:tcPr>
            <w:tcW w:w="1666" w:type="dxa"/>
            <w:tcBorders>
              <w:top w:val="nil"/>
              <w:left w:val="nil"/>
              <w:bottom w:val="single" w:sz="4" w:space="0" w:color="auto"/>
              <w:right w:val="single" w:sz="4" w:space="0" w:color="auto"/>
            </w:tcBorders>
            <w:shd w:val="clear" w:color="auto" w:fill="auto"/>
            <w:noWrap/>
            <w:vAlign w:val="center"/>
            <w:hideMark/>
          </w:tcPr>
          <w:p w14:paraId="56E13574" w14:textId="77777777" w:rsidR="009651EF" w:rsidRPr="009651EF" w:rsidRDefault="009651EF" w:rsidP="009651EF">
            <w:pPr>
              <w:keepNext/>
              <w:keepLines/>
              <w:spacing w:before="60" w:after="60" w:line="0" w:lineRule="atLeast"/>
              <w:jc w:val="center"/>
              <w:rPr>
                <w:rFonts w:ascii="Arial" w:eastAsia="Times New Roman" w:hAnsi="Arial" w:cs="Arial"/>
                <w:b/>
                <w:bCs/>
                <w:color w:val="000000"/>
                <w:sz w:val="20"/>
                <w:szCs w:val="20"/>
                <w:lang w:eastAsia="sl-SI"/>
              </w:rPr>
            </w:pPr>
            <w:r w:rsidRPr="009651EF">
              <w:rPr>
                <w:rFonts w:ascii="Arial" w:eastAsia="Times New Roman" w:hAnsi="Arial" w:cs="Arial"/>
                <w:b/>
                <w:bCs/>
                <w:color w:val="000000"/>
                <w:sz w:val="20"/>
                <w:szCs w:val="20"/>
                <w:lang w:eastAsia="sl-SI"/>
              </w:rPr>
              <w:t>Slovenija</w:t>
            </w:r>
          </w:p>
        </w:tc>
        <w:tc>
          <w:tcPr>
            <w:tcW w:w="1667" w:type="dxa"/>
            <w:tcBorders>
              <w:top w:val="nil"/>
              <w:left w:val="nil"/>
              <w:bottom w:val="single" w:sz="4" w:space="0" w:color="auto"/>
              <w:right w:val="single" w:sz="4" w:space="0" w:color="auto"/>
            </w:tcBorders>
            <w:shd w:val="clear" w:color="auto" w:fill="auto"/>
            <w:noWrap/>
            <w:vAlign w:val="center"/>
            <w:hideMark/>
          </w:tcPr>
          <w:p w14:paraId="18CC9988" w14:textId="768405B6" w:rsidR="009651EF" w:rsidRPr="009651EF" w:rsidRDefault="00356A8A" w:rsidP="00356A8A">
            <w:pPr>
              <w:keepNext/>
              <w:keepLines/>
              <w:spacing w:before="60" w:after="60" w:line="0" w:lineRule="atLeast"/>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p</w:t>
            </w:r>
            <w:r w:rsidR="009651EF" w:rsidRPr="009651EF">
              <w:rPr>
                <w:rFonts w:ascii="Arial" w:eastAsia="Times New Roman" w:hAnsi="Arial" w:cs="Arial"/>
                <w:b/>
                <w:bCs/>
                <w:color w:val="000000"/>
                <w:sz w:val="20"/>
                <w:szCs w:val="20"/>
                <w:lang w:eastAsia="sl-SI"/>
              </w:rPr>
              <w:t>odeželje</w:t>
            </w:r>
          </w:p>
        </w:tc>
        <w:tc>
          <w:tcPr>
            <w:tcW w:w="1643" w:type="dxa"/>
            <w:tcBorders>
              <w:top w:val="nil"/>
              <w:left w:val="nil"/>
              <w:bottom w:val="single" w:sz="4" w:space="0" w:color="auto"/>
              <w:right w:val="single" w:sz="4" w:space="0" w:color="auto"/>
            </w:tcBorders>
            <w:shd w:val="clear" w:color="auto" w:fill="auto"/>
            <w:noWrap/>
            <w:vAlign w:val="center"/>
            <w:hideMark/>
          </w:tcPr>
          <w:p w14:paraId="7C2AA994" w14:textId="77777777" w:rsidR="009651EF" w:rsidRPr="009651EF" w:rsidRDefault="009651EF" w:rsidP="009651EF">
            <w:pPr>
              <w:keepNext/>
              <w:keepLines/>
              <w:spacing w:before="60" w:after="60" w:line="0" w:lineRule="atLeast"/>
              <w:jc w:val="center"/>
              <w:rPr>
                <w:rFonts w:ascii="Arial" w:eastAsia="Times New Roman" w:hAnsi="Arial" w:cs="Arial"/>
                <w:b/>
                <w:bCs/>
                <w:color w:val="000000"/>
                <w:sz w:val="20"/>
                <w:szCs w:val="20"/>
                <w:lang w:eastAsia="sl-SI"/>
              </w:rPr>
            </w:pPr>
            <w:r w:rsidRPr="009651EF">
              <w:rPr>
                <w:rFonts w:ascii="Arial" w:eastAsia="Times New Roman" w:hAnsi="Arial" w:cs="Arial"/>
                <w:b/>
                <w:bCs/>
                <w:color w:val="000000"/>
                <w:sz w:val="20"/>
                <w:szCs w:val="20"/>
                <w:lang w:eastAsia="sl-SI"/>
              </w:rPr>
              <w:t>Slovenija</w:t>
            </w:r>
          </w:p>
        </w:tc>
        <w:tc>
          <w:tcPr>
            <w:tcW w:w="1644" w:type="dxa"/>
            <w:tcBorders>
              <w:top w:val="nil"/>
              <w:left w:val="nil"/>
              <w:bottom w:val="single" w:sz="4" w:space="0" w:color="auto"/>
              <w:right w:val="single" w:sz="4" w:space="0" w:color="auto"/>
            </w:tcBorders>
            <w:shd w:val="clear" w:color="auto" w:fill="auto"/>
            <w:noWrap/>
            <w:vAlign w:val="center"/>
            <w:hideMark/>
          </w:tcPr>
          <w:p w14:paraId="0BB8954B" w14:textId="41DC11ED" w:rsidR="009651EF" w:rsidRPr="009651EF" w:rsidRDefault="00356A8A" w:rsidP="009651EF">
            <w:pPr>
              <w:keepNext/>
              <w:keepLines/>
              <w:spacing w:before="60" w:after="60" w:line="0" w:lineRule="atLeast"/>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p</w:t>
            </w:r>
            <w:r w:rsidR="009651EF" w:rsidRPr="009651EF">
              <w:rPr>
                <w:rFonts w:ascii="Arial" w:eastAsia="Times New Roman" w:hAnsi="Arial" w:cs="Arial"/>
                <w:b/>
                <w:bCs/>
                <w:color w:val="000000"/>
                <w:sz w:val="20"/>
                <w:szCs w:val="20"/>
                <w:lang w:eastAsia="sl-SI"/>
              </w:rPr>
              <w:t>odeželje</w:t>
            </w:r>
          </w:p>
        </w:tc>
      </w:tr>
      <w:tr w:rsidR="009651EF" w:rsidRPr="009651EF" w14:paraId="067E34D4" w14:textId="77777777" w:rsidTr="009651EF">
        <w:trPr>
          <w:trHeight w:val="30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27D59BF2" w14:textId="77777777" w:rsidR="009651EF" w:rsidRPr="009651EF" w:rsidRDefault="009651EF" w:rsidP="009651EF">
            <w:pPr>
              <w:keepNext/>
              <w:keepLines/>
              <w:spacing w:before="60" w:after="60" w:line="0" w:lineRule="atLeast"/>
              <w:jc w:val="both"/>
              <w:rPr>
                <w:rFonts w:ascii="Arial" w:eastAsia="Times New Roman" w:hAnsi="Arial" w:cs="Arial"/>
                <w:b/>
                <w:bCs/>
                <w:color w:val="000000"/>
                <w:sz w:val="20"/>
                <w:szCs w:val="20"/>
                <w:lang w:eastAsia="sl-SI"/>
              </w:rPr>
            </w:pPr>
            <w:r w:rsidRPr="009651EF">
              <w:rPr>
                <w:rFonts w:ascii="Arial" w:eastAsia="Times New Roman" w:hAnsi="Arial" w:cs="Arial"/>
                <w:b/>
                <w:bCs/>
                <w:color w:val="000000"/>
                <w:sz w:val="20"/>
                <w:szCs w:val="20"/>
                <w:lang w:eastAsia="sl-SI"/>
              </w:rPr>
              <w:t>2008</w:t>
            </w:r>
          </w:p>
        </w:tc>
        <w:tc>
          <w:tcPr>
            <w:tcW w:w="1666" w:type="dxa"/>
            <w:tcBorders>
              <w:top w:val="nil"/>
              <w:left w:val="nil"/>
              <w:bottom w:val="single" w:sz="4" w:space="0" w:color="auto"/>
              <w:right w:val="single" w:sz="4" w:space="0" w:color="auto"/>
            </w:tcBorders>
            <w:shd w:val="clear" w:color="auto" w:fill="auto"/>
            <w:noWrap/>
            <w:vAlign w:val="center"/>
            <w:hideMark/>
          </w:tcPr>
          <w:p w14:paraId="48CC6483"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2.049.261</w:t>
            </w:r>
          </w:p>
        </w:tc>
        <w:tc>
          <w:tcPr>
            <w:tcW w:w="1667" w:type="dxa"/>
            <w:tcBorders>
              <w:top w:val="nil"/>
              <w:left w:val="nil"/>
              <w:bottom w:val="single" w:sz="4" w:space="0" w:color="auto"/>
              <w:right w:val="single" w:sz="4" w:space="0" w:color="auto"/>
            </w:tcBorders>
            <w:shd w:val="clear" w:color="auto" w:fill="auto"/>
            <w:noWrap/>
            <w:vAlign w:val="center"/>
            <w:hideMark/>
          </w:tcPr>
          <w:p w14:paraId="6438C802"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1.216.589</w:t>
            </w:r>
          </w:p>
        </w:tc>
        <w:tc>
          <w:tcPr>
            <w:tcW w:w="1643" w:type="dxa"/>
            <w:tcBorders>
              <w:top w:val="nil"/>
              <w:left w:val="nil"/>
              <w:bottom w:val="single" w:sz="4" w:space="0" w:color="auto"/>
              <w:right w:val="single" w:sz="4" w:space="0" w:color="auto"/>
            </w:tcBorders>
            <w:shd w:val="clear" w:color="auto" w:fill="auto"/>
            <w:noWrap/>
            <w:vAlign w:val="center"/>
            <w:hideMark/>
          </w:tcPr>
          <w:p w14:paraId="715DED6F"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100</w:t>
            </w:r>
          </w:p>
        </w:tc>
        <w:tc>
          <w:tcPr>
            <w:tcW w:w="1644" w:type="dxa"/>
            <w:tcBorders>
              <w:top w:val="nil"/>
              <w:left w:val="nil"/>
              <w:bottom w:val="single" w:sz="4" w:space="0" w:color="auto"/>
              <w:right w:val="single" w:sz="4" w:space="0" w:color="auto"/>
            </w:tcBorders>
            <w:shd w:val="clear" w:color="auto" w:fill="auto"/>
            <w:noWrap/>
            <w:vAlign w:val="center"/>
            <w:hideMark/>
          </w:tcPr>
          <w:p w14:paraId="3B6AAD11"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90</w:t>
            </w:r>
          </w:p>
        </w:tc>
      </w:tr>
      <w:tr w:rsidR="009651EF" w:rsidRPr="009651EF" w14:paraId="6B6B3A93" w14:textId="77777777" w:rsidTr="009651EF">
        <w:trPr>
          <w:trHeight w:val="30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2BD5FB7" w14:textId="77777777" w:rsidR="009651EF" w:rsidRPr="009651EF" w:rsidRDefault="009651EF" w:rsidP="009651EF">
            <w:pPr>
              <w:keepNext/>
              <w:keepLines/>
              <w:spacing w:before="60" w:after="60" w:line="0" w:lineRule="atLeast"/>
              <w:jc w:val="both"/>
              <w:rPr>
                <w:rFonts w:ascii="Arial" w:eastAsia="Times New Roman" w:hAnsi="Arial" w:cs="Arial"/>
                <w:b/>
                <w:bCs/>
                <w:color w:val="000000"/>
                <w:sz w:val="20"/>
                <w:szCs w:val="20"/>
                <w:lang w:eastAsia="sl-SI"/>
              </w:rPr>
            </w:pPr>
            <w:r w:rsidRPr="009651EF">
              <w:rPr>
                <w:rFonts w:ascii="Arial" w:eastAsia="Times New Roman" w:hAnsi="Arial" w:cs="Arial"/>
                <w:b/>
                <w:bCs/>
                <w:color w:val="000000"/>
                <w:sz w:val="20"/>
                <w:szCs w:val="20"/>
                <w:lang w:eastAsia="sl-SI"/>
              </w:rPr>
              <w:t>2009</w:t>
            </w:r>
          </w:p>
        </w:tc>
        <w:tc>
          <w:tcPr>
            <w:tcW w:w="1666" w:type="dxa"/>
            <w:tcBorders>
              <w:top w:val="nil"/>
              <w:left w:val="nil"/>
              <w:bottom w:val="single" w:sz="4" w:space="0" w:color="auto"/>
              <w:right w:val="single" w:sz="4" w:space="0" w:color="auto"/>
            </w:tcBorders>
            <w:shd w:val="clear" w:color="auto" w:fill="auto"/>
            <w:noWrap/>
            <w:vAlign w:val="center"/>
            <w:hideMark/>
          </w:tcPr>
          <w:p w14:paraId="260DB9E3"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2.042.335</w:t>
            </w:r>
          </w:p>
        </w:tc>
        <w:tc>
          <w:tcPr>
            <w:tcW w:w="1667" w:type="dxa"/>
            <w:tcBorders>
              <w:top w:val="nil"/>
              <w:left w:val="nil"/>
              <w:bottom w:val="single" w:sz="4" w:space="0" w:color="auto"/>
              <w:right w:val="single" w:sz="4" w:space="0" w:color="auto"/>
            </w:tcBorders>
            <w:shd w:val="clear" w:color="auto" w:fill="auto"/>
            <w:noWrap/>
            <w:vAlign w:val="center"/>
            <w:hideMark/>
          </w:tcPr>
          <w:p w14:paraId="77A0FB19"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1.211.193</w:t>
            </w:r>
          </w:p>
        </w:tc>
        <w:tc>
          <w:tcPr>
            <w:tcW w:w="1643" w:type="dxa"/>
            <w:tcBorders>
              <w:top w:val="nil"/>
              <w:left w:val="nil"/>
              <w:bottom w:val="single" w:sz="4" w:space="0" w:color="auto"/>
              <w:right w:val="single" w:sz="4" w:space="0" w:color="auto"/>
            </w:tcBorders>
            <w:shd w:val="clear" w:color="auto" w:fill="auto"/>
            <w:noWrap/>
            <w:vAlign w:val="center"/>
            <w:hideMark/>
          </w:tcPr>
          <w:p w14:paraId="75CDF2C7"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101</w:t>
            </w:r>
          </w:p>
        </w:tc>
        <w:tc>
          <w:tcPr>
            <w:tcW w:w="1644" w:type="dxa"/>
            <w:tcBorders>
              <w:top w:val="nil"/>
              <w:left w:val="nil"/>
              <w:bottom w:val="single" w:sz="4" w:space="0" w:color="auto"/>
              <w:right w:val="single" w:sz="4" w:space="0" w:color="auto"/>
            </w:tcBorders>
            <w:shd w:val="clear" w:color="auto" w:fill="auto"/>
            <w:noWrap/>
            <w:vAlign w:val="center"/>
            <w:hideMark/>
          </w:tcPr>
          <w:p w14:paraId="78E7B081"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91</w:t>
            </w:r>
          </w:p>
        </w:tc>
      </w:tr>
      <w:tr w:rsidR="009651EF" w:rsidRPr="009651EF" w14:paraId="1B7A6F57" w14:textId="77777777" w:rsidTr="009651EF">
        <w:trPr>
          <w:trHeight w:val="30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0BB30108" w14:textId="77777777" w:rsidR="009651EF" w:rsidRPr="009651EF" w:rsidRDefault="009651EF" w:rsidP="009651EF">
            <w:pPr>
              <w:keepNext/>
              <w:keepLines/>
              <w:spacing w:before="60" w:after="60" w:line="0" w:lineRule="atLeast"/>
              <w:jc w:val="both"/>
              <w:rPr>
                <w:rFonts w:ascii="Arial" w:eastAsia="Times New Roman" w:hAnsi="Arial" w:cs="Arial"/>
                <w:b/>
                <w:bCs/>
                <w:color w:val="000000"/>
                <w:sz w:val="20"/>
                <w:szCs w:val="20"/>
                <w:lang w:eastAsia="sl-SI"/>
              </w:rPr>
            </w:pPr>
            <w:r w:rsidRPr="009651EF">
              <w:rPr>
                <w:rFonts w:ascii="Arial" w:eastAsia="Times New Roman" w:hAnsi="Arial" w:cs="Arial"/>
                <w:b/>
                <w:bCs/>
                <w:color w:val="000000"/>
                <w:sz w:val="20"/>
                <w:szCs w:val="20"/>
                <w:lang w:eastAsia="sl-SI"/>
              </w:rPr>
              <w:t>2010</w:t>
            </w:r>
          </w:p>
        </w:tc>
        <w:tc>
          <w:tcPr>
            <w:tcW w:w="1666" w:type="dxa"/>
            <w:tcBorders>
              <w:top w:val="nil"/>
              <w:left w:val="nil"/>
              <w:bottom w:val="single" w:sz="4" w:space="0" w:color="auto"/>
              <w:right w:val="single" w:sz="4" w:space="0" w:color="auto"/>
            </w:tcBorders>
            <w:shd w:val="clear" w:color="auto" w:fill="auto"/>
            <w:noWrap/>
            <w:vAlign w:val="center"/>
            <w:hideMark/>
          </w:tcPr>
          <w:p w14:paraId="6D3B4B79"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2.049.261</w:t>
            </w:r>
          </w:p>
        </w:tc>
        <w:tc>
          <w:tcPr>
            <w:tcW w:w="1667" w:type="dxa"/>
            <w:tcBorders>
              <w:top w:val="nil"/>
              <w:left w:val="nil"/>
              <w:bottom w:val="single" w:sz="4" w:space="0" w:color="auto"/>
              <w:right w:val="single" w:sz="4" w:space="0" w:color="auto"/>
            </w:tcBorders>
            <w:shd w:val="clear" w:color="auto" w:fill="auto"/>
            <w:noWrap/>
            <w:vAlign w:val="center"/>
            <w:hideMark/>
          </w:tcPr>
          <w:p w14:paraId="16CB4A4F"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1.216.589</w:t>
            </w:r>
          </w:p>
        </w:tc>
        <w:tc>
          <w:tcPr>
            <w:tcW w:w="1643" w:type="dxa"/>
            <w:tcBorders>
              <w:top w:val="nil"/>
              <w:left w:val="nil"/>
              <w:bottom w:val="single" w:sz="4" w:space="0" w:color="auto"/>
              <w:right w:val="single" w:sz="4" w:space="0" w:color="auto"/>
            </w:tcBorders>
            <w:shd w:val="clear" w:color="auto" w:fill="auto"/>
            <w:noWrap/>
            <w:vAlign w:val="center"/>
            <w:hideMark/>
          </w:tcPr>
          <w:p w14:paraId="0FEE7B2A"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101</w:t>
            </w:r>
          </w:p>
        </w:tc>
        <w:tc>
          <w:tcPr>
            <w:tcW w:w="1644" w:type="dxa"/>
            <w:tcBorders>
              <w:top w:val="nil"/>
              <w:left w:val="nil"/>
              <w:bottom w:val="single" w:sz="4" w:space="0" w:color="auto"/>
              <w:right w:val="single" w:sz="4" w:space="0" w:color="auto"/>
            </w:tcBorders>
            <w:shd w:val="clear" w:color="auto" w:fill="auto"/>
            <w:noWrap/>
            <w:vAlign w:val="center"/>
            <w:hideMark/>
          </w:tcPr>
          <w:p w14:paraId="4AF7B227"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91</w:t>
            </w:r>
          </w:p>
        </w:tc>
      </w:tr>
      <w:tr w:rsidR="009651EF" w:rsidRPr="009651EF" w14:paraId="357B4C4B" w14:textId="77777777" w:rsidTr="009651EF">
        <w:trPr>
          <w:trHeight w:val="30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30E2908" w14:textId="77777777" w:rsidR="009651EF" w:rsidRPr="009651EF" w:rsidRDefault="009651EF" w:rsidP="009651EF">
            <w:pPr>
              <w:keepNext/>
              <w:keepLines/>
              <w:spacing w:before="60" w:after="60" w:line="0" w:lineRule="atLeast"/>
              <w:jc w:val="both"/>
              <w:rPr>
                <w:rFonts w:ascii="Arial" w:eastAsia="Times New Roman" w:hAnsi="Arial" w:cs="Arial"/>
                <w:b/>
                <w:bCs/>
                <w:color w:val="000000"/>
                <w:sz w:val="20"/>
                <w:szCs w:val="20"/>
                <w:lang w:eastAsia="sl-SI"/>
              </w:rPr>
            </w:pPr>
            <w:r w:rsidRPr="009651EF">
              <w:rPr>
                <w:rFonts w:ascii="Arial" w:eastAsia="Times New Roman" w:hAnsi="Arial" w:cs="Arial"/>
                <w:b/>
                <w:bCs/>
                <w:color w:val="000000"/>
                <w:sz w:val="20"/>
                <w:szCs w:val="20"/>
                <w:lang w:eastAsia="sl-SI"/>
              </w:rPr>
              <w:t>2011</w:t>
            </w:r>
          </w:p>
        </w:tc>
        <w:tc>
          <w:tcPr>
            <w:tcW w:w="1666" w:type="dxa"/>
            <w:tcBorders>
              <w:top w:val="nil"/>
              <w:left w:val="nil"/>
              <w:bottom w:val="single" w:sz="4" w:space="0" w:color="auto"/>
              <w:right w:val="single" w:sz="4" w:space="0" w:color="auto"/>
            </w:tcBorders>
            <w:shd w:val="clear" w:color="auto" w:fill="auto"/>
            <w:noWrap/>
            <w:vAlign w:val="center"/>
            <w:hideMark/>
          </w:tcPr>
          <w:p w14:paraId="1148FC3D"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2.052.496</w:t>
            </w:r>
          </w:p>
        </w:tc>
        <w:tc>
          <w:tcPr>
            <w:tcW w:w="1667" w:type="dxa"/>
            <w:tcBorders>
              <w:top w:val="nil"/>
              <w:left w:val="nil"/>
              <w:bottom w:val="single" w:sz="4" w:space="0" w:color="auto"/>
              <w:right w:val="single" w:sz="4" w:space="0" w:color="auto"/>
            </w:tcBorders>
            <w:shd w:val="clear" w:color="auto" w:fill="auto"/>
            <w:noWrap/>
            <w:vAlign w:val="center"/>
            <w:hideMark/>
          </w:tcPr>
          <w:p w14:paraId="38016BF4"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1.220.107</w:t>
            </w:r>
          </w:p>
        </w:tc>
        <w:tc>
          <w:tcPr>
            <w:tcW w:w="1643" w:type="dxa"/>
            <w:tcBorders>
              <w:top w:val="nil"/>
              <w:left w:val="nil"/>
              <w:bottom w:val="single" w:sz="4" w:space="0" w:color="auto"/>
              <w:right w:val="single" w:sz="4" w:space="0" w:color="auto"/>
            </w:tcBorders>
            <w:shd w:val="clear" w:color="auto" w:fill="auto"/>
            <w:noWrap/>
            <w:vAlign w:val="center"/>
            <w:hideMark/>
          </w:tcPr>
          <w:p w14:paraId="29974789"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101</w:t>
            </w:r>
          </w:p>
        </w:tc>
        <w:tc>
          <w:tcPr>
            <w:tcW w:w="1644" w:type="dxa"/>
            <w:tcBorders>
              <w:top w:val="nil"/>
              <w:left w:val="nil"/>
              <w:bottom w:val="single" w:sz="4" w:space="0" w:color="auto"/>
              <w:right w:val="single" w:sz="4" w:space="0" w:color="auto"/>
            </w:tcBorders>
            <w:shd w:val="clear" w:color="auto" w:fill="auto"/>
            <w:noWrap/>
            <w:vAlign w:val="center"/>
            <w:hideMark/>
          </w:tcPr>
          <w:p w14:paraId="2BA008B8"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92</w:t>
            </w:r>
          </w:p>
        </w:tc>
      </w:tr>
      <w:tr w:rsidR="009651EF" w:rsidRPr="009651EF" w14:paraId="33836C0A" w14:textId="77777777" w:rsidTr="009651EF">
        <w:trPr>
          <w:trHeight w:val="30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62A9DBB" w14:textId="77777777" w:rsidR="009651EF" w:rsidRPr="009651EF" w:rsidRDefault="009651EF" w:rsidP="009651EF">
            <w:pPr>
              <w:keepNext/>
              <w:keepLines/>
              <w:spacing w:before="60" w:after="60" w:line="0" w:lineRule="atLeast"/>
              <w:jc w:val="both"/>
              <w:rPr>
                <w:rFonts w:ascii="Arial" w:eastAsia="Times New Roman" w:hAnsi="Arial" w:cs="Arial"/>
                <w:b/>
                <w:bCs/>
                <w:color w:val="000000"/>
                <w:sz w:val="20"/>
                <w:szCs w:val="20"/>
                <w:lang w:eastAsia="sl-SI"/>
              </w:rPr>
            </w:pPr>
            <w:r w:rsidRPr="009651EF">
              <w:rPr>
                <w:rFonts w:ascii="Arial" w:eastAsia="Times New Roman" w:hAnsi="Arial" w:cs="Arial"/>
                <w:b/>
                <w:bCs/>
                <w:color w:val="000000"/>
                <w:sz w:val="20"/>
                <w:szCs w:val="20"/>
                <w:lang w:eastAsia="sl-SI"/>
              </w:rPr>
              <w:t>2012</w:t>
            </w:r>
          </w:p>
        </w:tc>
        <w:tc>
          <w:tcPr>
            <w:tcW w:w="1666" w:type="dxa"/>
            <w:tcBorders>
              <w:top w:val="nil"/>
              <w:left w:val="nil"/>
              <w:bottom w:val="single" w:sz="4" w:space="0" w:color="auto"/>
              <w:right w:val="single" w:sz="4" w:space="0" w:color="auto"/>
            </w:tcBorders>
            <w:shd w:val="clear" w:color="auto" w:fill="auto"/>
            <w:noWrap/>
            <w:vAlign w:val="center"/>
            <w:hideMark/>
          </w:tcPr>
          <w:p w14:paraId="3BF1E986"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2.056.262</w:t>
            </w:r>
          </w:p>
        </w:tc>
        <w:tc>
          <w:tcPr>
            <w:tcW w:w="1667" w:type="dxa"/>
            <w:tcBorders>
              <w:top w:val="nil"/>
              <w:left w:val="nil"/>
              <w:bottom w:val="single" w:sz="4" w:space="0" w:color="auto"/>
              <w:right w:val="single" w:sz="4" w:space="0" w:color="auto"/>
            </w:tcBorders>
            <w:shd w:val="clear" w:color="auto" w:fill="auto"/>
            <w:noWrap/>
            <w:vAlign w:val="center"/>
            <w:hideMark/>
          </w:tcPr>
          <w:p w14:paraId="4A98844F"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1.223.032</w:t>
            </w:r>
          </w:p>
        </w:tc>
        <w:tc>
          <w:tcPr>
            <w:tcW w:w="1643" w:type="dxa"/>
            <w:tcBorders>
              <w:top w:val="nil"/>
              <w:left w:val="nil"/>
              <w:bottom w:val="single" w:sz="4" w:space="0" w:color="auto"/>
              <w:right w:val="single" w:sz="4" w:space="0" w:color="auto"/>
            </w:tcBorders>
            <w:shd w:val="clear" w:color="auto" w:fill="auto"/>
            <w:noWrap/>
            <w:vAlign w:val="center"/>
            <w:hideMark/>
          </w:tcPr>
          <w:p w14:paraId="5818A13E"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101</w:t>
            </w:r>
          </w:p>
        </w:tc>
        <w:tc>
          <w:tcPr>
            <w:tcW w:w="1644" w:type="dxa"/>
            <w:tcBorders>
              <w:top w:val="nil"/>
              <w:left w:val="nil"/>
              <w:bottom w:val="single" w:sz="4" w:space="0" w:color="auto"/>
              <w:right w:val="single" w:sz="4" w:space="0" w:color="auto"/>
            </w:tcBorders>
            <w:shd w:val="clear" w:color="auto" w:fill="auto"/>
            <w:noWrap/>
            <w:vAlign w:val="center"/>
            <w:hideMark/>
          </w:tcPr>
          <w:p w14:paraId="43EE997F"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92</w:t>
            </w:r>
          </w:p>
        </w:tc>
      </w:tr>
      <w:tr w:rsidR="009651EF" w:rsidRPr="009651EF" w14:paraId="5A640FFA" w14:textId="77777777" w:rsidTr="009651EF">
        <w:trPr>
          <w:trHeight w:val="30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3D4795F" w14:textId="77777777" w:rsidR="009651EF" w:rsidRPr="009651EF" w:rsidRDefault="009651EF" w:rsidP="009651EF">
            <w:pPr>
              <w:keepNext/>
              <w:keepLines/>
              <w:spacing w:before="60" w:after="60" w:line="0" w:lineRule="atLeast"/>
              <w:jc w:val="both"/>
              <w:rPr>
                <w:rFonts w:ascii="Arial" w:eastAsia="Times New Roman" w:hAnsi="Arial" w:cs="Arial"/>
                <w:b/>
                <w:bCs/>
                <w:color w:val="000000"/>
                <w:sz w:val="20"/>
                <w:szCs w:val="20"/>
                <w:lang w:eastAsia="sl-SI"/>
              </w:rPr>
            </w:pPr>
            <w:r w:rsidRPr="009651EF">
              <w:rPr>
                <w:rFonts w:ascii="Arial" w:eastAsia="Times New Roman" w:hAnsi="Arial" w:cs="Arial"/>
                <w:b/>
                <w:bCs/>
                <w:color w:val="000000"/>
                <w:sz w:val="20"/>
                <w:szCs w:val="20"/>
                <w:lang w:eastAsia="sl-SI"/>
              </w:rPr>
              <w:t>2013</w:t>
            </w:r>
          </w:p>
        </w:tc>
        <w:tc>
          <w:tcPr>
            <w:tcW w:w="1666" w:type="dxa"/>
            <w:tcBorders>
              <w:top w:val="nil"/>
              <w:left w:val="nil"/>
              <w:bottom w:val="single" w:sz="4" w:space="0" w:color="auto"/>
              <w:right w:val="single" w:sz="4" w:space="0" w:color="auto"/>
            </w:tcBorders>
            <w:shd w:val="clear" w:color="auto" w:fill="auto"/>
            <w:noWrap/>
            <w:vAlign w:val="center"/>
            <w:hideMark/>
          </w:tcPr>
          <w:p w14:paraId="19412521"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2.059.114</w:t>
            </w:r>
          </w:p>
        </w:tc>
        <w:tc>
          <w:tcPr>
            <w:tcW w:w="1667" w:type="dxa"/>
            <w:tcBorders>
              <w:top w:val="nil"/>
              <w:left w:val="nil"/>
              <w:bottom w:val="single" w:sz="4" w:space="0" w:color="auto"/>
              <w:right w:val="single" w:sz="4" w:space="0" w:color="auto"/>
            </w:tcBorders>
            <w:shd w:val="clear" w:color="auto" w:fill="auto"/>
            <w:noWrap/>
            <w:vAlign w:val="center"/>
            <w:hideMark/>
          </w:tcPr>
          <w:p w14:paraId="733A20E0"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1.222.901</w:t>
            </w:r>
          </w:p>
        </w:tc>
        <w:tc>
          <w:tcPr>
            <w:tcW w:w="1643" w:type="dxa"/>
            <w:tcBorders>
              <w:top w:val="nil"/>
              <w:left w:val="nil"/>
              <w:bottom w:val="single" w:sz="4" w:space="0" w:color="auto"/>
              <w:right w:val="single" w:sz="4" w:space="0" w:color="auto"/>
            </w:tcBorders>
            <w:shd w:val="clear" w:color="auto" w:fill="auto"/>
            <w:noWrap/>
            <w:vAlign w:val="center"/>
            <w:hideMark/>
          </w:tcPr>
          <w:p w14:paraId="180C32EE"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102</w:t>
            </w:r>
          </w:p>
        </w:tc>
        <w:tc>
          <w:tcPr>
            <w:tcW w:w="1644" w:type="dxa"/>
            <w:tcBorders>
              <w:top w:val="nil"/>
              <w:left w:val="nil"/>
              <w:bottom w:val="single" w:sz="4" w:space="0" w:color="auto"/>
              <w:right w:val="single" w:sz="4" w:space="0" w:color="auto"/>
            </w:tcBorders>
            <w:shd w:val="clear" w:color="auto" w:fill="auto"/>
            <w:noWrap/>
            <w:vAlign w:val="center"/>
            <w:hideMark/>
          </w:tcPr>
          <w:p w14:paraId="270A8A30"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92</w:t>
            </w:r>
          </w:p>
        </w:tc>
      </w:tr>
      <w:tr w:rsidR="009651EF" w:rsidRPr="009651EF" w14:paraId="035153E0" w14:textId="77777777" w:rsidTr="009651EF">
        <w:trPr>
          <w:trHeight w:val="30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BC5E108" w14:textId="77777777" w:rsidR="009651EF" w:rsidRPr="009651EF" w:rsidRDefault="009651EF" w:rsidP="009651EF">
            <w:pPr>
              <w:keepNext/>
              <w:keepLines/>
              <w:spacing w:before="60" w:after="60" w:line="0" w:lineRule="atLeast"/>
              <w:jc w:val="both"/>
              <w:rPr>
                <w:rFonts w:ascii="Arial" w:eastAsia="Times New Roman" w:hAnsi="Arial" w:cs="Arial"/>
                <w:b/>
                <w:bCs/>
                <w:color w:val="000000"/>
                <w:sz w:val="20"/>
                <w:szCs w:val="20"/>
                <w:lang w:eastAsia="sl-SI"/>
              </w:rPr>
            </w:pPr>
            <w:r w:rsidRPr="009651EF">
              <w:rPr>
                <w:rFonts w:ascii="Arial" w:eastAsia="Times New Roman" w:hAnsi="Arial" w:cs="Arial"/>
                <w:b/>
                <w:bCs/>
                <w:color w:val="000000"/>
                <w:sz w:val="20"/>
                <w:szCs w:val="20"/>
                <w:lang w:eastAsia="sl-SI"/>
              </w:rPr>
              <w:t>2014</w:t>
            </w:r>
          </w:p>
        </w:tc>
        <w:tc>
          <w:tcPr>
            <w:tcW w:w="1666" w:type="dxa"/>
            <w:tcBorders>
              <w:top w:val="nil"/>
              <w:left w:val="nil"/>
              <w:bottom w:val="single" w:sz="4" w:space="0" w:color="auto"/>
              <w:right w:val="single" w:sz="4" w:space="0" w:color="auto"/>
            </w:tcBorders>
            <w:shd w:val="clear" w:color="auto" w:fill="auto"/>
            <w:noWrap/>
            <w:vAlign w:val="center"/>
            <w:hideMark/>
          </w:tcPr>
          <w:p w14:paraId="0156C960"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2.061.623</w:t>
            </w:r>
          </w:p>
        </w:tc>
        <w:tc>
          <w:tcPr>
            <w:tcW w:w="1667" w:type="dxa"/>
            <w:tcBorders>
              <w:top w:val="nil"/>
              <w:left w:val="nil"/>
              <w:bottom w:val="single" w:sz="4" w:space="0" w:color="auto"/>
              <w:right w:val="single" w:sz="4" w:space="0" w:color="auto"/>
            </w:tcBorders>
            <w:shd w:val="clear" w:color="auto" w:fill="auto"/>
            <w:noWrap/>
            <w:vAlign w:val="center"/>
            <w:hideMark/>
          </w:tcPr>
          <w:p w14:paraId="797816B4"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1.220.812</w:t>
            </w:r>
          </w:p>
        </w:tc>
        <w:tc>
          <w:tcPr>
            <w:tcW w:w="1643" w:type="dxa"/>
            <w:tcBorders>
              <w:top w:val="nil"/>
              <w:left w:val="nil"/>
              <w:bottom w:val="single" w:sz="4" w:space="0" w:color="auto"/>
              <w:right w:val="single" w:sz="4" w:space="0" w:color="auto"/>
            </w:tcBorders>
            <w:shd w:val="clear" w:color="auto" w:fill="auto"/>
            <w:noWrap/>
            <w:vAlign w:val="center"/>
            <w:hideMark/>
          </w:tcPr>
          <w:p w14:paraId="0F0BE564"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102</w:t>
            </w:r>
          </w:p>
        </w:tc>
        <w:tc>
          <w:tcPr>
            <w:tcW w:w="1644" w:type="dxa"/>
            <w:tcBorders>
              <w:top w:val="nil"/>
              <w:left w:val="nil"/>
              <w:bottom w:val="single" w:sz="4" w:space="0" w:color="auto"/>
              <w:right w:val="single" w:sz="4" w:space="0" w:color="auto"/>
            </w:tcBorders>
            <w:shd w:val="clear" w:color="auto" w:fill="auto"/>
            <w:noWrap/>
            <w:vAlign w:val="center"/>
            <w:hideMark/>
          </w:tcPr>
          <w:p w14:paraId="566BDEDB"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92</w:t>
            </w:r>
          </w:p>
        </w:tc>
      </w:tr>
      <w:tr w:rsidR="009651EF" w:rsidRPr="009651EF" w14:paraId="7515CE8D" w14:textId="77777777" w:rsidTr="009651EF">
        <w:trPr>
          <w:trHeight w:val="30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20B6375" w14:textId="77777777" w:rsidR="009651EF" w:rsidRPr="009651EF" w:rsidRDefault="009651EF" w:rsidP="009651EF">
            <w:pPr>
              <w:keepNext/>
              <w:keepLines/>
              <w:spacing w:before="60" w:after="60" w:line="0" w:lineRule="atLeast"/>
              <w:jc w:val="both"/>
              <w:rPr>
                <w:rFonts w:ascii="Arial" w:eastAsia="Times New Roman" w:hAnsi="Arial" w:cs="Arial"/>
                <w:b/>
                <w:bCs/>
                <w:color w:val="000000"/>
                <w:sz w:val="20"/>
                <w:szCs w:val="20"/>
                <w:lang w:eastAsia="sl-SI"/>
              </w:rPr>
            </w:pPr>
            <w:r w:rsidRPr="009651EF">
              <w:rPr>
                <w:rFonts w:ascii="Arial" w:eastAsia="Times New Roman" w:hAnsi="Arial" w:cs="Arial"/>
                <w:b/>
                <w:bCs/>
                <w:color w:val="000000"/>
                <w:sz w:val="20"/>
                <w:szCs w:val="20"/>
                <w:lang w:eastAsia="sl-SI"/>
              </w:rPr>
              <w:t>2015</w:t>
            </w:r>
          </w:p>
        </w:tc>
        <w:tc>
          <w:tcPr>
            <w:tcW w:w="1666" w:type="dxa"/>
            <w:tcBorders>
              <w:top w:val="nil"/>
              <w:left w:val="nil"/>
              <w:bottom w:val="single" w:sz="4" w:space="0" w:color="auto"/>
              <w:right w:val="single" w:sz="4" w:space="0" w:color="auto"/>
            </w:tcBorders>
            <w:shd w:val="clear" w:color="auto" w:fill="auto"/>
            <w:noWrap/>
            <w:vAlign w:val="center"/>
            <w:hideMark/>
          </w:tcPr>
          <w:p w14:paraId="69F36A5A"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2.063.077</w:t>
            </w:r>
          </w:p>
        </w:tc>
        <w:tc>
          <w:tcPr>
            <w:tcW w:w="1667" w:type="dxa"/>
            <w:tcBorders>
              <w:top w:val="nil"/>
              <w:left w:val="nil"/>
              <w:bottom w:val="single" w:sz="4" w:space="0" w:color="auto"/>
              <w:right w:val="single" w:sz="4" w:space="0" w:color="auto"/>
            </w:tcBorders>
            <w:shd w:val="clear" w:color="auto" w:fill="auto"/>
            <w:noWrap/>
            <w:vAlign w:val="center"/>
            <w:hideMark/>
          </w:tcPr>
          <w:p w14:paraId="3A43F04A"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1.224.223</w:t>
            </w:r>
          </w:p>
        </w:tc>
        <w:tc>
          <w:tcPr>
            <w:tcW w:w="1643" w:type="dxa"/>
            <w:tcBorders>
              <w:top w:val="nil"/>
              <w:left w:val="nil"/>
              <w:bottom w:val="single" w:sz="4" w:space="0" w:color="auto"/>
              <w:right w:val="single" w:sz="4" w:space="0" w:color="auto"/>
            </w:tcBorders>
            <w:shd w:val="clear" w:color="auto" w:fill="auto"/>
            <w:noWrap/>
            <w:vAlign w:val="center"/>
            <w:hideMark/>
          </w:tcPr>
          <w:p w14:paraId="5B660872"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102</w:t>
            </w:r>
          </w:p>
        </w:tc>
        <w:tc>
          <w:tcPr>
            <w:tcW w:w="1644" w:type="dxa"/>
            <w:tcBorders>
              <w:top w:val="nil"/>
              <w:left w:val="nil"/>
              <w:bottom w:val="single" w:sz="4" w:space="0" w:color="auto"/>
              <w:right w:val="single" w:sz="4" w:space="0" w:color="auto"/>
            </w:tcBorders>
            <w:shd w:val="clear" w:color="auto" w:fill="auto"/>
            <w:noWrap/>
            <w:vAlign w:val="center"/>
            <w:hideMark/>
          </w:tcPr>
          <w:p w14:paraId="745ED4C7"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93</w:t>
            </w:r>
          </w:p>
        </w:tc>
      </w:tr>
      <w:tr w:rsidR="009651EF" w:rsidRPr="009651EF" w14:paraId="55A9946C" w14:textId="77777777" w:rsidTr="009651EF">
        <w:trPr>
          <w:trHeight w:val="30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0A1E597" w14:textId="77777777" w:rsidR="009651EF" w:rsidRPr="009651EF" w:rsidRDefault="009651EF" w:rsidP="009651EF">
            <w:pPr>
              <w:keepNext/>
              <w:keepLines/>
              <w:spacing w:before="60" w:after="60" w:line="0" w:lineRule="atLeast"/>
              <w:jc w:val="both"/>
              <w:rPr>
                <w:rFonts w:ascii="Arial" w:eastAsia="Times New Roman" w:hAnsi="Arial" w:cs="Arial"/>
                <w:b/>
                <w:bCs/>
                <w:color w:val="000000"/>
                <w:sz w:val="20"/>
                <w:szCs w:val="20"/>
                <w:lang w:eastAsia="sl-SI"/>
              </w:rPr>
            </w:pPr>
            <w:r w:rsidRPr="009651EF">
              <w:rPr>
                <w:rFonts w:ascii="Arial" w:eastAsia="Times New Roman" w:hAnsi="Arial" w:cs="Arial"/>
                <w:b/>
                <w:bCs/>
                <w:color w:val="000000"/>
                <w:sz w:val="20"/>
                <w:szCs w:val="20"/>
                <w:lang w:eastAsia="sl-SI"/>
              </w:rPr>
              <w:t>2016</w:t>
            </w:r>
          </w:p>
        </w:tc>
        <w:tc>
          <w:tcPr>
            <w:tcW w:w="1666" w:type="dxa"/>
            <w:tcBorders>
              <w:top w:val="nil"/>
              <w:left w:val="nil"/>
              <w:bottom w:val="single" w:sz="4" w:space="0" w:color="auto"/>
              <w:right w:val="single" w:sz="4" w:space="0" w:color="auto"/>
            </w:tcBorders>
            <w:shd w:val="clear" w:color="auto" w:fill="auto"/>
            <w:noWrap/>
            <w:vAlign w:val="center"/>
            <w:hideMark/>
          </w:tcPr>
          <w:p w14:paraId="3DF1C120"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2.064.241</w:t>
            </w:r>
          </w:p>
        </w:tc>
        <w:tc>
          <w:tcPr>
            <w:tcW w:w="1667" w:type="dxa"/>
            <w:tcBorders>
              <w:top w:val="nil"/>
              <w:left w:val="nil"/>
              <w:bottom w:val="single" w:sz="4" w:space="0" w:color="auto"/>
              <w:right w:val="single" w:sz="4" w:space="0" w:color="auto"/>
            </w:tcBorders>
            <w:shd w:val="clear" w:color="auto" w:fill="auto"/>
            <w:noWrap/>
            <w:vAlign w:val="center"/>
            <w:hideMark/>
          </w:tcPr>
          <w:p w14:paraId="7E8AB858"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1.225.192</w:t>
            </w:r>
          </w:p>
        </w:tc>
        <w:tc>
          <w:tcPr>
            <w:tcW w:w="1643" w:type="dxa"/>
            <w:tcBorders>
              <w:top w:val="nil"/>
              <w:left w:val="nil"/>
              <w:bottom w:val="single" w:sz="4" w:space="0" w:color="auto"/>
              <w:right w:val="single" w:sz="4" w:space="0" w:color="auto"/>
            </w:tcBorders>
            <w:shd w:val="clear" w:color="auto" w:fill="auto"/>
            <w:noWrap/>
            <w:vAlign w:val="center"/>
            <w:hideMark/>
          </w:tcPr>
          <w:p w14:paraId="2ACF125D"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102</w:t>
            </w:r>
          </w:p>
        </w:tc>
        <w:tc>
          <w:tcPr>
            <w:tcW w:w="1644" w:type="dxa"/>
            <w:tcBorders>
              <w:top w:val="nil"/>
              <w:left w:val="nil"/>
              <w:bottom w:val="single" w:sz="4" w:space="0" w:color="auto"/>
              <w:right w:val="single" w:sz="4" w:space="0" w:color="auto"/>
            </w:tcBorders>
            <w:shd w:val="clear" w:color="auto" w:fill="auto"/>
            <w:noWrap/>
            <w:vAlign w:val="center"/>
            <w:hideMark/>
          </w:tcPr>
          <w:p w14:paraId="65004024"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94</w:t>
            </w:r>
          </w:p>
        </w:tc>
      </w:tr>
      <w:tr w:rsidR="009651EF" w:rsidRPr="009651EF" w14:paraId="70D9C985" w14:textId="77777777" w:rsidTr="009651EF">
        <w:trPr>
          <w:trHeight w:val="30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5AFC9ED" w14:textId="77777777" w:rsidR="009651EF" w:rsidRPr="009651EF" w:rsidRDefault="009651EF" w:rsidP="009651EF">
            <w:pPr>
              <w:keepNext/>
              <w:keepLines/>
              <w:spacing w:before="60" w:after="60" w:line="0" w:lineRule="atLeast"/>
              <w:jc w:val="both"/>
              <w:rPr>
                <w:rFonts w:ascii="Arial" w:eastAsia="Times New Roman" w:hAnsi="Arial" w:cs="Arial"/>
                <w:b/>
                <w:bCs/>
                <w:color w:val="000000"/>
                <w:sz w:val="20"/>
                <w:szCs w:val="20"/>
                <w:lang w:eastAsia="sl-SI"/>
              </w:rPr>
            </w:pPr>
            <w:r w:rsidRPr="009651EF">
              <w:rPr>
                <w:rFonts w:ascii="Arial" w:eastAsia="Times New Roman" w:hAnsi="Arial" w:cs="Arial"/>
                <w:b/>
                <w:bCs/>
                <w:color w:val="000000"/>
                <w:sz w:val="20"/>
                <w:szCs w:val="20"/>
                <w:lang w:eastAsia="sl-SI"/>
              </w:rPr>
              <w:t>2017</w:t>
            </w:r>
          </w:p>
        </w:tc>
        <w:tc>
          <w:tcPr>
            <w:tcW w:w="1666" w:type="dxa"/>
            <w:tcBorders>
              <w:top w:val="nil"/>
              <w:left w:val="nil"/>
              <w:bottom w:val="single" w:sz="4" w:space="0" w:color="auto"/>
              <w:right w:val="single" w:sz="4" w:space="0" w:color="auto"/>
            </w:tcBorders>
            <w:shd w:val="clear" w:color="auto" w:fill="auto"/>
            <w:noWrap/>
            <w:vAlign w:val="center"/>
            <w:hideMark/>
          </w:tcPr>
          <w:p w14:paraId="23E26902"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2.066.161</w:t>
            </w:r>
          </w:p>
        </w:tc>
        <w:tc>
          <w:tcPr>
            <w:tcW w:w="1667" w:type="dxa"/>
            <w:tcBorders>
              <w:top w:val="nil"/>
              <w:left w:val="nil"/>
              <w:bottom w:val="single" w:sz="4" w:space="0" w:color="auto"/>
              <w:right w:val="single" w:sz="4" w:space="0" w:color="auto"/>
            </w:tcBorders>
            <w:shd w:val="clear" w:color="auto" w:fill="auto"/>
            <w:noWrap/>
            <w:vAlign w:val="center"/>
            <w:hideMark/>
          </w:tcPr>
          <w:p w14:paraId="3FE33862"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1.226.475</w:t>
            </w:r>
          </w:p>
        </w:tc>
        <w:tc>
          <w:tcPr>
            <w:tcW w:w="1643" w:type="dxa"/>
            <w:tcBorders>
              <w:top w:val="nil"/>
              <w:left w:val="nil"/>
              <w:bottom w:val="single" w:sz="4" w:space="0" w:color="auto"/>
              <w:right w:val="single" w:sz="4" w:space="0" w:color="auto"/>
            </w:tcBorders>
            <w:shd w:val="clear" w:color="auto" w:fill="auto"/>
            <w:noWrap/>
            <w:vAlign w:val="center"/>
            <w:hideMark/>
          </w:tcPr>
          <w:p w14:paraId="0AF6EC75"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102</w:t>
            </w:r>
          </w:p>
        </w:tc>
        <w:tc>
          <w:tcPr>
            <w:tcW w:w="1644" w:type="dxa"/>
            <w:tcBorders>
              <w:top w:val="nil"/>
              <w:left w:val="nil"/>
              <w:bottom w:val="single" w:sz="4" w:space="0" w:color="auto"/>
              <w:right w:val="single" w:sz="4" w:space="0" w:color="auto"/>
            </w:tcBorders>
            <w:shd w:val="clear" w:color="auto" w:fill="auto"/>
            <w:noWrap/>
            <w:vAlign w:val="center"/>
            <w:hideMark/>
          </w:tcPr>
          <w:p w14:paraId="3DDA0AB6"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94</w:t>
            </w:r>
          </w:p>
        </w:tc>
      </w:tr>
      <w:tr w:rsidR="009651EF" w:rsidRPr="009651EF" w14:paraId="38140058" w14:textId="77777777" w:rsidTr="009651EF">
        <w:trPr>
          <w:trHeight w:val="30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E14F89D" w14:textId="77777777" w:rsidR="009651EF" w:rsidRPr="009651EF" w:rsidRDefault="009651EF" w:rsidP="009651EF">
            <w:pPr>
              <w:keepNext/>
              <w:keepLines/>
              <w:spacing w:before="60" w:after="60" w:line="0" w:lineRule="atLeast"/>
              <w:jc w:val="both"/>
              <w:rPr>
                <w:rFonts w:ascii="Arial" w:eastAsia="Times New Roman" w:hAnsi="Arial" w:cs="Arial"/>
                <w:b/>
                <w:bCs/>
                <w:color w:val="000000"/>
                <w:sz w:val="20"/>
                <w:szCs w:val="20"/>
                <w:lang w:eastAsia="sl-SI"/>
              </w:rPr>
            </w:pPr>
            <w:r w:rsidRPr="009651EF">
              <w:rPr>
                <w:rFonts w:ascii="Arial" w:eastAsia="Times New Roman" w:hAnsi="Arial" w:cs="Arial"/>
                <w:b/>
                <w:bCs/>
                <w:color w:val="000000"/>
                <w:sz w:val="20"/>
                <w:szCs w:val="20"/>
                <w:lang w:eastAsia="sl-SI"/>
              </w:rPr>
              <w:t>2018</w:t>
            </w:r>
          </w:p>
        </w:tc>
        <w:tc>
          <w:tcPr>
            <w:tcW w:w="1666" w:type="dxa"/>
            <w:tcBorders>
              <w:top w:val="nil"/>
              <w:left w:val="nil"/>
              <w:bottom w:val="single" w:sz="4" w:space="0" w:color="auto"/>
              <w:right w:val="single" w:sz="4" w:space="0" w:color="auto"/>
            </w:tcBorders>
            <w:shd w:val="clear" w:color="auto" w:fill="auto"/>
            <w:noWrap/>
            <w:vAlign w:val="center"/>
            <w:hideMark/>
          </w:tcPr>
          <w:p w14:paraId="35927E45"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2.070.050</w:t>
            </w:r>
          </w:p>
        </w:tc>
        <w:tc>
          <w:tcPr>
            <w:tcW w:w="1667" w:type="dxa"/>
            <w:tcBorders>
              <w:top w:val="nil"/>
              <w:left w:val="nil"/>
              <w:bottom w:val="single" w:sz="4" w:space="0" w:color="auto"/>
              <w:right w:val="single" w:sz="4" w:space="0" w:color="auto"/>
            </w:tcBorders>
            <w:shd w:val="clear" w:color="auto" w:fill="auto"/>
            <w:noWrap/>
            <w:vAlign w:val="center"/>
            <w:hideMark/>
          </w:tcPr>
          <w:p w14:paraId="5002F1CF"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1.227.785</w:t>
            </w:r>
          </w:p>
        </w:tc>
        <w:tc>
          <w:tcPr>
            <w:tcW w:w="1643" w:type="dxa"/>
            <w:tcBorders>
              <w:top w:val="nil"/>
              <w:left w:val="nil"/>
              <w:bottom w:val="single" w:sz="4" w:space="0" w:color="auto"/>
              <w:right w:val="single" w:sz="4" w:space="0" w:color="auto"/>
            </w:tcBorders>
            <w:shd w:val="clear" w:color="auto" w:fill="auto"/>
            <w:noWrap/>
            <w:vAlign w:val="center"/>
            <w:hideMark/>
          </w:tcPr>
          <w:p w14:paraId="1C037CC0"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102</w:t>
            </w:r>
          </w:p>
        </w:tc>
        <w:tc>
          <w:tcPr>
            <w:tcW w:w="1644" w:type="dxa"/>
            <w:tcBorders>
              <w:top w:val="nil"/>
              <w:left w:val="nil"/>
              <w:bottom w:val="single" w:sz="4" w:space="0" w:color="auto"/>
              <w:right w:val="single" w:sz="4" w:space="0" w:color="auto"/>
            </w:tcBorders>
            <w:shd w:val="clear" w:color="auto" w:fill="auto"/>
            <w:noWrap/>
            <w:vAlign w:val="center"/>
            <w:hideMark/>
          </w:tcPr>
          <w:p w14:paraId="4CD59077"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94</w:t>
            </w:r>
          </w:p>
        </w:tc>
      </w:tr>
      <w:tr w:rsidR="009651EF" w:rsidRPr="009651EF" w14:paraId="7458F409" w14:textId="77777777" w:rsidTr="009651EF">
        <w:trPr>
          <w:trHeight w:val="30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25E0502" w14:textId="77777777" w:rsidR="009651EF" w:rsidRPr="009651EF" w:rsidRDefault="009651EF" w:rsidP="009651EF">
            <w:pPr>
              <w:keepNext/>
              <w:keepLines/>
              <w:spacing w:before="60" w:after="60" w:line="0" w:lineRule="atLeast"/>
              <w:jc w:val="both"/>
              <w:rPr>
                <w:rFonts w:ascii="Arial" w:eastAsia="Times New Roman" w:hAnsi="Arial" w:cs="Arial"/>
                <w:b/>
                <w:bCs/>
                <w:color w:val="000000"/>
                <w:sz w:val="20"/>
                <w:szCs w:val="20"/>
                <w:lang w:eastAsia="sl-SI"/>
              </w:rPr>
            </w:pPr>
            <w:r w:rsidRPr="009651EF">
              <w:rPr>
                <w:rFonts w:ascii="Arial" w:eastAsia="Times New Roman" w:hAnsi="Arial" w:cs="Arial"/>
                <w:b/>
                <w:bCs/>
                <w:color w:val="000000"/>
                <w:sz w:val="20"/>
                <w:szCs w:val="20"/>
                <w:lang w:eastAsia="sl-SI"/>
              </w:rPr>
              <w:t>2019</w:t>
            </w:r>
          </w:p>
        </w:tc>
        <w:tc>
          <w:tcPr>
            <w:tcW w:w="1666" w:type="dxa"/>
            <w:tcBorders>
              <w:top w:val="nil"/>
              <w:left w:val="nil"/>
              <w:bottom w:val="single" w:sz="4" w:space="0" w:color="auto"/>
              <w:right w:val="single" w:sz="4" w:space="0" w:color="auto"/>
            </w:tcBorders>
            <w:shd w:val="clear" w:color="auto" w:fill="auto"/>
            <w:noWrap/>
            <w:vAlign w:val="center"/>
            <w:hideMark/>
          </w:tcPr>
          <w:p w14:paraId="1BF32427"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2.089.310</w:t>
            </w:r>
          </w:p>
        </w:tc>
        <w:tc>
          <w:tcPr>
            <w:tcW w:w="1667" w:type="dxa"/>
            <w:tcBorders>
              <w:top w:val="nil"/>
              <w:left w:val="nil"/>
              <w:bottom w:val="single" w:sz="4" w:space="0" w:color="auto"/>
              <w:right w:val="single" w:sz="4" w:space="0" w:color="auto"/>
            </w:tcBorders>
            <w:shd w:val="clear" w:color="auto" w:fill="auto"/>
            <w:noWrap/>
            <w:vAlign w:val="center"/>
            <w:hideMark/>
          </w:tcPr>
          <w:p w14:paraId="59BE9A8C"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1.236.278</w:t>
            </w:r>
          </w:p>
        </w:tc>
        <w:tc>
          <w:tcPr>
            <w:tcW w:w="1643" w:type="dxa"/>
            <w:tcBorders>
              <w:top w:val="nil"/>
              <w:left w:val="nil"/>
              <w:bottom w:val="single" w:sz="4" w:space="0" w:color="auto"/>
              <w:right w:val="single" w:sz="4" w:space="0" w:color="auto"/>
            </w:tcBorders>
            <w:shd w:val="clear" w:color="auto" w:fill="auto"/>
            <w:noWrap/>
            <w:vAlign w:val="center"/>
            <w:hideMark/>
          </w:tcPr>
          <w:p w14:paraId="003BD769"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103</w:t>
            </w:r>
          </w:p>
        </w:tc>
        <w:tc>
          <w:tcPr>
            <w:tcW w:w="1644" w:type="dxa"/>
            <w:tcBorders>
              <w:top w:val="nil"/>
              <w:left w:val="nil"/>
              <w:bottom w:val="single" w:sz="4" w:space="0" w:color="auto"/>
              <w:right w:val="single" w:sz="4" w:space="0" w:color="auto"/>
            </w:tcBorders>
            <w:shd w:val="clear" w:color="auto" w:fill="auto"/>
            <w:noWrap/>
            <w:vAlign w:val="center"/>
            <w:hideMark/>
          </w:tcPr>
          <w:p w14:paraId="12C395DD" w14:textId="77777777" w:rsidR="009651EF" w:rsidRPr="009651EF" w:rsidRDefault="009651EF" w:rsidP="009651EF">
            <w:pPr>
              <w:keepNext/>
              <w:keepLines/>
              <w:spacing w:before="60" w:after="60" w:line="0" w:lineRule="atLeast"/>
              <w:jc w:val="right"/>
              <w:rPr>
                <w:rFonts w:ascii="Arial" w:eastAsia="Times New Roman" w:hAnsi="Arial" w:cs="Arial"/>
                <w:color w:val="000000"/>
                <w:sz w:val="20"/>
                <w:szCs w:val="20"/>
                <w:lang w:eastAsia="sl-SI"/>
              </w:rPr>
            </w:pPr>
            <w:r w:rsidRPr="009651EF">
              <w:rPr>
                <w:rFonts w:ascii="Arial" w:eastAsia="Times New Roman" w:hAnsi="Arial" w:cs="Arial"/>
                <w:color w:val="000000"/>
                <w:sz w:val="20"/>
                <w:szCs w:val="20"/>
                <w:lang w:eastAsia="sl-SI"/>
              </w:rPr>
              <w:t>95</w:t>
            </w:r>
          </w:p>
        </w:tc>
      </w:tr>
    </w:tbl>
    <w:p w14:paraId="789FDE87" w14:textId="77777777" w:rsidR="009E0216" w:rsidRPr="00A52F41" w:rsidRDefault="009E0216" w:rsidP="00EA2E4C">
      <w:pPr>
        <w:pStyle w:val="tevilnatoka"/>
        <w:numPr>
          <w:ilvl w:val="0"/>
          <w:numId w:val="0"/>
        </w:numPr>
        <w:spacing w:line="360" w:lineRule="auto"/>
        <w:rPr>
          <w:sz w:val="16"/>
          <w:szCs w:val="16"/>
        </w:rPr>
      </w:pPr>
      <w:r w:rsidRPr="00A52F41">
        <w:rPr>
          <w:sz w:val="16"/>
          <w:szCs w:val="16"/>
        </w:rPr>
        <w:t>Vir: SURS, lastni preračuni</w:t>
      </w:r>
    </w:p>
    <w:p w14:paraId="416D559E" w14:textId="5DA9EFD5" w:rsidR="009E0216" w:rsidRPr="00A52F41" w:rsidRDefault="009E0216" w:rsidP="00F25C63">
      <w:pPr>
        <w:spacing w:before="200" w:line="360" w:lineRule="auto"/>
        <w:jc w:val="both"/>
        <w:rPr>
          <w:rFonts w:ascii="Arial" w:hAnsi="Arial" w:cs="Arial"/>
          <w:sz w:val="20"/>
          <w:szCs w:val="20"/>
        </w:rPr>
      </w:pPr>
      <w:r w:rsidRPr="00A52F41">
        <w:rPr>
          <w:rFonts w:ascii="Arial" w:hAnsi="Arial" w:cs="Arial"/>
          <w:sz w:val="20"/>
          <w:szCs w:val="20"/>
        </w:rPr>
        <w:t>Slabo demografsko sliko kaže tudi naravni prirast na 1.000 prebivalcev, ki pomeni razmerje med naravnim prirastom v koledarskem letu in številom prebivalstva sredi istega leta na določenem območju, pomnoženo s 1.000, ki po letu 2014 pada. Na podeželju je negativen že od leta 2015 (-0,2), leta 2018 pa je bila negativna vrednost tako za Slovenijo (-0,4), kot za podeželje (-1,2)</w:t>
      </w:r>
      <w:r w:rsidR="00E727D3">
        <w:rPr>
          <w:rFonts w:ascii="Arial" w:hAnsi="Arial" w:cs="Arial"/>
          <w:sz w:val="20"/>
          <w:szCs w:val="20"/>
        </w:rPr>
        <w:t xml:space="preserve"> (Tabela 5).</w:t>
      </w:r>
      <w:r w:rsidRPr="00A52F41">
        <w:rPr>
          <w:rFonts w:ascii="Arial" w:hAnsi="Arial" w:cs="Arial"/>
          <w:sz w:val="20"/>
          <w:szCs w:val="20"/>
        </w:rPr>
        <w:t xml:space="preserve">  Število prebivalcev se ohranja na račun priselitev v Slovenijo. Skupni selitveni prirast je sicer v obdobju 2008 - 2015 močno padel, tako v Sloveniji kot na podeželju, najverjetneje zaradi gospodarske krize. V letu 2018 pa je skupni selitveni prirast za Slovenijo ponovno zelo poskočil (7,2), na podeželju pa je za polovico manjši (4,0) (</w:t>
      </w:r>
      <w:r w:rsidR="008E6C7E">
        <w:rPr>
          <w:rFonts w:ascii="Arial" w:hAnsi="Arial" w:cs="Arial"/>
          <w:sz w:val="20"/>
          <w:szCs w:val="20"/>
        </w:rPr>
        <w:t>Tabela 7</w:t>
      </w:r>
      <w:r w:rsidRPr="00A52F41">
        <w:rPr>
          <w:rFonts w:ascii="Arial" w:hAnsi="Arial" w:cs="Arial"/>
          <w:sz w:val="20"/>
          <w:szCs w:val="20"/>
        </w:rPr>
        <w:t xml:space="preserve">, </w:t>
      </w:r>
      <w:r w:rsidRPr="00B26D91">
        <w:rPr>
          <w:rFonts w:ascii="Arial" w:hAnsi="Arial" w:cs="Arial"/>
          <w:sz w:val="20"/>
          <w:szCs w:val="20"/>
        </w:rPr>
        <w:t>Slika 4).</w:t>
      </w:r>
    </w:p>
    <w:p w14:paraId="1A7A78CD" w14:textId="77777777" w:rsidR="009E0216" w:rsidRPr="00A417A4" w:rsidRDefault="005B0F81" w:rsidP="00A417A4">
      <w:pPr>
        <w:pStyle w:val="SCslika"/>
        <w:keepNext/>
        <w:keepLines/>
      </w:pPr>
      <w:bookmarkStart w:id="11" w:name="_Toc47092634"/>
      <w:r w:rsidRPr="00A417A4">
        <w:t>Tabela</w:t>
      </w:r>
      <w:r w:rsidR="00A52F41" w:rsidRPr="00A417A4">
        <w:t xml:space="preserve"> 5</w:t>
      </w:r>
      <w:r w:rsidR="009E0216" w:rsidRPr="00A417A4">
        <w:t>: Naravni prirast (na 1.000 prebivalcev)</w:t>
      </w:r>
      <w:bookmarkEnd w:id="11"/>
    </w:p>
    <w:tbl>
      <w:tblPr>
        <w:tblW w:w="9412" w:type="dxa"/>
        <w:tblInd w:w="65" w:type="dxa"/>
        <w:tblLayout w:type="fixed"/>
        <w:tblCellMar>
          <w:left w:w="70" w:type="dxa"/>
          <w:right w:w="70" w:type="dxa"/>
        </w:tblCellMar>
        <w:tblLook w:val="04A0" w:firstRow="1" w:lastRow="0" w:firstColumn="1" w:lastColumn="0" w:noHBand="0" w:noVBand="1"/>
      </w:tblPr>
      <w:tblGrid>
        <w:gridCol w:w="1423"/>
        <w:gridCol w:w="618"/>
        <w:gridCol w:w="619"/>
        <w:gridCol w:w="618"/>
        <w:gridCol w:w="619"/>
        <w:gridCol w:w="618"/>
        <w:gridCol w:w="619"/>
        <w:gridCol w:w="618"/>
        <w:gridCol w:w="619"/>
        <w:gridCol w:w="618"/>
        <w:gridCol w:w="619"/>
        <w:gridCol w:w="619"/>
        <w:gridCol w:w="1185"/>
      </w:tblGrid>
      <w:tr w:rsidR="009E0216" w:rsidRPr="00A52F41" w14:paraId="02F4B4C6" w14:textId="77777777" w:rsidTr="00C84154">
        <w:trPr>
          <w:trHeight w:val="533"/>
        </w:trPr>
        <w:tc>
          <w:tcPr>
            <w:tcW w:w="14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90140" w14:textId="2ACC00BC" w:rsidR="009E0216" w:rsidRPr="00A52F41" w:rsidRDefault="009E0216" w:rsidP="00B26D91">
            <w:pPr>
              <w:spacing w:after="0" w:line="312" w:lineRule="auto"/>
              <w:rPr>
                <w:rFonts w:ascii="Arial" w:hAnsi="Arial" w:cs="Arial"/>
                <w:b/>
                <w:bCs/>
                <w:color w:val="000000"/>
                <w:sz w:val="20"/>
                <w:szCs w:val="20"/>
                <w:lang w:eastAsia="sl-SI"/>
              </w:rPr>
            </w:pP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14:paraId="2831D79B"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2008</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1B29299B"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2009</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14:paraId="152DE00D"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2010</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1BF903CE"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2011</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14:paraId="3B13A857"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2012</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7C2DD56A"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2013</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14:paraId="05612C1D"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2014</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7BE5F786"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2015</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14:paraId="4055C937"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2016</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36150E6F"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2017</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14:paraId="60D78ECA"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2018</w:t>
            </w:r>
          </w:p>
        </w:tc>
        <w:tc>
          <w:tcPr>
            <w:tcW w:w="1185" w:type="dxa"/>
            <w:tcBorders>
              <w:top w:val="single" w:sz="4" w:space="0" w:color="auto"/>
              <w:left w:val="nil"/>
              <w:bottom w:val="single" w:sz="4" w:space="0" w:color="auto"/>
              <w:right w:val="single" w:sz="4" w:space="0" w:color="auto"/>
            </w:tcBorders>
            <w:shd w:val="clear" w:color="auto" w:fill="auto"/>
            <w:vAlign w:val="bottom"/>
            <w:hideMark/>
          </w:tcPr>
          <w:p w14:paraId="488DCCC0" w14:textId="1DFE6ABD" w:rsidR="009E0216" w:rsidRPr="00A52F41" w:rsidRDefault="00C84154" w:rsidP="00C84154">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povprečje</w:t>
            </w:r>
          </w:p>
        </w:tc>
      </w:tr>
      <w:tr w:rsidR="009E0216" w:rsidRPr="00A52F41" w14:paraId="75928F6C" w14:textId="77777777" w:rsidTr="00C84154">
        <w:trPr>
          <w:trHeight w:val="267"/>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14:paraId="00C7CD4D" w14:textId="77777777" w:rsidR="009E0216" w:rsidRPr="00C84154" w:rsidRDefault="009E0216" w:rsidP="00B26D91">
            <w:pPr>
              <w:spacing w:after="0" w:line="312" w:lineRule="auto"/>
              <w:jc w:val="both"/>
              <w:rPr>
                <w:rFonts w:ascii="Arial" w:hAnsi="Arial" w:cs="Arial"/>
                <w:bCs/>
                <w:color w:val="000000"/>
                <w:sz w:val="20"/>
                <w:szCs w:val="20"/>
                <w:lang w:eastAsia="sl-SI"/>
              </w:rPr>
            </w:pPr>
            <w:r w:rsidRPr="00C84154">
              <w:rPr>
                <w:rFonts w:ascii="Arial" w:hAnsi="Arial" w:cs="Arial"/>
                <w:bCs/>
                <w:color w:val="000000"/>
                <w:sz w:val="20"/>
                <w:szCs w:val="20"/>
                <w:lang w:eastAsia="sl-SI"/>
              </w:rPr>
              <w:t>Slovenija</w:t>
            </w:r>
          </w:p>
        </w:tc>
        <w:tc>
          <w:tcPr>
            <w:tcW w:w="618" w:type="dxa"/>
            <w:tcBorders>
              <w:top w:val="nil"/>
              <w:left w:val="nil"/>
              <w:bottom w:val="single" w:sz="4" w:space="0" w:color="auto"/>
              <w:right w:val="single" w:sz="4" w:space="0" w:color="auto"/>
            </w:tcBorders>
            <w:shd w:val="clear" w:color="auto" w:fill="auto"/>
            <w:noWrap/>
            <w:vAlign w:val="bottom"/>
            <w:hideMark/>
          </w:tcPr>
          <w:p w14:paraId="0C1BAD63"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1,7</w:t>
            </w:r>
          </w:p>
        </w:tc>
        <w:tc>
          <w:tcPr>
            <w:tcW w:w="619" w:type="dxa"/>
            <w:tcBorders>
              <w:top w:val="nil"/>
              <w:left w:val="nil"/>
              <w:bottom w:val="single" w:sz="4" w:space="0" w:color="auto"/>
              <w:right w:val="single" w:sz="4" w:space="0" w:color="auto"/>
            </w:tcBorders>
            <w:shd w:val="clear" w:color="auto" w:fill="auto"/>
            <w:noWrap/>
            <w:vAlign w:val="bottom"/>
            <w:hideMark/>
          </w:tcPr>
          <w:p w14:paraId="1CD77219"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1,5</w:t>
            </w:r>
          </w:p>
        </w:tc>
        <w:tc>
          <w:tcPr>
            <w:tcW w:w="618" w:type="dxa"/>
            <w:tcBorders>
              <w:top w:val="nil"/>
              <w:left w:val="nil"/>
              <w:bottom w:val="single" w:sz="4" w:space="0" w:color="auto"/>
              <w:right w:val="single" w:sz="4" w:space="0" w:color="auto"/>
            </w:tcBorders>
            <w:shd w:val="clear" w:color="auto" w:fill="auto"/>
            <w:noWrap/>
            <w:vAlign w:val="bottom"/>
            <w:hideMark/>
          </w:tcPr>
          <w:p w14:paraId="1040E635"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1,8</w:t>
            </w:r>
          </w:p>
        </w:tc>
        <w:tc>
          <w:tcPr>
            <w:tcW w:w="619" w:type="dxa"/>
            <w:tcBorders>
              <w:top w:val="nil"/>
              <w:left w:val="nil"/>
              <w:bottom w:val="single" w:sz="4" w:space="0" w:color="auto"/>
              <w:right w:val="single" w:sz="4" w:space="0" w:color="auto"/>
            </w:tcBorders>
            <w:shd w:val="clear" w:color="auto" w:fill="auto"/>
            <w:noWrap/>
            <w:vAlign w:val="bottom"/>
            <w:hideMark/>
          </w:tcPr>
          <w:p w14:paraId="24CC42FE"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1,6</w:t>
            </w:r>
          </w:p>
        </w:tc>
        <w:tc>
          <w:tcPr>
            <w:tcW w:w="618" w:type="dxa"/>
            <w:tcBorders>
              <w:top w:val="nil"/>
              <w:left w:val="nil"/>
              <w:bottom w:val="single" w:sz="4" w:space="0" w:color="auto"/>
              <w:right w:val="single" w:sz="4" w:space="0" w:color="auto"/>
            </w:tcBorders>
            <w:shd w:val="clear" w:color="auto" w:fill="auto"/>
            <w:noWrap/>
            <w:vAlign w:val="bottom"/>
            <w:hideMark/>
          </w:tcPr>
          <w:p w14:paraId="4B32C58B"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1,3</w:t>
            </w:r>
          </w:p>
        </w:tc>
        <w:tc>
          <w:tcPr>
            <w:tcW w:w="619" w:type="dxa"/>
            <w:tcBorders>
              <w:top w:val="nil"/>
              <w:left w:val="nil"/>
              <w:bottom w:val="single" w:sz="4" w:space="0" w:color="auto"/>
              <w:right w:val="single" w:sz="4" w:space="0" w:color="auto"/>
            </w:tcBorders>
            <w:shd w:val="clear" w:color="auto" w:fill="auto"/>
            <w:noWrap/>
            <w:vAlign w:val="bottom"/>
            <w:hideMark/>
          </w:tcPr>
          <w:p w14:paraId="75D132F8"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0,9</w:t>
            </w:r>
          </w:p>
        </w:tc>
        <w:tc>
          <w:tcPr>
            <w:tcW w:w="618" w:type="dxa"/>
            <w:tcBorders>
              <w:top w:val="nil"/>
              <w:left w:val="nil"/>
              <w:bottom w:val="single" w:sz="4" w:space="0" w:color="auto"/>
              <w:right w:val="single" w:sz="4" w:space="0" w:color="auto"/>
            </w:tcBorders>
            <w:shd w:val="clear" w:color="auto" w:fill="auto"/>
            <w:noWrap/>
            <w:vAlign w:val="bottom"/>
            <w:hideMark/>
          </w:tcPr>
          <w:p w14:paraId="759D4D40"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1,1</w:t>
            </w:r>
          </w:p>
        </w:tc>
        <w:tc>
          <w:tcPr>
            <w:tcW w:w="619" w:type="dxa"/>
            <w:tcBorders>
              <w:top w:val="nil"/>
              <w:left w:val="nil"/>
              <w:bottom w:val="single" w:sz="4" w:space="0" w:color="auto"/>
              <w:right w:val="single" w:sz="4" w:space="0" w:color="auto"/>
            </w:tcBorders>
            <w:shd w:val="clear" w:color="auto" w:fill="auto"/>
            <w:noWrap/>
            <w:vAlign w:val="bottom"/>
            <w:hideMark/>
          </w:tcPr>
          <w:p w14:paraId="2EA98584"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0,4</w:t>
            </w:r>
          </w:p>
        </w:tc>
        <w:tc>
          <w:tcPr>
            <w:tcW w:w="618" w:type="dxa"/>
            <w:tcBorders>
              <w:top w:val="nil"/>
              <w:left w:val="nil"/>
              <w:bottom w:val="single" w:sz="4" w:space="0" w:color="auto"/>
              <w:right w:val="single" w:sz="4" w:space="0" w:color="auto"/>
            </w:tcBorders>
            <w:shd w:val="clear" w:color="auto" w:fill="auto"/>
            <w:noWrap/>
            <w:vAlign w:val="bottom"/>
            <w:hideMark/>
          </w:tcPr>
          <w:p w14:paraId="3873D6C5"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0,3</w:t>
            </w:r>
          </w:p>
        </w:tc>
        <w:tc>
          <w:tcPr>
            <w:tcW w:w="619" w:type="dxa"/>
            <w:tcBorders>
              <w:top w:val="nil"/>
              <w:left w:val="nil"/>
              <w:bottom w:val="single" w:sz="4" w:space="0" w:color="auto"/>
              <w:right w:val="single" w:sz="4" w:space="0" w:color="auto"/>
            </w:tcBorders>
            <w:shd w:val="clear" w:color="auto" w:fill="auto"/>
            <w:noWrap/>
            <w:vAlign w:val="bottom"/>
            <w:hideMark/>
          </w:tcPr>
          <w:p w14:paraId="4F0317C9"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-0,1</w:t>
            </w:r>
          </w:p>
        </w:tc>
        <w:tc>
          <w:tcPr>
            <w:tcW w:w="619" w:type="dxa"/>
            <w:tcBorders>
              <w:top w:val="nil"/>
              <w:left w:val="nil"/>
              <w:bottom w:val="single" w:sz="4" w:space="0" w:color="auto"/>
              <w:right w:val="single" w:sz="4" w:space="0" w:color="auto"/>
            </w:tcBorders>
            <w:shd w:val="clear" w:color="auto" w:fill="auto"/>
            <w:noWrap/>
            <w:vAlign w:val="bottom"/>
            <w:hideMark/>
          </w:tcPr>
          <w:p w14:paraId="44B45A27"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-0,4</w:t>
            </w:r>
          </w:p>
        </w:tc>
        <w:tc>
          <w:tcPr>
            <w:tcW w:w="1185" w:type="dxa"/>
            <w:tcBorders>
              <w:top w:val="nil"/>
              <w:left w:val="nil"/>
              <w:bottom w:val="single" w:sz="4" w:space="0" w:color="auto"/>
              <w:right w:val="single" w:sz="4" w:space="0" w:color="auto"/>
            </w:tcBorders>
            <w:shd w:val="clear" w:color="auto" w:fill="auto"/>
            <w:noWrap/>
            <w:vAlign w:val="bottom"/>
            <w:hideMark/>
          </w:tcPr>
          <w:p w14:paraId="55F365BB"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0,9</w:t>
            </w:r>
          </w:p>
        </w:tc>
      </w:tr>
      <w:tr w:rsidR="009E0216" w:rsidRPr="00A52F41" w14:paraId="13B7F92B" w14:textId="77777777" w:rsidTr="00C84154">
        <w:trPr>
          <w:trHeight w:val="267"/>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14:paraId="12950FEF" w14:textId="44519F37" w:rsidR="009E0216" w:rsidRPr="00C84154" w:rsidRDefault="00356A8A" w:rsidP="00356A8A">
            <w:pPr>
              <w:spacing w:after="0" w:line="312" w:lineRule="auto"/>
              <w:jc w:val="both"/>
              <w:rPr>
                <w:rFonts w:ascii="Arial" w:hAnsi="Arial" w:cs="Arial"/>
                <w:color w:val="000000"/>
                <w:sz w:val="20"/>
                <w:szCs w:val="20"/>
                <w:lang w:eastAsia="sl-SI"/>
              </w:rPr>
            </w:pPr>
            <w:r>
              <w:rPr>
                <w:rFonts w:ascii="Arial" w:hAnsi="Arial" w:cs="Arial"/>
                <w:color w:val="000000"/>
                <w:sz w:val="20"/>
                <w:szCs w:val="20"/>
                <w:lang w:eastAsia="sl-SI"/>
              </w:rPr>
              <w:t>p</w:t>
            </w:r>
            <w:r w:rsidR="009E0216" w:rsidRPr="00C84154">
              <w:rPr>
                <w:rFonts w:ascii="Arial" w:hAnsi="Arial" w:cs="Arial"/>
                <w:color w:val="000000"/>
                <w:sz w:val="20"/>
                <w:szCs w:val="20"/>
                <w:lang w:eastAsia="sl-SI"/>
              </w:rPr>
              <w:t xml:space="preserve">odeželje </w:t>
            </w:r>
          </w:p>
        </w:tc>
        <w:tc>
          <w:tcPr>
            <w:tcW w:w="618" w:type="dxa"/>
            <w:tcBorders>
              <w:top w:val="nil"/>
              <w:left w:val="nil"/>
              <w:bottom w:val="single" w:sz="4" w:space="0" w:color="auto"/>
              <w:right w:val="single" w:sz="4" w:space="0" w:color="auto"/>
            </w:tcBorders>
            <w:shd w:val="clear" w:color="auto" w:fill="auto"/>
            <w:noWrap/>
            <w:vAlign w:val="bottom"/>
            <w:hideMark/>
          </w:tcPr>
          <w:p w14:paraId="7B90F44D"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0,9</w:t>
            </w:r>
          </w:p>
        </w:tc>
        <w:tc>
          <w:tcPr>
            <w:tcW w:w="619" w:type="dxa"/>
            <w:tcBorders>
              <w:top w:val="nil"/>
              <w:left w:val="nil"/>
              <w:bottom w:val="single" w:sz="4" w:space="0" w:color="auto"/>
              <w:right w:val="single" w:sz="4" w:space="0" w:color="auto"/>
            </w:tcBorders>
            <w:shd w:val="clear" w:color="auto" w:fill="auto"/>
            <w:noWrap/>
            <w:vAlign w:val="bottom"/>
            <w:hideMark/>
          </w:tcPr>
          <w:p w14:paraId="02F91BD2"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0,4</w:t>
            </w:r>
          </w:p>
        </w:tc>
        <w:tc>
          <w:tcPr>
            <w:tcW w:w="618" w:type="dxa"/>
            <w:tcBorders>
              <w:top w:val="nil"/>
              <w:left w:val="nil"/>
              <w:bottom w:val="single" w:sz="4" w:space="0" w:color="auto"/>
              <w:right w:val="single" w:sz="4" w:space="0" w:color="auto"/>
            </w:tcBorders>
            <w:shd w:val="clear" w:color="auto" w:fill="auto"/>
            <w:noWrap/>
            <w:vAlign w:val="bottom"/>
            <w:hideMark/>
          </w:tcPr>
          <w:p w14:paraId="29AD05DB"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1,2</w:t>
            </w:r>
          </w:p>
        </w:tc>
        <w:tc>
          <w:tcPr>
            <w:tcW w:w="619" w:type="dxa"/>
            <w:tcBorders>
              <w:top w:val="nil"/>
              <w:left w:val="nil"/>
              <w:bottom w:val="single" w:sz="4" w:space="0" w:color="auto"/>
              <w:right w:val="single" w:sz="4" w:space="0" w:color="auto"/>
            </w:tcBorders>
            <w:shd w:val="clear" w:color="auto" w:fill="auto"/>
            <w:noWrap/>
            <w:vAlign w:val="bottom"/>
            <w:hideMark/>
          </w:tcPr>
          <w:p w14:paraId="6DC66FBC"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0,5</w:t>
            </w:r>
          </w:p>
        </w:tc>
        <w:tc>
          <w:tcPr>
            <w:tcW w:w="618" w:type="dxa"/>
            <w:tcBorders>
              <w:top w:val="nil"/>
              <w:left w:val="nil"/>
              <w:bottom w:val="single" w:sz="4" w:space="0" w:color="auto"/>
              <w:right w:val="single" w:sz="4" w:space="0" w:color="auto"/>
            </w:tcBorders>
            <w:shd w:val="clear" w:color="auto" w:fill="auto"/>
            <w:noWrap/>
            <w:vAlign w:val="bottom"/>
            <w:hideMark/>
          </w:tcPr>
          <w:p w14:paraId="70B97395"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0,6</w:t>
            </w:r>
          </w:p>
        </w:tc>
        <w:tc>
          <w:tcPr>
            <w:tcW w:w="619" w:type="dxa"/>
            <w:tcBorders>
              <w:top w:val="nil"/>
              <w:left w:val="nil"/>
              <w:bottom w:val="single" w:sz="4" w:space="0" w:color="auto"/>
              <w:right w:val="single" w:sz="4" w:space="0" w:color="auto"/>
            </w:tcBorders>
            <w:shd w:val="clear" w:color="auto" w:fill="auto"/>
            <w:noWrap/>
            <w:vAlign w:val="bottom"/>
            <w:hideMark/>
          </w:tcPr>
          <w:p w14:paraId="159417BD"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0,0</w:t>
            </w:r>
          </w:p>
        </w:tc>
        <w:tc>
          <w:tcPr>
            <w:tcW w:w="618" w:type="dxa"/>
            <w:tcBorders>
              <w:top w:val="nil"/>
              <w:left w:val="nil"/>
              <w:bottom w:val="single" w:sz="4" w:space="0" w:color="auto"/>
              <w:right w:val="single" w:sz="4" w:space="0" w:color="auto"/>
            </w:tcBorders>
            <w:shd w:val="clear" w:color="auto" w:fill="auto"/>
            <w:noWrap/>
            <w:vAlign w:val="bottom"/>
            <w:hideMark/>
          </w:tcPr>
          <w:p w14:paraId="6D5F63D5"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0,4</w:t>
            </w:r>
          </w:p>
        </w:tc>
        <w:tc>
          <w:tcPr>
            <w:tcW w:w="619" w:type="dxa"/>
            <w:tcBorders>
              <w:top w:val="nil"/>
              <w:left w:val="nil"/>
              <w:bottom w:val="single" w:sz="4" w:space="0" w:color="auto"/>
              <w:right w:val="single" w:sz="4" w:space="0" w:color="auto"/>
            </w:tcBorders>
            <w:shd w:val="clear" w:color="auto" w:fill="auto"/>
            <w:noWrap/>
            <w:vAlign w:val="bottom"/>
            <w:hideMark/>
          </w:tcPr>
          <w:p w14:paraId="7F85C8BA"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-0,2</w:t>
            </w:r>
          </w:p>
        </w:tc>
        <w:tc>
          <w:tcPr>
            <w:tcW w:w="618" w:type="dxa"/>
            <w:tcBorders>
              <w:top w:val="nil"/>
              <w:left w:val="nil"/>
              <w:bottom w:val="single" w:sz="4" w:space="0" w:color="auto"/>
              <w:right w:val="single" w:sz="4" w:space="0" w:color="auto"/>
            </w:tcBorders>
            <w:shd w:val="clear" w:color="auto" w:fill="auto"/>
            <w:noWrap/>
            <w:vAlign w:val="bottom"/>
            <w:hideMark/>
          </w:tcPr>
          <w:p w14:paraId="4A728C91"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-0,5</w:t>
            </w:r>
          </w:p>
        </w:tc>
        <w:tc>
          <w:tcPr>
            <w:tcW w:w="619" w:type="dxa"/>
            <w:tcBorders>
              <w:top w:val="nil"/>
              <w:left w:val="nil"/>
              <w:bottom w:val="single" w:sz="4" w:space="0" w:color="auto"/>
              <w:right w:val="single" w:sz="4" w:space="0" w:color="auto"/>
            </w:tcBorders>
            <w:shd w:val="clear" w:color="auto" w:fill="auto"/>
            <w:noWrap/>
            <w:vAlign w:val="bottom"/>
            <w:hideMark/>
          </w:tcPr>
          <w:p w14:paraId="27878067"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-0,9</w:t>
            </w:r>
          </w:p>
        </w:tc>
        <w:tc>
          <w:tcPr>
            <w:tcW w:w="619" w:type="dxa"/>
            <w:tcBorders>
              <w:top w:val="nil"/>
              <w:left w:val="nil"/>
              <w:bottom w:val="single" w:sz="4" w:space="0" w:color="auto"/>
              <w:right w:val="single" w:sz="4" w:space="0" w:color="auto"/>
            </w:tcBorders>
            <w:shd w:val="clear" w:color="auto" w:fill="auto"/>
            <w:noWrap/>
            <w:vAlign w:val="bottom"/>
            <w:hideMark/>
          </w:tcPr>
          <w:p w14:paraId="1455AE36"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-1,2</w:t>
            </w:r>
          </w:p>
        </w:tc>
        <w:tc>
          <w:tcPr>
            <w:tcW w:w="1185" w:type="dxa"/>
            <w:tcBorders>
              <w:top w:val="nil"/>
              <w:left w:val="nil"/>
              <w:bottom w:val="single" w:sz="4" w:space="0" w:color="auto"/>
              <w:right w:val="single" w:sz="4" w:space="0" w:color="auto"/>
            </w:tcBorders>
            <w:shd w:val="clear" w:color="auto" w:fill="auto"/>
            <w:noWrap/>
            <w:vAlign w:val="bottom"/>
            <w:hideMark/>
          </w:tcPr>
          <w:p w14:paraId="36090956"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0,1</w:t>
            </w:r>
          </w:p>
        </w:tc>
      </w:tr>
    </w:tbl>
    <w:p w14:paraId="13DEA0B2" w14:textId="77777777" w:rsidR="009E0216" w:rsidRPr="00A52F41" w:rsidRDefault="009E0216" w:rsidP="00EA2E4C">
      <w:pPr>
        <w:pStyle w:val="tevilnatoka"/>
        <w:numPr>
          <w:ilvl w:val="0"/>
          <w:numId w:val="0"/>
        </w:numPr>
        <w:spacing w:line="360" w:lineRule="auto"/>
        <w:rPr>
          <w:sz w:val="16"/>
          <w:szCs w:val="16"/>
        </w:rPr>
      </w:pPr>
      <w:r w:rsidRPr="00A52F41">
        <w:rPr>
          <w:sz w:val="16"/>
          <w:szCs w:val="16"/>
        </w:rPr>
        <w:t>Vir: SURS, lastni preračuni</w:t>
      </w:r>
    </w:p>
    <w:p w14:paraId="253B65E2" w14:textId="77777777" w:rsidR="00A52F41" w:rsidRPr="00A417A4" w:rsidRDefault="00A52F41" w:rsidP="00A417A4">
      <w:pPr>
        <w:pStyle w:val="SCslika"/>
        <w:keepNext/>
        <w:keepLines/>
      </w:pPr>
      <w:r w:rsidRPr="00A417A4">
        <w:lastRenderedPageBreak/>
        <w:t xml:space="preserve">Slika 4: Naravni in selitveni prirast po letih </w:t>
      </w:r>
    </w:p>
    <w:p w14:paraId="72C057EE" w14:textId="66F9545E" w:rsidR="009E0216" w:rsidRPr="00A52F41" w:rsidRDefault="009E0216" w:rsidP="00CC31C9">
      <w:pPr>
        <w:pStyle w:val="Napis"/>
        <w:spacing w:line="240" w:lineRule="auto"/>
        <w:jc w:val="both"/>
        <w:rPr>
          <w:sz w:val="20"/>
          <w:szCs w:val="20"/>
        </w:rPr>
      </w:pPr>
      <w:r w:rsidRPr="00A52F41">
        <w:rPr>
          <w:noProof/>
          <w:sz w:val="20"/>
          <w:szCs w:val="20"/>
          <w:lang w:eastAsia="sl-SI"/>
        </w:rPr>
        <w:drawing>
          <wp:inline distT="0" distB="0" distL="0" distR="0" wp14:anchorId="271683BD" wp14:editId="49485209">
            <wp:extent cx="5753735" cy="3131388"/>
            <wp:effectExtent l="0" t="0" r="18415" b="12065"/>
            <wp:docPr id="1631865555" name="Grafikon 1631865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FA3494" w14:textId="77777777" w:rsidR="009E0216" w:rsidRPr="00A52F41" w:rsidRDefault="00A52F41" w:rsidP="00CC31C9">
      <w:pPr>
        <w:pStyle w:val="Napis"/>
        <w:spacing w:before="0" w:after="200" w:line="240" w:lineRule="auto"/>
        <w:jc w:val="both"/>
        <w:rPr>
          <w:b/>
          <w:i/>
        </w:rPr>
      </w:pPr>
      <w:bookmarkStart w:id="12" w:name="_Toc47082362"/>
      <w:bookmarkStart w:id="13" w:name="_Toc47092603"/>
      <w:r w:rsidRPr="00A52F41">
        <w:t>Vir: SURS, lastni preračuni</w:t>
      </w:r>
    </w:p>
    <w:bookmarkEnd w:id="12"/>
    <w:bookmarkEnd w:id="13"/>
    <w:p w14:paraId="34BFF9FE" w14:textId="77777777"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 xml:space="preserve">Na staranje prebivalstva v Sloveniji in na podeželju kažejo tudi naslednji kazalniki. Kazalnik povprečna starost prebivalstva od leta 2008 do leta 2019 se je dvignil iz 41,2 na 43,4 let v Sloveniji, na podeželju je razlika še večja, iz 40,7 leta 2008 na 43,7 let leta 2018. V letu 2019 je bil indeks staranja na podeželju je bil 137,2, kar je več od slovenskega povprečja (132,9). </w:t>
      </w:r>
    </w:p>
    <w:p w14:paraId="43E65226" w14:textId="096F1960"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 xml:space="preserve">Koeficient starostne odvisnosti, ki pove koliko otrok (do 14 let) in starejših prebivalcev (nad 65 let) je odvisnih od 100 delovno sposobnih, se povečuje. To pomeni, da je čedalje več starih nad 65 let odvisnih od delovno sposobnih prebivalcev. V letu 2019 je koeficient starostne odvisnosti znašal 53,7, koeficient starostne odvisnosti mladih je bil 23,2, koeficient starostne odvisnosti starih pa 30,5 </w:t>
      </w:r>
      <w:r w:rsidRPr="00F25C63">
        <w:rPr>
          <w:rFonts w:ascii="Arial" w:hAnsi="Arial" w:cs="Arial"/>
          <w:sz w:val="20"/>
          <w:szCs w:val="20"/>
        </w:rPr>
        <w:t>(</w:t>
      </w:r>
      <w:r w:rsidRPr="00F25C63">
        <w:rPr>
          <w:rFonts w:ascii="Arial" w:hAnsi="Arial" w:cs="Arial"/>
          <w:sz w:val="20"/>
          <w:szCs w:val="20"/>
        </w:rPr>
        <w:fldChar w:fldCharType="begin"/>
      </w:r>
      <w:r w:rsidRPr="00F25C63">
        <w:rPr>
          <w:rFonts w:ascii="Arial" w:hAnsi="Arial" w:cs="Arial"/>
          <w:sz w:val="20"/>
          <w:szCs w:val="20"/>
        </w:rPr>
        <w:instrText xml:space="preserve"> REF _Ref30071427  \* MERGEFORMAT </w:instrText>
      </w:r>
      <w:r w:rsidRPr="00F25C63">
        <w:rPr>
          <w:rFonts w:ascii="Arial" w:hAnsi="Arial" w:cs="Arial"/>
          <w:sz w:val="20"/>
          <w:szCs w:val="20"/>
        </w:rPr>
        <w:fldChar w:fldCharType="separate"/>
      </w:r>
      <w:r w:rsidR="00CF4E86" w:rsidRPr="00CF4E86">
        <w:rPr>
          <w:rFonts w:ascii="Arial" w:hAnsi="Arial" w:cs="Arial"/>
          <w:sz w:val="20"/>
          <w:szCs w:val="20"/>
        </w:rPr>
        <w:t xml:space="preserve">Slika </w:t>
      </w:r>
      <w:r w:rsidRPr="00F25C63">
        <w:rPr>
          <w:rFonts w:ascii="Arial" w:hAnsi="Arial" w:cs="Arial"/>
          <w:sz w:val="20"/>
          <w:szCs w:val="20"/>
        </w:rPr>
        <w:fldChar w:fldCharType="end"/>
      </w:r>
      <w:r w:rsidRPr="00A52F41">
        <w:rPr>
          <w:rFonts w:ascii="Arial" w:hAnsi="Arial" w:cs="Arial"/>
          <w:sz w:val="20"/>
          <w:szCs w:val="20"/>
        </w:rPr>
        <w:t>; SURS, 2020).</w:t>
      </w:r>
    </w:p>
    <w:p w14:paraId="75EA6394" w14:textId="77777777" w:rsidR="00A52F41" w:rsidRPr="00A417A4" w:rsidRDefault="00A52F41" w:rsidP="00A417A4">
      <w:pPr>
        <w:pStyle w:val="SCslika"/>
        <w:keepNext/>
        <w:keepLines/>
      </w:pPr>
      <w:bookmarkStart w:id="14" w:name="_Ref30071427"/>
      <w:bookmarkStart w:id="15" w:name="_Ref46742423"/>
      <w:bookmarkStart w:id="16" w:name="_Ref47085432"/>
      <w:bookmarkStart w:id="17" w:name="_Toc47082363"/>
      <w:bookmarkStart w:id="18" w:name="_Toc47092604"/>
      <w:r w:rsidRPr="00A417A4">
        <w:lastRenderedPageBreak/>
        <w:t xml:space="preserve">Slika </w:t>
      </w:r>
      <w:bookmarkEnd w:id="14"/>
      <w:bookmarkEnd w:id="15"/>
      <w:bookmarkEnd w:id="16"/>
      <w:r w:rsidRPr="00A417A4">
        <w:t xml:space="preserve">5: Koeficient starostne odvisnosti </w:t>
      </w:r>
      <w:bookmarkEnd w:id="17"/>
      <w:bookmarkEnd w:id="18"/>
    </w:p>
    <w:p w14:paraId="3BFB148F" w14:textId="33550166" w:rsidR="009E0216" w:rsidRPr="00A52F41" w:rsidRDefault="009E0216" w:rsidP="00661628">
      <w:pPr>
        <w:autoSpaceDE w:val="0"/>
        <w:autoSpaceDN w:val="0"/>
        <w:adjustRightInd w:val="0"/>
        <w:spacing w:after="0" w:line="24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1D9CE9BE" wp14:editId="76800D11">
            <wp:extent cx="5451475" cy="2907102"/>
            <wp:effectExtent l="0" t="0" r="15875" b="7620"/>
            <wp:docPr id="23"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508C17" w14:textId="77777777" w:rsidR="009E0216" w:rsidRPr="00A52F41" w:rsidRDefault="00A52F41" w:rsidP="00EA2E4C">
      <w:pPr>
        <w:keepNext/>
        <w:autoSpaceDE w:val="0"/>
        <w:autoSpaceDN w:val="0"/>
        <w:adjustRightInd w:val="0"/>
        <w:spacing w:line="360" w:lineRule="auto"/>
        <w:jc w:val="both"/>
        <w:rPr>
          <w:rFonts w:ascii="Arial" w:hAnsi="Arial" w:cs="Arial"/>
          <w:sz w:val="16"/>
          <w:szCs w:val="16"/>
        </w:rPr>
      </w:pPr>
      <w:r w:rsidRPr="00A52F41">
        <w:rPr>
          <w:rFonts w:ascii="Arial" w:hAnsi="Arial" w:cs="Arial"/>
          <w:sz w:val="16"/>
          <w:szCs w:val="16"/>
        </w:rPr>
        <w:t>Vir: SURS</w:t>
      </w:r>
    </w:p>
    <w:p w14:paraId="7D161809" w14:textId="77777777"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Socialnoekonomska analiza demografsko-naselbinskih tipov (Nared, 2019) glede na število prebivalcev in opremljenost občinskih središč s centralnimi funkcijami loči občine na: podeželske (t. i. ruralne) občine s padajočim številom prebivalstva, podeželske (t. i. ruralne) občine z rastočim številom prebivalcev, urbanizirane (t. i. urbane) občine s padajočim številom prebivalcev ter urbanizirane (t. i. urbane) občine z rastočim številom prebivalcev (Nared, 2019), ki so razvidne iz </w:t>
      </w:r>
      <w:r w:rsidRPr="00450FE6">
        <w:rPr>
          <w:rFonts w:ascii="Arial" w:hAnsi="Arial" w:cs="Arial"/>
          <w:sz w:val="20"/>
          <w:szCs w:val="20"/>
        </w:rPr>
        <w:t xml:space="preserve">Slike </w:t>
      </w:r>
      <w:r w:rsidRPr="00F25C63">
        <w:rPr>
          <w:rFonts w:ascii="Arial" w:hAnsi="Arial" w:cs="Arial"/>
          <w:sz w:val="20"/>
          <w:szCs w:val="20"/>
        </w:rPr>
        <w:t>7</w:t>
      </w:r>
      <w:r w:rsidR="00A52F41">
        <w:rPr>
          <w:rFonts w:ascii="Arial" w:hAnsi="Arial" w:cs="Arial"/>
          <w:sz w:val="20"/>
          <w:szCs w:val="20"/>
        </w:rPr>
        <w:t>.</w:t>
      </w:r>
    </w:p>
    <w:p w14:paraId="53A5076E" w14:textId="45A0801C"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Iz spodnje </w:t>
      </w:r>
      <w:r w:rsidR="008E6C7E">
        <w:rPr>
          <w:rFonts w:ascii="Arial" w:hAnsi="Arial" w:cs="Arial"/>
          <w:sz w:val="20"/>
          <w:szCs w:val="20"/>
        </w:rPr>
        <w:t>tabele</w:t>
      </w:r>
      <w:r w:rsidRPr="00A52F41">
        <w:rPr>
          <w:rFonts w:ascii="Arial" w:hAnsi="Arial" w:cs="Arial"/>
          <w:sz w:val="20"/>
          <w:szCs w:val="20"/>
        </w:rPr>
        <w:t xml:space="preserve"> so razvidni kazalniki, ki so bili up</w:t>
      </w:r>
      <w:r w:rsidR="00A52F41">
        <w:rPr>
          <w:rFonts w:ascii="Arial" w:hAnsi="Arial" w:cs="Arial"/>
          <w:sz w:val="20"/>
          <w:szCs w:val="20"/>
        </w:rPr>
        <w:t>oštevani v analizi.</w:t>
      </w:r>
    </w:p>
    <w:p w14:paraId="7D1AF208" w14:textId="77777777" w:rsidR="009E0216" w:rsidRPr="00A417A4" w:rsidRDefault="009E0216" w:rsidP="00F25C63">
      <w:pPr>
        <w:pStyle w:val="SCslika"/>
        <w:keepNext/>
        <w:keepLines/>
        <w:spacing w:before="200"/>
      </w:pPr>
      <w:bookmarkStart w:id="19" w:name="_Toc47092635"/>
      <w:r w:rsidRPr="00A417A4">
        <w:lastRenderedPageBreak/>
        <w:drawing>
          <wp:anchor distT="0" distB="0" distL="114300" distR="114300" simplePos="0" relativeHeight="251662336" behindDoc="0" locked="0" layoutInCell="1" allowOverlap="1" wp14:anchorId="04C68DD3" wp14:editId="2982314D">
            <wp:simplePos x="0" y="0"/>
            <wp:positionH relativeFrom="column">
              <wp:posOffset>-14605</wp:posOffset>
            </wp:positionH>
            <wp:positionV relativeFrom="paragraph">
              <wp:posOffset>236220</wp:posOffset>
            </wp:positionV>
            <wp:extent cx="6294120" cy="7049135"/>
            <wp:effectExtent l="0" t="0" r="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1258" t="11384" r="31893" b="12786"/>
                    <a:stretch/>
                  </pic:blipFill>
                  <pic:spPr bwMode="auto">
                    <a:xfrm>
                      <a:off x="0" y="0"/>
                      <a:ext cx="6294120" cy="7049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0F81" w:rsidRPr="00A417A4">
        <w:t>Tabela</w:t>
      </w:r>
      <w:r w:rsidR="00A52F41" w:rsidRPr="00A417A4">
        <w:t xml:space="preserve"> 6</w:t>
      </w:r>
      <w:r w:rsidRPr="00A417A4">
        <w:t>: Izbrani socioekonomski in demografski kazalniki po demografsko naselbinskih tipih</w:t>
      </w:r>
      <w:bookmarkEnd w:id="19"/>
    </w:p>
    <w:p w14:paraId="0DC40C67" w14:textId="77777777" w:rsidR="009E0216" w:rsidRPr="00A52F41" w:rsidRDefault="009E0216" w:rsidP="006937CD">
      <w:pPr>
        <w:spacing w:before="200" w:line="360" w:lineRule="auto"/>
        <w:jc w:val="both"/>
        <w:rPr>
          <w:rFonts w:ascii="Arial" w:hAnsi="Arial" w:cs="Arial"/>
          <w:sz w:val="20"/>
          <w:szCs w:val="20"/>
        </w:rPr>
      </w:pPr>
      <w:r w:rsidRPr="00A52F41">
        <w:rPr>
          <w:rFonts w:ascii="Arial" w:hAnsi="Arial" w:cs="Arial"/>
          <w:b/>
          <w:sz w:val="20"/>
          <w:szCs w:val="20"/>
        </w:rPr>
        <w:t>Podeželske občine z rastočim številom prebivalcev</w:t>
      </w:r>
      <w:r w:rsidRPr="00A52F41">
        <w:rPr>
          <w:rFonts w:ascii="Arial" w:hAnsi="Arial" w:cs="Arial"/>
          <w:sz w:val="20"/>
          <w:szCs w:val="20"/>
        </w:rPr>
        <w:t xml:space="preserve"> (61 občin) predstavljajo le 14 % celotnega prebivalstva Slovenije. Število prebivalcev v teh območjih narašča zlasti na račun priselitev. Posledica pozitivnih demografskih procesov je močno podpovprečen indeks starosti. V primerjavi s slovenskim povprečjem v teh občinah živi manj ljudi z visokošolsko ali višješolsko izobrazbo, medtem kot je takih, ki imajo dokončano le osnovno šolo ali manj, več kot 21 %. V primerjavi z državnim povprečjem je moč opaziti manjše število podjetij in večji delež kmečkega prebivalstva. Iz teh občin je več kot 77 % delovnih </w:t>
      </w:r>
      <w:r w:rsidRPr="00A52F41">
        <w:rPr>
          <w:rFonts w:ascii="Arial" w:hAnsi="Arial" w:cs="Arial"/>
          <w:sz w:val="20"/>
          <w:szCs w:val="20"/>
        </w:rPr>
        <w:lastRenderedPageBreak/>
        <w:t>migrantov, kar kaže na to, da so te občine pretežno spalnega tipa. Registrirana stopnja brezposelnosti v teh občinah je najnižja.</w:t>
      </w:r>
    </w:p>
    <w:p w14:paraId="351C89AF" w14:textId="192EADAE" w:rsidR="009E0216" w:rsidRPr="00A52F41" w:rsidRDefault="009E0216" w:rsidP="00EA2E4C">
      <w:pPr>
        <w:spacing w:line="360" w:lineRule="auto"/>
        <w:jc w:val="both"/>
        <w:rPr>
          <w:rFonts w:ascii="Arial" w:hAnsi="Arial" w:cs="Arial"/>
          <w:sz w:val="20"/>
          <w:szCs w:val="20"/>
        </w:rPr>
      </w:pPr>
      <w:r w:rsidRPr="00A52F41">
        <w:rPr>
          <w:rFonts w:ascii="Arial" w:hAnsi="Arial" w:cs="Arial"/>
          <w:b/>
          <w:sz w:val="20"/>
          <w:szCs w:val="20"/>
        </w:rPr>
        <w:t>Podeželske občine s padajočim številom prebivalcev</w:t>
      </w:r>
      <w:r w:rsidRPr="00A52F41">
        <w:rPr>
          <w:rFonts w:ascii="Arial" w:hAnsi="Arial" w:cs="Arial"/>
          <w:sz w:val="20"/>
          <w:szCs w:val="20"/>
        </w:rPr>
        <w:t xml:space="preserve"> izstopajo po številu in po največjem deležu ozemlja, ki ga zavzemajo (82 občin, 13 % prebivalstva) in so zaradi številnih negativnih kazalnikov najbolj zaskrbljujoč tip. Občine v tem tipu so najredkeje poseljene, gostota pa se je zaradi zmanjševanja števila prebivalcev na račun negativnega naravnega prirastka in odseljevanja še zmanjšala. Indeks starosti je visok, z vidika razvoja pa je neobetavna tudi izobrazbena struktura, saj je število ljudi z osnovnošolsko izobrazbo ali manj skoraj dvakrat tolikšno, kot število ljudi z višjo in visokošolsko izobrazbo. To so občine s šibko gospodarsko strukturo, najnižjo dodano vrednostjo ter z izjemno šibko naložbeno dinamiko. Več kot četrtina stanovanj v tem tipu občin je praznih, slaba pa je tudi njihova prometna dostopnost. Največ takšnih občin je v pomurski, podravski in koroški statistični regiji.</w:t>
      </w:r>
    </w:p>
    <w:p w14:paraId="22DAD63E" w14:textId="2EC9BABD" w:rsidR="009E0216" w:rsidRPr="00A52F41" w:rsidRDefault="009E0216" w:rsidP="00EA2E4C">
      <w:pPr>
        <w:spacing w:line="360" w:lineRule="auto"/>
        <w:jc w:val="both"/>
        <w:rPr>
          <w:rFonts w:ascii="Arial" w:hAnsi="Arial" w:cs="Arial"/>
          <w:b/>
          <w:bCs/>
          <w:sz w:val="20"/>
          <w:szCs w:val="20"/>
        </w:rPr>
      </w:pPr>
      <w:r w:rsidRPr="00A52F41">
        <w:rPr>
          <w:rFonts w:ascii="Arial" w:hAnsi="Arial" w:cs="Arial"/>
          <w:b/>
          <w:bCs/>
          <w:sz w:val="20"/>
          <w:szCs w:val="20"/>
        </w:rPr>
        <w:t xml:space="preserve">Urbanizirane občine z rastočim številom prebivalcev, </w:t>
      </w:r>
      <w:r w:rsidRPr="00A52F41">
        <w:rPr>
          <w:rFonts w:ascii="Arial" w:hAnsi="Arial" w:cs="Arial"/>
          <w:sz w:val="20"/>
          <w:szCs w:val="20"/>
        </w:rPr>
        <w:t>teh je 34, so z demografskega vidika najpropulzivnejše občine z visoko nadpovprečno gostoto poselitve (187,9 prebivalca/km</w:t>
      </w:r>
      <w:r w:rsidRPr="00A52F41">
        <w:rPr>
          <w:rFonts w:ascii="Arial" w:hAnsi="Arial" w:cs="Arial"/>
          <w:sz w:val="20"/>
          <w:szCs w:val="20"/>
          <w:vertAlign w:val="superscript"/>
        </w:rPr>
        <w:t>2</w:t>
      </w:r>
      <w:r w:rsidRPr="00A52F41">
        <w:rPr>
          <w:rFonts w:ascii="Arial" w:hAnsi="Arial" w:cs="Arial"/>
          <w:sz w:val="20"/>
          <w:szCs w:val="20"/>
        </w:rPr>
        <w:t>), ter dobro prometno povezanostjo, saj je tu cestno omrežje z 1,73 km/km</w:t>
      </w:r>
      <w:r w:rsidRPr="00A52F41">
        <w:rPr>
          <w:rFonts w:ascii="Arial" w:hAnsi="Arial" w:cs="Arial"/>
          <w:sz w:val="20"/>
          <w:szCs w:val="20"/>
          <w:vertAlign w:val="superscript"/>
        </w:rPr>
        <w:t>2</w:t>
      </w:r>
      <w:r w:rsidRPr="00A52F41">
        <w:rPr>
          <w:rFonts w:ascii="Arial" w:hAnsi="Arial" w:cs="Arial"/>
          <w:sz w:val="20"/>
          <w:szCs w:val="20"/>
        </w:rPr>
        <w:t xml:space="preserve"> najgostejše v državi. Obsegajo 43 % prebivalcev Slovenije. To je edini tip občin, v katerem sta pozitivna tako naravni kot selitveni prirast, pri čemer gre slednji na račun meddržavnih selitev. Selitveni prirast med občinami pa je negativen. Prebivalstvo teh občin je nadpovprečno izobraženo, kar je poleg njihove gospodarske moči eden od vzrokov za nadpovprečno visoke neto plače ter visoko bruto osnovo za dohodnino. Na njihovo gospodarsko moč kažejo 50,7 % vseh podjetij v državi, višina naložb v osnovna sredstva (več kot 62 % vseh naložb v osnovna sredstva), najvišja dodana vrednost gospodarskih družb na zaposlenega, so pa tudi pomembna zaposlitvena središča (indeks delovne migracije je 116,6), kamor se vozijo na delo prebivalci okoliških občin. </w:t>
      </w:r>
    </w:p>
    <w:p w14:paraId="4059CFEE" w14:textId="77777777" w:rsidR="009E0216" w:rsidRPr="00A52F41" w:rsidRDefault="009E0216" w:rsidP="00EA2E4C">
      <w:pPr>
        <w:autoSpaceDE w:val="0"/>
        <w:autoSpaceDN w:val="0"/>
        <w:adjustRightInd w:val="0"/>
        <w:spacing w:line="360" w:lineRule="auto"/>
        <w:jc w:val="both"/>
        <w:rPr>
          <w:rFonts w:ascii="Arial" w:hAnsi="Arial" w:cs="Arial"/>
          <w:b/>
          <w:bCs/>
          <w:sz w:val="20"/>
          <w:szCs w:val="20"/>
        </w:rPr>
      </w:pPr>
      <w:r w:rsidRPr="00A52F41">
        <w:rPr>
          <w:rFonts w:ascii="Arial" w:hAnsi="Arial" w:cs="Arial"/>
          <w:b/>
          <w:bCs/>
          <w:sz w:val="20"/>
          <w:szCs w:val="20"/>
        </w:rPr>
        <w:t xml:space="preserve">Urbanizirane občine s padajočim številom prebivalcev </w:t>
      </w:r>
      <w:r w:rsidRPr="00A52F41">
        <w:rPr>
          <w:rFonts w:ascii="Arial" w:hAnsi="Arial" w:cs="Arial"/>
          <w:sz w:val="20"/>
          <w:szCs w:val="20"/>
        </w:rPr>
        <w:t>zajemajo 35 občin oz. 30 % prebivalcev Slovenije. Gostota prebivalstva je nad slovenskim povprečjem, 110 prebivalcev/km</w:t>
      </w:r>
      <w:r w:rsidRPr="00A52F41">
        <w:rPr>
          <w:rFonts w:ascii="Arial" w:hAnsi="Arial" w:cs="Arial"/>
          <w:sz w:val="20"/>
          <w:szCs w:val="20"/>
          <w:vertAlign w:val="superscript"/>
        </w:rPr>
        <w:t>2</w:t>
      </w:r>
      <w:r w:rsidRPr="00A52F41">
        <w:rPr>
          <w:rFonts w:ascii="Arial" w:hAnsi="Arial" w:cs="Arial"/>
          <w:sz w:val="20"/>
          <w:szCs w:val="20"/>
        </w:rPr>
        <w:t>.</w:t>
      </w:r>
      <w:r w:rsidRPr="00A52F41">
        <w:rPr>
          <w:rFonts w:ascii="Arial" w:hAnsi="Arial" w:cs="Arial"/>
          <w:sz w:val="20"/>
          <w:szCs w:val="20"/>
          <w:vertAlign w:val="superscript"/>
        </w:rPr>
        <w:t xml:space="preserve"> </w:t>
      </w:r>
      <w:r w:rsidRPr="00A52F41">
        <w:rPr>
          <w:rFonts w:ascii="Arial" w:hAnsi="Arial" w:cs="Arial"/>
          <w:sz w:val="20"/>
          <w:szCs w:val="20"/>
        </w:rPr>
        <w:t xml:space="preserve">Neugodna demografska slika se kaže v negativnem naravnem in selitvenem prirastu. V teh občinah je najvišji indeks starosti. Negativno demografsko sliko dopolnjujeta podpovprečen delež prebivalcev z višjo in visokošolsko izobrazbo ter nadpovprečen delež prebivalcev z dokončano osnovno šolo ali manj. Povprečne mesečne plače so pod slovenskim povprečjem, kljub temu pa gre za pomembna zaposlitvena središča. V njih je bilo leta 2016 prijavljenih nekaj manj kot 28 % vseh podjetij v državi. Kljub temu je registrirana stopnja brezposelnosti nadpovprečno visoka oziroma najvišja v primerjavi z ostalimi tipi občin. </w:t>
      </w:r>
    </w:p>
    <w:p w14:paraId="508ABB45" w14:textId="77777777" w:rsidR="00A52F41" w:rsidRPr="00A417A4" w:rsidRDefault="00A52F41" w:rsidP="00A417A4">
      <w:pPr>
        <w:pStyle w:val="SCslika"/>
        <w:keepNext/>
        <w:keepLines/>
      </w:pPr>
      <w:bookmarkStart w:id="20" w:name="_Toc47082365"/>
      <w:bookmarkStart w:id="21" w:name="_Toc47092606"/>
      <w:r w:rsidRPr="00A417A4">
        <w:lastRenderedPageBreak/>
        <w:t>Slika 6: Območja glede na gibanje števila prebivalstva in projekcije</w:t>
      </w:r>
      <w:bookmarkEnd w:id="20"/>
      <w:bookmarkEnd w:id="21"/>
    </w:p>
    <w:p w14:paraId="753F2FCA" w14:textId="1DDDC52A" w:rsidR="009E0216" w:rsidRPr="00A52F41" w:rsidRDefault="009E0216" w:rsidP="00DE643D">
      <w:pPr>
        <w:pStyle w:val="Napis"/>
        <w:spacing w:line="240" w:lineRule="auto"/>
        <w:jc w:val="both"/>
        <w:rPr>
          <w:sz w:val="20"/>
          <w:szCs w:val="20"/>
        </w:rPr>
      </w:pPr>
      <w:r w:rsidRPr="00A52F41">
        <w:rPr>
          <w:noProof/>
          <w:sz w:val="20"/>
          <w:szCs w:val="20"/>
          <w:lang w:eastAsia="sl-SI"/>
        </w:rPr>
        <w:drawing>
          <wp:inline distT="0" distB="0" distL="0" distR="0" wp14:anchorId="149AC217" wp14:editId="214E0BFE">
            <wp:extent cx="4970037" cy="2826385"/>
            <wp:effectExtent l="19050" t="19050" r="21590" b="1206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413" t="25818" r="25540" b="23561"/>
                    <a:stretch/>
                  </pic:blipFill>
                  <pic:spPr bwMode="auto">
                    <a:xfrm>
                      <a:off x="0" y="0"/>
                      <a:ext cx="4988138" cy="283667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4193D8A" w14:textId="77777777" w:rsidR="009E0216" w:rsidRPr="00A52F41" w:rsidRDefault="00A52F41" w:rsidP="0059016E">
      <w:pPr>
        <w:spacing w:line="360" w:lineRule="auto"/>
        <w:jc w:val="both"/>
        <w:rPr>
          <w:rFonts w:ascii="Arial" w:hAnsi="Arial" w:cs="Arial"/>
          <w:iCs/>
          <w:sz w:val="16"/>
          <w:szCs w:val="16"/>
        </w:rPr>
      </w:pPr>
      <w:r w:rsidRPr="00A52F41">
        <w:rPr>
          <w:rFonts w:ascii="Arial" w:hAnsi="Arial" w:cs="Arial"/>
          <w:iCs/>
          <w:sz w:val="16"/>
          <w:szCs w:val="16"/>
        </w:rPr>
        <w:t>Vir: Nared, 2019</w:t>
      </w:r>
    </w:p>
    <w:p w14:paraId="275A9301" w14:textId="00E18BD4" w:rsidR="00EA2E4C"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Na podlagi analiz je bilo narejenih tudi več projekcij, ki kažejo, da bo slovensko prebivalstvo v obdobju 2018-2038 upadlo za okrog 3 </w:t>
      </w:r>
      <w:r w:rsidRPr="00F25C63">
        <w:rPr>
          <w:rFonts w:ascii="Arial" w:hAnsi="Arial" w:cs="Arial"/>
          <w:sz w:val="20"/>
          <w:szCs w:val="20"/>
        </w:rPr>
        <w:t>% (Slika 6). V</w:t>
      </w:r>
      <w:r w:rsidRPr="00A52F41">
        <w:rPr>
          <w:rFonts w:ascii="Arial" w:hAnsi="Arial" w:cs="Arial"/>
          <w:sz w:val="20"/>
          <w:szCs w:val="20"/>
        </w:rPr>
        <w:t xml:space="preserve"> vseh tipih občin se bo povišal indeks starosti, kar je posledica nizke rodnosti v Sloveniji. Projekcije prebivalstva v vseh tipih občin kažejo, da se bo število prebivalcev hitro zmanjševalo, pri čemer se bo vsem tipom </w:t>
      </w:r>
      <w:r w:rsidR="00EA2E4C" w:rsidRPr="00A52F41">
        <w:rPr>
          <w:rFonts w:ascii="Arial" w:hAnsi="Arial" w:cs="Arial"/>
          <w:sz w:val="20"/>
          <w:szCs w:val="20"/>
        </w:rPr>
        <w:t>zmanjševal</w:t>
      </w:r>
      <w:r w:rsidRPr="00A52F41">
        <w:rPr>
          <w:rFonts w:ascii="Arial" w:hAnsi="Arial" w:cs="Arial"/>
          <w:sz w:val="20"/>
          <w:szCs w:val="20"/>
        </w:rPr>
        <w:t xml:space="preserve"> delež mladih do 24. leta starosti ter prebivalcev med 25. in 44. letom starosti, delež prebivalcev med 45 in 64 leti bo nihal, delež starejših od 64 let pa bo precej narasel (</w:t>
      </w:r>
      <w:r w:rsidRPr="00B26D91">
        <w:rPr>
          <w:rStyle w:val="Hiperpovezava"/>
          <w:rFonts w:ascii="Arial" w:hAnsi="Arial" w:cs="Arial"/>
          <w:color w:val="auto"/>
          <w:sz w:val="20"/>
          <w:szCs w:val="20"/>
          <w:u w:val="none"/>
        </w:rPr>
        <w:t>Nared</w:t>
      </w:r>
      <w:r w:rsidRPr="00B26D91">
        <w:rPr>
          <w:rFonts w:ascii="Arial" w:hAnsi="Arial" w:cs="Arial"/>
          <w:sz w:val="20"/>
          <w:szCs w:val="20"/>
        </w:rPr>
        <w:t xml:space="preserve">, </w:t>
      </w:r>
      <w:r w:rsidRPr="00A52F41">
        <w:rPr>
          <w:rFonts w:ascii="Arial" w:hAnsi="Arial" w:cs="Arial"/>
          <w:sz w:val="20"/>
          <w:szCs w:val="20"/>
        </w:rPr>
        <w:t>2019).</w:t>
      </w:r>
      <w:bookmarkStart w:id="22" w:name="_Toc47082366"/>
      <w:bookmarkStart w:id="23" w:name="_Toc47092607"/>
    </w:p>
    <w:p w14:paraId="58C645DC" w14:textId="77777777" w:rsidR="00A52F41" w:rsidRPr="00A417A4" w:rsidRDefault="00EA2E4C" w:rsidP="00A417A4">
      <w:pPr>
        <w:pStyle w:val="SCslika"/>
        <w:keepNext/>
        <w:keepLines/>
      </w:pPr>
      <w:r w:rsidRPr="00A417A4">
        <w:lastRenderedPageBreak/>
        <w:t>S</w:t>
      </w:r>
      <w:r w:rsidR="00A52F41" w:rsidRPr="00A417A4">
        <w:t>lika 7: Demografsko-naselbinski tipi</w:t>
      </w:r>
      <w:bookmarkEnd w:id="22"/>
      <w:bookmarkEnd w:id="23"/>
    </w:p>
    <w:p w14:paraId="4972E11D" w14:textId="06ADEE1F" w:rsidR="009E0216" w:rsidRDefault="009E0216" w:rsidP="00DE643D">
      <w:pPr>
        <w:spacing w:after="0" w:line="24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02CB99FA" wp14:editId="06BB9C59">
            <wp:extent cx="5716270" cy="3804130"/>
            <wp:effectExtent l="19050" t="19050" r="17780" b="25400"/>
            <wp:docPr id="17" name="Slika 17" descr="C:\Users\MARJET~1.JER\AppData\Local\Temp\notes19C6D8\Nare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ET~1.JER\AppData\Local\Temp\notes19C6D8\Nared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9084" cy="3825968"/>
                    </a:xfrm>
                    <a:prstGeom prst="rect">
                      <a:avLst/>
                    </a:prstGeom>
                    <a:noFill/>
                    <a:ln w="6350">
                      <a:solidFill>
                        <a:schemeClr val="tx1"/>
                      </a:solidFill>
                    </a:ln>
                  </pic:spPr>
                </pic:pic>
              </a:graphicData>
            </a:graphic>
          </wp:inline>
        </w:drawing>
      </w:r>
    </w:p>
    <w:p w14:paraId="5994CCB7" w14:textId="3E808E54" w:rsidR="00DE643D" w:rsidRPr="0059016E" w:rsidRDefault="00DE643D" w:rsidP="0059016E">
      <w:pPr>
        <w:spacing w:line="360" w:lineRule="auto"/>
        <w:jc w:val="both"/>
        <w:rPr>
          <w:rFonts w:ascii="Arial" w:hAnsi="Arial" w:cs="Arial"/>
          <w:sz w:val="16"/>
          <w:szCs w:val="16"/>
        </w:rPr>
      </w:pPr>
      <w:r w:rsidRPr="0059016E">
        <w:rPr>
          <w:rFonts w:ascii="Arial" w:hAnsi="Arial" w:cs="Arial"/>
          <w:sz w:val="16"/>
          <w:szCs w:val="16"/>
        </w:rPr>
        <w:t>Vir:</w:t>
      </w:r>
      <w:r w:rsidR="00853933">
        <w:rPr>
          <w:rFonts w:ascii="Arial" w:hAnsi="Arial" w:cs="Arial"/>
          <w:sz w:val="16"/>
          <w:szCs w:val="16"/>
        </w:rPr>
        <w:t xml:space="preserve"> Nared, 2019</w:t>
      </w:r>
    </w:p>
    <w:p w14:paraId="5732E75B" w14:textId="6CAD976F" w:rsidR="009E0216" w:rsidRDefault="009E0216" w:rsidP="00EA2E4C">
      <w:pPr>
        <w:spacing w:before="120" w:line="360" w:lineRule="auto"/>
        <w:jc w:val="both"/>
        <w:rPr>
          <w:rFonts w:ascii="Arial" w:hAnsi="Arial" w:cs="Arial"/>
          <w:sz w:val="20"/>
          <w:szCs w:val="20"/>
        </w:rPr>
      </w:pPr>
      <w:r w:rsidRPr="00A52F41">
        <w:rPr>
          <w:rFonts w:ascii="Arial" w:eastAsia="Arial" w:hAnsi="Arial" w:cs="Arial"/>
          <w:bCs/>
          <w:sz w:val="20"/>
          <w:szCs w:val="20"/>
        </w:rPr>
        <w:t xml:space="preserve">Za Slovenijo so značilna tudi izredno redko poseljena obmejna območja. </w:t>
      </w:r>
      <w:r w:rsidRPr="00A52F41">
        <w:rPr>
          <w:rFonts w:ascii="Arial" w:eastAsia="Arial" w:hAnsi="Arial" w:cs="Arial"/>
          <w:sz w:val="20"/>
          <w:szCs w:val="20"/>
        </w:rPr>
        <w:t xml:space="preserve">V obmejna problemska območja, določena na podlagi Zakona o spodbujanju skladnega regionalnega razvoja (v nadaljevanju: ZSRR-2), sodi 90 občin. To so obmejne občine in občine, ki neposredno mejijo na njih (Uredba o spremembi Uredbe o določitvi obmejnih problemskih območij). </w:t>
      </w:r>
      <w:r w:rsidRPr="00A52F41">
        <w:rPr>
          <w:rFonts w:ascii="Arial" w:hAnsi="Arial" w:cs="Arial"/>
          <w:sz w:val="20"/>
          <w:szCs w:val="20"/>
        </w:rPr>
        <w:t>Tipizacija obmejnih problemskih območij kaže, da so obmejna območja s slabo socialno-ekonomsko strukturo zlasti v vzhodni in južni Sloveniji; območja s slabo prostorsko strukturo so Posočje, Koroška, območja v </w:t>
      </w:r>
      <w:r w:rsidRPr="00F25C63">
        <w:rPr>
          <w:rFonts w:ascii="Arial" w:hAnsi="Arial" w:cs="Arial"/>
          <w:sz w:val="20"/>
          <w:szCs w:val="20"/>
        </w:rPr>
        <w:t>jugovzhodni Sloveniji; tip območij - razvojno najbolj ogrožena območja pa so Goričko, deli Koroške in Pokolpje (</w:t>
      </w:r>
      <w:r w:rsidRPr="00F25C63">
        <w:rPr>
          <w:rFonts w:ascii="Arial" w:hAnsi="Arial" w:cs="Arial"/>
          <w:sz w:val="20"/>
          <w:szCs w:val="20"/>
        </w:rPr>
        <w:fldChar w:fldCharType="begin"/>
      </w:r>
      <w:r w:rsidRPr="00F25C63">
        <w:rPr>
          <w:rFonts w:ascii="Arial" w:hAnsi="Arial" w:cs="Arial"/>
          <w:sz w:val="20"/>
          <w:szCs w:val="20"/>
        </w:rPr>
        <w:instrText xml:space="preserve"> REF _Ref46819935  \* MERGEFORMAT </w:instrText>
      </w:r>
      <w:r w:rsidRPr="00F25C63">
        <w:rPr>
          <w:rFonts w:ascii="Arial" w:hAnsi="Arial" w:cs="Arial"/>
          <w:sz w:val="20"/>
          <w:szCs w:val="20"/>
        </w:rPr>
        <w:fldChar w:fldCharType="separate"/>
      </w:r>
      <w:r w:rsidR="00CF4E86" w:rsidRPr="00CF4E86">
        <w:rPr>
          <w:rFonts w:ascii="Arial" w:hAnsi="Arial" w:cs="Arial"/>
          <w:sz w:val="20"/>
          <w:szCs w:val="20"/>
        </w:rPr>
        <w:t xml:space="preserve">Slika </w:t>
      </w:r>
      <w:r w:rsidRPr="00F25C63">
        <w:rPr>
          <w:rFonts w:ascii="Arial" w:hAnsi="Arial" w:cs="Arial"/>
          <w:sz w:val="20"/>
          <w:szCs w:val="20"/>
        </w:rPr>
        <w:fldChar w:fldCharType="end"/>
      </w:r>
      <w:r w:rsidR="00450FE6" w:rsidRPr="00F25C63">
        <w:rPr>
          <w:rFonts w:ascii="Arial" w:hAnsi="Arial" w:cs="Arial"/>
          <w:sz w:val="20"/>
          <w:szCs w:val="20"/>
        </w:rPr>
        <w:t>8</w:t>
      </w:r>
      <w:r w:rsidRPr="00F25C63">
        <w:rPr>
          <w:rFonts w:ascii="Arial" w:hAnsi="Arial" w:cs="Arial"/>
          <w:sz w:val="20"/>
          <w:szCs w:val="20"/>
        </w:rPr>
        <w:t>) (Kušar</w:t>
      </w:r>
      <w:r w:rsidRPr="00A52F41">
        <w:rPr>
          <w:rFonts w:ascii="Arial" w:hAnsi="Arial" w:cs="Arial"/>
          <w:sz w:val="20"/>
          <w:szCs w:val="20"/>
        </w:rPr>
        <w:t xml:space="preserve"> in Bobovnik, 2019).</w:t>
      </w:r>
    </w:p>
    <w:p w14:paraId="56E27562" w14:textId="77777777" w:rsidR="00A52F41" w:rsidRPr="00A417A4" w:rsidRDefault="00A52F41" w:rsidP="00A417A4">
      <w:pPr>
        <w:pStyle w:val="SCslika"/>
        <w:keepNext/>
        <w:keepLines/>
      </w:pPr>
      <w:bookmarkStart w:id="24" w:name="_Ref46819935"/>
      <w:bookmarkStart w:id="25" w:name="_Toc47082367"/>
      <w:bookmarkStart w:id="26" w:name="_Toc47092608"/>
      <w:r w:rsidRPr="00A417A4">
        <w:lastRenderedPageBreak/>
        <w:t xml:space="preserve">Slika </w:t>
      </w:r>
      <w:bookmarkEnd w:id="24"/>
      <w:r w:rsidRPr="00A417A4">
        <w:t>8: Tipizacija obmejnih problemskih območij</w:t>
      </w:r>
      <w:bookmarkEnd w:id="25"/>
      <w:bookmarkEnd w:id="26"/>
    </w:p>
    <w:p w14:paraId="48BE1CF3" w14:textId="790C71E1" w:rsidR="009E0216" w:rsidRDefault="009E0216" w:rsidP="0059016E">
      <w:pPr>
        <w:pStyle w:val="Napis"/>
        <w:spacing w:before="0" w:line="240" w:lineRule="auto"/>
        <w:jc w:val="both"/>
        <w:rPr>
          <w:sz w:val="20"/>
          <w:szCs w:val="20"/>
        </w:rPr>
      </w:pPr>
      <w:r w:rsidRPr="00A52F41">
        <w:rPr>
          <w:noProof/>
          <w:sz w:val="20"/>
          <w:szCs w:val="20"/>
          <w:lang w:eastAsia="sl-SI"/>
        </w:rPr>
        <w:drawing>
          <wp:inline distT="0" distB="0" distL="0" distR="0" wp14:anchorId="17047C4C" wp14:editId="37ADD466">
            <wp:extent cx="5518297" cy="3678867"/>
            <wp:effectExtent l="19050" t="19050" r="25400" b="1714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2121" t="10972" r="13238" b="9413"/>
                    <a:stretch/>
                  </pic:blipFill>
                  <pic:spPr bwMode="auto">
                    <a:xfrm>
                      <a:off x="0" y="0"/>
                      <a:ext cx="5523794" cy="368253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6D79BA4C" w14:textId="6CE061B5" w:rsidR="0059016E" w:rsidRPr="0059016E" w:rsidRDefault="0059016E" w:rsidP="0059016E">
      <w:pPr>
        <w:spacing w:line="360" w:lineRule="auto"/>
        <w:rPr>
          <w:rFonts w:ascii="Arial" w:hAnsi="Arial" w:cs="Arial"/>
          <w:sz w:val="16"/>
          <w:szCs w:val="16"/>
          <w:lang w:eastAsia="en-GB"/>
        </w:rPr>
      </w:pPr>
      <w:r w:rsidRPr="0059016E">
        <w:rPr>
          <w:rFonts w:ascii="Arial" w:hAnsi="Arial" w:cs="Arial"/>
          <w:sz w:val="16"/>
          <w:szCs w:val="16"/>
          <w:lang w:eastAsia="en-GB"/>
        </w:rPr>
        <w:t>Vir:</w:t>
      </w:r>
      <w:r w:rsidR="00853933">
        <w:rPr>
          <w:rFonts w:ascii="Arial" w:hAnsi="Arial" w:cs="Arial"/>
          <w:sz w:val="16"/>
          <w:szCs w:val="16"/>
          <w:lang w:eastAsia="en-GB"/>
        </w:rPr>
        <w:t xml:space="preserve"> Kušar in Bobovnik, 2019</w:t>
      </w:r>
    </w:p>
    <w:p w14:paraId="25FF5798" w14:textId="77777777" w:rsidR="009E0216" w:rsidRPr="001D5FC0" w:rsidRDefault="009E0216" w:rsidP="00A05198">
      <w:pPr>
        <w:pStyle w:val="tevilnatoka11Nova"/>
        <w:numPr>
          <w:ilvl w:val="1"/>
          <w:numId w:val="34"/>
        </w:numPr>
        <w:tabs>
          <w:tab w:val="clear" w:pos="4297"/>
        </w:tabs>
        <w:spacing w:before="200" w:after="200" w:line="360" w:lineRule="auto"/>
        <w:outlineLvl w:val="1"/>
        <w:rPr>
          <w:b/>
          <w:sz w:val="24"/>
          <w:szCs w:val="24"/>
        </w:rPr>
      </w:pPr>
      <w:bookmarkStart w:id="27" w:name="_Toc55999325"/>
      <w:r w:rsidRPr="001D5FC0">
        <w:rPr>
          <w:b/>
          <w:sz w:val="24"/>
          <w:szCs w:val="24"/>
        </w:rPr>
        <w:t>MIGRACIJE</w:t>
      </w:r>
      <w:bookmarkEnd w:id="27"/>
    </w:p>
    <w:p w14:paraId="7D7E1817" w14:textId="3B1507FC" w:rsidR="009E0216" w:rsidRDefault="009E0216" w:rsidP="00EA2E4C">
      <w:pPr>
        <w:spacing w:line="360" w:lineRule="auto"/>
        <w:jc w:val="both"/>
        <w:rPr>
          <w:rFonts w:ascii="Arial" w:hAnsi="Arial" w:cs="Arial"/>
          <w:sz w:val="20"/>
          <w:szCs w:val="20"/>
        </w:rPr>
      </w:pPr>
      <w:r w:rsidRPr="00A52F41">
        <w:rPr>
          <w:rFonts w:ascii="Arial" w:hAnsi="Arial" w:cs="Arial"/>
          <w:sz w:val="20"/>
          <w:szCs w:val="20"/>
        </w:rPr>
        <w:t>Tudi podatki o migracijah kažejo na neugoden naravni prirast in odseljevanje s podež</w:t>
      </w:r>
      <w:r w:rsidR="00F80941">
        <w:rPr>
          <w:rFonts w:ascii="Arial" w:hAnsi="Arial" w:cs="Arial"/>
          <w:sz w:val="20"/>
          <w:szCs w:val="20"/>
        </w:rPr>
        <w:t>e</w:t>
      </w:r>
      <w:r w:rsidRPr="00A52F41">
        <w:rPr>
          <w:rFonts w:ascii="Arial" w:hAnsi="Arial" w:cs="Arial"/>
          <w:sz w:val="20"/>
          <w:szCs w:val="20"/>
        </w:rPr>
        <w:t>lja. V letu 2018 je bil skupni selitveni prirast v Sloveniji 7,2, kar je velik porast od prejšnjih let, ko se je gibal okoli ničle. Vendar pa je bil na podeželju leta 2018 selitveni prirast 3-krat nižji (2,1). Za podeželje je spodbuden le podatek, da je dolgoletni skupni selitveni prirast (na 1.000 prebivalcev) pozitiven in v letu 2018 najvišji po letu 2009. Najnižji selitveni prirast sta imeli pomurska in zasavska regija. Pozitivni naravni prirast so imele le 3 regije (osrednjeslovenska, gorenjska in JV Slovenija). Skupni selitveni prirast je bil v pomurski regiji negativen, najvišji pa je bil v osrednjeslovenski, obalno-kraš</w:t>
      </w:r>
      <w:r w:rsidR="00F80941">
        <w:rPr>
          <w:rFonts w:ascii="Arial" w:hAnsi="Arial" w:cs="Arial"/>
          <w:sz w:val="20"/>
          <w:szCs w:val="20"/>
        </w:rPr>
        <w:t>k</w:t>
      </w:r>
      <w:r w:rsidRPr="00A52F41">
        <w:rPr>
          <w:rFonts w:ascii="Arial" w:hAnsi="Arial" w:cs="Arial"/>
          <w:sz w:val="20"/>
          <w:szCs w:val="20"/>
        </w:rPr>
        <w:t xml:space="preserve">i, podravski regiji in JV Sloveniji. (SURS, 2020). Iz </w:t>
      </w:r>
      <w:r w:rsidRPr="00A52F41">
        <w:rPr>
          <w:rFonts w:ascii="Arial" w:hAnsi="Arial" w:cs="Arial"/>
          <w:sz w:val="20"/>
          <w:szCs w:val="20"/>
        </w:rPr>
        <w:fldChar w:fldCharType="begin"/>
      </w:r>
      <w:r w:rsidRPr="00A52F41">
        <w:rPr>
          <w:rFonts w:ascii="Arial" w:hAnsi="Arial" w:cs="Arial"/>
          <w:sz w:val="20"/>
          <w:szCs w:val="20"/>
        </w:rPr>
        <w:instrText xml:space="preserve"> REF _Ref46822750  \* MERGEFORMAT </w:instrText>
      </w:r>
      <w:r w:rsidRPr="00A52F41">
        <w:rPr>
          <w:rFonts w:ascii="Arial" w:hAnsi="Arial" w:cs="Arial"/>
          <w:sz w:val="20"/>
          <w:szCs w:val="20"/>
        </w:rPr>
        <w:fldChar w:fldCharType="separate"/>
      </w:r>
      <w:r w:rsidR="00CF4E86" w:rsidRPr="00CF4E86">
        <w:rPr>
          <w:rFonts w:ascii="Arial" w:hAnsi="Arial" w:cs="Arial"/>
          <w:i/>
          <w:sz w:val="20"/>
          <w:szCs w:val="20"/>
        </w:rPr>
        <w:t xml:space="preserve">Slika </w:t>
      </w:r>
      <w:r w:rsidRPr="00A52F41">
        <w:rPr>
          <w:rFonts w:ascii="Arial" w:hAnsi="Arial" w:cs="Arial"/>
          <w:sz w:val="20"/>
          <w:szCs w:val="20"/>
        </w:rPr>
        <w:fldChar w:fldCharType="end"/>
      </w:r>
      <w:r w:rsidRPr="00A52F41">
        <w:rPr>
          <w:rFonts w:ascii="Arial" w:hAnsi="Arial" w:cs="Arial"/>
          <w:sz w:val="20"/>
          <w:szCs w:val="20"/>
        </w:rPr>
        <w:t xml:space="preserve"> je razvidno, da ima večina občin negativen ali zelo nizek naravni prirast, bolj spodbudna pa je </w:t>
      </w:r>
      <w:r w:rsidRPr="001D5FC0">
        <w:rPr>
          <w:rFonts w:ascii="Arial" w:hAnsi="Arial" w:cs="Arial"/>
          <w:i/>
          <w:sz w:val="20"/>
          <w:szCs w:val="20"/>
        </w:rPr>
        <w:fldChar w:fldCharType="begin"/>
      </w:r>
      <w:r w:rsidRPr="001D5FC0">
        <w:rPr>
          <w:rFonts w:ascii="Arial" w:hAnsi="Arial" w:cs="Arial"/>
          <w:i/>
          <w:sz w:val="20"/>
          <w:szCs w:val="20"/>
        </w:rPr>
        <w:instrText xml:space="preserve"> REF _Ref46822750  \* MERGEFORMAT </w:instrText>
      </w:r>
      <w:r w:rsidRPr="001D5FC0">
        <w:rPr>
          <w:rFonts w:ascii="Arial" w:hAnsi="Arial" w:cs="Arial"/>
          <w:i/>
          <w:sz w:val="20"/>
          <w:szCs w:val="20"/>
        </w:rPr>
        <w:fldChar w:fldCharType="separate"/>
      </w:r>
      <w:r w:rsidR="00CF4E86" w:rsidRPr="00CF4E86">
        <w:rPr>
          <w:rFonts w:ascii="Arial" w:hAnsi="Arial" w:cs="Arial"/>
          <w:i/>
          <w:sz w:val="20"/>
          <w:szCs w:val="20"/>
        </w:rPr>
        <w:t xml:space="preserve">Slika </w:t>
      </w:r>
      <w:r w:rsidRPr="001D5FC0">
        <w:rPr>
          <w:rFonts w:ascii="Arial" w:hAnsi="Arial" w:cs="Arial"/>
          <w:i/>
          <w:sz w:val="20"/>
          <w:szCs w:val="20"/>
        </w:rPr>
        <w:fldChar w:fldCharType="end"/>
      </w:r>
      <w:r w:rsidR="00D8220A" w:rsidRPr="001D5FC0">
        <w:rPr>
          <w:rFonts w:ascii="Arial" w:hAnsi="Arial" w:cs="Arial"/>
          <w:i/>
          <w:sz w:val="20"/>
          <w:szCs w:val="20"/>
        </w:rPr>
        <w:t>0</w:t>
      </w:r>
      <w:r w:rsidRPr="00A52F41">
        <w:rPr>
          <w:rFonts w:ascii="Arial" w:hAnsi="Arial" w:cs="Arial"/>
          <w:sz w:val="20"/>
          <w:szCs w:val="20"/>
        </w:rPr>
        <w:t>, ki prikazuje skupni selitveni prirast, še posebej na območjih okoli avtocestnega križa in z dobro prometno povezavo do večjih središč.</w:t>
      </w:r>
    </w:p>
    <w:p w14:paraId="696F2982" w14:textId="5968107D" w:rsidR="00A52F41" w:rsidRPr="00A417A4" w:rsidRDefault="00A52F41" w:rsidP="00A417A4">
      <w:pPr>
        <w:pStyle w:val="SCslika"/>
        <w:keepNext/>
        <w:keepLines/>
      </w:pPr>
      <w:bookmarkStart w:id="28" w:name="_Ref46822750"/>
      <w:bookmarkStart w:id="29" w:name="_Toc47082368"/>
      <w:bookmarkStart w:id="30" w:name="_Toc47092609"/>
      <w:r w:rsidRPr="00A417A4">
        <w:lastRenderedPageBreak/>
        <w:t xml:space="preserve">Slika </w:t>
      </w:r>
      <w:bookmarkEnd w:id="28"/>
      <w:r w:rsidRPr="00A417A4">
        <w:t>9 in Slika</w:t>
      </w:r>
      <w:r w:rsidR="00C35272">
        <w:t xml:space="preserve"> </w:t>
      </w:r>
      <w:r w:rsidRPr="00A417A4">
        <w:t xml:space="preserve">10: Primerjava - </w:t>
      </w:r>
      <w:r w:rsidR="00F80941">
        <w:t>n</w:t>
      </w:r>
      <w:r w:rsidRPr="00A417A4">
        <w:t>aravni prirast in skupni prirast po občinah (leto 2018)</w:t>
      </w:r>
      <w:bookmarkEnd w:id="29"/>
      <w:r w:rsidRPr="00A417A4">
        <w:t xml:space="preserve"> </w:t>
      </w:r>
      <w:bookmarkEnd w:id="30"/>
    </w:p>
    <w:p w14:paraId="34629F8E" w14:textId="30E983D7" w:rsidR="009E0216" w:rsidRDefault="009E0216" w:rsidP="0059016E">
      <w:pPr>
        <w:pStyle w:val="Napis"/>
        <w:spacing w:line="240" w:lineRule="auto"/>
        <w:jc w:val="both"/>
        <w:rPr>
          <w:sz w:val="20"/>
          <w:szCs w:val="20"/>
        </w:rPr>
      </w:pPr>
      <w:r w:rsidRPr="00A52F41">
        <w:rPr>
          <w:noProof/>
          <w:sz w:val="20"/>
          <w:szCs w:val="20"/>
          <w:lang w:eastAsia="sl-SI"/>
        </w:rPr>
        <w:drawing>
          <wp:inline distT="0" distB="0" distL="0" distR="0" wp14:anchorId="6BD31A18" wp14:editId="2CBA09AA">
            <wp:extent cx="6194663" cy="2288643"/>
            <wp:effectExtent l="19050" t="19050" r="15875" b="1651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93550" cy="2288232"/>
                    </a:xfrm>
                    <a:prstGeom prst="rect">
                      <a:avLst/>
                    </a:prstGeom>
                    <a:ln w="6350">
                      <a:solidFill>
                        <a:schemeClr val="tx1"/>
                      </a:solidFill>
                    </a:ln>
                  </pic:spPr>
                </pic:pic>
              </a:graphicData>
            </a:graphic>
          </wp:inline>
        </w:drawing>
      </w:r>
    </w:p>
    <w:p w14:paraId="0973ACC5" w14:textId="33B8481E" w:rsidR="0059016E" w:rsidRPr="0059016E" w:rsidRDefault="0059016E" w:rsidP="0059016E">
      <w:pPr>
        <w:pStyle w:val="tevilnatoka"/>
        <w:numPr>
          <w:ilvl w:val="0"/>
          <w:numId w:val="0"/>
        </w:numPr>
        <w:spacing w:after="200" w:line="360" w:lineRule="auto"/>
        <w:rPr>
          <w:sz w:val="16"/>
          <w:szCs w:val="16"/>
          <w:lang w:eastAsia="en-GB"/>
        </w:rPr>
      </w:pPr>
      <w:r w:rsidRPr="0059016E">
        <w:rPr>
          <w:sz w:val="16"/>
          <w:szCs w:val="16"/>
          <w:lang w:eastAsia="en-GB"/>
        </w:rPr>
        <w:t>Vir:</w:t>
      </w:r>
      <w:r w:rsidR="00853933">
        <w:rPr>
          <w:sz w:val="16"/>
          <w:szCs w:val="16"/>
          <w:lang w:eastAsia="en-GB"/>
        </w:rPr>
        <w:t xml:space="preserve"> SURS</w:t>
      </w:r>
    </w:p>
    <w:p w14:paraId="468FCF72" w14:textId="77777777" w:rsidR="009E0216" w:rsidRPr="008E2E26" w:rsidRDefault="005B0F81" w:rsidP="008E2E26">
      <w:pPr>
        <w:pStyle w:val="SCslika"/>
        <w:keepNext/>
        <w:keepLines/>
        <w:spacing w:before="200" w:after="0"/>
      </w:pPr>
      <w:bookmarkStart w:id="31" w:name="_Toc47092636"/>
      <w:r w:rsidRPr="008E2E26">
        <w:t>Tabela 7</w:t>
      </w:r>
      <w:r w:rsidR="009E0216" w:rsidRPr="008E2E26">
        <w:t>: Skupni selitveni prirast (na 1.000 prebivalcev)</w:t>
      </w:r>
      <w:bookmarkEnd w:id="31"/>
    </w:p>
    <w:tbl>
      <w:tblPr>
        <w:tblpPr w:leftFromText="141" w:rightFromText="141" w:vertAnchor="text" w:horzAnchor="margin" w:tblpY="139"/>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585"/>
        <w:gridCol w:w="585"/>
        <w:gridCol w:w="585"/>
        <w:gridCol w:w="585"/>
        <w:gridCol w:w="585"/>
        <w:gridCol w:w="585"/>
        <w:gridCol w:w="585"/>
        <w:gridCol w:w="601"/>
        <w:gridCol w:w="585"/>
        <w:gridCol w:w="585"/>
        <w:gridCol w:w="673"/>
        <w:gridCol w:w="1257"/>
      </w:tblGrid>
      <w:tr w:rsidR="008E2E26" w:rsidRPr="00A52F41" w14:paraId="1D1C2558" w14:textId="77777777" w:rsidTr="00B26D91">
        <w:trPr>
          <w:trHeight w:val="299"/>
        </w:trPr>
        <w:tc>
          <w:tcPr>
            <w:tcW w:w="1346" w:type="dxa"/>
            <w:shd w:val="clear" w:color="auto" w:fill="auto"/>
            <w:noWrap/>
            <w:vAlign w:val="bottom"/>
            <w:hideMark/>
          </w:tcPr>
          <w:p w14:paraId="16161F7C" w14:textId="6DB3A41E" w:rsidR="009E0216" w:rsidRPr="008E2E26" w:rsidRDefault="009E0216" w:rsidP="0088350E">
            <w:pPr>
              <w:spacing w:before="120" w:after="0" w:line="264" w:lineRule="auto"/>
              <w:rPr>
                <w:rFonts w:ascii="Arial" w:hAnsi="Arial" w:cs="Arial"/>
                <w:b/>
                <w:color w:val="000000"/>
                <w:sz w:val="20"/>
                <w:szCs w:val="20"/>
                <w:lang w:eastAsia="sl-SI"/>
              </w:rPr>
            </w:pPr>
          </w:p>
        </w:tc>
        <w:tc>
          <w:tcPr>
            <w:tcW w:w="585" w:type="dxa"/>
            <w:shd w:val="clear" w:color="auto" w:fill="auto"/>
            <w:noWrap/>
            <w:vAlign w:val="bottom"/>
            <w:hideMark/>
          </w:tcPr>
          <w:p w14:paraId="69C28E11" w14:textId="77777777" w:rsidR="009E0216" w:rsidRPr="008E2E26" w:rsidRDefault="009E0216" w:rsidP="0088350E">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2008</w:t>
            </w:r>
          </w:p>
        </w:tc>
        <w:tc>
          <w:tcPr>
            <w:tcW w:w="585" w:type="dxa"/>
            <w:shd w:val="clear" w:color="auto" w:fill="auto"/>
            <w:noWrap/>
            <w:vAlign w:val="bottom"/>
            <w:hideMark/>
          </w:tcPr>
          <w:p w14:paraId="67D120F4" w14:textId="77777777" w:rsidR="009E0216" w:rsidRPr="008E2E26" w:rsidRDefault="009E0216" w:rsidP="0088350E">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2009</w:t>
            </w:r>
          </w:p>
        </w:tc>
        <w:tc>
          <w:tcPr>
            <w:tcW w:w="585" w:type="dxa"/>
            <w:shd w:val="clear" w:color="auto" w:fill="auto"/>
            <w:noWrap/>
            <w:vAlign w:val="bottom"/>
            <w:hideMark/>
          </w:tcPr>
          <w:p w14:paraId="5CEA175E" w14:textId="77777777" w:rsidR="009E0216" w:rsidRPr="008E2E26" w:rsidRDefault="009E0216" w:rsidP="0088350E">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2010</w:t>
            </w:r>
          </w:p>
        </w:tc>
        <w:tc>
          <w:tcPr>
            <w:tcW w:w="585" w:type="dxa"/>
            <w:shd w:val="clear" w:color="auto" w:fill="auto"/>
            <w:noWrap/>
            <w:vAlign w:val="bottom"/>
            <w:hideMark/>
          </w:tcPr>
          <w:p w14:paraId="1B8F4C1D" w14:textId="77777777" w:rsidR="009E0216" w:rsidRPr="008E2E26" w:rsidRDefault="009E0216" w:rsidP="00CD7948">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2011</w:t>
            </w:r>
          </w:p>
        </w:tc>
        <w:tc>
          <w:tcPr>
            <w:tcW w:w="585" w:type="dxa"/>
            <w:shd w:val="clear" w:color="auto" w:fill="auto"/>
            <w:noWrap/>
            <w:vAlign w:val="bottom"/>
            <w:hideMark/>
          </w:tcPr>
          <w:p w14:paraId="6367BBA4" w14:textId="77777777" w:rsidR="009E0216" w:rsidRPr="008E2E26" w:rsidRDefault="009E0216" w:rsidP="0088350E">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2012</w:t>
            </w:r>
          </w:p>
        </w:tc>
        <w:tc>
          <w:tcPr>
            <w:tcW w:w="585" w:type="dxa"/>
            <w:shd w:val="clear" w:color="auto" w:fill="auto"/>
            <w:noWrap/>
            <w:vAlign w:val="bottom"/>
            <w:hideMark/>
          </w:tcPr>
          <w:p w14:paraId="1D966AE1" w14:textId="77777777" w:rsidR="009E0216" w:rsidRPr="008E2E26" w:rsidRDefault="009E0216" w:rsidP="0088350E">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2013</w:t>
            </w:r>
          </w:p>
        </w:tc>
        <w:tc>
          <w:tcPr>
            <w:tcW w:w="585" w:type="dxa"/>
            <w:shd w:val="clear" w:color="auto" w:fill="auto"/>
            <w:noWrap/>
            <w:vAlign w:val="bottom"/>
            <w:hideMark/>
          </w:tcPr>
          <w:p w14:paraId="2E8F0D96" w14:textId="77777777" w:rsidR="009E0216" w:rsidRPr="008E2E26" w:rsidRDefault="009E0216" w:rsidP="0088350E">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2014</w:t>
            </w:r>
          </w:p>
        </w:tc>
        <w:tc>
          <w:tcPr>
            <w:tcW w:w="601" w:type="dxa"/>
            <w:shd w:val="clear" w:color="auto" w:fill="auto"/>
            <w:noWrap/>
            <w:vAlign w:val="bottom"/>
            <w:hideMark/>
          </w:tcPr>
          <w:p w14:paraId="4108F0C9" w14:textId="77777777" w:rsidR="009E0216" w:rsidRPr="008E2E26" w:rsidRDefault="009E0216" w:rsidP="0088350E">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2015</w:t>
            </w:r>
          </w:p>
        </w:tc>
        <w:tc>
          <w:tcPr>
            <w:tcW w:w="585" w:type="dxa"/>
            <w:shd w:val="clear" w:color="auto" w:fill="auto"/>
            <w:noWrap/>
            <w:vAlign w:val="bottom"/>
            <w:hideMark/>
          </w:tcPr>
          <w:p w14:paraId="0F0A18D4" w14:textId="77777777" w:rsidR="009E0216" w:rsidRPr="008E2E26" w:rsidRDefault="009E0216" w:rsidP="0088350E">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2016</w:t>
            </w:r>
          </w:p>
        </w:tc>
        <w:tc>
          <w:tcPr>
            <w:tcW w:w="585" w:type="dxa"/>
            <w:shd w:val="clear" w:color="auto" w:fill="auto"/>
            <w:noWrap/>
            <w:vAlign w:val="bottom"/>
            <w:hideMark/>
          </w:tcPr>
          <w:p w14:paraId="11672D46" w14:textId="77777777" w:rsidR="009E0216" w:rsidRPr="008E2E26" w:rsidRDefault="009E0216" w:rsidP="0088350E">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2017</w:t>
            </w:r>
          </w:p>
        </w:tc>
        <w:tc>
          <w:tcPr>
            <w:tcW w:w="673" w:type="dxa"/>
            <w:shd w:val="clear" w:color="auto" w:fill="auto"/>
            <w:noWrap/>
            <w:vAlign w:val="bottom"/>
            <w:hideMark/>
          </w:tcPr>
          <w:p w14:paraId="3E408902" w14:textId="77777777" w:rsidR="009E0216" w:rsidRPr="008E2E26" w:rsidRDefault="009E0216" w:rsidP="0088350E">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2018</w:t>
            </w:r>
          </w:p>
        </w:tc>
        <w:tc>
          <w:tcPr>
            <w:tcW w:w="1257" w:type="dxa"/>
            <w:shd w:val="clear" w:color="auto" w:fill="auto"/>
            <w:noWrap/>
            <w:vAlign w:val="bottom"/>
            <w:hideMark/>
          </w:tcPr>
          <w:p w14:paraId="4CD4DC81" w14:textId="563252BD" w:rsidR="009E0216" w:rsidRPr="008E2E26" w:rsidRDefault="009E0216" w:rsidP="0088350E">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povprečje</w:t>
            </w:r>
          </w:p>
        </w:tc>
      </w:tr>
      <w:tr w:rsidR="008E2E26" w:rsidRPr="00A52F41" w14:paraId="7B045481" w14:textId="77777777" w:rsidTr="00B26D91">
        <w:trPr>
          <w:trHeight w:val="299"/>
        </w:trPr>
        <w:tc>
          <w:tcPr>
            <w:tcW w:w="1346" w:type="dxa"/>
            <w:shd w:val="clear" w:color="auto" w:fill="auto"/>
            <w:noWrap/>
            <w:vAlign w:val="bottom"/>
            <w:hideMark/>
          </w:tcPr>
          <w:p w14:paraId="5BD16AB2" w14:textId="77777777" w:rsidR="009E0216" w:rsidRPr="00B26D91" w:rsidRDefault="009E0216" w:rsidP="0088350E">
            <w:pPr>
              <w:spacing w:before="120" w:after="0" w:line="264" w:lineRule="auto"/>
              <w:jc w:val="both"/>
              <w:rPr>
                <w:rFonts w:ascii="Arial" w:hAnsi="Arial" w:cs="Arial"/>
                <w:b/>
                <w:bCs/>
                <w:color w:val="000000"/>
                <w:sz w:val="20"/>
                <w:szCs w:val="20"/>
                <w:lang w:eastAsia="sl-SI"/>
              </w:rPr>
            </w:pPr>
            <w:r w:rsidRPr="00B26D91">
              <w:rPr>
                <w:rFonts w:ascii="Arial" w:hAnsi="Arial" w:cs="Arial"/>
                <w:b/>
                <w:bCs/>
                <w:color w:val="000000"/>
                <w:sz w:val="20"/>
                <w:szCs w:val="20"/>
                <w:lang w:eastAsia="sl-SI"/>
              </w:rPr>
              <w:t>Slovenija</w:t>
            </w:r>
          </w:p>
        </w:tc>
        <w:tc>
          <w:tcPr>
            <w:tcW w:w="585" w:type="dxa"/>
            <w:shd w:val="clear" w:color="auto" w:fill="auto"/>
            <w:noWrap/>
            <w:vAlign w:val="bottom"/>
            <w:hideMark/>
          </w:tcPr>
          <w:p w14:paraId="0BF724AE"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9,2</w:t>
            </w:r>
          </w:p>
        </w:tc>
        <w:tc>
          <w:tcPr>
            <w:tcW w:w="585" w:type="dxa"/>
            <w:shd w:val="clear" w:color="auto" w:fill="auto"/>
            <w:noWrap/>
            <w:vAlign w:val="bottom"/>
            <w:hideMark/>
          </w:tcPr>
          <w:p w14:paraId="2346DDE9"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5,6</w:t>
            </w:r>
          </w:p>
        </w:tc>
        <w:tc>
          <w:tcPr>
            <w:tcW w:w="585" w:type="dxa"/>
            <w:shd w:val="clear" w:color="auto" w:fill="auto"/>
            <w:noWrap/>
            <w:vAlign w:val="bottom"/>
            <w:hideMark/>
          </w:tcPr>
          <w:p w14:paraId="70BBFE0C"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-0,3</w:t>
            </w:r>
          </w:p>
        </w:tc>
        <w:tc>
          <w:tcPr>
            <w:tcW w:w="585" w:type="dxa"/>
            <w:shd w:val="clear" w:color="auto" w:fill="auto"/>
            <w:noWrap/>
            <w:vAlign w:val="bottom"/>
            <w:hideMark/>
          </w:tcPr>
          <w:p w14:paraId="770DFA5B"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1,0</w:t>
            </w:r>
          </w:p>
        </w:tc>
        <w:tc>
          <w:tcPr>
            <w:tcW w:w="585" w:type="dxa"/>
            <w:shd w:val="clear" w:color="auto" w:fill="auto"/>
            <w:noWrap/>
            <w:vAlign w:val="bottom"/>
            <w:hideMark/>
          </w:tcPr>
          <w:p w14:paraId="6E4A79C1"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0,3</w:t>
            </w:r>
          </w:p>
        </w:tc>
        <w:tc>
          <w:tcPr>
            <w:tcW w:w="585" w:type="dxa"/>
            <w:shd w:val="clear" w:color="auto" w:fill="auto"/>
            <w:noWrap/>
            <w:vAlign w:val="bottom"/>
            <w:hideMark/>
          </w:tcPr>
          <w:p w14:paraId="3A2DD554"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0,2</w:t>
            </w:r>
          </w:p>
        </w:tc>
        <w:tc>
          <w:tcPr>
            <w:tcW w:w="585" w:type="dxa"/>
            <w:shd w:val="clear" w:color="auto" w:fill="auto"/>
            <w:noWrap/>
            <w:vAlign w:val="bottom"/>
            <w:hideMark/>
          </w:tcPr>
          <w:p w14:paraId="0B5DC6DE"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-0,2</w:t>
            </w:r>
          </w:p>
        </w:tc>
        <w:tc>
          <w:tcPr>
            <w:tcW w:w="601" w:type="dxa"/>
            <w:shd w:val="clear" w:color="auto" w:fill="auto"/>
            <w:noWrap/>
            <w:vAlign w:val="bottom"/>
            <w:hideMark/>
          </w:tcPr>
          <w:p w14:paraId="27A2F3D6"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0,2</w:t>
            </w:r>
          </w:p>
        </w:tc>
        <w:tc>
          <w:tcPr>
            <w:tcW w:w="585" w:type="dxa"/>
            <w:shd w:val="clear" w:color="auto" w:fill="auto"/>
            <w:noWrap/>
            <w:vAlign w:val="bottom"/>
            <w:hideMark/>
          </w:tcPr>
          <w:p w14:paraId="317133A2"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0,5</w:t>
            </w:r>
          </w:p>
        </w:tc>
        <w:tc>
          <w:tcPr>
            <w:tcW w:w="585" w:type="dxa"/>
            <w:shd w:val="clear" w:color="auto" w:fill="auto"/>
            <w:noWrap/>
            <w:vAlign w:val="bottom"/>
            <w:hideMark/>
          </w:tcPr>
          <w:p w14:paraId="5ED68DFD"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0,6</w:t>
            </w:r>
          </w:p>
        </w:tc>
        <w:tc>
          <w:tcPr>
            <w:tcW w:w="673" w:type="dxa"/>
            <w:shd w:val="clear" w:color="auto" w:fill="auto"/>
            <w:noWrap/>
            <w:vAlign w:val="bottom"/>
            <w:hideMark/>
          </w:tcPr>
          <w:p w14:paraId="68120F54"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7,2</w:t>
            </w:r>
          </w:p>
        </w:tc>
        <w:tc>
          <w:tcPr>
            <w:tcW w:w="1257" w:type="dxa"/>
            <w:shd w:val="clear" w:color="auto" w:fill="auto"/>
            <w:noWrap/>
            <w:vAlign w:val="bottom"/>
            <w:hideMark/>
          </w:tcPr>
          <w:p w14:paraId="17E3035A"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2,2</w:t>
            </w:r>
          </w:p>
        </w:tc>
      </w:tr>
      <w:tr w:rsidR="008E2E26" w:rsidRPr="00A52F41" w14:paraId="7D5591A2" w14:textId="77777777" w:rsidTr="00B26D91">
        <w:trPr>
          <w:trHeight w:val="299"/>
        </w:trPr>
        <w:tc>
          <w:tcPr>
            <w:tcW w:w="1346" w:type="dxa"/>
            <w:shd w:val="clear" w:color="auto" w:fill="auto"/>
            <w:noWrap/>
            <w:vAlign w:val="bottom"/>
            <w:hideMark/>
          </w:tcPr>
          <w:p w14:paraId="702ADDA2" w14:textId="639D0B2D" w:rsidR="009E0216" w:rsidRPr="00B26D91" w:rsidRDefault="00F80941" w:rsidP="0088350E">
            <w:pPr>
              <w:spacing w:before="120" w:after="0" w:line="264" w:lineRule="auto"/>
              <w:jc w:val="both"/>
              <w:rPr>
                <w:rFonts w:ascii="Arial" w:hAnsi="Arial" w:cs="Arial"/>
                <w:b/>
                <w:color w:val="000000"/>
                <w:sz w:val="20"/>
                <w:szCs w:val="20"/>
                <w:lang w:eastAsia="sl-SI"/>
              </w:rPr>
            </w:pPr>
            <w:r>
              <w:rPr>
                <w:rFonts w:ascii="Arial" w:hAnsi="Arial" w:cs="Arial"/>
                <w:b/>
                <w:color w:val="000000"/>
                <w:sz w:val="20"/>
                <w:szCs w:val="20"/>
                <w:lang w:eastAsia="sl-SI"/>
              </w:rPr>
              <w:t>p</w:t>
            </w:r>
            <w:r w:rsidR="009E0216" w:rsidRPr="00B26D91">
              <w:rPr>
                <w:rFonts w:ascii="Arial" w:hAnsi="Arial" w:cs="Arial"/>
                <w:b/>
                <w:color w:val="000000"/>
                <w:sz w:val="20"/>
                <w:szCs w:val="20"/>
                <w:lang w:eastAsia="sl-SI"/>
              </w:rPr>
              <w:t xml:space="preserve">odeželje </w:t>
            </w:r>
          </w:p>
        </w:tc>
        <w:tc>
          <w:tcPr>
            <w:tcW w:w="585" w:type="dxa"/>
            <w:shd w:val="clear" w:color="auto" w:fill="auto"/>
            <w:noWrap/>
            <w:vAlign w:val="bottom"/>
            <w:hideMark/>
          </w:tcPr>
          <w:p w14:paraId="37858AF6"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4,2</w:t>
            </w:r>
          </w:p>
        </w:tc>
        <w:tc>
          <w:tcPr>
            <w:tcW w:w="585" w:type="dxa"/>
            <w:shd w:val="clear" w:color="auto" w:fill="auto"/>
            <w:noWrap/>
            <w:vAlign w:val="bottom"/>
            <w:hideMark/>
          </w:tcPr>
          <w:p w14:paraId="1930C3A1"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2,9</w:t>
            </w:r>
          </w:p>
        </w:tc>
        <w:tc>
          <w:tcPr>
            <w:tcW w:w="585" w:type="dxa"/>
            <w:shd w:val="clear" w:color="auto" w:fill="auto"/>
            <w:noWrap/>
            <w:vAlign w:val="bottom"/>
            <w:hideMark/>
          </w:tcPr>
          <w:p w14:paraId="7ECDBD2B"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1,1</w:t>
            </w:r>
          </w:p>
        </w:tc>
        <w:tc>
          <w:tcPr>
            <w:tcW w:w="585" w:type="dxa"/>
            <w:shd w:val="clear" w:color="auto" w:fill="auto"/>
            <w:noWrap/>
            <w:vAlign w:val="bottom"/>
            <w:hideMark/>
          </w:tcPr>
          <w:p w14:paraId="35DF17FA"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1,4</w:t>
            </w:r>
          </w:p>
        </w:tc>
        <w:tc>
          <w:tcPr>
            <w:tcW w:w="585" w:type="dxa"/>
            <w:shd w:val="clear" w:color="auto" w:fill="auto"/>
            <w:noWrap/>
            <w:vAlign w:val="bottom"/>
            <w:hideMark/>
          </w:tcPr>
          <w:p w14:paraId="4AA7A750"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1,0</w:t>
            </w:r>
          </w:p>
        </w:tc>
        <w:tc>
          <w:tcPr>
            <w:tcW w:w="585" w:type="dxa"/>
            <w:shd w:val="clear" w:color="auto" w:fill="auto"/>
            <w:noWrap/>
            <w:vAlign w:val="bottom"/>
            <w:hideMark/>
          </w:tcPr>
          <w:p w14:paraId="1CCA8B92"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0,7</w:t>
            </w:r>
          </w:p>
        </w:tc>
        <w:tc>
          <w:tcPr>
            <w:tcW w:w="585" w:type="dxa"/>
            <w:shd w:val="clear" w:color="auto" w:fill="auto"/>
            <w:noWrap/>
            <w:vAlign w:val="bottom"/>
            <w:hideMark/>
          </w:tcPr>
          <w:p w14:paraId="21591BE9"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0,7</w:t>
            </w:r>
          </w:p>
        </w:tc>
        <w:tc>
          <w:tcPr>
            <w:tcW w:w="601" w:type="dxa"/>
            <w:shd w:val="clear" w:color="auto" w:fill="auto"/>
            <w:noWrap/>
            <w:vAlign w:val="bottom"/>
            <w:hideMark/>
          </w:tcPr>
          <w:p w14:paraId="72907223"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0,3</w:t>
            </w:r>
          </w:p>
        </w:tc>
        <w:tc>
          <w:tcPr>
            <w:tcW w:w="585" w:type="dxa"/>
            <w:shd w:val="clear" w:color="auto" w:fill="auto"/>
            <w:noWrap/>
            <w:vAlign w:val="bottom"/>
            <w:hideMark/>
          </w:tcPr>
          <w:p w14:paraId="2A77A745"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0,4</w:t>
            </w:r>
          </w:p>
        </w:tc>
        <w:tc>
          <w:tcPr>
            <w:tcW w:w="585" w:type="dxa"/>
            <w:shd w:val="clear" w:color="auto" w:fill="auto"/>
            <w:noWrap/>
            <w:vAlign w:val="bottom"/>
            <w:hideMark/>
          </w:tcPr>
          <w:p w14:paraId="4B58D3F6"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0,1</w:t>
            </w:r>
          </w:p>
        </w:tc>
        <w:tc>
          <w:tcPr>
            <w:tcW w:w="673" w:type="dxa"/>
            <w:shd w:val="clear" w:color="auto" w:fill="auto"/>
            <w:noWrap/>
            <w:vAlign w:val="bottom"/>
            <w:hideMark/>
          </w:tcPr>
          <w:p w14:paraId="29C872AA"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2,1</w:t>
            </w:r>
          </w:p>
        </w:tc>
        <w:tc>
          <w:tcPr>
            <w:tcW w:w="1257" w:type="dxa"/>
            <w:shd w:val="clear" w:color="auto" w:fill="auto"/>
            <w:noWrap/>
            <w:vAlign w:val="bottom"/>
            <w:hideMark/>
          </w:tcPr>
          <w:p w14:paraId="09E3A5A0" w14:textId="77777777" w:rsidR="009E0216" w:rsidRPr="008E2E26" w:rsidRDefault="009E0216" w:rsidP="00A2420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1,3</w:t>
            </w:r>
          </w:p>
        </w:tc>
      </w:tr>
    </w:tbl>
    <w:p w14:paraId="56C101FD" w14:textId="77777777" w:rsidR="009E0216" w:rsidRPr="00A52F41" w:rsidRDefault="009E0216" w:rsidP="00CD7948">
      <w:pPr>
        <w:pStyle w:val="tevilnatoka"/>
        <w:numPr>
          <w:ilvl w:val="0"/>
          <w:numId w:val="0"/>
        </w:numPr>
        <w:spacing w:after="200" w:line="360" w:lineRule="auto"/>
        <w:rPr>
          <w:sz w:val="16"/>
          <w:szCs w:val="16"/>
          <w:lang w:eastAsia="en-GB"/>
        </w:rPr>
      </w:pPr>
      <w:r w:rsidRPr="00A52F41">
        <w:rPr>
          <w:sz w:val="16"/>
          <w:szCs w:val="16"/>
          <w:lang w:eastAsia="en-GB"/>
        </w:rPr>
        <w:t>Vir: SURS, lastni preračuni</w:t>
      </w:r>
    </w:p>
    <w:p w14:paraId="457636C7" w14:textId="77777777" w:rsidR="009E0216" w:rsidRPr="00A52F41" w:rsidRDefault="009E0216" w:rsidP="001D5FC0">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 xml:space="preserve">V letu 2018 je bilo registriranih 103.961 notranjih selitev (tj. sprememb naselja bivališča znotraj države), od teh se jih je večina (80 %) preselila v drugo občino. Skoraj polovica notranjih selivcev je bilo starih 20–39 let. Največji notranji selitveni prirast je bil v osrednjeslovenski (2,4 na 1.000 prebivalcev) in obalno-kraški (2,3 na 1.000 prebivalcev) statistični regiji, najmanjši pa v koroški (-5,1 na 1.000 prebivalcev), goriški (-2,7 na 1.000 prebivalcev), zasavski (-2,6 na 1.000 prebivalcev) in posavski (-2,3 na 1.000 prebivalcev) statistični regiji (SURS, 2020). </w:t>
      </w:r>
    </w:p>
    <w:p w14:paraId="13B61D40" w14:textId="22988411" w:rsidR="00A52F41" w:rsidRPr="00A417A4" w:rsidRDefault="00A52F41" w:rsidP="00A417A4">
      <w:pPr>
        <w:pStyle w:val="SCslika"/>
        <w:keepNext/>
        <w:keepLines/>
      </w:pPr>
      <w:r w:rsidRPr="00A417A4">
        <w:lastRenderedPageBreak/>
        <w:t xml:space="preserve">Slika 11: Notranje odselitve </w:t>
      </w:r>
      <w:r w:rsidR="00CD7948">
        <w:t xml:space="preserve">za leto </w:t>
      </w:r>
      <w:r w:rsidRPr="00A417A4">
        <w:t xml:space="preserve">2018 </w:t>
      </w:r>
    </w:p>
    <w:p w14:paraId="54BCB48C" w14:textId="0778AC05" w:rsidR="009E0216" w:rsidRPr="00A52F41" w:rsidRDefault="009E0216" w:rsidP="001D5FC0">
      <w:pPr>
        <w:autoSpaceDE w:val="0"/>
        <w:autoSpaceDN w:val="0"/>
        <w:adjustRightInd w:val="0"/>
        <w:spacing w:after="0" w:line="24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4CD8F297" wp14:editId="00110D93">
            <wp:extent cx="5181463" cy="3571336"/>
            <wp:effectExtent l="19050" t="19050" r="19685" b="1016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ranje odselitve.jpg"/>
                    <pic:cNvPicPr/>
                  </pic:nvPicPr>
                  <pic:blipFill rotWithShape="1">
                    <a:blip r:embed="rId23" cstate="print">
                      <a:extLst>
                        <a:ext uri="{28A0092B-C50C-407E-A947-70E740481C1C}">
                          <a14:useLocalDpi xmlns:a14="http://schemas.microsoft.com/office/drawing/2010/main" val="0"/>
                        </a:ext>
                      </a:extLst>
                    </a:blip>
                    <a:srcRect r="26107" b="21691"/>
                    <a:stretch/>
                  </pic:blipFill>
                  <pic:spPr bwMode="auto">
                    <a:xfrm>
                      <a:off x="0" y="0"/>
                      <a:ext cx="5187780" cy="357569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bookmarkStart w:id="32" w:name="_Toc47082369"/>
      <w:bookmarkStart w:id="33" w:name="_Toc47092610"/>
    </w:p>
    <w:bookmarkEnd w:id="32"/>
    <w:bookmarkEnd w:id="33"/>
    <w:p w14:paraId="666745BC" w14:textId="77777777" w:rsidR="009E0216" w:rsidRPr="00A52F41" w:rsidRDefault="00A52F41" w:rsidP="00CD7948">
      <w:pPr>
        <w:autoSpaceDE w:val="0"/>
        <w:autoSpaceDN w:val="0"/>
        <w:adjustRightInd w:val="0"/>
        <w:spacing w:line="360" w:lineRule="auto"/>
        <w:jc w:val="both"/>
        <w:rPr>
          <w:rFonts w:ascii="Arial" w:hAnsi="Arial" w:cs="Arial"/>
          <w:sz w:val="16"/>
          <w:szCs w:val="16"/>
        </w:rPr>
      </w:pPr>
      <w:r w:rsidRPr="00A52F41">
        <w:rPr>
          <w:rFonts w:ascii="Arial" w:hAnsi="Arial" w:cs="Arial"/>
          <w:sz w:val="16"/>
          <w:szCs w:val="16"/>
        </w:rPr>
        <w:t>Vir: SURS</w:t>
      </w:r>
    </w:p>
    <w:p w14:paraId="22EB2633" w14:textId="77777777" w:rsidR="009E0216" w:rsidRDefault="009E0216" w:rsidP="001D5FC0">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Glede na analizo demografsko-naselbinskih tipov občin je največji selitveni prirast na 1.000 prebivalcev v podeželskih občinah z rastočim prebivalstvom (5,7), sledijo urbanizirane občine z rastočim prebivalstvom (1,06), negativen pa je tako v podeželskih, kot urbaniziranih občinah s padajočim prebivalstvom. Analiza kaže, da so medobčinske selitve na 1.000 prebivalcev pozitivne le v podeželskem tipu občin z rastočim prebivalstvom, v ostalih treh tipih pa so negativne. Primerjava delovnih migrantov s slovenskim povprečjem (55 %) kaže, da je delovnih migrantov več v obeh podeželskih tipih, pod povprečjem pa v obeh urbaniziranih tipih občin (Nared, 2019).</w:t>
      </w:r>
    </w:p>
    <w:p w14:paraId="32253165" w14:textId="73F24BAE" w:rsidR="00A52F41" w:rsidRPr="00A417A4" w:rsidRDefault="00A52F41" w:rsidP="00A417A4">
      <w:pPr>
        <w:pStyle w:val="SCslika"/>
        <w:keepNext/>
        <w:keepLines/>
      </w:pPr>
      <w:bookmarkStart w:id="34" w:name="_Toc47082370"/>
      <w:bookmarkStart w:id="35" w:name="_Toc47092611"/>
      <w:r w:rsidRPr="00A417A4">
        <w:lastRenderedPageBreak/>
        <w:t>Slika 12: Notranji selitveni prirast po občinah</w:t>
      </w:r>
      <w:r w:rsidR="00CD7948">
        <w:t xml:space="preserve"> za leto</w:t>
      </w:r>
      <w:r w:rsidRPr="00A417A4">
        <w:t>2018</w:t>
      </w:r>
      <w:r w:rsidR="00CD7948">
        <w:t>(</w:t>
      </w:r>
      <w:r w:rsidRPr="00A417A4">
        <w:t>na 1.000 prebivalcev</w:t>
      </w:r>
      <w:r w:rsidR="00CD7948">
        <w:t>)</w:t>
      </w:r>
      <w:r w:rsidRPr="00A417A4">
        <w:t xml:space="preserve"> </w:t>
      </w:r>
      <w:bookmarkEnd w:id="34"/>
      <w:bookmarkEnd w:id="35"/>
    </w:p>
    <w:p w14:paraId="57E4B260" w14:textId="6C9CB3AA" w:rsidR="009E0216" w:rsidRPr="00A52F41" w:rsidRDefault="009E0216" w:rsidP="001D5FC0">
      <w:pPr>
        <w:pStyle w:val="Napis"/>
        <w:spacing w:before="0" w:line="360" w:lineRule="auto"/>
        <w:jc w:val="both"/>
        <w:rPr>
          <w:b/>
          <w:i/>
        </w:rPr>
      </w:pPr>
      <w:r w:rsidRPr="00A52F41">
        <w:rPr>
          <w:b/>
          <w:i/>
          <w:noProof/>
          <w:lang w:eastAsia="sl-SI"/>
        </w:rPr>
        <w:drawing>
          <wp:inline distT="0" distB="0" distL="0" distR="0" wp14:anchorId="48410831" wp14:editId="477B7B30">
            <wp:extent cx="4572000" cy="3287022"/>
            <wp:effectExtent l="19050" t="19050" r="19050" b="2794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ranji selitveni priras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9028" cy="3292074"/>
                    </a:xfrm>
                    <a:prstGeom prst="rect">
                      <a:avLst/>
                    </a:prstGeom>
                    <a:ln w="6350">
                      <a:solidFill>
                        <a:schemeClr val="tx1"/>
                      </a:solidFill>
                    </a:ln>
                  </pic:spPr>
                </pic:pic>
              </a:graphicData>
            </a:graphic>
          </wp:inline>
        </w:drawing>
      </w:r>
    </w:p>
    <w:p w14:paraId="7B9C0009" w14:textId="77777777" w:rsidR="009E0216" w:rsidRPr="00A52F41" w:rsidRDefault="00A52F41" w:rsidP="001D5FC0">
      <w:pPr>
        <w:pStyle w:val="Napis"/>
        <w:spacing w:before="0" w:line="360" w:lineRule="auto"/>
        <w:jc w:val="both"/>
        <w:rPr>
          <w:b/>
          <w:i/>
        </w:rPr>
      </w:pPr>
      <w:r>
        <w:t>Vir: SURS</w:t>
      </w:r>
    </w:p>
    <w:p w14:paraId="4B129C9A" w14:textId="07C61BBD" w:rsidR="009E0216" w:rsidRPr="00A52F41" w:rsidRDefault="009E0216" w:rsidP="001D5FC0">
      <w:pPr>
        <w:spacing w:before="200" w:line="360" w:lineRule="auto"/>
        <w:jc w:val="both"/>
        <w:rPr>
          <w:rFonts w:ascii="Arial" w:hAnsi="Arial" w:cs="Arial"/>
          <w:sz w:val="20"/>
          <w:szCs w:val="20"/>
        </w:rPr>
      </w:pPr>
      <w:r w:rsidRPr="00A52F41">
        <w:rPr>
          <w:rFonts w:ascii="Arial" w:hAnsi="Arial" w:cs="Arial"/>
          <w:sz w:val="20"/>
          <w:szCs w:val="20"/>
        </w:rPr>
        <w:t xml:space="preserve">Leta 2018 je bilo največ selitev v </w:t>
      </w:r>
      <w:r w:rsidR="00D8220A">
        <w:rPr>
          <w:rFonts w:ascii="Arial" w:hAnsi="Arial" w:cs="Arial"/>
          <w:sz w:val="20"/>
          <w:szCs w:val="20"/>
        </w:rPr>
        <w:t xml:space="preserve">občine </w:t>
      </w:r>
      <w:r w:rsidRPr="00A52F41">
        <w:rPr>
          <w:rFonts w:ascii="Arial" w:hAnsi="Arial" w:cs="Arial"/>
          <w:sz w:val="20"/>
          <w:szCs w:val="20"/>
        </w:rPr>
        <w:t>osrednjeslovensk</w:t>
      </w:r>
      <w:r w:rsidR="00D8220A">
        <w:rPr>
          <w:rFonts w:ascii="Arial" w:hAnsi="Arial" w:cs="Arial"/>
          <w:sz w:val="20"/>
          <w:szCs w:val="20"/>
        </w:rPr>
        <w:t>e</w:t>
      </w:r>
      <w:r w:rsidRPr="00A52F41">
        <w:rPr>
          <w:rFonts w:ascii="Arial" w:hAnsi="Arial" w:cs="Arial"/>
          <w:sz w:val="20"/>
          <w:szCs w:val="20"/>
        </w:rPr>
        <w:t xml:space="preserve"> regij</w:t>
      </w:r>
      <w:r w:rsidR="00D8220A">
        <w:rPr>
          <w:rFonts w:ascii="Arial" w:hAnsi="Arial" w:cs="Arial"/>
          <w:sz w:val="20"/>
          <w:szCs w:val="20"/>
        </w:rPr>
        <w:t>e (Slika 12)</w:t>
      </w:r>
      <w:r w:rsidRPr="00A52F41">
        <w:rPr>
          <w:rFonts w:ascii="Arial" w:hAnsi="Arial" w:cs="Arial"/>
          <w:sz w:val="20"/>
          <w:szCs w:val="20"/>
        </w:rPr>
        <w:t>, sledita pa podravska in savinjska regija. Povprečna starost ljudi, ki se selijo, se viša, v letu 2018 je bila 34 let (leta 2005 30,6 let); največ selitev pa je v starostni skupini med mladimi (20–29 let) in v starostnih skupinah med 30–39 let. Notranje selitve so do leta 2012 rasle, od leta 2018 pa padajo. Med mladimi (15–29 let) je bilo največ notranjih selitev leta 2008, in tudi največji delež od vseh selitev, do leta 2018 pa je število selitev in skupni delež padel (34.073 selitev)</w:t>
      </w:r>
      <w:r w:rsidR="00D8220A">
        <w:rPr>
          <w:rFonts w:ascii="Arial" w:hAnsi="Arial" w:cs="Arial"/>
          <w:sz w:val="20"/>
          <w:szCs w:val="20"/>
        </w:rPr>
        <w:t xml:space="preserve"> (Slika 13)</w:t>
      </w:r>
      <w:r w:rsidRPr="00A52F41">
        <w:rPr>
          <w:rFonts w:ascii="Arial" w:hAnsi="Arial" w:cs="Arial"/>
          <w:sz w:val="20"/>
          <w:szCs w:val="20"/>
        </w:rPr>
        <w:t>.</w:t>
      </w:r>
    </w:p>
    <w:p w14:paraId="240E99B6" w14:textId="58A82B4F" w:rsidR="009E0216" w:rsidRPr="00A52F41" w:rsidRDefault="009E0216" w:rsidP="001D5FC0">
      <w:pPr>
        <w:spacing w:before="200" w:line="360" w:lineRule="auto"/>
        <w:jc w:val="both"/>
        <w:rPr>
          <w:rFonts w:ascii="Arial" w:hAnsi="Arial" w:cs="Arial"/>
          <w:sz w:val="20"/>
          <w:szCs w:val="20"/>
        </w:rPr>
      </w:pPr>
      <w:r w:rsidRPr="00A52F41">
        <w:rPr>
          <w:rFonts w:ascii="Arial" w:hAnsi="Arial" w:cs="Arial"/>
          <w:sz w:val="20"/>
          <w:szCs w:val="20"/>
        </w:rPr>
        <w:t xml:space="preserve"> Glede na občine je bilo 60 % vseh priselitev med občinami v Sloveniji na podeželje, odseljenih iz podeželskih občin pa je podoben odstotek. Selitveni prirast na med občinami na podeželju je bil pozitiven (v povprečju 3 osebe). Selitveni prirast na 1.000 prebivalcev tako na podeželje kot v ostala območja pa je bil leta negativen (podeželje -0,5, ostalo -1,4). Skupni selitveni prirast na podeželju je v povprečju 69, večji je v mestnim naseljih (največ v Ljubljani in Mariboru, pa tudi v Domžalah, Novem mestu, Izoli, Velenju, Jesenicah, idr</w:t>
      </w:r>
      <w:r w:rsidR="00F80941">
        <w:rPr>
          <w:rFonts w:ascii="Arial" w:hAnsi="Arial" w:cs="Arial"/>
          <w:sz w:val="20"/>
          <w:szCs w:val="20"/>
        </w:rPr>
        <w:t>.</w:t>
      </w:r>
      <w:r w:rsidRPr="00A52F41">
        <w:rPr>
          <w:rFonts w:ascii="Arial" w:hAnsi="Arial" w:cs="Arial"/>
          <w:sz w:val="20"/>
          <w:szCs w:val="20"/>
        </w:rPr>
        <w:t>). Leta 2018 je bilo na podeželje iz tujine priseljenih 12.449 ljudi (44 % vseh priselitev v Slovenijo), iz podeželja pa je bilo odseljenih manj (5.890 ljudi oz. 44 % vseh odseljenih). Iz podeželja se je odselilo in priselilo več moških.</w:t>
      </w:r>
    </w:p>
    <w:p w14:paraId="288546CD" w14:textId="77134684" w:rsidR="009E0216" w:rsidRPr="00D062C2" w:rsidRDefault="009E0216" w:rsidP="001D5FC0">
      <w:pPr>
        <w:pStyle w:val="Default"/>
        <w:spacing w:before="200" w:after="200" w:line="360" w:lineRule="auto"/>
        <w:jc w:val="both"/>
        <w:rPr>
          <w:lang w:val="sl-SI"/>
        </w:rPr>
      </w:pPr>
      <w:r w:rsidRPr="00A52F41">
        <w:rPr>
          <w:rFonts w:ascii="Arial" w:hAnsi="Arial" w:cs="Arial"/>
          <w:color w:val="auto"/>
          <w:sz w:val="20"/>
          <w:szCs w:val="20"/>
          <w:lang w:val="sl-SI"/>
        </w:rPr>
        <w:t>Glede na javnomnenjsko raziskavo družbenih vrednot o prostoru in okolju, kateri je bila izvedena primerjava med leti 2004 in 2018, so bili leta 2018 najpogostejši razlogi za preselitve poroka, služba in delovno mesto, nakup stanovanja ali hiše. Sledili</w:t>
      </w:r>
      <w:r w:rsidR="00AA3051">
        <w:rPr>
          <w:rFonts w:ascii="Arial" w:hAnsi="Arial" w:cs="Arial"/>
          <w:color w:val="auto"/>
          <w:sz w:val="20"/>
          <w:szCs w:val="20"/>
          <w:lang w:val="sl-SI"/>
        </w:rPr>
        <w:t xml:space="preserve"> so naslednji razlogi, ki so</w:t>
      </w:r>
      <w:r w:rsidRPr="00A52F41">
        <w:rPr>
          <w:rFonts w:ascii="Arial" w:hAnsi="Arial" w:cs="Arial"/>
          <w:color w:val="auto"/>
          <w:sz w:val="20"/>
          <w:szCs w:val="20"/>
          <w:lang w:val="sl-SI"/>
        </w:rPr>
        <w:t xml:space="preserve"> se v primerjavi z letom 2004 tudi povečali: večja dostopnost do raznovrstnih storitev, nižji življenjski stroški ter kvaliteta bivalnega okolja in večja pestrost dogajanja v kraju (CRP 2017, ARRS, MOP). </w:t>
      </w:r>
    </w:p>
    <w:p w14:paraId="1BF9F453" w14:textId="37B7B06B" w:rsidR="00A52F41" w:rsidRPr="00A417A4" w:rsidRDefault="00A52F41" w:rsidP="00A417A4">
      <w:pPr>
        <w:pStyle w:val="SCslika"/>
        <w:keepNext/>
        <w:keepLines/>
      </w:pPr>
      <w:bookmarkStart w:id="36" w:name="_Toc47082371"/>
      <w:bookmarkStart w:id="37" w:name="_Toc47092612"/>
      <w:r w:rsidRPr="00A417A4">
        <w:lastRenderedPageBreak/>
        <w:t xml:space="preserve">Slika 13: Notranje selitve med mladimi </w:t>
      </w:r>
      <w:r w:rsidR="00F93492">
        <w:t xml:space="preserve">za </w:t>
      </w:r>
      <w:r w:rsidRPr="00A417A4">
        <w:t>let</w:t>
      </w:r>
      <w:r w:rsidR="00F93492">
        <w:t>o</w:t>
      </w:r>
      <w:r w:rsidRPr="00A417A4">
        <w:t xml:space="preserve"> 2018</w:t>
      </w:r>
      <w:bookmarkEnd w:id="36"/>
      <w:bookmarkEnd w:id="37"/>
    </w:p>
    <w:p w14:paraId="5F1EE36D" w14:textId="31A2C7BE" w:rsidR="009E0216" w:rsidRPr="00A52F41" w:rsidRDefault="009E0216" w:rsidP="00CD7948">
      <w:pPr>
        <w:pStyle w:val="Napis"/>
        <w:spacing w:line="240" w:lineRule="auto"/>
        <w:jc w:val="both"/>
        <w:rPr>
          <w:sz w:val="20"/>
          <w:szCs w:val="20"/>
        </w:rPr>
      </w:pPr>
      <w:r w:rsidRPr="00A52F41">
        <w:rPr>
          <w:noProof/>
          <w:sz w:val="20"/>
          <w:szCs w:val="20"/>
          <w:lang w:eastAsia="sl-SI"/>
        </w:rPr>
        <w:drawing>
          <wp:inline distT="0" distB="0" distL="0" distR="0" wp14:anchorId="278A50D0" wp14:editId="14290D6E">
            <wp:extent cx="5210355" cy="2639683"/>
            <wp:effectExtent l="0" t="0" r="9525" b="8890"/>
            <wp:docPr id="1631865539" name="Grafikon 1631865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F07AD2E" w14:textId="77777777" w:rsidR="009E0216" w:rsidRPr="00A52F41" w:rsidRDefault="00A52F41" w:rsidP="00CD7948">
      <w:pPr>
        <w:spacing w:line="240" w:lineRule="auto"/>
        <w:jc w:val="both"/>
        <w:rPr>
          <w:rFonts w:ascii="Arial" w:hAnsi="Arial" w:cs="Arial"/>
          <w:sz w:val="16"/>
          <w:szCs w:val="16"/>
        </w:rPr>
      </w:pPr>
      <w:r w:rsidRPr="00A52F41">
        <w:rPr>
          <w:rFonts w:ascii="Arial" w:hAnsi="Arial" w:cs="Arial"/>
          <w:sz w:val="16"/>
          <w:szCs w:val="16"/>
        </w:rPr>
        <w:t>Vir: SURS, lastni preračuni</w:t>
      </w:r>
    </w:p>
    <w:p w14:paraId="248B9CB9" w14:textId="77777777"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Konec leta 2018 je vsaka druga delovno aktivna oseba (52,9 % ali 457.000 oseb) odhajala na delo v drugo občino. Delovni migranti so bili v večjem odstotku moški kot ženske. S tokovi delovnih migracij je bila številčno najbolj obremenjena občina Ljubljana (dnevno prihaja na delo 127.600 oseb iz drugih občin). Osrednjeslovenska statistična regija je še naprej edina, ki ima več delovnih mest kot delovno aktivnih prebivalcev (SURS, 2020).</w:t>
      </w:r>
      <w:r w:rsidRPr="00A52F41">
        <w:rPr>
          <w:rFonts w:ascii="Arial" w:hAnsi="Arial" w:cs="Arial"/>
          <w:b/>
          <w:sz w:val="20"/>
          <w:szCs w:val="20"/>
        </w:rPr>
        <w:t xml:space="preserve"> </w:t>
      </w:r>
      <w:r w:rsidRPr="00A52F41">
        <w:rPr>
          <w:rFonts w:ascii="Arial" w:hAnsi="Arial" w:cs="Arial"/>
          <w:sz w:val="20"/>
          <w:szCs w:val="20"/>
        </w:rPr>
        <w:t>Od delovno aktivnih v zasavski statistični regiji jih je v 2018 delalo zunaj regije svojega prebivališča 52 %, od delovno aktivnih v posavski, gorenjski in primorsko–notranjski statistični regiji po več kot četrtina, od delovno aktivnih v osrednjeslovenski statistični re</w:t>
      </w:r>
      <w:r w:rsidR="00A52F41">
        <w:rPr>
          <w:rFonts w:ascii="Arial" w:hAnsi="Arial" w:cs="Arial"/>
          <w:sz w:val="20"/>
          <w:szCs w:val="20"/>
        </w:rPr>
        <w:t xml:space="preserve">giji pa le 9,6 % (SURS, 2020). </w:t>
      </w:r>
    </w:p>
    <w:p w14:paraId="1B0824F9" w14:textId="1C23F006"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Selitveni prirast s tujino (meddržavne selitve) je bil med leti 2008 in 2018 negativen, opaža pa se, da od leta 2015 raste. Seli se več moških kot žensk, kar je še izrazito v  letu 2018, ko je </w:t>
      </w:r>
      <w:r w:rsidR="00A52F41">
        <w:rPr>
          <w:rFonts w:ascii="Arial" w:hAnsi="Arial" w:cs="Arial"/>
          <w:sz w:val="20"/>
          <w:szCs w:val="20"/>
        </w:rPr>
        <w:t xml:space="preserve">bilo 77 % priseljenih moških. </w:t>
      </w:r>
    </w:p>
    <w:p w14:paraId="227F2E0A" w14:textId="77777777" w:rsidR="00A52F41"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V letu 2018 se je iz Slovenije v druge evropske države odselilo 11.140 ljudi, največ v Nemčijo, Avstrijo, Švico, na Hrvaško in druge države članice EU. Največ odseljenih v tujino je mladih v starostni skupini 24–29 let, saj se je leta 2014 v tujino odselilo 4.000 mladih, največ v A</w:t>
      </w:r>
      <w:r w:rsidR="00EA2E4C">
        <w:rPr>
          <w:rFonts w:ascii="Arial" w:hAnsi="Arial" w:cs="Arial"/>
          <w:sz w:val="20"/>
          <w:szCs w:val="20"/>
        </w:rPr>
        <w:t>vstrijo, Nemčijo in na Hrvaško.</w:t>
      </w:r>
    </w:p>
    <w:p w14:paraId="0415F759" w14:textId="074D1C19" w:rsidR="009E0216" w:rsidRPr="00A417A4" w:rsidRDefault="005B0F81" w:rsidP="00A417A4">
      <w:pPr>
        <w:pStyle w:val="SCslika"/>
        <w:keepNext/>
        <w:keepLines/>
      </w:pPr>
      <w:bookmarkStart w:id="38" w:name="_Toc47092637"/>
      <w:r w:rsidRPr="00A417A4">
        <w:t>Tabela 8</w:t>
      </w:r>
      <w:r w:rsidR="009E0216" w:rsidRPr="00A417A4">
        <w:t>: Meddržavne selitve</w:t>
      </w:r>
      <w:r w:rsidR="00CD7948">
        <w:t xml:space="preserve"> (selitveni prirast s tujino)</w:t>
      </w:r>
      <w:r w:rsidR="009E0216" w:rsidRPr="00A417A4">
        <w:t xml:space="preserve"> po letih</w:t>
      </w:r>
      <w:bookmarkEnd w:id="38"/>
    </w:p>
    <w:tbl>
      <w:tblPr>
        <w:tblW w:w="5116" w:type="pct"/>
        <w:tblLayout w:type="fixed"/>
        <w:tblCellMar>
          <w:left w:w="70" w:type="dxa"/>
          <w:right w:w="70" w:type="dxa"/>
        </w:tblCellMar>
        <w:tblLook w:val="04A0" w:firstRow="1" w:lastRow="0" w:firstColumn="1" w:lastColumn="0" w:noHBand="0" w:noVBand="1"/>
      </w:tblPr>
      <w:tblGrid>
        <w:gridCol w:w="1025"/>
        <w:gridCol w:w="749"/>
        <w:gridCol w:w="749"/>
        <w:gridCol w:w="751"/>
        <w:gridCol w:w="749"/>
        <w:gridCol w:w="749"/>
        <w:gridCol w:w="751"/>
        <w:gridCol w:w="749"/>
        <w:gridCol w:w="749"/>
        <w:gridCol w:w="751"/>
        <w:gridCol w:w="749"/>
        <w:gridCol w:w="751"/>
      </w:tblGrid>
      <w:tr w:rsidR="00EA36E1" w:rsidRPr="00A52F41" w14:paraId="161E58BE" w14:textId="77777777" w:rsidTr="00EA36E1">
        <w:trPr>
          <w:trHeight w:val="281"/>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ED045" w14:textId="77777777" w:rsidR="009E0216" w:rsidRPr="00A52F41" w:rsidRDefault="009E0216" w:rsidP="00F33DB3">
            <w:pPr>
              <w:spacing w:before="120" w:after="0" w:line="312" w:lineRule="auto"/>
              <w:jc w:val="both"/>
              <w:rPr>
                <w:rFonts w:ascii="Arial" w:hAnsi="Arial" w:cs="Arial"/>
                <w:sz w:val="20"/>
                <w:szCs w:val="20"/>
              </w:rPr>
            </w:pPr>
            <w:r w:rsidRPr="00A52F41">
              <w:rPr>
                <w:rFonts w:ascii="Arial" w:hAnsi="Arial" w:cs="Arial"/>
                <w:sz w:val="20"/>
                <w:szCs w:val="20"/>
              </w:rPr>
              <w:t> </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0848D717" w14:textId="77777777" w:rsidR="009E0216" w:rsidRPr="00CD7948" w:rsidRDefault="009E0216" w:rsidP="00F33DB3">
            <w:pPr>
              <w:spacing w:before="120" w:after="0" w:line="312" w:lineRule="auto"/>
              <w:jc w:val="both"/>
              <w:rPr>
                <w:rFonts w:ascii="Arial" w:hAnsi="Arial" w:cs="Arial"/>
                <w:b/>
                <w:sz w:val="20"/>
                <w:szCs w:val="20"/>
              </w:rPr>
            </w:pPr>
            <w:r w:rsidRPr="00CD7948">
              <w:rPr>
                <w:rFonts w:ascii="Arial" w:hAnsi="Arial" w:cs="Arial"/>
                <w:b/>
                <w:sz w:val="20"/>
                <w:szCs w:val="20"/>
              </w:rPr>
              <w:t>2008</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6D702FAC" w14:textId="77777777" w:rsidR="009E0216" w:rsidRPr="00CD7948" w:rsidRDefault="009E0216" w:rsidP="00F33DB3">
            <w:pPr>
              <w:spacing w:before="120" w:after="0" w:line="312" w:lineRule="auto"/>
              <w:jc w:val="both"/>
              <w:rPr>
                <w:rFonts w:ascii="Arial" w:hAnsi="Arial" w:cs="Arial"/>
                <w:b/>
                <w:sz w:val="20"/>
                <w:szCs w:val="20"/>
              </w:rPr>
            </w:pPr>
            <w:r w:rsidRPr="00CD7948">
              <w:rPr>
                <w:rFonts w:ascii="Arial" w:hAnsi="Arial" w:cs="Arial"/>
                <w:b/>
                <w:sz w:val="20"/>
                <w:szCs w:val="20"/>
              </w:rPr>
              <w:t>2009</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03E1BAAC" w14:textId="77777777" w:rsidR="009E0216" w:rsidRPr="00CD7948" w:rsidRDefault="009E0216" w:rsidP="00F33DB3">
            <w:pPr>
              <w:spacing w:before="120" w:after="0" w:line="312" w:lineRule="auto"/>
              <w:jc w:val="both"/>
              <w:rPr>
                <w:rFonts w:ascii="Arial" w:hAnsi="Arial" w:cs="Arial"/>
                <w:b/>
                <w:sz w:val="20"/>
                <w:szCs w:val="20"/>
              </w:rPr>
            </w:pPr>
            <w:r w:rsidRPr="00CD7948">
              <w:rPr>
                <w:rFonts w:ascii="Arial" w:hAnsi="Arial" w:cs="Arial"/>
                <w:b/>
                <w:sz w:val="20"/>
                <w:szCs w:val="20"/>
              </w:rPr>
              <w:t>2010</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05C2FC3B" w14:textId="77777777" w:rsidR="009E0216" w:rsidRPr="00CD7948" w:rsidRDefault="009E0216" w:rsidP="00F33DB3">
            <w:pPr>
              <w:spacing w:before="120" w:after="0" w:line="312" w:lineRule="auto"/>
              <w:jc w:val="both"/>
              <w:rPr>
                <w:rFonts w:ascii="Arial" w:hAnsi="Arial" w:cs="Arial"/>
                <w:b/>
                <w:sz w:val="20"/>
                <w:szCs w:val="20"/>
              </w:rPr>
            </w:pPr>
            <w:r w:rsidRPr="00CD7948">
              <w:rPr>
                <w:rFonts w:ascii="Arial" w:hAnsi="Arial" w:cs="Arial"/>
                <w:b/>
                <w:sz w:val="20"/>
                <w:szCs w:val="20"/>
              </w:rPr>
              <w:t>2011</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24530933" w14:textId="77777777" w:rsidR="009E0216" w:rsidRPr="00CD7948" w:rsidRDefault="009E0216" w:rsidP="00F33DB3">
            <w:pPr>
              <w:spacing w:before="120" w:after="0" w:line="312" w:lineRule="auto"/>
              <w:jc w:val="both"/>
              <w:rPr>
                <w:rFonts w:ascii="Arial" w:hAnsi="Arial" w:cs="Arial"/>
                <w:b/>
                <w:sz w:val="20"/>
                <w:szCs w:val="20"/>
              </w:rPr>
            </w:pPr>
            <w:r w:rsidRPr="00CD7948">
              <w:rPr>
                <w:rFonts w:ascii="Arial" w:hAnsi="Arial" w:cs="Arial"/>
                <w:b/>
                <w:sz w:val="20"/>
                <w:szCs w:val="20"/>
              </w:rPr>
              <w:t>2012</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2094B1FC" w14:textId="77777777" w:rsidR="009E0216" w:rsidRPr="00CD7948" w:rsidRDefault="009E0216" w:rsidP="00F33DB3">
            <w:pPr>
              <w:spacing w:before="120" w:after="0" w:line="312" w:lineRule="auto"/>
              <w:jc w:val="both"/>
              <w:rPr>
                <w:rFonts w:ascii="Arial" w:hAnsi="Arial" w:cs="Arial"/>
                <w:b/>
                <w:sz w:val="20"/>
                <w:szCs w:val="20"/>
              </w:rPr>
            </w:pPr>
            <w:r w:rsidRPr="00CD7948">
              <w:rPr>
                <w:rFonts w:ascii="Arial" w:hAnsi="Arial" w:cs="Arial"/>
                <w:b/>
                <w:sz w:val="20"/>
                <w:szCs w:val="20"/>
              </w:rPr>
              <w:t>2013</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037CDCD4" w14:textId="77777777" w:rsidR="009E0216" w:rsidRPr="00CD7948" w:rsidRDefault="009E0216" w:rsidP="00F33DB3">
            <w:pPr>
              <w:spacing w:before="120" w:after="0" w:line="312" w:lineRule="auto"/>
              <w:jc w:val="both"/>
              <w:rPr>
                <w:rFonts w:ascii="Arial" w:hAnsi="Arial" w:cs="Arial"/>
                <w:b/>
                <w:sz w:val="20"/>
                <w:szCs w:val="20"/>
              </w:rPr>
            </w:pPr>
            <w:r w:rsidRPr="00CD7948">
              <w:rPr>
                <w:rFonts w:ascii="Arial" w:hAnsi="Arial" w:cs="Arial"/>
                <w:b/>
                <w:sz w:val="20"/>
                <w:szCs w:val="20"/>
              </w:rPr>
              <w:t>2014</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6830610B" w14:textId="77777777" w:rsidR="009E0216" w:rsidRPr="00CD7948" w:rsidRDefault="009E0216" w:rsidP="00F33DB3">
            <w:pPr>
              <w:spacing w:before="120" w:after="0" w:line="312" w:lineRule="auto"/>
              <w:jc w:val="both"/>
              <w:rPr>
                <w:rFonts w:ascii="Arial" w:hAnsi="Arial" w:cs="Arial"/>
                <w:b/>
                <w:sz w:val="20"/>
                <w:szCs w:val="20"/>
              </w:rPr>
            </w:pPr>
            <w:r w:rsidRPr="00CD7948">
              <w:rPr>
                <w:rFonts w:ascii="Arial" w:hAnsi="Arial" w:cs="Arial"/>
                <w:b/>
                <w:sz w:val="20"/>
                <w:szCs w:val="20"/>
              </w:rPr>
              <w:t>2015</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2307CD65" w14:textId="77777777" w:rsidR="009E0216" w:rsidRPr="00CD7948" w:rsidRDefault="009E0216" w:rsidP="00F33DB3">
            <w:pPr>
              <w:spacing w:before="120" w:after="0" w:line="312" w:lineRule="auto"/>
              <w:jc w:val="both"/>
              <w:rPr>
                <w:rFonts w:ascii="Arial" w:hAnsi="Arial" w:cs="Arial"/>
                <w:b/>
                <w:sz w:val="20"/>
                <w:szCs w:val="20"/>
              </w:rPr>
            </w:pPr>
            <w:r w:rsidRPr="00CD7948">
              <w:rPr>
                <w:rFonts w:ascii="Arial" w:hAnsi="Arial" w:cs="Arial"/>
                <w:b/>
                <w:sz w:val="20"/>
                <w:szCs w:val="20"/>
              </w:rPr>
              <w:t>2016</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7D5F72D4" w14:textId="77777777" w:rsidR="009E0216" w:rsidRPr="00CD7948" w:rsidRDefault="009E0216" w:rsidP="00F33DB3">
            <w:pPr>
              <w:spacing w:before="120" w:after="0" w:line="312" w:lineRule="auto"/>
              <w:jc w:val="both"/>
              <w:rPr>
                <w:rFonts w:ascii="Arial" w:hAnsi="Arial" w:cs="Arial"/>
                <w:b/>
                <w:sz w:val="20"/>
                <w:szCs w:val="20"/>
              </w:rPr>
            </w:pPr>
            <w:r w:rsidRPr="00CD7948">
              <w:rPr>
                <w:rFonts w:ascii="Arial" w:hAnsi="Arial" w:cs="Arial"/>
                <w:b/>
                <w:sz w:val="20"/>
                <w:szCs w:val="20"/>
              </w:rPr>
              <w:t>2017</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51C538BC" w14:textId="77777777" w:rsidR="009E0216" w:rsidRPr="00CD7948" w:rsidRDefault="009E0216" w:rsidP="00F33DB3">
            <w:pPr>
              <w:spacing w:before="120" w:after="0" w:line="312" w:lineRule="auto"/>
              <w:jc w:val="both"/>
              <w:rPr>
                <w:rFonts w:ascii="Arial" w:hAnsi="Arial" w:cs="Arial"/>
                <w:b/>
                <w:sz w:val="20"/>
                <w:szCs w:val="20"/>
              </w:rPr>
            </w:pPr>
            <w:r w:rsidRPr="00CD7948">
              <w:rPr>
                <w:rFonts w:ascii="Arial" w:hAnsi="Arial" w:cs="Arial"/>
                <w:b/>
                <w:sz w:val="20"/>
                <w:szCs w:val="20"/>
              </w:rPr>
              <w:t>2018</w:t>
            </w:r>
          </w:p>
        </w:tc>
      </w:tr>
      <w:tr w:rsidR="00EA36E1" w:rsidRPr="00A52F41" w14:paraId="0549BE2F" w14:textId="77777777" w:rsidTr="00EA36E1">
        <w:trPr>
          <w:trHeight w:val="281"/>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1A313" w14:textId="77777777" w:rsidR="009E0216" w:rsidRPr="00CD7948" w:rsidRDefault="009E0216" w:rsidP="00F33DB3">
            <w:pPr>
              <w:spacing w:before="120" w:after="0" w:line="312" w:lineRule="auto"/>
              <w:jc w:val="both"/>
              <w:rPr>
                <w:rFonts w:ascii="Arial" w:hAnsi="Arial" w:cs="Arial"/>
                <w:b/>
                <w:sz w:val="20"/>
                <w:szCs w:val="20"/>
              </w:rPr>
            </w:pPr>
            <w:r w:rsidRPr="00CD7948">
              <w:rPr>
                <w:rFonts w:ascii="Arial" w:hAnsi="Arial" w:cs="Arial"/>
                <w:b/>
                <w:sz w:val="20"/>
                <w:szCs w:val="20"/>
              </w:rPr>
              <w:t>Moški</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46E9EE03" w14:textId="1E3DDDB9"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15</w:t>
            </w:r>
            <w:r w:rsidR="00EA36E1">
              <w:rPr>
                <w:rFonts w:ascii="Arial" w:hAnsi="Arial" w:cs="Arial"/>
                <w:sz w:val="20"/>
                <w:szCs w:val="20"/>
              </w:rPr>
              <w:t>.</w:t>
            </w:r>
            <w:r w:rsidRPr="00A52F41">
              <w:rPr>
                <w:rFonts w:ascii="Arial" w:hAnsi="Arial" w:cs="Arial"/>
                <w:sz w:val="20"/>
                <w:szCs w:val="20"/>
              </w:rPr>
              <w:t>625</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175CC854" w14:textId="304CEA9F"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8</w:t>
            </w:r>
            <w:r w:rsidR="00EA36E1">
              <w:rPr>
                <w:rFonts w:ascii="Arial" w:hAnsi="Arial" w:cs="Arial"/>
                <w:sz w:val="20"/>
                <w:szCs w:val="20"/>
              </w:rPr>
              <w:t>.</w:t>
            </w:r>
            <w:r w:rsidRPr="00A52F41">
              <w:rPr>
                <w:rFonts w:ascii="Arial" w:hAnsi="Arial" w:cs="Arial"/>
                <w:sz w:val="20"/>
                <w:szCs w:val="20"/>
              </w:rPr>
              <w:t>157</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5D7DECD2" w14:textId="268A9733"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-1</w:t>
            </w:r>
            <w:r w:rsidR="00EA36E1">
              <w:rPr>
                <w:rFonts w:ascii="Arial" w:hAnsi="Arial" w:cs="Arial"/>
                <w:sz w:val="20"/>
                <w:szCs w:val="20"/>
              </w:rPr>
              <w:t>.</w:t>
            </w:r>
            <w:r w:rsidRPr="00A52F41">
              <w:rPr>
                <w:rFonts w:ascii="Arial" w:hAnsi="Arial" w:cs="Arial"/>
                <w:sz w:val="20"/>
                <w:szCs w:val="20"/>
              </w:rPr>
              <w:t>745</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42F317DE" w14:textId="77777777"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166</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02E788DA" w14:textId="77777777"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403</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0779C793" w14:textId="77777777"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563</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65EA049B" w14:textId="77777777"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-367</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5DBF939A" w14:textId="77777777"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239</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198E5BAE" w14:textId="27F22752"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1</w:t>
            </w:r>
            <w:r w:rsidR="00EA36E1">
              <w:rPr>
                <w:rFonts w:ascii="Arial" w:hAnsi="Arial" w:cs="Arial"/>
                <w:sz w:val="20"/>
                <w:szCs w:val="20"/>
              </w:rPr>
              <w:t>.</w:t>
            </w:r>
            <w:r w:rsidRPr="00A52F41">
              <w:rPr>
                <w:rFonts w:ascii="Arial" w:hAnsi="Arial" w:cs="Arial"/>
                <w:sz w:val="20"/>
                <w:szCs w:val="20"/>
              </w:rPr>
              <w:t>089</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055FE8CC" w14:textId="145FDA4A"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1</w:t>
            </w:r>
            <w:r w:rsidR="00EA36E1">
              <w:rPr>
                <w:rFonts w:ascii="Arial" w:hAnsi="Arial" w:cs="Arial"/>
                <w:sz w:val="20"/>
                <w:szCs w:val="20"/>
              </w:rPr>
              <w:t>.</w:t>
            </w:r>
            <w:r w:rsidRPr="00A52F41">
              <w:rPr>
                <w:rFonts w:ascii="Arial" w:hAnsi="Arial" w:cs="Arial"/>
                <w:sz w:val="20"/>
                <w:szCs w:val="20"/>
              </w:rPr>
              <w:t>570</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4B7291A2" w14:textId="103E1900"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11</w:t>
            </w:r>
            <w:r w:rsidR="00EA36E1">
              <w:rPr>
                <w:rFonts w:ascii="Arial" w:hAnsi="Arial" w:cs="Arial"/>
                <w:sz w:val="20"/>
                <w:szCs w:val="20"/>
              </w:rPr>
              <w:t>.</w:t>
            </w:r>
            <w:r w:rsidRPr="00A52F41">
              <w:rPr>
                <w:rFonts w:ascii="Arial" w:hAnsi="Arial" w:cs="Arial"/>
                <w:sz w:val="20"/>
                <w:szCs w:val="20"/>
              </w:rPr>
              <w:t>565</w:t>
            </w:r>
          </w:p>
        </w:tc>
      </w:tr>
      <w:tr w:rsidR="00EA36E1" w:rsidRPr="00A52F41" w14:paraId="0E65A5B7" w14:textId="77777777" w:rsidTr="00F33DB3">
        <w:trPr>
          <w:trHeight w:val="281"/>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1CBBD" w14:textId="77777777" w:rsidR="009E0216" w:rsidRPr="00CD7948" w:rsidRDefault="009E0216" w:rsidP="00F33DB3">
            <w:pPr>
              <w:spacing w:before="120" w:after="0" w:line="312" w:lineRule="auto"/>
              <w:jc w:val="both"/>
              <w:rPr>
                <w:rFonts w:ascii="Arial" w:hAnsi="Arial" w:cs="Arial"/>
                <w:b/>
                <w:sz w:val="20"/>
                <w:szCs w:val="20"/>
              </w:rPr>
            </w:pPr>
            <w:r w:rsidRPr="00CD7948">
              <w:rPr>
                <w:rFonts w:ascii="Arial" w:hAnsi="Arial" w:cs="Arial"/>
                <w:b/>
                <w:sz w:val="20"/>
                <w:szCs w:val="20"/>
              </w:rPr>
              <w:t>Ženske</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3AC21A7B" w14:textId="5224A694"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2</w:t>
            </w:r>
            <w:r w:rsidR="00EA36E1">
              <w:rPr>
                <w:rFonts w:ascii="Arial" w:hAnsi="Arial" w:cs="Arial"/>
                <w:sz w:val="20"/>
                <w:szCs w:val="20"/>
              </w:rPr>
              <w:t>.</w:t>
            </w:r>
            <w:r w:rsidRPr="00A52F41">
              <w:rPr>
                <w:rFonts w:ascii="Arial" w:hAnsi="Arial" w:cs="Arial"/>
                <w:sz w:val="20"/>
                <w:szCs w:val="20"/>
              </w:rPr>
              <w:t>959</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437EAE3C" w14:textId="484AFB7F"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3</w:t>
            </w:r>
            <w:r w:rsidR="00EA36E1">
              <w:rPr>
                <w:rFonts w:ascii="Arial" w:hAnsi="Arial" w:cs="Arial"/>
                <w:sz w:val="20"/>
                <w:szCs w:val="20"/>
              </w:rPr>
              <w:t>.</w:t>
            </w:r>
            <w:r w:rsidRPr="00A52F41">
              <w:rPr>
                <w:rFonts w:ascii="Arial" w:hAnsi="Arial" w:cs="Arial"/>
                <w:sz w:val="20"/>
                <w:szCs w:val="20"/>
              </w:rPr>
              <w:t>351</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6DEF0D8F" w14:textId="35CBF702"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1</w:t>
            </w:r>
            <w:r w:rsidR="00EA36E1">
              <w:rPr>
                <w:rFonts w:ascii="Arial" w:hAnsi="Arial" w:cs="Arial"/>
                <w:sz w:val="20"/>
                <w:szCs w:val="20"/>
              </w:rPr>
              <w:t>.</w:t>
            </w:r>
            <w:r w:rsidRPr="00A52F41">
              <w:rPr>
                <w:rFonts w:ascii="Arial" w:hAnsi="Arial" w:cs="Arial"/>
                <w:sz w:val="20"/>
                <w:szCs w:val="20"/>
              </w:rPr>
              <w:t>224</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06E81805" w14:textId="6AEE06A9"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1</w:t>
            </w:r>
            <w:r w:rsidR="00EA36E1">
              <w:rPr>
                <w:rFonts w:ascii="Arial" w:hAnsi="Arial" w:cs="Arial"/>
                <w:sz w:val="20"/>
                <w:szCs w:val="20"/>
              </w:rPr>
              <w:t>.</w:t>
            </w:r>
            <w:r w:rsidRPr="00A52F41">
              <w:rPr>
                <w:rFonts w:ascii="Arial" w:hAnsi="Arial" w:cs="Arial"/>
                <w:sz w:val="20"/>
                <w:szCs w:val="20"/>
              </w:rPr>
              <w:t>893</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10EE2F0B" w14:textId="77777777"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241</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1C8F6774" w14:textId="77777777"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-76</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4480984B" w14:textId="77777777"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-123</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145F5635" w14:textId="77777777"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268</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287AE461" w14:textId="77777777"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-38</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0D982EC3" w14:textId="77777777"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-317</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2246BA4B" w14:textId="0BFA7E5B" w:rsidR="009E0216" w:rsidRPr="00A52F41" w:rsidRDefault="009E0216" w:rsidP="00F33DB3">
            <w:pPr>
              <w:spacing w:before="120" w:after="0" w:line="312" w:lineRule="auto"/>
              <w:jc w:val="right"/>
              <w:rPr>
                <w:rFonts w:ascii="Arial" w:hAnsi="Arial" w:cs="Arial"/>
                <w:sz w:val="20"/>
                <w:szCs w:val="20"/>
              </w:rPr>
            </w:pPr>
            <w:r w:rsidRPr="00A52F41">
              <w:rPr>
                <w:rFonts w:ascii="Arial" w:hAnsi="Arial" w:cs="Arial"/>
                <w:sz w:val="20"/>
                <w:szCs w:val="20"/>
              </w:rPr>
              <w:t>3</w:t>
            </w:r>
            <w:r w:rsidR="00EA36E1">
              <w:rPr>
                <w:rFonts w:ascii="Arial" w:hAnsi="Arial" w:cs="Arial"/>
                <w:sz w:val="20"/>
                <w:szCs w:val="20"/>
              </w:rPr>
              <w:t>.</w:t>
            </w:r>
            <w:r w:rsidRPr="00A52F41">
              <w:rPr>
                <w:rFonts w:ascii="Arial" w:hAnsi="Arial" w:cs="Arial"/>
                <w:sz w:val="20"/>
                <w:szCs w:val="20"/>
              </w:rPr>
              <w:t>363</w:t>
            </w:r>
          </w:p>
        </w:tc>
      </w:tr>
      <w:tr w:rsidR="00EA36E1" w:rsidRPr="00A52F41" w14:paraId="1C4D6F21" w14:textId="77777777" w:rsidTr="00F33DB3">
        <w:trPr>
          <w:trHeight w:val="281"/>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2420B" w14:textId="77777777" w:rsidR="00CD7948" w:rsidRPr="00CD7948" w:rsidRDefault="00CD7948" w:rsidP="00F33DB3">
            <w:pPr>
              <w:spacing w:before="120" w:after="0" w:line="312" w:lineRule="auto"/>
              <w:jc w:val="both"/>
              <w:rPr>
                <w:rFonts w:ascii="Arial" w:hAnsi="Arial" w:cs="Arial"/>
                <w:b/>
                <w:sz w:val="20"/>
                <w:szCs w:val="20"/>
              </w:rPr>
            </w:pPr>
            <w:r>
              <w:rPr>
                <w:rFonts w:ascii="Arial" w:hAnsi="Arial" w:cs="Arial"/>
                <w:b/>
                <w:sz w:val="20"/>
                <w:szCs w:val="20"/>
              </w:rPr>
              <w:t>Skupaj</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220C64C8" w14:textId="2FB5B75B" w:rsidR="00CD7948" w:rsidRPr="00A52F41" w:rsidRDefault="00CD7948" w:rsidP="00F33DB3">
            <w:pPr>
              <w:spacing w:before="120" w:after="0" w:line="312" w:lineRule="auto"/>
              <w:jc w:val="right"/>
              <w:rPr>
                <w:rFonts w:ascii="Arial" w:hAnsi="Arial" w:cs="Arial"/>
                <w:sz w:val="20"/>
                <w:szCs w:val="20"/>
              </w:rPr>
            </w:pPr>
            <w:r w:rsidRPr="00A52F41">
              <w:rPr>
                <w:rFonts w:ascii="Arial" w:hAnsi="Arial" w:cs="Arial"/>
                <w:sz w:val="20"/>
                <w:szCs w:val="20"/>
              </w:rPr>
              <w:t>18</w:t>
            </w:r>
            <w:r w:rsidR="00EA36E1">
              <w:rPr>
                <w:rFonts w:ascii="Arial" w:hAnsi="Arial" w:cs="Arial"/>
                <w:sz w:val="20"/>
                <w:szCs w:val="20"/>
              </w:rPr>
              <w:t>.</w:t>
            </w:r>
            <w:r w:rsidRPr="00A52F41">
              <w:rPr>
                <w:rFonts w:ascii="Arial" w:hAnsi="Arial" w:cs="Arial"/>
                <w:sz w:val="20"/>
                <w:szCs w:val="20"/>
              </w:rPr>
              <w:t>584</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50831CC1" w14:textId="6DC311E1" w:rsidR="00CD7948" w:rsidRPr="00A52F41" w:rsidRDefault="00CD7948" w:rsidP="00F33DB3">
            <w:pPr>
              <w:spacing w:before="120" w:after="0" w:line="312" w:lineRule="auto"/>
              <w:jc w:val="right"/>
              <w:rPr>
                <w:rFonts w:ascii="Arial" w:hAnsi="Arial" w:cs="Arial"/>
                <w:sz w:val="20"/>
                <w:szCs w:val="20"/>
              </w:rPr>
            </w:pPr>
            <w:r w:rsidRPr="00A52F41">
              <w:rPr>
                <w:rFonts w:ascii="Arial" w:hAnsi="Arial" w:cs="Arial"/>
                <w:sz w:val="20"/>
                <w:szCs w:val="20"/>
              </w:rPr>
              <w:t>11</w:t>
            </w:r>
            <w:r w:rsidR="00EA36E1">
              <w:rPr>
                <w:rFonts w:ascii="Arial" w:hAnsi="Arial" w:cs="Arial"/>
                <w:sz w:val="20"/>
                <w:szCs w:val="20"/>
              </w:rPr>
              <w:t>.</w:t>
            </w:r>
            <w:r w:rsidRPr="00A52F41">
              <w:rPr>
                <w:rFonts w:ascii="Arial" w:hAnsi="Arial" w:cs="Arial"/>
                <w:sz w:val="20"/>
                <w:szCs w:val="20"/>
              </w:rPr>
              <w:t>508</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50F2F89F" w14:textId="77777777" w:rsidR="00CD7948" w:rsidRPr="00A52F41" w:rsidRDefault="00CD7948" w:rsidP="00F33DB3">
            <w:pPr>
              <w:spacing w:before="120" w:after="0" w:line="312" w:lineRule="auto"/>
              <w:jc w:val="right"/>
              <w:rPr>
                <w:rFonts w:ascii="Arial" w:hAnsi="Arial" w:cs="Arial"/>
                <w:sz w:val="20"/>
                <w:szCs w:val="20"/>
              </w:rPr>
            </w:pPr>
            <w:r w:rsidRPr="00A52F41">
              <w:rPr>
                <w:rFonts w:ascii="Arial" w:hAnsi="Arial" w:cs="Arial"/>
                <w:sz w:val="20"/>
                <w:szCs w:val="20"/>
              </w:rPr>
              <w:t>-521</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1438C3CE" w14:textId="5C6998E9" w:rsidR="00CD7948" w:rsidRPr="00A52F41" w:rsidRDefault="00CD7948" w:rsidP="00F33DB3">
            <w:pPr>
              <w:spacing w:before="120" w:after="0" w:line="312" w:lineRule="auto"/>
              <w:jc w:val="right"/>
              <w:rPr>
                <w:rFonts w:ascii="Arial" w:hAnsi="Arial" w:cs="Arial"/>
                <w:sz w:val="20"/>
                <w:szCs w:val="20"/>
              </w:rPr>
            </w:pPr>
            <w:r w:rsidRPr="00A52F41">
              <w:rPr>
                <w:rFonts w:ascii="Arial" w:hAnsi="Arial" w:cs="Arial"/>
                <w:sz w:val="20"/>
                <w:szCs w:val="20"/>
              </w:rPr>
              <w:t>2</w:t>
            </w:r>
            <w:r w:rsidR="00EA36E1">
              <w:rPr>
                <w:rFonts w:ascii="Arial" w:hAnsi="Arial" w:cs="Arial"/>
                <w:sz w:val="20"/>
                <w:szCs w:val="20"/>
              </w:rPr>
              <w:t>.</w:t>
            </w:r>
            <w:r w:rsidRPr="00A52F41">
              <w:rPr>
                <w:rFonts w:ascii="Arial" w:hAnsi="Arial" w:cs="Arial"/>
                <w:sz w:val="20"/>
                <w:szCs w:val="20"/>
              </w:rPr>
              <w:t>059</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60BC79B8" w14:textId="77777777" w:rsidR="00CD7948" w:rsidRPr="00A52F41" w:rsidRDefault="00CD7948" w:rsidP="00F33DB3">
            <w:pPr>
              <w:spacing w:before="120" w:after="0" w:line="312" w:lineRule="auto"/>
              <w:jc w:val="right"/>
              <w:rPr>
                <w:rFonts w:ascii="Arial" w:hAnsi="Arial" w:cs="Arial"/>
                <w:sz w:val="20"/>
                <w:szCs w:val="20"/>
              </w:rPr>
            </w:pPr>
            <w:r w:rsidRPr="00A52F41">
              <w:rPr>
                <w:rFonts w:ascii="Arial" w:hAnsi="Arial" w:cs="Arial"/>
                <w:sz w:val="20"/>
                <w:szCs w:val="20"/>
              </w:rPr>
              <w:t>644</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3996776A" w14:textId="77777777" w:rsidR="00CD7948" w:rsidRPr="00A52F41" w:rsidRDefault="00CD7948" w:rsidP="00F33DB3">
            <w:pPr>
              <w:spacing w:before="120" w:after="0" w:line="312" w:lineRule="auto"/>
              <w:jc w:val="right"/>
              <w:rPr>
                <w:rFonts w:ascii="Arial" w:hAnsi="Arial" w:cs="Arial"/>
                <w:sz w:val="20"/>
                <w:szCs w:val="20"/>
              </w:rPr>
            </w:pPr>
            <w:r w:rsidRPr="00A52F41">
              <w:rPr>
                <w:rFonts w:ascii="Arial" w:hAnsi="Arial" w:cs="Arial"/>
                <w:sz w:val="20"/>
                <w:szCs w:val="20"/>
              </w:rPr>
              <w:t>487</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5C6FE2BD" w14:textId="77777777" w:rsidR="00CD7948" w:rsidRPr="00A52F41" w:rsidRDefault="00CD7948" w:rsidP="00F33DB3">
            <w:pPr>
              <w:spacing w:before="120" w:after="0" w:line="312" w:lineRule="auto"/>
              <w:jc w:val="right"/>
              <w:rPr>
                <w:rFonts w:ascii="Arial" w:hAnsi="Arial" w:cs="Arial"/>
                <w:sz w:val="20"/>
                <w:szCs w:val="20"/>
              </w:rPr>
            </w:pPr>
            <w:r w:rsidRPr="00A52F41">
              <w:rPr>
                <w:rFonts w:ascii="Arial" w:hAnsi="Arial" w:cs="Arial"/>
                <w:sz w:val="20"/>
                <w:szCs w:val="20"/>
              </w:rPr>
              <w:t>-490</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4B5A6691" w14:textId="77777777" w:rsidR="00CD7948" w:rsidRPr="00A52F41" w:rsidRDefault="00CD7948" w:rsidP="00F33DB3">
            <w:pPr>
              <w:spacing w:before="120" w:after="0" w:line="312" w:lineRule="auto"/>
              <w:jc w:val="right"/>
              <w:rPr>
                <w:rFonts w:ascii="Arial" w:hAnsi="Arial" w:cs="Arial"/>
                <w:sz w:val="20"/>
                <w:szCs w:val="20"/>
              </w:rPr>
            </w:pPr>
            <w:r w:rsidRPr="00A52F41">
              <w:rPr>
                <w:rFonts w:ascii="Arial" w:hAnsi="Arial" w:cs="Arial"/>
                <w:sz w:val="20"/>
                <w:szCs w:val="20"/>
              </w:rPr>
              <w:t>507</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661DB6D2" w14:textId="114CD3D7" w:rsidR="00CD7948" w:rsidRPr="00A52F41" w:rsidRDefault="00CD7948" w:rsidP="00F33DB3">
            <w:pPr>
              <w:spacing w:before="120" w:after="0" w:line="312" w:lineRule="auto"/>
              <w:jc w:val="right"/>
              <w:rPr>
                <w:rFonts w:ascii="Arial" w:hAnsi="Arial" w:cs="Arial"/>
                <w:sz w:val="20"/>
                <w:szCs w:val="20"/>
              </w:rPr>
            </w:pPr>
            <w:r w:rsidRPr="00A52F41">
              <w:rPr>
                <w:rFonts w:ascii="Arial" w:hAnsi="Arial" w:cs="Arial"/>
                <w:sz w:val="20"/>
                <w:szCs w:val="20"/>
              </w:rPr>
              <w:t>1</w:t>
            </w:r>
            <w:r w:rsidR="00EA36E1">
              <w:rPr>
                <w:rFonts w:ascii="Arial" w:hAnsi="Arial" w:cs="Arial"/>
                <w:sz w:val="20"/>
                <w:szCs w:val="20"/>
              </w:rPr>
              <w:t>.</w:t>
            </w:r>
            <w:r w:rsidRPr="00A52F41">
              <w:rPr>
                <w:rFonts w:ascii="Arial" w:hAnsi="Arial" w:cs="Arial"/>
                <w:sz w:val="20"/>
                <w:szCs w:val="20"/>
              </w:rPr>
              <w:t>051</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1CFB7095" w14:textId="4F3C322E" w:rsidR="00CD7948" w:rsidRPr="00A52F41" w:rsidRDefault="00CD7948" w:rsidP="00F33DB3">
            <w:pPr>
              <w:spacing w:before="120" w:after="0" w:line="312" w:lineRule="auto"/>
              <w:jc w:val="right"/>
              <w:rPr>
                <w:rFonts w:ascii="Arial" w:hAnsi="Arial" w:cs="Arial"/>
                <w:sz w:val="20"/>
                <w:szCs w:val="20"/>
              </w:rPr>
            </w:pPr>
            <w:r w:rsidRPr="00A52F41">
              <w:rPr>
                <w:rFonts w:ascii="Arial" w:hAnsi="Arial" w:cs="Arial"/>
                <w:sz w:val="20"/>
                <w:szCs w:val="20"/>
              </w:rPr>
              <w:t>1</w:t>
            </w:r>
            <w:r w:rsidR="00EA36E1">
              <w:rPr>
                <w:rFonts w:ascii="Arial" w:hAnsi="Arial" w:cs="Arial"/>
                <w:sz w:val="20"/>
                <w:szCs w:val="20"/>
              </w:rPr>
              <w:t>.</w:t>
            </w:r>
            <w:r w:rsidRPr="00A52F41">
              <w:rPr>
                <w:rFonts w:ascii="Arial" w:hAnsi="Arial" w:cs="Arial"/>
                <w:sz w:val="20"/>
                <w:szCs w:val="20"/>
              </w:rPr>
              <w:t>253</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751AB2E2" w14:textId="5D1FCFB8" w:rsidR="00CD7948" w:rsidRPr="00A52F41" w:rsidRDefault="00CD7948" w:rsidP="00F33DB3">
            <w:pPr>
              <w:spacing w:before="120" w:after="0" w:line="312" w:lineRule="auto"/>
              <w:jc w:val="right"/>
              <w:rPr>
                <w:rFonts w:ascii="Arial" w:hAnsi="Arial" w:cs="Arial"/>
                <w:sz w:val="20"/>
                <w:szCs w:val="20"/>
              </w:rPr>
            </w:pPr>
            <w:r w:rsidRPr="00A52F41">
              <w:rPr>
                <w:rFonts w:ascii="Arial" w:hAnsi="Arial" w:cs="Arial"/>
                <w:sz w:val="20"/>
                <w:szCs w:val="20"/>
              </w:rPr>
              <w:t>14</w:t>
            </w:r>
            <w:r w:rsidR="00EA36E1">
              <w:rPr>
                <w:rFonts w:ascii="Arial" w:hAnsi="Arial" w:cs="Arial"/>
                <w:sz w:val="20"/>
                <w:szCs w:val="20"/>
              </w:rPr>
              <w:t>.</w:t>
            </w:r>
            <w:r w:rsidRPr="00A52F41">
              <w:rPr>
                <w:rFonts w:ascii="Arial" w:hAnsi="Arial" w:cs="Arial"/>
                <w:sz w:val="20"/>
                <w:szCs w:val="20"/>
              </w:rPr>
              <w:t>928</w:t>
            </w:r>
          </w:p>
        </w:tc>
      </w:tr>
    </w:tbl>
    <w:p w14:paraId="6C93287B" w14:textId="36BCDA3A" w:rsidR="009E0216" w:rsidRPr="00A52F41" w:rsidRDefault="009E0216" w:rsidP="00EA2E4C">
      <w:pPr>
        <w:spacing w:line="360" w:lineRule="auto"/>
        <w:jc w:val="both"/>
        <w:rPr>
          <w:rFonts w:ascii="Arial" w:hAnsi="Arial" w:cs="Arial"/>
          <w:sz w:val="16"/>
          <w:szCs w:val="16"/>
        </w:rPr>
      </w:pPr>
      <w:r w:rsidRPr="00A52F41">
        <w:rPr>
          <w:rFonts w:ascii="Arial" w:hAnsi="Arial" w:cs="Arial"/>
          <w:sz w:val="16"/>
          <w:szCs w:val="16"/>
        </w:rPr>
        <w:t>Vir: SURS, lastni preračuni</w:t>
      </w:r>
    </w:p>
    <w:p w14:paraId="5AFA9FE7" w14:textId="017B7A9B" w:rsidR="002E0ACA"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lastRenderedPageBreak/>
        <w:t xml:space="preserve">Študije kažejo, da so razlogi za odseljevanje v zmanjšani gospodarski vlogi kmetijstva (deagrarizacija), družbenih in kulturnih spremembah (do katerih prihaja v naseljih), koncentraciji prebivalstva in gospodarskega razvoja v občinskih središčih in mestih, ki sprožita tudi koncentracijo družbenih dejavnosti (kot so šole, vrtci …), s tem pa se v številnih vaseh izgubljajo temeljne življenjske funkcije. Problematična sta tudi prometna izoliranost naselij ter negativni naravni prirast prebivalstva. Izboljšanje prometnih povezav med vasmi in središčnimi naselji s skrajšanjem poti na delo, do rekreacijskih območij in trgovske infrastrukture, sicer izboljšuje kakovost bivanja, vendar pa so pretekle raziskave pokazale, da delovni migraciji pogosto sledi kasnejša preselitev prebivalcev v bližja oziroma večja naselja (Nared idr., 2019). </w:t>
      </w:r>
    </w:p>
    <w:p w14:paraId="5BD5580D" w14:textId="77777777" w:rsidR="009E0216" w:rsidRPr="00A52F41" w:rsidRDefault="009E0216">
      <w:pPr>
        <w:spacing w:line="360" w:lineRule="auto"/>
        <w:jc w:val="both"/>
        <w:rPr>
          <w:rFonts w:ascii="Arial" w:hAnsi="Arial" w:cs="Arial"/>
          <w:sz w:val="20"/>
          <w:szCs w:val="20"/>
        </w:rPr>
      </w:pPr>
    </w:p>
    <w:p w14:paraId="6AEAA471" w14:textId="0417F9AC" w:rsidR="009E0216" w:rsidRPr="008D32AC" w:rsidRDefault="009E0216" w:rsidP="008D32AC">
      <w:pPr>
        <w:pStyle w:val="tevilnatoka11Nova"/>
        <w:numPr>
          <w:ilvl w:val="1"/>
          <w:numId w:val="34"/>
        </w:numPr>
        <w:tabs>
          <w:tab w:val="clear" w:pos="4297"/>
        </w:tabs>
        <w:spacing w:before="200" w:after="200" w:line="360" w:lineRule="auto"/>
        <w:outlineLvl w:val="1"/>
        <w:rPr>
          <w:sz w:val="24"/>
          <w:szCs w:val="24"/>
        </w:rPr>
      </w:pPr>
      <w:bookmarkStart w:id="39" w:name="_Toc55999326"/>
      <w:r w:rsidRPr="008D32AC">
        <w:rPr>
          <w:b/>
          <w:sz w:val="24"/>
          <w:szCs w:val="24"/>
        </w:rPr>
        <w:t>KLJUČNE UGOTOVITVE</w:t>
      </w:r>
      <w:bookmarkEnd w:id="39"/>
    </w:p>
    <w:p w14:paraId="46B370AC" w14:textId="56BACEDF" w:rsidR="009E0216" w:rsidRPr="00A52F41" w:rsidRDefault="00AA3051"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450FE6">
        <w:rPr>
          <w:rFonts w:ascii="Arial" w:hAnsi="Arial" w:cs="Arial"/>
          <w:b/>
          <w:sz w:val="20"/>
          <w:szCs w:val="20"/>
        </w:rPr>
        <w:t>Za namen Strateškega načrta, specifičnega cilja 8, podeželje obsega vsa naselja z manj kot 10.000 prebivalcev in v katerih je delež kmetijskih gospodarstev, glede na vsa gospodinjstva v tem naselju, višji kot 15 %</w:t>
      </w:r>
      <w:r w:rsidR="00585C8D" w:rsidRPr="00450FE6">
        <w:rPr>
          <w:rFonts w:ascii="Arial" w:hAnsi="Arial" w:cs="Arial"/>
          <w:b/>
          <w:sz w:val="20"/>
          <w:szCs w:val="20"/>
        </w:rPr>
        <w:t xml:space="preserve">, razen </w:t>
      </w:r>
      <w:r w:rsidR="006937CD" w:rsidRPr="00450FE6">
        <w:rPr>
          <w:rFonts w:ascii="Arial" w:hAnsi="Arial" w:cs="Arial"/>
          <w:b/>
          <w:sz w:val="20"/>
          <w:szCs w:val="20"/>
        </w:rPr>
        <w:t xml:space="preserve">na področju biogospodarstva oziroma krožnega gospodarstva in nekmetijskih </w:t>
      </w:r>
      <w:r w:rsidR="00585C8D" w:rsidRPr="00450FE6">
        <w:rPr>
          <w:rFonts w:ascii="Arial" w:hAnsi="Arial" w:cs="Arial"/>
          <w:b/>
          <w:sz w:val="20"/>
          <w:szCs w:val="20"/>
        </w:rPr>
        <w:t>dopolnilnim dejavnostim na kmetiji</w:t>
      </w:r>
      <w:r w:rsidR="006937CD" w:rsidRPr="00450FE6">
        <w:rPr>
          <w:rFonts w:ascii="Arial" w:hAnsi="Arial" w:cs="Arial"/>
          <w:b/>
          <w:sz w:val="20"/>
          <w:szCs w:val="20"/>
        </w:rPr>
        <w:t>, kjer se naslavlja celotno ozemlje Republike Slovenije</w:t>
      </w:r>
      <w:r w:rsidRPr="00450FE6">
        <w:rPr>
          <w:rFonts w:ascii="Arial" w:hAnsi="Arial" w:cs="Arial"/>
          <w:b/>
          <w:sz w:val="20"/>
          <w:szCs w:val="20"/>
        </w:rPr>
        <w:t>. Po tej opredelitvi p</w:t>
      </w:r>
      <w:r w:rsidR="009E0216" w:rsidRPr="00450FE6">
        <w:rPr>
          <w:rFonts w:ascii="Arial" w:hAnsi="Arial" w:cs="Arial"/>
          <w:b/>
          <w:sz w:val="20"/>
          <w:szCs w:val="20"/>
        </w:rPr>
        <w:t>odeželje obsega 90 % površine Slovenije</w:t>
      </w:r>
      <w:r w:rsidR="009E0216" w:rsidRPr="00450FE6">
        <w:rPr>
          <w:rFonts w:ascii="Arial" w:hAnsi="Arial" w:cs="Arial"/>
          <w:sz w:val="20"/>
          <w:szCs w:val="20"/>
        </w:rPr>
        <w:t xml:space="preserve"> oz. 69 % prebivalcev Slovenije</w:t>
      </w:r>
      <w:r w:rsidRPr="00450FE6">
        <w:rPr>
          <w:rFonts w:ascii="Arial" w:hAnsi="Arial" w:cs="Arial"/>
          <w:sz w:val="20"/>
          <w:szCs w:val="20"/>
        </w:rPr>
        <w:t>.</w:t>
      </w:r>
      <w:r w:rsidR="009E0216" w:rsidRPr="00450FE6">
        <w:rPr>
          <w:rFonts w:ascii="Arial" w:hAnsi="Arial" w:cs="Arial"/>
          <w:sz w:val="20"/>
          <w:szCs w:val="20"/>
        </w:rPr>
        <w:t>. Število prebivalcev</w:t>
      </w:r>
      <w:r w:rsidR="009E0216" w:rsidRPr="00A52F41">
        <w:rPr>
          <w:rFonts w:ascii="Arial" w:hAnsi="Arial" w:cs="Arial"/>
          <w:sz w:val="20"/>
          <w:szCs w:val="20"/>
        </w:rPr>
        <w:t xml:space="preserve"> na podeželju rahlo raste (leta 2018 1.236.278 oz. 1.441.868 glede na naselja z manj kot 10.000 prebivalci), gostota naseljenosti na podeželju (95 preb/km</w:t>
      </w:r>
      <w:r w:rsidR="009E0216" w:rsidRPr="00A52F41">
        <w:rPr>
          <w:rFonts w:ascii="Arial" w:hAnsi="Arial" w:cs="Arial"/>
          <w:sz w:val="20"/>
          <w:szCs w:val="20"/>
          <w:vertAlign w:val="superscript"/>
        </w:rPr>
        <w:t>2</w:t>
      </w:r>
      <w:r w:rsidR="009E0216" w:rsidRPr="00A52F41">
        <w:rPr>
          <w:rFonts w:ascii="Arial" w:hAnsi="Arial" w:cs="Arial"/>
          <w:sz w:val="20"/>
          <w:szCs w:val="20"/>
        </w:rPr>
        <w:t>) je pod slovenskim povprečjem, vendar na podeželju raste nekoliko hitreje.</w:t>
      </w:r>
    </w:p>
    <w:p w14:paraId="6CF6466E" w14:textId="3F0BB92E" w:rsidR="009E0216" w:rsidRPr="00A52F41" w:rsidRDefault="00AA3051"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Pr>
          <w:rFonts w:ascii="Arial" w:hAnsi="Arial" w:cs="Arial"/>
          <w:b/>
          <w:sz w:val="20"/>
          <w:szCs w:val="20"/>
        </w:rPr>
        <w:t>Za Slovenijo je z</w:t>
      </w:r>
      <w:r w:rsidR="009E0216" w:rsidRPr="00A52F41">
        <w:rPr>
          <w:rFonts w:ascii="Arial" w:hAnsi="Arial" w:cs="Arial"/>
          <w:b/>
          <w:sz w:val="20"/>
          <w:szCs w:val="20"/>
        </w:rPr>
        <w:t>načilen star demografski režim z nizko rodnostjo in smrtnostjo</w:t>
      </w:r>
      <w:r w:rsidR="009E0216" w:rsidRPr="00A52F41">
        <w:rPr>
          <w:rFonts w:ascii="Arial" w:hAnsi="Arial" w:cs="Arial"/>
          <w:sz w:val="20"/>
          <w:szCs w:val="20"/>
        </w:rPr>
        <w:t xml:space="preserve">. Število prebivalcev po letih rahlo niha, </w:t>
      </w:r>
      <w:r w:rsidR="009E0216" w:rsidRPr="00A52F41">
        <w:rPr>
          <w:rFonts w:ascii="Arial" w:hAnsi="Arial" w:cs="Arial"/>
          <w:b/>
          <w:sz w:val="20"/>
          <w:szCs w:val="20"/>
        </w:rPr>
        <w:t>prebivalstvo na podeželju se stara</w:t>
      </w:r>
      <w:r w:rsidR="009E0216" w:rsidRPr="00A52F41">
        <w:rPr>
          <w:rFonts w:ascii="Arial" w:hAnsi="Arial" w:cs="Arial"/>
          <w:sz w:val="20"/>
          <w:szCs w:val="20"/>
        </w:rPr>
        <w:t>, na kar kaže rast povprečne starosti ter visok koeficient starostne odvisnosti starih. Delež starih (65+ let) na podeželju raste (leta 2018 20 %)</w:t>
      </w:r>
      <w:r>
        <w:rPr>
          <w:rFonts w:ascii="Arial" w:hAnsi="Arial" w:cs="Arial"/>
          <w:sz w:val="20"/>
          <w:szCs w:val="20"/>
        </w:rPr>
        <w:t xml:space="preserve">. </w:t>
      </w:r>
      <w:r w:rsidR="009E0216" w:rsidRPr="00A52F41">
        <w:rPr>
          <w:rFonts w:ascii="Arial" w:hAnsi="Arial" w:cs="Arial"/>
          <w:sz w:val="20"/>
          <w:szCs w:val="20"/>
        </w:rPr>
        <w:t xml:space="preserve">Zelo </w:t>
      </w:r>
      <w:r w:rsidRPr="00A52F41">
        <w:rPr>
          <w:rFonts w:ascii="Arial" w:hAnsi="Arial" w:cs="Arial"/>
          <w:sz w:val="20"/>
          <w:szCs w:val="20"/>
        </w:rPr>
        <w:t>zaskrbljujoče</w:t>
      </w:r>
      <w:r w:rsidR="009E0216" w:rsidRPr="00A52F41">
        <w:rPr>
          <w:rFonts w:ascii="Arial" w:hAnsi="Arial" w:cs="Arial"/>
          <w:sz w:val="20"/>
          <w:szCs w:val="20"/>
        </w:rPr>
        <w:t xml:space="preserve"> pa so projekcije gibanja prebivalstva, ki kažejo na negativen trend, glede na analizo še posebej v »podeželskih občinah s padajočim številom prebivalcev«.</w:t>
      </w:r>
    </w:p>
    <w:p w14:paraId="3EF8E2E5" w14:textId="77777777" w:rsidR="009E0216" w:rsidRPr="00A52F41" w:rsidRDefault="009E0216"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A52F41">
        <w:rPr>
          <w:rFonts w:ascii="Arial" w:hAnsi="Arial" w:cs="Arial"/>
          <w:b/>
          <w:sz w:val="20"/>
          <w:szCs w:val="20"/>
        </w:rPr>
        <w:t>Delež mladih na podeželju se zmanjšuje</w:t>
      </w:r>
      <w:r w:rsidRPr="00A52F41">
        <w:rPr>
          <w:rFonts w:ascii="Arial" w:hAnsi="Arial" w:cs="Arial"/>
          <w:sz w:val="20"/>
          <w:szCs w:val="20"/>
        </w:rPr>
        <w:t>. Delež otrok do 14 let na podeželju sicer počasi raste (leta 2018 15,4 % vseh prebivalcev podeželja) in je malenkost višji kot delež otrok v slovenskem povprečju, medtem ko se delež mladih 15–26 let na podeželju zmanjšuje (leta 2018 10,9 %) in je pod slovenskim povprečjem.</w:t>
      </w:r>
    </w:p>
    <w:p w14:paraId="6D254B9F" w14:textId="77777777" w:rsidR="009E0216" w:rsidRPr="00A52F41" w:rsidRDefault="009E0216"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A52F41">
        <w:rPr>
          <w:rFonts w:ascii="Arial" w:hAnsi="Arial" w:cs="Arial"/>
          <w:b/>
          <w:sz w:val="20"/>
          <w:szCs w:val="20"/>
        </w:rPr>
        <w:t>Prebivalstvo se ohranja na račun selitev. Naravni prirast na podeželju pada</w:t>
      </w:r>
      <w:r w:rsidRPr="00A52F41">
        <w:rPr>
          <w:rFonts w:ascii="Arial" w:hAnsi="Arial" w:cs="Arial"/>
          <w:sz w:val="20"/>
          <w:szCs w:val="20"/>
        </w:rPr>
        <w:t xml:space="preserve">, v zadnjih letih je negativen (leta 2018 -0,4). </w:t>
      </w:r>
      <w:r w:rsidRPr="00A52F41">
        <w:rPr>
          <w:rFonts w:ascii="Arial" w:hAnsi="Arial" w:cs="Arial"/>
          <w:b/>
          <w:sz w:val="20"/>
          <w:szCs w:val="20"/>
        </w:rPr>
        <w:t>Skupni selitveni prirast na podeželju pa raste</w:t>
      </w:r>
      <w:r w:rsidRPr="00A52F41">
        <w:rPr>
          <w:rFonts w:ascii="Arial" w:hAnsi="Arial" w:cs="Arial"/>
          <w:sz w:val="20"/>
          <w:szCs w:val="20"/>
        </w:rPr>
        <w:t>, vendar počasneje kot v slovenskem povprečju (let 2018 2,1; 3-krat počasneje kot v Sloveniji), kar kaže na to, da se prebivalstvo na podeželju ohranja na račun priselitev.</w:t>
      </w:r>
    </w:p>
    <w:p w14:paraId="4AD30A32" w14:textId="77777777" w:rsidR="009E0216" w:rsidRPr="00A52F41" w:rsidRDefault="009E0216"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A52F41">
        <w:rPr>
          <w:rFonts w:ascii="Arial" w:hAnsi="Arial" w:cs="Arial"/>
          <w:b/>
          <w:sz w:val="20"/>
          <w:szCs w:val="20"/>
        </w:rPr>
        <w:t>Podeželje zaznamujejo regionalne razlike, ki se kažejo kot zgoščanje prebivalstva</w:t>
      </w:r>
      <w:r w:rsidRPr="00A52F41">
        <w:rPr>
          <w:rFonts w:ascii="Arial" w:hAnsi="Arial" w:cs="Arial"/>
          <w:sz w:val="20"/>
          <w:szCs w:val="20"/>
        </w:rPr>
        <w:t xml:space="preserve"> v osrednji Sloveniji, predvsem okoli avtocestnega križa in dobro dostopnih središč. </w:t>
      </w:r>
      <w:r w:rsidRPr="00A52F41">
        <w:rPr>
          <w:rFonts w:ascii="Arial" w:hAnsi="Arial" w:cs="Arial"/>
          <w:b/>
          <w:sz w:val="20"/>
          <w:szCs w:val="20"/>
        </w:rPr>
        <w:t>Območja, ki se praznijo</w:t>
      </w:r>
      <w:r w:rsidRPr="00A52F41">
        <w:rPr>
          <w:rFonts w:ascii="Arial" w:hAnsi="Arial" w:cs="Arial"/>
          <w:sz w:val="20"/>
          <w:szCs w:val="20"/>
        </w:rPr>
        <w:t xml:space="preserve"> zajemajo, 57 % Slovenije. To so največkrat območja brez dobrih prometnih povezav, nekatera manj gospodarsko razvita urbanizirana območja, območja 90 občin, ki sodijo med obmejna problemska </w:t>
      </w:r>
      <w:r w:rsidRPr="00A52F41">
        <w:rPr>
          <w:rFonts w:ascii="Arial" w:hAnsi="Arial" w:cs="Arial"/>
          <w:sz w:val="20"/>
          <w:szCs w:val="20"/>
        </w:rPr>
        <w:lastRenderedPageBreak/>
        <w:t>območja (po ZSRR-2), za katera je značilno zlasti staranje, opuščanje stavb, zaraščanje krajine ter slabša oskrba s storitvami.</w:t>
      </w:r>
    </w:p>
    <w:p w14:paraId="1D3B0EB0" w14:textId="77777777" w:rsidR="009E0216" w:rsidRPr="00A52F41" w:rsidRDefault="009E0216"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A52F41">
        <w:rPr>
          <w:rFonts w:ascii="Arial" w:hAnsi="Arial" w:cs="Arial"/>
          <w:b/>
          <w:sz w:val="20"/>
          <w:szCs w:val="20"/>
        </w:rPr>
        <w:t>Za podeželje so značilne tudi migracije prebivalstva. Več kot polovico (53 %) vseh delovno aktivnih je dnevnih migrantov (delo v drugi občini</w:t>
      </w:r>
      <w:r w:rsidRPr="00A52F41">
        <w:rPr>
          <w:rFonts w:ascii="Arial" w:hAnsi="Arial" w:cs="Arial"/>
          <w:sz w:val="20"/>
          <w:szCs w:val="20"/>
        </w:rPr>
        <w:t xml:space="preserve">). </w:t>
      </w:r>
      <w:r w:rsidRPr="00A52F41">
        <w:rPr>
          <w:rFonts w:ascii="Arial" w:hAnsi="Arial" w:cs="Arial"/>
          <w:b/>
          <w:sz w:val="20"/>
          <w:szCs w:val="20"/>
        </w:rPr>
        <w:t>Več delovnih migrantov je v podeželskih občinah</w:t>
      </w:r>
      <w:r w:rsidRPr="00A52F41">
        <w:rPr>
          <w:rFonts w:ascii="Arial" w:hAnsi="Arial" w:cs="Arial"/>
          <w:sz w:val="20"/>
          <w:szCs w:val="20"/>
        </w:rPr>
        <w:t xml:space="preserve">, manj v ostalih območjih. </w:t>
      </w:r>
      <w:r w:rsidRPr="00A52F41">
        <w:rPr>
          <w:rFonts w:ascii="Arial" w:hAnsi="Arial" w:cs="Arial"/>
          <w:b/>
          <w:sz w:val="20"/>
          <w:szCs w:val="20"/>
        </w:rPr>
        <w:t>Notranje selitve med občinami so v večini med mladimi</w:t>
      </w:r>
      <w:r w:rsidRPr="00A52F41">
        <w:rPr>
          <w:rFonts w:ascii="Arial" w:hAnsi="Arial" w:cs="Arial"/>
          <w:sz w:val="20"/>
          <w:szCs w:val="20"/>
        </w:rPr>
        <w:t xml:space="preserve"> (starostne skupine 20–29 let in 30–39 let). 60 % je medobčinskih selitev v občine na podeželju (največ v podeželske občine z rastočim prebivalstvom, ostale negativen trend). Skupni selitveni prirast na 1.000 prebivalcev na podeželju se je po zmanjšanju med gospodarsko krizo v obdobju 2008-2013 v letu 2018 ponovno zvišal (na podeželju 21). </w:t>
      </w:r>
      <w:r w:rsidRPr="00A52F41">
        <w:rPr>
          <w:rFonts w:ascii="Arial" w:hAnsi="Arial" w:cs="Arial"/>
          <w:b/>
          <w:sz w:val="20"/>
          <w:szCs w:val="20"/>
        </w:rPr>
        <w:t>Glede na spol se več selijo moški kot ženske</w:t>
      </w:r>
      <w:r w:rsidRPr="00A52F41">
        <w:rPr>
          <w:rFonts w:ascii="Arial" w:hAnsi="Arial" w:cs="Arial"/>
          <w:sz w:val="20"/>
          <w:szCs w:val="20"/>
        </w:rPr>
        <w:t>. V letu 2018 je bil najpogostejši razlog za selitve poroka, služba in delovno mesto, nakup stanovanja ali hiše. Na splošno se razlogi za odseljevanje kažejo v zmanjšani gospodarski vlogi kmetijstva (deagrarizacija), družbenih in kulturnih spremembah (do katerih prihaja v naseljih), koncentraciji prebivalstv</w:t>
      </w:r>
      <w:r w:rsidR="007344C6">
        <w:rPr>
          <w:rFonts w:ascii="Arial" w:hAnsi="Arial" w:cs="Arial"/>
          <w:sz w:val="20"/>
          <w:szCs w:val="20"/>
        </w:rPr>
        <w:t>a</w:t>
      </w:r>
      <w:r w:rsidRPr="00A52F41">
        <w:rPr>
          <w:rFonts w:ascii="Arial" w:hAnsi="Arial" w:cs="Arial"/>
          <w:sz w:val="20"/>
          <w:szCs w:val="20"/>
        </w:rPr>
        <w:t xml:space="preserve"> gospodarskega razvoja v občinskih središčih in mestih, ki sprožita tudi koncentracijo družbenih dejavnosti (kot so šole, vrtci in druge dejavnosti …), s tem pa se v številnih vaseh izgubljajo temeljne življenjske funkcije. </w:t>
      </w:r>
    </w:p>
    <w:p w14:paraId="435EBE7B" w14:textId="23360415" w:rsidR="009E0216" w:rsidRPr="00A52F41" w:rsidRDefault="009E0216" w:rsidP="00AA3051">
      <w:pPr>
        <w:pStyle w:val="Odstavekseznama"/>
        <w:numPr>
          <w:ilvl w:val="0"/>
          <w:numId w:val="31"/>
        </w:numPr>
        <w:spacing w:before="200" w:line="360" w:lineRule="auto"/>
        <w:ind w:left="284" w:hanging="284"/>
        <w:contextualSpacing w:val="0"/>
        <w:jc w:val="both"/>
        <w:rPr>
          <w:rFonts w:ascii="Arial" w:hAnsi="Arial"/>
          <w:sz w:val="20"/>
        </w:rPr>
      </w:pPr>
      <w:r w:rsidRPr="00A52F41">
        <w:rPr>
          <w:rFonts w:ascii="Arial" w:hAnsi="Arial" w:cs="Arial"/>
          <w:b/>
          <w:sz w:val="20"/>
          <w:szCs w:val="20"/>
        </w:rPr>
        <w:t>Selitveni prirast s tujino je več let pozitiven, priseli pa se več moških</w:t>
      </w:r>
      <w:r w:rsidRPr="00A52F41">
        <w:rPr>
          <w:rFonts w:ascii="Arial" w:hAnsi="Arial" w:cs="Arial"/>
          <w:sz w:val="20"/>
          <w:szCs w:val="20"/>
        </w:rPr>
        <w:t>. Od vseh priselitev iz tujine jih je manj na podeželje (44 %)</w:t>
      </w:r>
      <w:r w:rsidR="00AA3051">
        <w:rPr>
          <w:rFonts w:ascii="Arial" w:hAnsi="Arial" w:cs="Arial"/>
          <w:sz w:val="20"/>
          <w:szCs w:val="20"/>
        </w:rPr>
        <w:t xml:space="preserve">. </w:t>
      </w:r>
      <w:r w:rsidRPr="00A52F41">
        <w:rPr>
          <w:rFonts w:ascii="Arial" w:hAnsi="Arial"/>
          <w:b/>
          <w:sz w:val="20"/>
        </w:rPr>
        <w:t>V tujino se izseljujejo predvsem mladi</w:t>
      </w:r>
      <w:r w:rsidRPr="00A52F41">
        <w:rPr>
          <w:rFonts w:ascii="Arial" w:hAnsi="Arial"/>
          <w:sz w:val="20"/>
        </w:rPr>
        <w:t>. V letu 2018 se je iz Slovenije v tujino</w:t>
      </w:r>
      <w:r w:rsidRPr="00A52F41" w:rsidDel="00431855">
        <w:rPr>
          <w:rFonts w:ascii="Arial" w:hAnsi="Arial"/>
          <w:sz w:val="20"/>
        </w:rPr>
        <w:t xml:space="preserve"> </w:t>
      </w:r>
      <w:r w:rsidRPr="00A52F41">
        <w:rPr>
          <w:rFonts w:ascii="Arial" w:hAnsi="Arial"/>
          <w:sz w:val="20"/>
        </w:rPr>
        <w:t>odselilo 11.140 ljudi. Selitve se izvajajo največ v države EU.</w:t>
      </w:r>
    </w:p>
    <w:p w14:paraId="52CFC691" w14:textId="77777777" w:rsidR="0004661A" w:rsidRDefault="0004661A">
      <w:pPr>
        <w:rPr>
          <w:rFonts w:ascii="Arial" w:hAnsi="Arial" w:cs="Arial"/>
          <w:b/>
          <w:sz w:val="28"/>
          <w:szCs w:val="28"/>
        </w:rPr>
      </w:pPr>
      <w:r>
        <w:rPr>
          <w:rFonts w:ascii="Arial" w:hAnsi="Arial" w:cs="Arial"/>
          <w:b/>
          <w:sz w:val="28"/>
          <w:szCs w:val="28"/>
        </w:rPr>
        <w:br w:type="page"/>
      </w:r>
    </w:p>
    <w:p w14:paraId="0FF444A3" w14:textId="657624FD" w:rsidR="009E0216" w:rsidRPr="005A0DD2" w:rsidRDefault="00286CF2" w:rsidP="005A0DD2">
      <w:pPr>
        <w:pStyle w:val="Naslov2"/>
        <w:keepLines w:val="0"/>
        <w:tabs>
          <w:tab w:val="left" w:pos="0"/>
          <w:tab w:val="left" w:pos="480"/>
          <w:tab w:val="left" w:pos="1276"/>
          <w:tab w:val="left" w:pos="4537"/>
        </w:tabs>
        <w:spacing w:after="200" w:line="360" w:lineRule="auto"/>
        <w:ind w:left="360"/>
        <w:jc w:val="both"/>
        <w:rPr>
          <w:rFonts w:ascii="Arial" w:hAnsi="Arial" w:cs="Arial"/>
          <w:color w:val="auto"/>
          <w:sz w:val="24"/>
          <w:szCs w:val="24"/>
        </w:rPr>
      </w:pPr>
      <w:bookmarkStart w:id="40" w:name="_Toc55999327"/>
      <w:r>
        <w:rPr>
          <w:rFonts w:ascii="Arial" w:hAnsi="Arial" w:cs="Arial"/>
          <w:color w:val="auto"/>
          <w:sz w:val="24"/>
          <w:szCs w:val="24"/>
        </w:rPr>
        <w:lastRenderedPageBreak/>
        <w:t xml:space="preserve">2 </w:t>
      </w:r>
      <w:r w:rsidR="009E0216" w:rsidRPr="005A0DD2">
        <w:rPr>
          <w:rFonts w:ascii="Arial" w:hAnsi="Arial" w:cs="Arial"/>
          <w:color w:val="auto"/>
          <w:sz w:val="24"/>
          <w:szCs w:val="24"/>
        </w:rPr>
        <w:t>KAKOVOST ŽIVLJENJA IN SOCIALNA VKLJUČENOST</w:t>
      </w:r>
      <w:bookmarkEnd w:id="40"/>
    </w:p>
    <w:p w14:paraId="14333289" w14:textId="77777777" w:rsidR="009E0216" w:rsidRPr="00A52F41" w:rsidRDefault="009E0216" w:rsidP="001D5FC0">
      <w:pPr>
        <w:pStyle w:val="Navadensplet"/>
        <w:shd w:val="clear" w:color="auto" w:fill="FFFFFF"/>
        <w:spacing w:before="200" w:after="200" w:line="360" w:lineRule="auto"/>
        <w:rPr>
          <w:rFonts w:ascii="Arial" w:hAnsi="Arial" w:cs="Arial"/>
        </w:rPr>
      </w:pPr>
      <w:r w:rsidRPr="00A52F41">
        <w:rPr>
          <w:rFonts w:ascii="Arial" w:hAnsi="Arial" w:cs="Arial"/>
        </w:rPr>
        <w:t xml:space="preserve">Na kakovost življenja in socialno vključenost vplivajo različni dejavniki. Med pokazatelji so: stopnja tveganja revščine (12 % oseb v letu 2019), stopnja tveganja socialne izključenosti (14,4 % oseb v letu 2019), delež gospodinjstev z dostopom do interneta (enak evropskemu povprečju - 89 % gospodinjstev v letu 2019), kazalnik zaupanja potrošnikov (na letni ravni za leto 2019 za 12 odstotnih točk nižji od povprečja leta 2018) in samoocena splošnega zadovoljstva z življenjem (povprečje ocen 7,5 v letu 2019) (SURS, 2020). Pozitivno je, da je stopnja tveganja socialne izključenosti v Sloveniji veliko pod evropskim povprečjem (Slo: 14,4 %, EU: 21,8 %) prav tako pa je za polovico nižja tudi stopnja tveganja revščine otrok do 18 let (Slo: 10,5 %, EU: 20,2 %). Stopnja revščine v Sloveniji je bila po podatkih Eurostat leta 2018 nižja kot v obdobju pred krizo (Slo: leta 2008 18,50%, leta 2018 16,60%) in je veliko nižja od evropskega povprečja (EU: 23,50 %). Po življenjskem standardu, merjenem z BDP na prebivalca po standardu kupne moči, je Slovenija na 12. mestu držav EU. Izdatki za socialno varstvo (% od BDP) so 22,6 %, kar je nižje od EU povprečja, ki znaša 27,8 % (SURS; Eurostat). </w:t>
      </w:r>
      <w:r w:rsidRPr="00A52F41">
        <w:rPr>
          <w:rFonts w:ascii="Arial" w:hAnsi="Arial" w:cs="Arial"/>
          <w:color w:val="000000"/>
        </w:rPr>
        <w:t xml:space="preserve">V marcu 2020 je bila v Sloveniji razglašena epidemija koronavirusne bolezni, ki je prinesla negativne učinke tudi na socialni položaj ljudi. </w:t>
      </w:r>
      <w:r w:rsidRPr="00A52F41">
        <w:rPr>
          <w:rFonts w:ascii="Arial" w:hAnsi="Arial" w:cs="Arial"/>
        </w:rPr>
        <w:t>Socialno-ekonomski položaj vpliva med drugim tudi na razlike v izobraževanju pri mladih in odraslih, ki pa so večinoma manjše kot v povprečju EU (UMAR, 2020). Dohodkovni položaj vpliva tudi na vključenost odraslih v izobraževanje, ki je najnižja pri nizko izobraženih z v povprečju nizkimi dohodki.</w:t>
      </w:r>
    </w:p>
    <w:p w14:paraId="0B266ADE" w14:textId="77777777" w:rsidR="009E0216" w:rsidRPr="007344C6" w:rsidRDefault="009E0216" w:rsidP="001D5FC0">
      <w:pPr>
        <w:spacing w:before="200" w:line="360" w:lineRule="auto"/>
        <w:jc w:val="both"/>
        <w:rPr>
          <w:rFonts w:ascii="Arial" w:hAnsi="Arial" w:cs="Arial"/>
          <w:sz w:val="20"/>
          <w:szCs w:val="20"/>
        </w:rPr>
      </w:pPr>
      <w:r w:rsidRPr="00A52F41">
        <w:rPr>
          <w:rFonts w:ascii="Arial" w:hAnsi="Arial" w:cs="Arial"/>
          <w:sz w:val="20"/>
          <w:szCs w:val="20"/>
        </w:rPr>
        <w:t>V letu 2020 se je po razglasitvi epidemije COVID-19 življenje nekaterih spremenilo, saj že vpliva na subjektivno blaginjo in kakovost življenja. To še posebej velja za določene skupine prebivalstva, kot so otroci in mladostniki, ženske, starejši ter br</w:t>
      </w:r>
      <w:r w:rsidR="007344C6">
        <w:rPr>
          <w:rFonts w:ascii="Arial" w:hAnsi="Arial" w:cs="Arial"/>
          <w:sz w:val="20"/>
          <w:szCs w:val="20"/>
        </w:rPr>
        <w:t xml:space="preserve">ezposelni </w:t>
      </w:r>
      <w:r w:rsidR="007344C6" w:rsidRPr="00F618FE">
        <w:rPr>
          <w:rFonts w:ascii="Arial" w:hAnsi="Arial" w:cs="Arial"/>
          <w:sz w:val="20"/>
          <w:szCs w:val="20"/>
        </w:rPr>
        <w:t>in prekarni delavci.</w:t>
      </w:r>
      <w:r w:rsidR="007344C6">
        <w:rPr>
          <w:rFonts w:ascii="Arial" w:hAnsi="Arial" w:cs="Arial"/>
          <w:sz w:val="20"/>
          <w:szCs w:val="20"/>
        </w:rPr>
        <w:t xml:space="preserve"> </w:t>
      </w:r>
    </w:p>
    <w:p w14:paraId="5BDE89DC" w14:textId="77777777" w:rsidR="009E0216" w:rsidRPr="00A417A4" w:rsidRDefault="005B0F81" w:rsidP="00A417A4">
      <w:pPr>
        <w:pStyle w:val="SCslika"/>
        <w:keepNext/>
        <w:keepLines/>
      </w:pPr>
      <w:bookmarkStart w:id="41" w:name="_Toc47092638"/>
      <w:r w:rsidRPr="00A417A4">
        <w:t>Tabela 9</w:t>
      </w:r>
      <w:r w:rsidR="009E0216" w:rsidRPr="00A417A4">
        <w:t>: Osnovni podatki dohodka, revščine in socialne izključenosti v Sloveniji</w:t>
      </w:r>
      <w:bookmarkEnd w:id="41"/>
    </w:p>
    <w:tbl>
      <w:tblPr>
        <w:tblW w:w="896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53"/>
        <w:gridCol w:w="1008"/>
      </w:tblGrid>
      <w:tr w:rsidR="009E0216" w:rsidRPr="00A52F41" w14:paraId="4DE868CE" w14:textId="77777777" w:rsidTr="00172AAF">
        <w:trPr>
          <w:trHeight w:val="244"/>
        </w:trPr>
        <w:tc>
          <w:tcPr>
            <w:tcW w:w="7953" w:type="dxa"/>
            <w:tcBorders>
              <w:top w:val="outset" w:sz="6" w:space="0" w:color="auto"/>
              <w:left w:val="outset" w:sz="6" w:space="0" w:color="auto"/>
              <w:bottom w:val="outset" w:sz="6" w:space="0" w:color="auto"/>
              <w:right w:val="outset" w:sz="6" w:space="0" w:color="auto"/>
            </w:tcBorders>
            <w:vAlign w:val="center"/>
            <w:hideMark/>
          </w:tcPr>
          <w:p w14:paraId="035B9424" w14:textId="77777777" w:rsidR="009E0216" w:rsidRPr="00172AAF" w:rsidRDefault="009E0216" w:rsidP="00172AAF">
            <w:pPr>
              <w:spacing w:after="0" w:line="360" w:lineRule="auto"/>
              <w:jc w:val="center"/>
              <w:rPr>
                <w:rFonts w:ascii="Arial" w:hAnsi="Arial" w:cs="Arial"/>
                <w:b/>
                <w:sz w:val="20"/>
                <w:szCs w:val="20"/>
              </w:rPr>
            </w:pPr>
          </w:p>
        </w:tc>
        <w:tc>
          <w:tcPr>
            <w:tcW w:w="1008" w:type="dxa"/>
            <w:tcBorders>
              <w:top w:val="outset" w:sz="6" w:space="0" w:color="auto"/>
              <w:left w:val="outset" w:sz="6" w:space="0" w:color="auto"/>
              <w:bottom w:val="outset" w:sz="6" w:space="0" w:color="auto"/>
              <w:right w:val="outset" w:sz="6" w:space="0" w:color="auto"/>
            </w:tcBorders>
            <w:vAlign w:val="center"/>
            <w:hideMark/>
          </w:tcPr>
          <w:p w14:paraId="6B4EED09" w14:textId="77777777" w:rsidR="009E0216" w:rsidRPr="00172AAF" w:rsidRDefault="009E0216" w:rsidP="00172AAF">
            <w:pPr>
              <w:spacing w:after="0" w:line="360" w:lineRule="auto"/>
              <w:jc w:val="center"/>
              <w:rPr>
                <w:rFonts w:ascii="Arial" w:hAnsi="Arial" w:cs="Arial"/>
                <w:b/>
                <w:sz w:val="20"/>
                <w:szCs w:val="20"/>
              </w:rPr>
            </w:pPr>
            <w:r w:rsidRPr="00172AAF">
              <w:rPr>
                <w:rFonts w:ascii="Arial" w:hAnsi="Arial" w:cs="Arial"/>
                <w:b/>
                <w:sz w:val="20"/>
                <w:szCs w:val="20"/>
              </w:rPr>
              <w:t>2019</w:t>
            </w:r>
          </w:p>
        </w:tc>
      </w:tr>
      <w:tr w:rsidR="009E0216" w:rsidRPr="00A52F41" w14:paraId="2DF96997" w14:textId="77777777" w:rsidTr="00172AAF">
        <w:trPr>
          <w:trHeight w:val="226"/>
        </w:trPr>
        <w:tc>
          <w:tcPr>
            <w:tcW w:w="7953" w:type="dxa"/>
            <w:tcBorders>
              <w:top w:val="outset" w:sz="6" w:space="0" w:color="auto"/>
              <w:left w:val="outset" w:sz="6" w:space="0" w:color="auto"/>
              <w:bottom w:val="outset" w:sz="6" w:space="0" w:color="auto"/>
              <w:right w:val="outset" w:sz="6" w:space="0" w:color="auto"/>
            </w:tcBorders>
            <w:vAlign w:val="center"/>
            <w:hideMark/>
          </w:tcPr>
          <w:p w14:paraId="68098E76" w14:textId="77777777" w:rsidR="009E0216" w:rsidRPr="00A52F41" w:rsidRDefault="009E0216" w:rsidP="001D5FC0">
            <w:pPr>
              <w:spacing w:after="0" w:line="360" w:lineRule="auto"/>
              <w:jc w:val="both"/>
              <w:rPr>
                <w:rFonts w:ascii="Arial" w:hAnsi="Arial" w:cs="Arial"/>
                <w:sz w:val="20"/>
                <w:szCs w:val="20"/>
              </w:rPr>
            </w:pPr>
            <w:r w:rsidRPr="00A52F41">
              <w:rPr>
                <w:rFonts w:ascii="Arial" w:hAnsi="Arial" w:cs="Arial"/>
                <w:sz w:val="20"/>
                <w:szCs w:val="20"/>
              </w:rPr>
              <w:t>Povprečni letni razpoložljivi dohodek na gospodinjstvo (EUR)</w:t>
            </w:r>
          </w:p>
        </w:tc>
        <w:tc>
          <w:tcPr>
            <w:tcW w:w="1008" w:type="dxa"/>
            <w:tcBorders>
              <w:top w:val="outset" w:sz="6" w:space="0" w:color="auto"/>
              <w:left w:val="outset" w:sz="6" w:space="0" w:color="auto"/>
              <w:bottom w:val="outset" w:sz="6" w:space="0" w:color="auto"/>
              <w:right w:val="outset" w:sz="6" w:space="0" w:color="auto"/>
            </w:tcBorders>
            <w:vAlign w:val="center"/>
            <w:hideMark/>
          </w:tcPr>
          <w:p w14:paraId="51AB26B9" w14:textId="77777777" w:rsidR="009E0216" w:rsidRPr="00A52F41" w:rsidRDefault="009E0216" w:rsidP="00172AAF">
            <w:pPr>
              <w:spacing w:after="0" w:line="360" w:lineRule="auto"/>
              <w:jc w:val="right"/>
              <w:rPr>
                <w:rFonts w:ascii="Arial" w:hAnsi="Arial" w:cs="Arial"/>
                <w:sz w:val="20"/>
                <w:szCs w:val="20"/>
              </w:rPr>
            </w:pPr>
            <w:r w:rsidRPr="00A52F41">
              <w:rPr>
                <w:rFonts w:ascii="Arial" w:hAnsi="Arial" w:cs="Arial"/>
                <w:sz w:val="20"/>
                <w:szCs w:val="20"/>
              </w:rPr>
              <w:t>24.725</w:t>
            </w:r>
          </w:p>
        </w:tc>
      </w:tr>
      <w:tr w:rsidR="009E0216" w:rsidRPr="00A52F41" w14:paraId="14BD37F4" w14:textId="77777777" w:rsidTr="00172AAF">
        <w:trPr>
          <w:trHeight w:val="226"/>
        </w:trPr>
        <w:tc>
          <w:tcPr>
            <w:tcW w:w="7953" w:type="dxa"/>
            <w:tcBorders>
              <w:top w:val="outset" w:sz="6" w:space="0" w:color="auto"/>
              <w:left w:val="outset" w:sz="6" w:space="0" w:color="auto"/>
              <w:bottom w:val="outset" w:sz="6" w:space="0" w:color="auto"/>
              <w:right w:val="outset" w:sz="6" w:space="0" w:color="auto"/>
            </w:tcBorders>
            <w:vAlign w:val="center"/>
            <w:hideMark/>
          </w:tcPr>
          <w:p w14:paraId="54548C4A" w14:textId="77777777" w:rsidR="009E0216" w:rsidRPr="00A52F41" w:rsidRDefault="009E0216" w:rsidP="001D5FC0">
            <w:pPr>
              <w:spacing w:after="0" w:line="360" w:lineRule="auto"/>
              <w:jc w:val="both"/>
              <w:rPr>
                <w:rFonts w:ascii="Arial" w:hAnsi="Arial" w:cs="Arial"/>
                <w:sz w:val="20"/>
                <w:szCs w:val="20"/>
              </w:rPr>
            </w:pPr>
            <w:r w:rsidRPr="00A52F41">
              <w:rPr>
                <w:rFonts w:ascii="Arial" w:hAnsi="Arial" w:cs="Arial"/>
                <w:sz w:val="20"/>
                <w:szCs w:val="20"/>
              </w:rPr>
              <w:t>Povprečni letni razpoložljivi dohodek na člana gospodinjstva (EUR)</w:t>
            </w:r>
          </w:p>
        </w:tc>
        <w:tc>
          <w:tcPr>
            <w:tcW w:w="1008" w:type="dxa"/>
            <w:tcBorders>
              <w:top w:val="outset" w:sz="6" w:space="0" w:color="auto"/>
              <w:left w:val="outset" w:sz="6" w:space="0" w:color="auto"/>
              <w:bottom w:val="outset" w:sz="6" w:space="0" w:color="auto"/>
              <w:right w:val="outset" w:sz="6" w:space="0" w:color="auto"/>
            </w:tcBorders>
            <w:vAlign w:val="center"/>
            <w:hideMark/>
          </w:tcPr>
          <w:p w14:paraId="4A96C2D5" w14:textId="77777777" w:rsidR="009E0216" w:rsidRPr="00A52F41" w:rsidRDefault="009E0216" w:rsidP="00172AAF">
            <w:pPr>
              <w:spacing w:after="0" w:line="360" w:lineRule="auto"/>
              <w:jc w:val="right"/>
              <w:rPr>
                <w:rFonts w:ascii="Arial" w:hAnsi="Arial" w:cs="Arial"/>
                <w:sz w:val="20"/>
                <w:szCs w:val="20"/>
              </w:rPr>
            </w:pPr>
            <w:r w:rsidRPr="00A52F41">
              <w:rPr>
                <w:rFonts w:ascii="Arial" w:hAnsi="Arial" w:cs="Arial"/>
                <w:sz w:val="20"/>
                <w:szCs w:val="20"/>
              </w:rPr>
              <w:t>10.093</w:t>
            </w:r>
          </w:p>
        </w:tc>
      </w:tr>
      <w:tr w:rsidR="009E0216" w:rsidRPr="00A52F41" w14:paraId="1280D407" w14:textId="77777777" w:rsidTr="00172AAF">
        <w:trPr>
          <w:trHeight w:val="226"/>
        </w:trPr>
        <w:tc>
          <w:tcPr>
            <w:tcW w:w="7953" w:type="dxa"/>
            <w:tcBorders>
              <w:top w:val="outset" w:sz="6" w:space="0" w:color="auto"/>
              <w:left w:val="outset" w:sz="6" w:space="0" w:color="auto"/>
              <w:bottom w:val="outset" w:sz="6" w:space="0" w:color="auto"/>
              <w:right w:val="outset" w:sz="6" w:space="0" w:color="auto"/>
            </w:tcBorders>
            <w:vAlign w:val="center"/>
            <w:hideMark/>
          </w:tcPr>
          <w:p w14:paraId="3A184590" w14:textId="77777777" w:rsidR="009E0216" w:rsidRPr="00A52F41" w:rsidRDefault="009E0216" w:rsidP="001D5FC0">
            <w:pPr>
              <w:spacing w:after="0" w:line="360" w:lineRule="auto"/>
              <w:jc w:val="both"/>
              <w:rPr>
                <w:rFonts w:ascii="Arial" w:hAnsi="Arial" w:cs="Arial"/>
                <w:sz w:val="20"/>
                <w:szCs w:val="20"/>
              </w:rPr>
            </w:pPr>
            <w:r w:rsidRPr="00A52F41">
              <w:rPr>
                <w:rFonts w:ascii="Arial" w:hAnsi="Arial" w:cs="Arial"/>
                <w:sz w:val="20"/>
                <w:szCs w:val="20"/>
              </w:rPr>
              <w:t>Povprečni letni ekvivalentni razpoložljivi dohodek na člana gospodinjstva (EUR)</w:t>
            </w:r>
          </w:p>
        </w:tc>
        <w:tc>
          <w:tcPr>
            <w:tcW w:w="1008" w:type="dxa"/>
            <w:tcBorders>
              <w:top w:val="outset" w:sz="6" w:space="0" w:color="auto"/>
              <w:left w:val="outset" w:sz="6" w:space="0" w:color="auto"/>
              <w:bottom w:val="outset" w:sz="6" w:space="0" w:color="auto"/>
              <w:right w:val="outset" w:sz="6" w:space="0" w:color="auto"/>
            </w:tcBorders>
            <w:vAlign w:val="center"/>
            <w:hideMark/>
          </w:tcPr>
          <w:p w14:paraId="50316873" w14:textId="77777777" w:rsidR="009E0216" w:rsidRPr="00A52F41" w:rsidRDefault="009E0216" w:rsidP="00172AAF">
            <w:pPr>
              <w:spacing w:after="0" w:line="360" w:lineRule="auto"/>
              <w:jc w:val="right"/>
              <w:rPr>
                <w:rFonts w:ascii="Arial" w:hAnsi="Arial" w:cs="Arial"/>
                <w:sz w:val="20"/>
                <w:szCs w:val="20"/>
              </w:rPr>
            </w:pPr>
            <w:r w:rsidRPr="00A52F41">
              <w:rPr>
                <w:rFonts w:ascii="Arial" w:hAnsi="Arial" w:cs="Arial"/>
                <w:sz w:val="20"/>
                <w:szCs w:val="20"/>
              </w:rPr>
              <w:t>15.236</w:t>
            </w:r>
          </w:p>
        </w:tc>
      </w:tr>
      <w:tr w:rsidR="009E0216" w:rsidRPr="00A52F41" w14:paraId="4AE6E5CE" w14:textId="77777777" w:rsidTr="00172AAF">
        <w:trPr>
          <w:trHeight w:val="244"/>
        </w:trPr>
        <w:tc>
          <w:tcPr>
            <w:tcW w:w="7953" w:type="dxa"/>
            <w:tcBorders>
              <w:top w:val="outset" w:sz="6" w:space="0" w:color="auto"/>
              <w:left w:val="outset" w:sz="6" w:space="0" w:color="auto"/>
              <w:bottom w:val="outset" w:sz="6" w:space="0" w:color="auto"/>
              <w:right w:val="outset" w:sz="6" w:space="0" w:color="auto"/>
            </w:tcBorders>
            <w:vAlign w:val="center"/>
            <w:hideMark/>
          </w:tcPr>
          <w:p w14:paraId="7352D89F" w14:textId="77777777" w:rsidR="009E0216" w:rsidRPr="00A52F41" w:rsidRDefault="009E0216" w:rsidP="001D5FC0">
            <w:pPr>
              <w:spacing w:after="0" w:line="360" w:lineRule="auto"/>
              <w:jc w:val="both"/>
              <w:rPr>
                <w:rFonts w:ascii="Arial" w:hAnsi="Arial" w:cs="Arial"/>
                <w:sz w:val="20"/>
                <w:szCs w:val="20"/>
              </w:rPr>
            </w:pPr>
            <w:r w:rsidRPr="00A52F41">
              <w:rPr>
                <w:rFonts w:ascii="Arial" w:hAnsi="Arial" w:cs="Arial"/>
                <w:sz w:val="20"/>
                <w:szCs w:val="20"/>
              </w:rPr>
              <w:t>Letni prag tveganja revščine za enočlansko gospodinjstvo (EUR)</w:t>
            </w:r>
          </w:p>
        </w:tc>
        <w:tc>
          <w:tcPr>
            <w:tcW w:w="1008" w:type="dxa"/>
            <w:tcBorders>
              <w:top w:val="outset" w:sz="6" w:space="0" w:color="auto"/>
              <w:left w:val="outset" w:sz="6" w:space="0" w:color="auto"/>
              <w:bottom w:val="outset" w:sz="6" w:space="0" w:color="auto"/>
              <w:right w:val="outset" w:sz="6" w:space="0" w:color="auto"/>
            </w:tcBorders>
            <w:vAlign w:val="center"/>
            <w:hideMark/>
          </w:tcPr>
          <w:p w14:paraId="4C4D41EC" w14:textId="77777777" w:rsidR="009E0216" w:rsidRPr="00A52F41" w:rsidRDefault="009E0216" w:rsidP="00172AAF">
            <w:pPr>
              <w:spacing w:after="0" w:line="360" w:lineRule="auto"/>
              <w:jc w:val="right"/>
              <w:rPr>
                <w:rFonts w:ascii="Arial" w:hAnsi="Arial" w:cs="Arial"/>
                <w:sz w:val="20"/>
                <w:szCs w:val="20"/>
              </w:rPr>
            </w:pPr>
            <w:r w:rsidRPr="00A52F41">
              <w:rPr>
                <w:rFonts w:ascii="Arial" w:hAnsi="Arial" w:cs="Arial"/>
                <w:sz w:val="20"/>
                <w:szCs w:val="20"/>
              </w:rPr>
              <w:t>8.440</w:t>
            </w:r>
          </w:p>
        </w:tc>
      </w:tr>
      <w:tr w:rsidR="009E0216" w:rsidRPr="00A52F41" w14:paraId="327B491C" w14:textId="77777777" w:rsidTr="00172AAF">
        <w:trPr>
          <w:trHeight w:val="226"/>
        </w:trPr>
        <w:tc>
          <w:tcPr>
            <w:tcW w:w="7953" w:type="dxa"/>
            <w:tcBorders>
              <w:top w:val="outset" w:sz="6" w:space="0" w:color="auto"/>
              <w:left w:val="outset" w:sz="6" w:space="0" w:color="auto"/>
              <w:bottom w:val="outset" w:sz="6" w:space="0" w:color="auto"/>
              <w:right w:val="outset" w:sz="6" w:space="0" w:color="auto"/>
            </w:tcBorders>
            <w:vAlign w:val="center"/>
            <w:hideMark/>
          </w:tcPr>
          <w:p w14:paraId="170AFF55" w14:textId="77777777" w:rsidR="009E0216" w:rsidRPr="00A52F41" w:rsidRDefault="009E0216" w:rsidP="001D5FC0">
            <w:pPr>
              <w:spacing w:after="0" w:line="360" w:lineRule="auto"/>
              <w:jc w:val="both"/>
              <w:rPr>
                <w:rFonts w:ascii="Arial" w:hAnsi="Arial" w:cs="Arial"/>
                <w:sz w:val="20"/>
                <w:szCs w:val="20"/>
              </w:rPr>
            </w:pPr>
            <w:r w:rsidRPr="00A52F41">
              <w:rPr>
                <w:rFonts w:ascii="Arial" w:hAnsi="Arial" w:cs="Arial"/>
                <w:sz w:val="20"/>
                <w:szCs w:val="20"/>
              </w:rPr>
              <w:t>Stopnja tveganja socialne izključenosti (% oseb)</w:t>
            </w:r>
          </w:p>
        </w:tc>
        <w:tc>
          <w:tcPr>
            <w:tcW w:w="1008" w:type="dxa"/>
            <w:tcBorders>
              <w:top w:val="outset" w:sz="6" w:space="0" w:color="auto"/>
              <w:left w:val="outset" w:sz="6" w:space="0" w:color="auto"/>
              <w:bottom w:val="outset" w:sz="6" w:space="0" w:color="auto"/>
              <w:right w:val="outset" w:sz="6" w:space="0" w:color="auto"/>
            </w:tcBorders>
            <w:vAlign w:val="center"/>
            <w:hideMark/>
          </w:tcPr>
          <w:p w14:paraId="1BF21E26" w14:textId="77777777" w:rsidR="009E0216" w:rsidRPr="00A52F41" w:rsidRDefault="009E0216" w:rsidP="00172AAF">
            <w:pPr>
              <w:spacing w:after="0" w:line="360" w:lineRule="auto"/>
              <w:jc w:val="right"/>
              <w:rPr>
                <w:rFonts w:ascii="Arial" w:hAnsi="Arial" w:cs="Arial"/>
                <w:sz w:val="20"/>
                <w:szCs w:val="20"/>
              </w:rPr>
            </w:pPr>
            <w:r w:rsidRPr="00A52F41">
              <w:rPr>
                <w:rFonts w:ascii="Arial" w:hAnsi="Arial" w:cs="Arial"/>
                <w:sz w:val="20"/>
                <w:szCs w:val="20"/>
              </w:rPr>
              <w:t>14,4</w:t>
            </w:r>
          </w:p>
        </w:tc>
      </w:tr>
      <w:tr w:rsidR="009E0216" w:rsidRPr="00A52F41" w14:paraId="3218DE21" w14:textId="77777777" w:rsidTr="00172AAF">
        <w:trPr>
          <w:trHeight w:val="226"/>
        </w:trPr>
        <w:tc>
          <w:tcPr>
            <w:tcW w:w="79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B07E94" w14:textId="77777777" w:rsidR="009E0216" w:rsidRPr="00A52F41" w:rsidRDefault="009E0216" w:rsidP="001D5FC0">
            <w:pPr>
              <w:spacing w:after="0" w:line="360" w:lineRule="auto"/>
              <w:jc w:val="both"/>
              <w:rPr>
                <w:rFonts w:ascii="Arial" w:hAnsi="Arial" w:cs="Arial"/>
                <w:sz w:val="20"/>
                <w:szCs w:val="20"/>
              </w:rPr>
            </w:pPr>
            <w:r w:rsidRPr="00A52F41">
              <w:rPr>
                <w:rFonts w:ascii="Arial" w:hAnsi="Arial" w:cs="Arial"/>
                <w:sz w:val="20"/>
                <w:szCs w:val="20"/>
              </w:rPr>
              <w:t xml:space="preserve">Stopnja tveganja revščine (% oseb) </w:t>
            </w:r>
          </w:p>
        </w:tc>
        <w:tc>
          <w:tcPr>
            <w:tcW w:w="10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F4D194" w14:textId="77777777" w:rsidR="009E0216" w:rsidRPr="00A52F41" w:rsidRDefault="009E0216" w:rsidP="00172AAF">
            <w:pPr>
              <w:spacing w:after="0" w:line="360" w:lineRule="auto"/>
              <w:jc w:val="right"/>
              <w:rPr>
                <w:rFonts w:ascii="Arial" w:hAnsi="Arial" w:cs="Arial"/>
                <w:sz w:val="20"/>
                <w:szCs w:val="20"/>
              </w:rPr>
            </w:pPr>
            <w:r w:rsidRPr="00A52F41">
              <w:rPr>
                <w:rFonts w:ascii="Arial" w:hAnsi="Arial" w:cs="Arial"/>
                <w:sz w:val="20"/>
                <w:szCs w:val="20"/>
              </w:rPr>
              <w:t>12,0</w:t>
            </w:r>
          </w:p>
        </w:tc>
      </w:tr>
      <w:tr w:rsidR="009E0216" w:rsidRPr="00A52F41" w14:paraId="52161DDF" w14:textId="77777777" w:rsidTr="00172AAF">
        <w:trPr>
          <w:trHeight w:val="226"/>
        </w:trPr>
        <w:tc>
          <w:tcPr>
            <w:tcW w:w="7953" w:type="dxa"/>
            <w:tcBorders>
              <w:top w:val="outset" w:sz="6" w:space="0" w:color="auto"/>
              <w:left w:val="outset" w:sz="6" w:space="0" w:color="auto"/>
              <w:bottom w:val="outset" w:sz="6" w:space="0" w:color="auto"/>
              <w:right w:val="outset" w:sz="6" w:space="0" w:color="auto"/>
            </w:tcBorders>
            <w:vAlign w:val="center"/>
            <w:hideMark/>
          </w:tcPr>
          <w:p w14:paraId="7F0E56C6" w14:textId="77777777" w:rsidR="009E0216" w:rsidRPr="00A52F41" w:rsidRDefault="009E0216" w:rsidP="001D5FC0">
            <w:pPr>
              <w:spacing w:after="0" w:line="360" w:lineRule="auto"/>
              <w:jc w:val="both"/>
              <w:rPr>
                <w:rFonts w:ascii="Arial" w:hAnsi="Arial" w:cs="Arial"/>
                <w:sz w:val="20"/>
                <w:szCs w:val="20"/>
              </w:rPr>
            </w:pPr>
            <w:r w:rsidRPr="00A52F41">
              <w:rPr>
                <w:rFonts w:ascii="Arial" w:hAnsi="Arial" w:cs="Arial"/>
                <w:sz w:val="20"/>
                <w:szCs w:val="20"/>
              </w:rPr>
              <w:t>Stopnja resne materialne prikrajšanosti - za 4 od 9 elementov (% oseb)</w:t>
            </w:r>
          </w:p>
        </w:tc>
        <w:tc>
          <w:tcPr>
            <w:tcW w:w="1008" w:type="dxa"/>
            <w:tcBorders>
              <w:top w:val="outset" w:sz="6" w:space="0" w:color="auto"/>
              <w:left w:val="outset" w:sz="6" w:space="0" w:color="auto"/>
              <w:bottom w:val="outset" w:sz="6" w:space="0" w:color="auto"/>
              <w:right w:val="outset" w:sz="6" w:space="0" w:color="auto"/>
            </w:tcBorders>
            <w:vAlign w:val="center"/>
            <w:hideMark/>
          </w:tcPr>
          <w:p w14:paraId="6423F25F" w14:textId="77777777" w:rsidR="009E0216" w:rsidRPr="00A52F41" w:rsidRDefault="009E0216" w:rsidP="00172AAF">
            <w:pPr>
              <w:spacing w:after="0" w:line="360" w:lineRule="auto"/>
              <w:jc w:val="right"/>
              <w:rPr>
                <w:rFonts w:ascii="Arial" w:hAnsi="Arial" w:cs="Arial"/>
                <w:sz w:val="20"/>
                <w:szCs w:val="20"/>
              </w:rPr>
            </w:pPr>
            <w:r w:rsidRPr="00A52F41">
              <w:rPr>
                <w:rFonts w:ascii="Arial" w:hAnsi="Arial" w:cs="Arial"/>
                <w:sz w:val="20"/>
                <w:szCs w:val="20"/>
              </w:rPr>
              <w:t>2,6</w:t>
            </w:r>
          </w:p>
        </w:tc>
      </w:tr>
      <w:tr w:rsidR="009E0216" w:rsidRPr="00A52F41" w14:paraId="3682FD40" w14:textId="77777777" w:rsidTr="00172AAF">
        <w:trPr>
          <w:trHeight w:val="226"/>
        </w:trPr>
        <w:tc>
          <w:tcPr>
            <w:tcW w:w="7953" w:type="dxa"/>
            <w:tcBorders>
              <w:top w:val="outset" w:sz="6" w:space="0" w:color="auto"/>
              <w:left w:val="outset" w:sz="6" w:space="0" w:color="auto"/>
              <w:bottom w:val="outset" w:sz="6" w:space="0" w:color="auto"/>
              <w:right w:val="outset" w:sz="6" w:space="0" w:color="auto"/>
            </w:tcBorders>
            <w:vAlign w:val="center"/>
            <w:hideMark/>
          </w:tcPr>
          <w:p w14:paraId="3584DB6A" w14:textId="77777777" w:rsidR="009E0216" w:rsidRPr="00A52F41" w:rsidRDefault="009E0216" w:rsidP="001D5FC0">
            <w:pPr>
              <w:spacing w:after="0" w:line="360" w:lineRule="auto"/>
              <w:jc w:val="both"/>
              <w:rPr>
                <w:rFonts w:ascii="Arial" w:hAnsi="Arial" w:cs="Arial"/>
                <w:sz w:val="20"/>
                <w:szCs w:val="20"/>
              </w:rPr>
            </w:pPr>
            <w:r w:rsidRPr="00A52F41">
              <w:rPr>
                <w:rFonts w:ascii="Arial" w:hAnsi="Arial" w:cs="Arial"/>
                <w:sz w:val="20"/>
                <w:szCs w:val="20"/>
              </w:rPr>
              <w:t>Stopnja zelo nizke delovne intenzivnosti, starost 0–59 let (% oseb)</w:t>
            </w:r>
          </w:p>
        </w:tc>
        <w:tc>
          <w:tcPr>
            <w:tcW w:w="1008" w:type="dxa"/>
            <w:tcBorders>
              <w:top w:val="outset" w:sz="6" w:space="0" w:color="auto"/>
              <w:left w:val="outset" w:sz="6" w:space="0" w:color="auto"/>
              <w:bottom w:val="outset" w:sz="6" w:space="0" w:color="auto"/>
              <w:right w:val="outset" w:sz="6" w:space="0" w:color="auto"/>
            </w:tcBorders>
            <w:vAlign w:val="center"/>
            <w:hideMark/>
          </w:tcPr>
          <w:p w14:paraId="44E23E76" w14:textId="77777777" w:rsidR="009E0216" w:rsidRPr="00A52F41" w:rsidRDefault="009E0216" w:rsidP="00172AAF">
            <w:pPr>
              <w:spacing w:after="0" w:line="360" w:lineRule="auto"/>
              <w:jc w:val="right"/>
              <w:rPr>
                <w:rFonts w:ascii="Arial" w:hAnsi="Arial" w:cs="Arial"/>
                <w:sz w:val="20"/>
                <w:szCs w:val="20"/>
              </w:rPr>
            </w:pPr>
            <w:r w:rsidRPr="00A52F41">
              <w:rPr>
                <w:rFonts w:ascii="Arial" w:hAnsi="Arial" w:cs="Arial"/>
                <w:sz w:val="20"/>
                <w:szCs w:val="20"/>
              </w:rPr>
              <w:t>5,2</w:t>
            </w:r>
          </w:p>
        </w:tc>
      </w:tr>
      <w:tr w:rsidR="009E0216" w:rsidRPr="00A52F41" w14:paraId="64F3EDE4" w14:textId="77777777" w:rsidTr="00172AAF">
        <w:trPr>
          <w:trHeight w:val="226"/>
        </w:trPr>
        <w:tc>
          <w:tcPr>
            <w:tcW w:w="7953" w:type="dxa"/>
            <w:tcBorders>
              <w:top w:val="outset" w:sz="6" w:space="0" w:color="auto"/>
              <w:left w:val="outset" w:sz="6" w:space="0" w:color="auto"/>
              <w:bottom w:val="outset" w:sz="6" w:space="0" w:color="auto"/>
              <w:right w:val="outset" w:sz="6" w:space="0" w:color="auto"/>
            </w:tcBorders>
            <w:vAlign w:val="center"/>
            <w:hideMark/>
          </w:tcPr>
          <w:p w14:paraId="5A3A458F" w14:textId="77777777" w:rsidR="009E0216" w:rsidRPr="00A52F41" w:rsidRDefault="009E0216" w:rsidP="001D5FC0">
            <w:pPr>
              <w:spacing w:after="0" w:line="360" w:lineRule="auto"/>
              <w:jc w:val="both"/>
              <w:rPr>
                <w:rFonts w:ascii="Arial" w:hAnsi="Arial" w:cs="Arial"/>
                <w:sz w:val="20"/>
                <w:szCs w:val="20"/>
              </w:rPr>
            </w:pPr>
            <w:r w:rsidRPr="00A52F41">
              <w:rPr>
                <w:rFonts w:ascii="Arial" w:hAnsi="Arial" w:cs="Arial"/>
                <w:sz w:val="20"/>
                <w:szCs w:val="20"/>
              </w:rPr>
              <w:t>Stopnja tveganja revščine pred socialnimi transferji, razen pokojnin (% oseb)</w:t>
            </w:r>
          </w:p>
        </w:tc>
        <w:tc>
          <w:tcPr>
            <w:tcW w:w="1008" w:type="dxa"/>
            <w:tcBorders>
              <w:top w:val="outset" w:sz="6" w:space="0" w:color="auto"/>
              <w:left w:val="outset" w:sz="6" w:space="0" w:color="auto"/>
              <w:bottom w:val="outset" w:sz="6" w:space="0" w:color="auto"/>
              <w:right w:val="outset" w:sz="6" w:space="0" w:color="auto"/>
            </w:tcBorders>
            <w:vAlign w:val="center"/>
            <w:hideMark/>
          </w:tcPr>
          <w:p w14:paraId="088B5977" w14:textId="77777777" w:rsidR="009E0216" w:rsidRPr="00A52F41" w:rsidRDefault="009E0216" w:rsidP="00172AAF">
            <w:pPr>
              <w:spacing w:after="0" w:line="360" w:lineRule="auto"/>
              <w:jc w:val="right"/>
              <w:rPr>
                <w:rFonts w:ascii="Arial" w:hAnsi="Arial" w:cs="Arial"/>
                <w:sz w:val="20"/>
                <w:szCs w:val="20"/>
              </w:rPr>
            </w:pPr>
            <w:r w:rsidRPr="00A52F41">
              <w:rPr>
                <w:rFonts w:ascii="Arial" w:hAnsi="Arial" w:cs="Arial"/>
                <w:sz w:val="20"/>
                <w:szCs w:val="20"/>
              </w:rPr>
              <w:t>22,0</w:t>
            </w:r>
          </w:p>
        </w:tc>
      </w:tr>
      <w:tr w:rsidR="009E0216" w:rsidRPr="00A52F41" w14:paraId="54B8A402" w14:textId="77777777" w:rsidTr="00172AAF">
        <w:trPr>
          <w:trHeight w:val="244"/>
        </w:trPr>
        <w:tc>
          <w:tcPr>
            <w:tcW w:w="7953" w:type="dxa"/>
            <w:tcBorders>
              <w:top w:val="outset" w:sz="6" w:space="0" w:color="auto"/>
              <w:left w:val="outset" w:sz="6" w:space="0" w:color="auto"/>
              <w:bottom w:val="outset" w:sz="6" w:space="0" w:color="auto"/>
              <w:right w:val="outset" w:sz="6" w:space="0" w:color="auto"/>
            </w:tcBorders>
            <w:vAlign w:val="center"/>
            <w:hideMark/>
          </w:tcPr>
          <w:p w14:paraId="7CFA1E7D" w14:textId="77777777" w:rsidR="009E0216" w:rsidRPr="00A52F41" w:rsidRDefault="009E0216" w:rsidP="001D5FC0">
            <w:pPr>
              <w:spacing w:after="0" w:line="360" w:lineRule="auto"/>
              <w:jc w:val="both"/>
              <w:rPr>
                <w:rFonts w:ascii="Arial" w:hAnsi="Arial" w:cs="Arial"/>
                <w:sz w:val="20"/>
                <w:szCs w:val="20"/>
              </w:rPr>
            </w:pPr>
            <w:r w:rsidRPr="00A52F41">
              <w:rPr>
                <w:rFonts w:ascii="Arial" w:hAnsi="Arial" w:cs="Arial"/>
                <w:sz w:val="20"/>
                <w:szCs w:val="20"/>
              </w:rPr>
              <w:t>Stopnja tveganja revščine pred socialnimi transferji, vključno s pokojninami (% oseb)</w:t>
            </w:r>
          </w:p>
        </w:tc>
        <w:tc>
          <w:tcPr>
            <w:tcW w:w="1008" w:type="dxa"/>
            <w:tcBorders>
              <w:top w:val="outset" w:sz="6" w:space="0" w:color="auto"/>
              <w:left w:val="outset" w:sz="6" w:space="0" w:color="auto"/>
              <w:bottom w:val="outset" w:sz="6" w:space="0" w:color="auto"/>
              <w:right w:val="outset" w:sz="6" w:space="0" w:color="auto"/>
            </w:tcBorders>
            <w:vAlign w:val="center"/>
            <w:hideMark/>
          </w:tcPr>
          <w:p w14:paraId="2270995F" w14:textId="77777777" w:rsidR="009E0216" w:rsidRPr="00A52F41" w:rsidRDefault="009E0216" w:rsidP="00172AAF">
            <w:pPr>
              <w:spacing w:after="0" w:line="360" w:lineRule="auto"/>
              <w:jc w:val="right"/>
              <w:rPr>
                <w:rFonts w:ascii="Arial" w:hAnsi="Arial" w:cs="Arial"/>
                <w:sz w:val="20"/>
                <w:szCs w:val="20"/>
              </w:rPr>
            </w:pPr>
            <w:r w:rsidRPr="00A52F41">
              <w:rPr>
                <w:rFonts w:ascii="Arial" w:hAnsi="Arial" w:cs="Arial"/>
                <w:sz w:val="20"/>
                <w:szCs w:val="20"/>
              </w:rPr>
              <w:t>39,2</w:t>
            </w:r>
          </w:p>
        </w:tc>
      </w:tr>
    </w:tbl>
    <w:p w14:paraId="4A78BA0A" w14:textId="77777777" w:rsidR="009E0216" w:rsidRPr="007344C6" w:rsidRDefault="009E0216" w:rsidP="00EA2E4C">
      <w:pPr>
        <w:pStyle w:val="Navadensplet"/>
        <w:shd w:val="clear" w:color="auto" w:fill="FFFFFF"/>
        <w:spacing w:line="360" w:lineRule="auto"/>
        <w:rPr>
          <w:rFonts w:ascii="Arial" w:hAnsi="Arial" w:cs="Arial"/>
          <w:sz w:val="16"/>
          <w:szCs w:val="16"/>
        </w:rPr>
      </w:pPr>
      <w:r w:rsidRPr="007344C6">
        <w:rPr>
          <w:rFonts w:ascii="Arial" w:hAnsi="Arial" w:cs="Arial"/>
          <w:sz w:val="16"/>
          <w:szCs w:val="16"/>
        </w:rPr>
        <w:t>Vir: SURS</w:t>
      </w:r>
    </w:p>
    <w:p w14:paraId="1485FF42" w14:textId="77777777" w:rsidR="009E0216" w:rsidRPr="00A52F41" w:rsidRDefault="009E0216" w:rsidP="00EA2E4C">
      <w:pPr>
        <w:shd w:val="clear" w:color="auto" w:fill="FFFFFF" w:themeFill="background1"/>
        <w:spacing w:line="360" w:lineRule="auto"/>
        <w:jc w:val="both"/>
        <w:rPr>
          <w:rFonts w:ascii="Arial" w:hAnsi="Arial" w:cs="Arial"/>
          <w:sz w:val="20"/>
          <w:szCs w:val="20"/>
        </w:rPr>
      </w:pPr>
    </w:p>
    <w:p w14:paraId="739E307C" w14:textId="77777777" w:rsidR="009E0216" w:rsidRPr="00A52F41" w:rsidRDefault="009E0216" w:rsidP="001D5FC0">
      <w:pPr>
        <w:keepNext/>
        <w:shd w:val="clear" w:color="auto" w:fill="FFFFFF" w:themeFill="background1"/>
        <w:spacing w:line="360" w:lineRule="auto"/>
        <w:jc w:val="both"/>
        <w:rPr>
          <w:rFonts w:ascii="Arial" w:hAnsi="Arial" w:cs="Arial"/>
          <w:sz w:val="20"/>
          <w:szCs w:val="20"/>
          <w:u w:val="single"/>
        </w:rPr>
      </w:pPr>
      <w:r w:rsidRPr="00A52F41">
        <w:rPr>
          <w:rFonts w:ascii="Arial" w:hAnsi="Arial" w:cs="Arial"/>
          <w:sz w:val="20"/>
          <w:szCs w:val="20"/>
          <w:u w:val="single"/>
        </w:rPr>
        <w:lastRenderedPageBreak/>
        <w:t>Razvojna ogroženost regij</w:t>
      </w:r>
    </w:p>
    <w:p w14:paraId="16B6F704" w14:textId="77777777" w:rsidR="009E0216" w:rsidRPr="00A52F41" w:rsidRDefault="009E0216" w:rsidP="00EA2E4C">
      <w:pPr>
        <w:shd w:val="clear" w:color="auto" w:fill="FFFFFF" w:themeFill="background1"/>
        <w:spacing w:line="360" w:lineRule="auto"/>
        <w:jc w:val="both"/>
        <w:rPr>
          <w:rFonts w:ascii="Arial" w:hAnsi="Arial" w:cs="Arial"/>
          <w:sz w:val="20"/>
          <w:szCs w:val="20"/>
        </w:rPr>
      </w:pPr>
      <w:r w:rsidRPr="00A52F41">
        <w:rPr>
          <w:rFonts w:ascii="Arial" w:hAnsi="Arial" w:cs="Arial"/>
          <w:sz w:val="20"/>
          <w:szCs w:val="20"/>
        </w:rPr>
        <w:t>Po podatkih UMAR je razvojna ogroženost, merjena z indeksom razvojne ogroženosti (IRO), za leto 2019 višja v regijah vzhodne Slovenije</w:t>
      </w:r>
      <w:r w:rsidR="00D8220A">
        <w:rPr>
          <w:rFonts w:ascii="Arial" w:hAnsi="Arial" w:cs="Arial"/>
          <w:sz w:val="20"/>
          <w:szCs w:val="20"/>
        </w:rPr>
        <w:t xml:space="preserve"> (Slika 14)</w:t>
      </w:r>
      <w:r w:rsidRPr="00A52F41">
        <w:rPr>
          <w:rFonts w:ascii="Arial" w:hAnsi="Arial" w:cs="Arial"/>
          <w:sz w:val="20"/>
          <w:szCs w:val="20"/>
        </w:rPr>
        <w:t xml:space="preserve">. Kazalnik IRO za leto 2019 kaže, da po razvojni ogroženosti oziroma razvitosti izstopata predvsem dve regiji. Osrednjeslovenska regija najbolj izstopa v pozitivno smer in ima za polovico manjšo vrednost IRO od slovenskega povprečja.  Le še v treh regijah je IRO ugoden, v osrednjeslovenski, gorenjski in jugovzhodni Sloveniji, kjer IRO ne presega slovenskega povprečja. Pomurska regija pa najbolj razvojno izstopa v negativno smer, saj za več kot dve tretjini presega slovensko povprečje. Visok IRO je tudi v zasavski, podravski, koroški in posavski regiji. V zahodni Sloveniji ima najvišji IRO primorsko-notranjska regija. </w:t>
      </w:r>
    </w:p>
    <w:p w14:paraId="4136310E" w14:textId="30C9098C" w:rsidR="00A53A3F" w:rsidRPr="00A52F41" w:rsidRDefault="009E0216" w:rsidP="00EA2E4C">
      <w:pPr>
        <w:shd w:val="clear" w:color="auto" w:fill="FFFFFF" w:themeFill="background1"/>
        <w:spacing w:line="360" w:lineRule="auto"/>
        <w:jc w:val="both"/>
        <w:rPr>
          <w:rFonts w:ascii="Arial" w:hAnsi="Arial" w:cs="Arial"/>
          <w:sz w:val="20"/>
          <w:szCs w:val="20"/>
        </w:rPr>
      </w:pPr>
      <w:r w:rsidRPr="00A52F41">
        <w:rPr>
          <w:rFonts w:ascii="Arial" w:hAnsi="Arial" w:cs="Arial"/>
          <w:sz w:val="20"/>
          <w:szCs w:val="20"/>
        </w:rPr>
        <w:t xml:space="preserve">Pomurska regija je najbolj razvojno ogrožena regija. Pri kazalnikih produktivnost, razpoložljivi dohodek, zaposlenost, brezposelnost, izobrazba, staranje prebivalstva je regija na zadnjem mestu med vsemi regijami, pa tudi pri ostalih kazalnikih je med najslabšimi regijami. Podpovprečen je BDP, nizke pa so tudi bruto investicije v osnovna sredstva.  Zasavska regija je druga najbolj razvojno ogrožena regija v Sloveniji, ima najnižji BDP na prebivalca, zelo nizka sta tudi deleža bruto investicij v osnovna sredstva in sredstev za raziskav in razvoj v BDP. Prav tako so neugodni kazalniki brezposelnosti in staranja prebivalstva. Podravski regiji razvojno ogroženost povečujejo predvsem kazalniki na področju investicij, raziskav in razvoja ter staranja prebivalstva, delež sredstev za bruto investicije v BDP je že vrsto let najnižji med regijami. Po gospodarski aktivnosti je podpovprečna, visoka pa je tudi brezposelnost, še posebej med mladimi. Koroška regija pozitivno izstopa predvsem po visokem razpoložljivem dohodku na prebivalca, na kar je vplivala zaposlitev preko meje. Po vseh ostalih kazalnikih, ki so vključeni v izračun IRO, je koroška regija pod slovenskim povprečjem. Bistveno bolj kot v slovenskem povprečju je porasel indeks staranja prebivalstva saj se prebivalstvo regije pospešeno stara. Primorsko-notranjska regija je najredkeje poseljena regija, razvojno ogroženost ji povečuje tudi visok delež varovanih območij in nizek delež sredstev za raziskave in razvoj. Regija ima tudi nizek BDP na prebivalca, pozitivno pa izstopa po zaposlenosti. Razlike med preostalimi regijami so precej manjše. </w:t>
      </w:r>
    </w:p>
    <w:p w14:paraId="5704C46B" w14:textId="77777777" w:rsidR="009E0216" w:rsidRPr="00A417A4" w:rsidRDefault="00A53A3F" w:rsidP="00A417A4">
      <w:pPr>
        <w:pStyle w:val="SCslika"/>
        <w:keepNext/>
        <w:keepLines/>
      </w:pPr>
      <w:bookmarkStart w:id="42" w:name="_Toc47082375"/>
      <w:bookmarkStart w:id="43" w:name="_Toc47092616"/>
      <w:r w:rsidRPr="00A417A4">
        <w:lastRenderedPageBreak/>
        <w:t>Slika 14</w:t>
      </w:r>
      <w:r w:rsidR="007344C6" w:rsidRPr="00A417A4">
        <w:t>: Indeks razvojne ogroženosti regij 2019</w:t>
      </w:r>
      <w:bookmarkEnd w:id="42"/>
      <w:bookmarkEnd w:id="43"/>
    </w:p>
    <w:p w14:paraId="6CF03102" w14:textId="326488BF" w:rsidR="009E0216" w:rsidRPr="007344C6" w:rsidRDefault="00172AAF" w:rsidP="00172AAF">
      <w:pPr>
        <w:pStyle w:val="Napis"/>
        <w:spacing w:before="0" w:line="240" w:lineRule="auto"/>
        <w:jc w:val="both"/>
      </w:pPr>
      <w:r w:rsidRPr="00172AAF">
        <w:rPr>
          <w:noProof/>
          <w:lang w:eastAsia="sl-SI"/>
        </w:rPr>
        <w:drawing>
          <wp:inline distT="0" distB="0" distL="0" distR="0" wp14:anchorId="55DED948" wp14:editId="60F9895B">
            <wp:extent cx="5760720" cy="3085465"/>
            <wp:effectExtent l="19050" t="19050" r="11430" b="1968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085465"/>
                    </a:xfrm>
                    <a:prstGeom prst="rect">
                      <a:avLst/>
                    </a:prstGeom>
                    <a:ln w="6350">
                      <a:solidFill>
                        <a:schemeClr val="tx1">
                          <a:lumMod val="50000"/>
                          <a:lumOff val="50000"/>
                        </a:schemeClr>
                      </a:solidFill>
                    </a:ln>
                  </pic:spPr>
                </pic:pic>
              </a:graphicData>
            </a:graphic>
          </wp:inline>
        </w:drawing>
      </w:r>
    </w:p>
    <w:p w14:paraId="55950865" w14:textId="77777777" w:rsidR="009E0216" w:rsidRPr="007344C6" w:rsidRDefault="007344C6" w:rsidP="001D5FC0">
      <w:pPr>
        <w:pStyle w:val="Napis"/>
        <w:spacing w:before="0" w:line="360" w:lineRule="auto"/>
        <w:jc w:val="both"/>
      </w:pPr>
      <w:r>
        <w:t>Vir: UMAR, 2020</w:t>
      </w:r>
    </w:p>
    <w:p w14:paraId="4E42B432" w14:textId="77777777" w:rsidR="009E0216" w:rsidRPr="00A52F41" w:rsidRDefault="007344C6" w:rsidP="001D5FC0">
      <w:pPr>
        <w:shd w:val="clear" w:color="auto" w:fill="FFFFFF" w:themeFill="background1"/>
        <w:spacing w:before="200" w:line="360" w:lineRule="auto"/>
        <w:jc w:val="both"/>
        <w:rPr>
          <w:rFonts w:ascii="Arial" w:hAnsi="Arial" w:cs="Arial"/>
          <w:sz w:val="20"/>
          <w:szCs w:val="20"/>
        </w:rPr>
      </w:pPr>
      <w:r>
        <w:rPr>
          <w:rFonts w:ascii="Arial" w:hAnsi="Arial" w:cs="Arial"/>
          <w:sz w:val="20"/>
          <w:szCs w:val="20"/>
        </w:rPr>
        <w:t>I</w:t>
      </w:r>
      <w:r w:rsidR="009E0216" w:rsidRPr="00A52F41">
        <w:rPr>
          <w:rFonts w:ascii="Arial" w:hAnsi="Arial" w:cs="Arial"/>
          <w:sz w:val="20"/>
          <w:szCs w:val="20"/>
        </w:rPr>
        <w:t xml:space="preserve">zboljšanje kazalnikov IRO med letoma 2014 in 2019 večinoma ni zmanjšalo razkoraka regij do slovenskega povprečja. V večini regij so se vrednosti kazalnikov, ki sestavljajo IRO, izboljšale, najbolj v osrednjeslovenski regiji. V primerjavi regij se je IRO poslabšal za podravsko regijo. Po krizi 2009–2013 so se gospodarske razmere hitreje izboljšale bolj razvitim regijam, s tem pa ponovno naraščajo razlike med regijami. Primerjava IRO za obdobje 2007–2013 in IRO za leto 2019 zaradi različnih uporabljenih kazalnikov ni mogoča. Kljub temu v primerjalnih obdobjih navzgor močno izstopa osrednjeslovenska regija, navzdol pa pomurska regija, sledi ji primorsko-notranjska regija. Na lestvici je najbolj napredovala JV Slovenija, sledi ji posavska regija. </w:t>
      </w:r>
    </w:p>
    <w:p w14:paraId="7007C7B0" w14:textId="77777777" w:rsidR="009E0216" w:rsidRPr="00A417A4" w:rsidRDefault="005B0F81" w:rsidP="00A417A4">
      <w:pPr>
        <w:pStyle w:val="SCslika"/>
        <w:keepNext/>
        <w:keepLines/>
      </w:pPr>
      <w:bookmarkStart w:id="44" w:name="_Toc47092639"/>
      <w:r w:rsidRPr="00A417A4">
        <w:t>Tabela</w:t>
      </w:r>
      <w:r w:rsidR="009E0216" w:rsidRPr="00A417A4">
        <w:t xml:space="preserve"> </w:t>
      </w:r>
      <w:r w:rsidRPr="00A417A4">
        <w:t>10</w:t>
      </w:r>
      <w:r w:rsidR="009E0216" w:rsidRPr="00A417A4">
        <w:t>: Primerjava IRO za obdobje 2007-2013 in IRO za leto 2019</w:t>
      </w:r>
      <w:bookmarkEnd w:id="44"/>
    </w:p>
    <w:tbl>
      <w:tblPr>
        <w:tblW w:w="7583" w:type="dxa"/>
        <w:tblCellMar>
          <w:left w:w="70" w:type="dxa"/>
          <w:right w:w="70" w:type="dxa"/>
        </w:tblCellMar>
        <w:tblLook w:val="04A0" w:firstRow="1" w:lastRow="0" w:firstColumn="1" w:lastColumn="0" w:noHBand="0" w:noVBand="1"/>
      </w:tblPr>
      <w:tblGrid>
        <w:gridCol w:w="2458"/>
        <w:gridCol w:w="1581"/>
        <w:gridCol w:w="993"/>
        <w:gridCol w:w="1417"/>
        <w:gridCol w:w="1134"/>
      </w:tblGrid>
      <w:tr w:rsidR="009E0216" w:rsidRPr="00A52F41" w14:paraId="5D53B545" w14:textId="77777777" w:rsidTr="001D5FC0">
        <w:trPr>
          <w:trHeight w:val="413"/>
        </w:trPr>
        <w:tc>
          <w:tcPr>
            <w:tcW w:w="24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4AFDB" w14:textId="77777777" w:rsidR="009E0216" w:rsidRPr="004004F4" w:rsidRDefault="009E0216" w:rsidP="001D5FC0">
            <w:pPr>
              <w:spacing w:after="0" w:line="336" w:lineRule="auto"/>
              <w:jc w:val="both"/>
              <w:rPr>
                <w:rFonts w:ascii="Arial" w:hAnsi="Arial" w:cs="Arial"/>
                <w:b/>
                <w:sz w:val="20"/>
                <w:szCs w:val="20"/>
                <w:lang w:eastAsia="sl-SI"/>
              </w:rPr>
            </w:pPr>
            <w:r w:rsidRPr="004004F4">
              <w:rPr>
                <w:rFonts w:ascii="Arial" w:hAnsi="Arial" w:cs="Arial"/>
                <w:b/>
                <w:sz w:val="20"/>
                <w:szCs w:val="20"/>
                <w:lang w:eastAsia="sl-SI"/>
              </w:rPr>
              <w:t>Regija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E5B6DC0" w14:textId="77777777" w:rsidR="009E0216" w:rsidRPr="004004F4" w:rsidRDefault="009E0216" w:rsidP="001D5FC0">
            <w:pPr>
              <w:spacing w:after="0" w:line="336" w:lineRule="auto"/>
              <w:jc w:val="both"/>
              <w:rPr>
                <w:rFonts w:ascii="Arial" w:hAnsi="Arial" w:cs="Arial"/>
                <w:b/>
                <w:sz w:val="20"/>
                <w:szCs w:val="20"/>
                <w:lang w:eastAsia="sl-SI"/>
              </w:rPr>
            </w:pPr>
            <w:r w:rsidRPr="004004F4">
              <w:rPr>
                <w:rFonts w:ascii="Arial" w:hAnsi="Arial" w:cs="Arial"/>
                <w:b/>
                <w:sz w:val="20"/>
                <w:szCs w:val="20"/>
                <w:lang w:eastAsia="sl-SI"/>
              </w:rPr>
              <w:t>IRO 2007-2013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48E4F12" w14:textId="77777777" w:rsidR="009E0216" w:rsidRPr="004004F4" w:rsidRDefault="009E0216" w:rsidP="001D5FC0">
            <w:pPr>
              <w:spacing w:after="0" w:line="336" w:lineRule="auto"/>
              <w:jc w:val="both"/>
              <w:rPr>
                <w:rFonts w:ascii="Arial" w:hAnsi="Arial" w:cs="Arial"/>
                <w:b/>
                <w:sz w:val="20"/>
                <w:szCs w:val="20"/>
                <w:lang w:eastAsia="sl-SI"/>
              </w:rPr>
            </w:pPr>
            <w:r w:rsidRPr="004004F4">
              <w:rPr>
                <w:rFonts w:ascii="Arial" w:hAnsi="Arial" w:cs="Arial"/>
                <w:b/>
                <w:sz w:val="20"/>
                <w:szCs w:val="20"/>
                <w:lang w:eastAsia="sl-SI"/>
              </w:rPr>
              <w:t>Rang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27C23CE" w14:textId="77777777" w:rsidR="009E0216" w:rsidRPr="004004F4" w:rsidRDefault="009E0216" w:rsidP="001D5FC0">
            <w:pPr>
              <w:spacing w:after="0" w:line="336" w:lineRule="auto"/>
              <w:jc w:val="both"/>
              <w:rPr>
                <w:rFonts w:ascii="Arial" w:hAnsi="Arial" w:cs="Arial"/>
                <w:b/>
                <w:sz w:val="20"/>
                <w:szCs w:val="20"/>
                <w:lang w:eastAsia="sl-SI"/>
              </w:rPr>
            </w:pPr>
            <w:r w:rsidRPr="004004F4">
              <w:rPr>
                <w:rFonts w:ascii="Arial" w:hAnsi="Arial" w:cs="Arial"/>
                <w:b/>
                <w:sz w:val="20"/>
                <w:szCs w:val="20"/>
                <w:lang w:eastAsia="sl-SI"/>
              </w:rPr>
              <w:t>IRO 2019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F766D80" w14:textId="77777777" w:rsidR="009E0216" w:rsidRPr="004004F4" w:rsidRDefault="009E0216" w:rsidP="001D5FC0">
            <w:pPr>
              <w:spacing w:after="0" w:line="336" w:lineRule="auto"/>
              <w:jc w:val="both"/>
              <w:rPr>
                <w:rFonts w:ascii="Arial" w:hAnsi="Arial" w:cs="Arial"/>
                <w:b/>
                <w:sz w:val="20"/>
                <w:szCs w:val="20"/>
                <w:lang w:eastAsia="sl-SI"/>
              </w:rPr>
            </w:pPr>
            <w:r w:rsidRPr="004004F4">
              <w:rPr>
                <w:rFonts w:ascii="Arial" w:hAnsi="Arial" w:cs="Arial"/>
                <w:b/>
                <w:sz w:val="20"/>
                <w:szCs w:val="20"/>
                <w:lang w:eastAsia="sl-SI"/>
              </w:rPr>
              <w:t>Rang</w:t>
            </w:r>
          </w:p>
        </w:tc>
      </w:tr>
      <w:tr w:rsidR="009E0216" w:rsidRPr="00A52F41" w14:paraId="4C98CB32" w14:textId="77777777" w:rsidTr="001D5FC0">
        <w:trPr>
          <w:trHeight w:val="243"/>
        </w:trPr>
        <w:tc>
          <w:tcPr>
            <w:tcW w:w="2458" w:type="dxa"/>
            <w:tcBorders>
              <w:top w:val="nil"/>
              <w:left w:val="single" w:sz="4" w:space="0" w:color="auto"/>
              <w:bottom w:val="single" w:sz="4" w:space="0" w:color="auto"/>
              <w:right w:val="single" w:sz="4" w:space="0" w:color="auto"/>
            </w:tcBorders>
            <w:shd w:val="clear" w:color="auto" w:fill="auto"/>
            <w:vAlign w:val="center"/>
            <w:hideMark/>
          </w:tcPr>
          <w:p w14:paraId="6F5DF5E0"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 xml:space="preserve">Osrednjeslovenska </w:t>
            </w:r>
          </w:p>
        </w:tc>
        <w:tc>
          <w:tcPr>
            <w:tcW w:w="1581" w:type="dxa"/>
            <w:tcBorders>
              <w:top w:val="nil"/>
              <w:left w:val="nil"/>
              <w:bottom w:val="single" w:sz="4" w:space="0" w:color="auto"/>
              <w:right w:val="single" w:sz="4" w:space="0" w:color="auto"/>
            </w:tcBorders>
            <w:shd w:val="clear" w:color="auto" w:fill="auto"/>
            <w:vAlign w:val="center"/>
            <w:hideMark/>
          </w:tcPr>
          <w:p w14:paraId="02AE7C1A"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8,7</w:t>
            </w:r>
          </w:p>
        </w:tc>
        <w:tc>
          <w:tcPr>
            <w:tcW w:w="993" w:type="dxa"/>
            <w:tcBorders>
              <w:top w:val="nil"/>
              <w:left w:val="nil"/>
              <w:bottom w:val="single" w:sz="4" w:space="0" w:color="auto"/>
              <w:right w:val="single" w:sz="4" w:space="0" w:color="auto"/>
            </w:tcBorders>
            <w:shd w:val="clear" w:color="auto" w:fill="auto"/>
            <w:vAlign w:val="center"/>
            <w:hideMark/>
          </w:tcPr>
          <w:p w14:paraId="7ADBB04F"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w:t>
            </w:r>
          </w:p>
        </w:tc>
        <w:tc>
          <w:tcPr>
            <w:tcW w:w="1417" w:type="dxa"/>
            <w:tcBorders>
              <w:top w:val="nil"/>
              <w:left w:val="nil"/>
              <w:bottom w:val="single" w:sz="4" w:space="0" w:color="auto"/>
              <w:right w:val="single" w:sz="4" w:space="0" w:color="auto"/>
            </w:tcBorders>
            <w:shd w:val="clear" w:color="auto" w:fill="auto"/>
            <w:vAlign w:val="center"/>
            <w:hideMark/>
          </w:tcPr>
          <w:p w14:paraId="5907AFC0"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49,6</w:t>
            </w:r>
          </w:p>
        </w:tc>
        <w:tc>
          <w:tcPr>
            <w:tcW w:w="1134" w:type="dxa"/>
            <w:tcBorders>
              <w:top w:val="nil"/>
              <w:left w:val="nil"/>
              <w:bottom w:val="single" w:sz="4" w:space="0" w:color="auto"/>
              <w:right w:val="single" w:sz="4" w:space="0" w:color="auto"/>
            </w:tcBorders>
            <w:shd w:val="clear" w:color="auto" w:fill="auto"/>
            <w:noWrap/>
            <w:vAlign w:val="bottom"/>
            <w:hideMark/>
          </w:tcPr>
          <w:p w14:paraId="16EE3CA2"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w:t>
            </w:r>
          </w:p>
        </w:tc>
      </w:tr>
      <w:tr w:rsidR="009E0216" w:rsidRPr="00A52F41" w14:paraId="01CB707E" w14:textId="77777777" w:rsidTr="001D5FC0">
        <w:trPr>
          <w:trHeight w:val="243"/>
        </w:trPr>
        <w:tc>
          <w:tcPr>
            <w:tcW w:w="2458" w:type="dxa"/>
            <w:tcBorders>
              <w:top w:val="nil"/>
              <w:left w:val="single" w:sz="4" w:space="0" w:color="auto"/>
              <w:bottom w:val="single" w:sz="4" w:space="0" w:color="auto"/>
              <w:right w:val="single" w:sz="4" w:space="0" w:color="auto"/>
            </w:tcBorders>
            <w:shd w:val="clear" w:color="auto" w:fill="auto"/>
            <w:vAlign w:val="center"/>
            <w:hideMark/>
          </w:tcPr>
          <w:p w14:paraId="1CB82DC9"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Obalno-Kraška</w:t>
            </w:r>
          </w:p>
        </w:tc>
        <w:tc>
          <w:tcPr>
            <w:tcW w:w="1581" w:type="dxa"/>
            <w:tcBorders>
              <w:top w:val="nil"/>
              <w:left w:val="nil"/>
              <w:bottom w:val="single" w:sz="4" w:space="0" w:color="auto"/>
              <w:right w:val="single" w:sz="4" w:space="0" w:color="auto"/>
            </w:tcBorders>
            <w:shd w:val="clear" w:color="auto" w:fill="auto"/>
            <w:vAlign w:val="center"/>
            <w:hideMark/>
          </w:tcPr>
          <w:p w14:paraId="60C12BB8"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82,4</w:t>
            </w:r>
          </w:p>
        </w:tc>
        <w:tc>
          <w:tcPr>
            <w:tcW w:w="993" w:type="dxa"/>
            <w:tcBorders>
              <w:top w:val="nil"/>
              <w:left w:val="nil"/>
              <w:bottom w:val="single" w:sz="4" w:space="0" w:color="auto"/>
              <w:right w:val="single" w:sz="4" w:space="0" w:color="auto"/>
            </w:tcBorders>
            <w:shd w:val="clear" w:color="auto" w:fill="auto"/>
            <w:vAlign w:val="center"/>
            <w:hideMark/>
          </w:tcPr>
          <w:p w14:paraId="6DB7186B"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2</w:t>
            </w:r>
          </w:p>
        </w:tc>
        <w:tc>
          <w:tcPr>
            <w:tcW w:w="1417" w:type="dxa"/>
            <w:tcBorders>
              <w:top w:val="nil"/>
              <w:left w:val="nil"/>
              <w:bottom w:val="single" w:sz="4" w:space="0" w:color="auto"/>
              <w:right w:val="single" w:sz="4" w:space="0" w:color="auto"/>
            </w:tcBorders>
            <w:shd w:val="clear" w:color="auto" w:fill="auto"/>
            <w:vAlign w:val="center"/>
            <w:hideMark/>
          </w:tcPr>
          <w:p w14:paraId="2430B443"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103,2</w:t>
            </w:r>
          </w:p>
        </w:tc>
        <w:tc>
          <w:tcPr>
            <w:tcW w:w="1134" w:type="dxa"/>
            <w:tcBorders>
              <w:top w:val="nil"/>
              <w:left w:val="nil"/>
              <w:bottom w:val="single" w:sz="4" w:space="0" w:color="auto"/>
              <w:right w:val="single" w:sz="4" w:space="0" w:color="auto"/>
            </w:tcBorders>
            <w:shd w:val="clear" w:color="auto" w:fill="auto"/>
            <w:noWrap/>
            <w:vAlign w:val="bottom"/>
            <w:hideMark/>
          </w:tcPr>
          <w:p w14:paraId="7B803DB0" w14:textId="77777777" w:rsidR="009E0216" w:rsidRPr="00A52F41" w:rsidRDefault="009E0216" w:rsidP="004004F4">
            <w:pPr>
              <w:spacing w:after="0" w:line="336" w:lineRule="auto"/>
              <w:jc w:val="right"/>
              <w:rPr>
                <w:rFonts w:ascii="Arial" w:hAnsi="Arial" w:cs="Arial"/>
                <w:b/>
                <w:bCs/>
                <w:sz w:val="20"/>
                <w:szCs w:val="20"/>
                <w:lang w:eastAsia="sl-SI"/>
              </w:rPr>
            </w:pPr>
            <w:r w:rsidRPr="00A52F41">
              <w:rPr>
                <w:rFonts w:ascii="Arial" w:hAnsi="Arial" w:cs="Arial"/>
                <w:b/>
                <w:bCs/>
                <w:sz w:val="20"/>
                <w:szCs w:val="20"/>
                <w:lang w:eastAsia="sl-SI"/>
              </w:rPr>
              <w:t>4</w:t>
            </w:r>
          </w:p>
        </w:tc>
      </w:tr>
      <w:tr w:rsidR="009E0216" w:rsidRPr="00A52F41" w14:paraId="02C6BE37" w14:textId="77777777" w:rsidTr="001D5FC0">
        <w:trPr>
          <w:trHeight w:val="243"/>
        </w:trPr>
        <w:tc>
          <w:tcPr>
            <w:tcW w:w="2458" w:type="dxa"/>
            <w:tcBorders>
              <w:top w:val="nil"/>
              <w:left w:val="single" w:sz="4" w:space="0" w:color="auto"/>
              <w:bottom w:val="single" w:sz="4" w:space="0" w:color="auto"/>
              <w:right w:val="single" w:sz="4" w:space="0" w:color="auto"/>
            </w:tcBorders>
            <w:shd w:val="clear" w:color="auto" w:fill="auto"/>
            <w:vAlign w:val="center"/>
            <w:hideMark/>
          </w:tcPr>
          <w:p w14:paraId="74A74672"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Gorenjska</w:t>
            </w:r>
          </w:p>
        </w:tc>
        <w:tc>
          <w:tcPr>
            <w:tcW w:w="1581" w:type="dxa"/>
            <w:tcBorders>
              <w:top w:val="nil"/>
              <w:left w:val="nil"/>
              <w:bottom w:val="single" w:sz="4" w:space="0" w:color="auto"/>
              <w:right w:val="single" w:sz="4" w:space="0" w:color="auto"/>
            </w:tcBorders>
            <w:shd w:val="clear" w:color="auto" w:fill="auto"/>
            <w:vAlign w:val="center"/>
            <w:hideMark/>
          </w:tcPr>
          <w:p w14:paraId="504677DB"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83,1</w:t>
            </w:r>
          </w:p>
        </w:tc>
        <w:tc>
          <w:tcPr>
            <w:tcW w:w="993" w:type="dxa"/>
            <w:tcBorders>
              <w:top w:val="nil"/>
              <w:left w:val="nil"/>
              <w:bottom w:val="single" w:sz="4" w:space="0" w:color="auto"/>
              <w:right w:val="single" w:sz="4" w:space="0" w:color="auto"/>
            </w:tcBorders>
            <w:shd w:val="clear" w:color="auto" w:fill="auto"/>
            <w:vAlign w:val="center"/>
            <w:hideMark/>
          </w:tcPr>
          <w:p w14:paraId="3A70E174"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3</w:t>
            </w:r>
          </w:p>
        </w:tc>
        <w:tc>
          <w:tcPr>
            <w:tcW w:w="1417" w:type="dxa"/>
            <w:tcBorders>
              <w:top w:val="nil"/>
              <w:left w:val="nil"/>
              <w:bottom w:val="single" w:sz="4" w:space="0" w:color="auto"/>
              <w:right w:val="single" w:sz="4" w:space="0" w:color="auto"/>
            </w:tcBorders>
            <w:shd w:val="clear" w:color="auto" w:fill="auto"/>
            <w:vAlign w:val="center"/>
            <w:hideMark/>
          </w:tcPr>
          <w:p w14:paraId="1785F144"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85,3</w:t>
            </w:r>
          </w:p>
        </w:tc>
        <w:tc>
          <w:tcPr>
            <w:tcW w:w="1134" w:type="dxa"/>
            <w:tcBorders>
              <w:top w:val="nil"/>
              <w:left w:val="nil"/>
              <w:bottom w:val="single" w:sz="4" w:space="0" w:color="auto"/>
              <w:right w:val="single" w:sz="4" w:space="0" w:color="auto"/>
            </w:tcBorders>
            <w:shd w:val="clear" w:color="auto" w:fill="auto"/>
            <w:noWrap/>
            <w:vAlign w:val="bottom"/>
            <w:hideMark/>
          </w:tcPr>
          <w:p w14:paraId="0885742E"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2</w:t>
            </w:r>
          </w:p>
        </w:tc>
      </w:tr>
      <w:tr w:rsidR="009E0216" w:rsidRPr="00A52F41" w14:paraId="5EC6DB5A" w14:textId="77777777" w:rsidTr="001D5FC0">
        <w:trPr>
          <w:trHeight w:val="243"/>
        </w:trPr>
        <w:tc>
          <w:tcPr>
            <w:tcW w:w="2458" w:type="dxa"/>
            <w:tcBorders>
              <w:top w:val="nil"/>
              <w:left w:val="single" w:sz="4" w:space="0" w:color="auto"/>
              <w:bottom w:val="single" w:sz="4" w:space="0" w:color="auto"/>
              <w:right w:val="single" w:sz="4" w:space="0" w:color="auto"/>
            </w:tcBorders>
            <w:shd w:val="clear" w:color="auto" w:fill="auto"/>
            <w:vAlign w:val="center"/>
            <w:hideMark/>
          </w:tcPr>
          <w:p w14:paraId="1D7BEB9F"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Savinjska</w:t>
            </w:r>
          </w:p>
        </w:tc>
        <w:tc>
          <w:tcPr>
            <w:tcW w:w="1581" w:type="dxa"/>
            <w:tcBorders>
              <w:top w:val="nil"/>
              <w:left w:val="nil"/>
              <w:bottom w:val="single" w:sz="4" w:space="0" w:color="auto"/>
              <w:right w:val="single" w:sz="4" w:space="0" w:color="auto"/>
            </w:tcBorders>
            <w:shd w:val="clear" w:color="auto" w:fill="auto"/>
            <w:vAlign w:val="center"/>
            <w:hideMark/>
          </w:tcPr>
          <w:p w14:paraId="360AE99D"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92,3</w:t>
            </w:r>
          </w:p>
        </w:tc>
        <w:tc>
          <w:tcPr>
            <w:tcW w:w="993" w:type="dxa"/>
            <w:tcBorders>
              <w:top w:val="nil"/>
              <w:left w:val="nil"/>
              <w:bottom w:val="single" w:sz="4" w:space="0" w:color="auto"/>
              <w:right w:val="single" w:sz="4" w:space="0" w:color="auto"/>
            </w:tcBorders>
            <w:shd w:val="clear" w:color="auto" w:fill="auto"/>
            <w:vAlign w:val="center"/>
            <w:hideMark/>
          </w:tcPr>
          <w:p w14:paraId="5BB0F504"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4</w:t>
            </w:r>
          </w:p>
        </w:tc>
        <w:tc>
          <w:tcPr>
            <w:tcW w:w="1417" w:type="dxa"/>
            <w:tcBorders>
              <w:top w:val="nil"/>
              <w:left w:val="nil"/>
              <w:bottom w:val="single" w:sz="4" w:space="0" w:color="auto"/>
              <w:right w:val="single" w:sz="4" w:space="0" w:color="auto"/>
            </w:tcBorders>
            <w:shd w:val="clear" w:color="auto" w:fill="auto"/>
            <w:vAlign w:val="center"/>
            <w:hideMark/>
          </w:tcPr>
          <w:p w14:paraId="2EB47126"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109,3</w:t>
            </w:r>
          </w:p>
        </w:tc>
        <w:tc>
          <w:tcPr>
            <w:tcW w:w="1134" w:type="dxa"/>
            <w:tcBorders>
              <w:top w:val="nil"/>
              <w:left w:val="nil"/>
              <w:bottom w:val="single" w:sz="4" w:space="0" w:color="auto"/>
              <w:right w:val="single" w:sz="4" w:space="0" w:color="auto"/>
            </w:tcBorders>
            <w:shd w:val="clear" w:color="auto" w:fill="auto"/>
            <w:noWrap/>
            <w:vAlign w:val="bottom"/>
            <w:hideMark/>
          </w:tcPr>
          <w:p w14:paraId="5B657859" w14:textId="77777777" w:rsidR="009E0216" w:rsidRPr="00A52F41" w:rsidRDefault="009E0216" w:rsidP="004004F4">
            <w:pPr>
              <w:spacing w:after="0" w:line="336" w:lineRule="auto"/>
              <w:jc w:val="right"/>
              <w:rPr>
                <w:rFonts w:ascii="Arial" w:hAnsi="Arial" w:cs="Arial"/>
                <w:b/>
                <w:bCs/>
                <w:sz w:val="20"/>
                <w:szCs w:val="20"/>
                <w:lang w:eastAsia="sl-SI"/>
              </w:rPr>
            </w:pPr>
            <w:r w:rsidRPr="00A52F41">
              <w:rPr>
                <w:rFonts w:ascii="Arial" w:hAnsi="Arial" w:cs="Arial"/>
                <w:b/>
                <w:bCs/>
                <w:sz w:val="20"/>
                <w:szCs w:val="20"/>
                <w:lang w:eastAsia="sl-SI"/>
              </w:rPr>
              <w:t>5</w:t>
            </w:r>
          </w:p>
        </w:tc>
      </w:tr>
      <w:tr w:rsidR="009E0216" w:rsidRPr="00A52F41" w14:paraId="137C7C16" w14:textId="77777777" w:rsidTr="001D5FC0">
        <w:trPr>
          <w:trHeight w:val="243"/>
        </w:trPr>
        <w:tc>
          <w:tcPr>
            <w:tcW w:w="2458" w:type="dxa"/>
            <w:tcBorders>
              <w:top w:val="nil"/>
              <w:left w:val="single" w:sz="4" w:space="0" w:color="auto"/>
              <w:bottom w:val="single" w:sz="4" w:space="0" w:color="auto"/>
              <w:right w:val="single" w:sz="4" w:space="0" w:color="auto"/>
            </w:tcBorders>
            <w:shd w:val="clear" w:color="auto" w:fill="auto"/>
            <w:vAlign w:val="center"/>
            <w:hideMark/>
          </w:tcPr>
          <w:p w14:paraId="0DD9F08D"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Goriška</w:t>
            </w:r>
          </w:p>
        </w:tc>
        <w:tc>
          <w:tcPr>
            <w:tcW w:w="1581" w:type="dxa"/>
            <w:tcBorders>
              <w:top w:val="nil"/>
              <w:left w:val="nil"/>
              <w:bottom w:val="single" w:sz="4" w:space="0" w:color="auto"/>
              <w:right w:val="single" w:sz="4" w:space="0" w:color="auto"/>
            </w:tcBorders>
            <w:shd w:val="clear" w:color="auto" w:fill="auto"/>
            <w:vAlign w:val="center"/>
            <w:hideMark/>
          </w:tcPr>
          <w:p w14:paraId="7CEE176D"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93,8</w:t>
            </w:r>
          </w:p>
        </w:tc>
        <w:tc>
          <w:tcPr>
            <w:tcW w:w="993" w:type="dxa"/>
            <w:tcBorders>
              <w:top w:val="nil"/>
              <w:left w:val="nil"/>
              <w:bottom w:val="single" w:sz="4" w:space="0" w:color="auto"/>
              <w:right w:val="single" w:sz="4" w:space="0" w:color="auto"/>
            </w:tcBorders>
            <w:shd w:val="clear" w:color="auto" w:fill="auto"/>
            <w:vAlign w:val="center"/>
            <w:hideMark/>
          </w:tcPr>
          <w:p w14:paraId="5505B85E"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5</w:t>
            </w:r>
          </w:p>
        </w:tc>
        <w:tc>
          <w:tcPr>
            <w:tcW w:w="1417" w:type="dxa"/>
            <w:tcBorders>
              <w:top w:val="nil"/>
              <w:left w:val="nil"/>
              <w:bottom w:val="single" w:sz="4" w:space="0" w:color="auto"/>
              <w:right w:val="single" w:sz="4" w:space="0" w:color="auto"/>
            </w:tcBorders>
            <w:shd w:val="clear" w:color="auto" w:fill="auto"/>
            <w:vAlign w:val="center"/>
            <w:hideMark/>
          </w:tcPr>
          <w:p w14:paraId="577ECD15"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117,1</w:t>
            </w:r>
          </w:p>
        </w:tc>
        <w:tc>
          <w:tcPr>
            <w:tcW w:w="1134" w:type="dxa"/>
            <w:tcBorders>
              <w:top w:val="nil"/>
              <w:left w:val="nil"/>
              <w:bottom w:val="single" w:sz="4" w:space="0" w:color="auto"/>
              <w:right w:val="single" w:sz="4" w:space="0" w:color="auto"/>
            </w:tcBorders>
            <w:shd w:val="clear" w:color="auto" w:fill="auto"/>
            <w:noWrap/>
            <w:vAlign w:val="bottom"/>
            <w:hideMark/>
          </w:tcPr>
          <w:p w14:paraId="368E7DCA"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6</w:t>
            </w:r>
          </w:p>
        </w:tc>
      </w:tr>
      <w:tr w:rsidR="009E0216" w:rsidRPr="00A52F41" w14:paraId="10260CCB" w14:textId="77777777" w:rsidTr="001D5FC0">
        <w:trPr>
          <w:trHeight w:val="243"/>
        </w:trPr>
        <w:tc>
          <w:tcPr>
            <w:tcW w:w="2458" w:type="dxa"/>
            <w:tcBorders>
              <w:top w:val="nil"/>
              <w:left w:val="single" w:sz="4" w:space="0" w:color="auto"/>
              <w:bottom w:val="single" w:sz="4" w:space="0" w:color="auto"/>
              <w:right w:val="single" w:sz="4" w:space="0" w:color="auto"/>
            </w:tcBorders>
            <w:shd w:val="clear" w:color="auto" w:fill="auto"/>
            <w:vAlign w:val="center"/>
            <w:hideMark/>
          </w:tcPr>
          <w:p w14:paraId="29B11955" w14:textId="77777777" w:rsidR="009E0216" w:rsidRPr="00A52F41" w:rsidRDefault="009E0216" w:rsidP="001D5FC0">
            <w:pPr>
              <w:spacing w:after="0" w:line="336" w:lineRule="auto"/>
              <w:jc w:val="both"/>
              <w:rPr>
                <w:rFonts w:ascii="Arial" w:hAnsi="Arial" w:cs="Arial"/>
                <w:b/>
                <w:bCs/>
                <w:sz w:val="20"/>
                <w:szCs w:val="20"/>
                <w:lang w:eastAsia="sl-SI"/>
              </w:rPr>
            </w:pPr>
            <w:r w:rsidRPr="00A52F41">
              <w:rPr>
                <w:rFonts w:ascii="Arial" w:hAnsi="Arial" w:cs="Arial"/>
                <w:b/>
                <w:bCs/>
                <w:sz w:val="20"/>
                <w:szCs w:val="20"/>
                <w:lang w:eastAsia="sl-SI"/>
              </w:rPr>
              <w:t>JV Slovenija</w:t>
            </w:r>
          </w:p>
        </w:tc>
        <w:tc>
          <w:tcPr>
            <w:tcW w:w="1581" w:type="dxa"/>
            <w:tcBorders>
              <w:top w:val="nil"/>
              <w:left w:val="nil"/>
              <w:bottom w:val="single" w:sz="4" w:space="0" w:color="auto"/>
              <w:right w:val="single" w:sz="4" w:space="0" w:color="auto"/>
            </w:tcBorders>
            <w:shd w:val="clear" w:color="auto" w:fill="auto"/>
            <w:vAlign w:val="center"/>
            <w:hideMark/>
          </w:tcPr>
          <w:p w14:paraId="0A259458" w14:textId="77777777" w:rsidR="009E0216" w:rsidRPr="00A52F41" w:rsidRDefault="009E0216" w:rsidP="004004F4">
            <w:pPr>
              <w:spacing w:after="0" w:line="336" w:lineRule="auto"/>
              <w:jc w:val="right"/>
              <w:rPr>
                <w:rFonts w:ascii="Arial" w:hAnsi="Arial" w:cs="Arial"/>
                <w:b/>
                <w:bCs/>
                <w:sz w:val="20"/>
                <w:szCs w:val="20"/>
                <w:lang w:eastAsia="sl-SI"/>
              </w:rPr>
            </w:pPr>
            <w:r w:rsidRPr="00A52F41">
              <w:rPr>
                <w:rFonts w:ascii="Arial" w:hAnsi="Arial" w:cs="Arial"/>
                <w:b/>
                <w:bCs/>
                <w:sz w:val="20"/>
                <w:szCs w:val="20"/>
                <w:lang w:eastAsia="sl-SI"/>
              </w:rPr>
              <w:t>101,7</w:t>
            </w:r>
          </w:p>
        </w:tc>
        <w:tc>
          <w:tcPr>
            <w:tcW w:w="993" w:type="dxa"/>
            <w:tcBorders>
              <w:top w:val="nil"/>
              <w:left w:val="nil"/>
              <w:bottom w:val="single" w:sz="4" w:space="0" w:color="auto"/>
              <w:right w:val="single" w:sz="4" w:space="0" w:color="auto"/>
            </w:tcBorders>
            <w:shd w:val="clear" w:color="auto" w:fill="auto"/>
            <w:vAlign w:val="center"/>
            <w:hideMark/>
          </w:tcPr>
          <w:p w14:paraId="5EB8ABDD" w14:textId="77777777" w:rsidR="009E0216" w:rsidRPr="00A52F41" w:rsidRDefault="009E0216" w:rsidP="004004F4">
            <w:pPr>
              <w:spacing w:after="0" w:line="336" w:lineRule="auto"/>
              <w:jc w:val="right"/>
              <w:rPr>
                <w:rFonts w:ascii="Arial" w:hAnsi="Arial" w:cs="Arial"/>
                <w:b/>
                <w:bCs/>
                <w:sz w:val="20"/>
                <w:szCs w:val="20"/>
                <w:lang w:eastAsia="sl-SI"/>
              </w:rPr>
            </w:pPr>
            <w:r w:rsidRPr="00A52F41">
              <w:rPr>
                <w:rFonts w:ascii="Arial" w:hAnsi="Arial" w:cs="Arial"/>
                <w:b/>
                <w:bCs/>
                <w:sz w:val="20"/>
                <w:szCs w:val="20"/>
                <w:lang w:eastAsia="sl-SI"/>
              </w:rPr>
              <w:t>6</w:t>
            </w:r>
          </w:p>
        </w:tc>
        <w:tc>
          <w:tcPr>
            <w:tcW w:w="1417" w:type="dxa"/>
            <w:tcBorders>
              <w:top w:val="nil"/>
              <w:left w:val="nil"/>
              <w:bottom w:val="single" w:sz="4" w:space="0" w:color="auto"/>
              <w:right w:val="single" w:sz="4" w:space="0" w:color="auto"/>
            </w:tcBorders>
            <w:shd w:val="clear" w:color="auto" w:fill="auto"/>
            <w:vAlign w:val="center"/>
            <w:hideMark/>
          </w:tcPr>
          <w:p w14:paraId="6DA62A74" w14:textId="77777777" w:rsidR="009E0216" w:rsidRPr="00A52F41" w:rsidRDefault="009E0216" w:rsidP="004004F4">
            <w:pPr>
              <w:spacing w:after="0" w:line="336" w:lineRule="auto"/>
              <w:jc w:val="right"/>
              <w:rPr>
                <w:rFonts w:ascii="Arial" w:hAnsi="Arial" w:cs="Arial"/>
                <w:b/>
                <w:bCs/>
                <w:sz w:val="20"/>
                <w:szCs w:val="20"/>
                <w:lang w:eastAsia="sl-SI"/>
              </w:rPr>
            </w:pPr>
            <w:r w:rsidRPr="00A52F41">
              <w:rPr>
                <w:rFonts w:ascii="Arial" w:hAnsi="Arial" w:cs="Arial"/>
                <w:b/>
                <w:bCs/>
                <w:sz w:val="20"/>
                <w:szCs w:val="20"/>
                <w:lang w:eastAsia="sl-SI"/>
              </w:rPr>
              <w:t>93</w:t>
            </w:r>
          </w:p>
        </w:tc>
        <w:tc>
          <w:tcPr>
            <w:tcW w:w="1134" w:type="dxa"/>
            <w:tcBorders>
              <w:top w:val="nil"/>
              <w:left w:val="nil"/>
              <w:bottom w:val="single" w:sz="4" w:space="0" w:color="auto"/>
              <w:right w:val="single" w:sz="4" w:space="0" w:color="auto"/>
            </w:tcBorders>
            <w:shd w:val="clear" w:color="auto" w:fill="auto"/>
            <w:noWrap/>
            <w:vAlign w:val="bottom"/>
            <w:hideMark/>
          </w:tcPr>
          <w:p w14:paraId="1AB796EF" w14:textId="77777777" w:rsidR="009E0216" w:rsidRPr="00A52F41" w:rsidRDefault="009E0216" w:rsidP="004004F4">
            <w:pPr>
              <w:spacing w:after="0" w:line="336" w:lineRule="auto"/>
              <w:jc w:val="right"/>
              <w:rPr>
                <w:rFonts w:ascii="Arial" w:hAnsi="Arial" w:cs="Arial"/>
                <w:b/>
                <w:bCs/>
                <w:sz w:val="20"/>
                <w:szCs w:val="20"/>
                <w:lang w:eastAsia="sl-SI"/>
              </w:rPr>
            </w:pPr>
            <w:r w:rsidRPr="00A52F41">
              <w:rPr>
                <w:rFonts w:ascii="Arial" w:hAnsi="Arial" w:cs="Arial"/>
                <w:b/>
                <w:bCs/>
                <w:sz w:val="20"/>
                <w:szCs w:val="20"/>
                <w:lang w:eastAsia="sl-SI"/>
              </w:rPr>
              <w:t>3</w:t>
            </w:r>
          </w:p>
        </w:tc>
      </w:tr>
      <w:tr w:rsidR="009E0216" w:rsidRPr="00A52F41" w14:paraId="7EC1E763" w14:textId="77777777" w:rsidTr="001D5FC0">
        <w:trPr>
          <w:trHeight w:val="243"/>
        </w:trPr>
        <w:tc>
          <w:tcPr>
            <w:tcW w:w="2458" w:type="dxa"/>
            <w:tcBorders>
              <w:top w:val="nil"/>
              <w:left w:val="single" w:sz="4" w:space="0" w:color="auto"/>
              <w:bottom w:val="single" w:sz="4" w:space="0" w:color="auto"/>
              <w:right w:val="single" w:sz="4" w:space="0" w:color="auto"/>
            </w:tcBorders>
            <w:shd w:val="clear" w:color="auto" w:fill="auto"/>
            <w:vAlign w:val="center"/>
            <w:hideMark/>
          </w:tcPr>
          <w:p w14:paraId="1EC5838B"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Koroška</w:t>
            </w:r>
          </w:p>
        </w:tc>
        <w:tc>
          <w:tcPr>
            <w:tcW w:w="1581" w:type="dxa"/>
            <w:tcBorders>
              <w:top w:val="nil"/>
              <w:left w:val="nil"/>
              <w:bottom w:val="single" w:sz="4" w:space="0" w:color="auto"/>
              <w:right w:val="single" w:sz="4" w:space="0" w:color="auto"/>
            </w:tcBorders>
            <w:shd w:val="clear" w:color="auto" w:fill="auto"/>
            <w:vAlign w:val="center"/>
            <w:hideMark/>
          </w:tcPr>
          <w:p w14:paraId="1A541D07"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103,9</w:t>
            </w:r>
          </w:p>
        </w:tc>
        <w:tc>
          <w:tcPr>
            <w:tcW w:w="993" w:type="dxa"/>
            <w:tcBorders>
              <w:top w:val="nil"/>
              <w:left w:val="nil"/>
              <w:bottom w:val="single" w:sz="4" w:space="0" w:color="auto"/>
              <w:right w:val="single" w:sz="4" w:space="0" w:color="auto"/>
            </w:tcBorders>
            <w:shd w:val="clear" w:color="auto" w:fill="auto"/>
            <w:vAlign w:val="center"/>
            <w:hideMark/>
          </w:tcPr>
          <w:p w14:paraId="27EA4B7E"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7</w:t>
            </w:r>
          </w:p>
        </w:tc>
        <w:tc>
          <w:tcPr>
            <w:tcW w:w="1417" w:type="dxa"/>
            <w:tcBorders>
              <w:top w:val="nil"/>
              <w:left w:val="nil"/>
              <w:bottom w:val="single" w:sz="4" w:space="0" w:color="auto"/>
              <w:right w:val="single" w:sz="4" w:space="0" w:color="auto"/>
            </w:tcBorders>
            <w:shd w:val="clear" w:color="auto" w:fill="auto"/>
            <w:vAlign w:val="center"/>
            <w:hideMark/>
          </w:tcPr>
          <w:p w14:paraId="625EF238"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127,7</w:t>
            </w:r>
          </w:p>
        </w:tc>
        <w:tc>
          <w:tcPr>
            <w:tcW w:w="1134" w:type="dxa"/>
            <w:tcBorders>
              <w:top w:val="nil"/>
              <w:left w:val="nil"/>
              <w:bottom w:val="single" w:sz="4" w:space="0" w:color="auto"/>
              <w:right w:val="single" w:sz="4" w:space="0" w:color="auto"/>
            </w:tcBorders>
            <w:shd w:val="clear" w:color="auto" w:fill="auto"/>
            <w:noWrap/>
            <w:vAlign w:val="bottom"/>
            <w:hideMark/>
          </w:tcPr>
          <w:p w14:paraId="6F7F3930"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8</w:t>
            </w:r>
          </w:p>
        </w:tc>
      </w:tr>
      <w:tr w:rsidR="009E0216" w:rsidRPr="00A52F41" w14:paraId="3C7EBA49" w14:textId="77777777" w:rsidTr="001D5FC0">
        <w:trPr>
          <w:trHeight w:val="243"/>
        </w:trPr>
        <w:tc>
          <w:tcPr>
            <w:tcW w:w="2458" w:type="dxa"/>
            <w:tcBorders>
              <w:top w:val="nil"/>
              <w:left w:val="single" w:sz="4" w:space="0" w:color="auto"/>
              <w:bottom w:val="single" w:sz="4" w:space="0" w:color="auto"/>
              <w:right w:val="single" w:sz="4" w:space="0" w:color="auto"/>
            </w:tcBorders>
            <w:shd w:val="clear" w:color="auto" w:fill="auto"/>
            <w:vAlign w:val="center"/>
            <w:hideMark/>
          </w:tcPr>
          <w:p w14:paraId="6FD6B207"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Zasavska</w:t>
            </w:r>
          </w:p>
        </w:tc>
        <w:tc>
          <w:tcPr>
            <w:tcW w:w="1581" w:type="dxa"/>
            <w:tcBorders>
              <w:top w:val="nil"/>
              <w:left w:val="nil"/>
              <w:bottom w:val="single" w:sz="4" w:space="0" w:color="auto"/>
              <w:right w:val="single" w:sz="4" w:space="0" w:color="auto"/>
            </w:tcBorders>
            <w:shd w:val="clear" w:color="auto" w:fill="auto"/>
            <w:vAlign w:val="center"/>
            <w:hideMark/>
          </w:tcPr>
          <w:p w14:paraId="1A78BA7F"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113,9</w:t>
            </w:r>
          </w:p>
        </w:tc>
        <w:tc>
          <w:tcPr>
            <w:tcW w:w="993" w:type="dxa"/>
            <w:tcBorders>
              <w:top w:val="nil"/>
              <w:left w:val="nil"/>
              <w:bottom w:val="single" w:sz="4" w:space="0" w:color="auto"/>
              <w:right w:val="single" w:sz="4" w:space="0" w:color="auto"/>
            </w:tcBorders>
            <w:shd w:val="clear" w:color="auto" w:fill="auto"/>
            <w:vAlign w:val="center"/>
            <w:hideMark/>
          </w:tcPr>
          <w:p w14:paraId="249748AB"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8</w:t>
            </w:r>
          </w:p>
        </w:tc>
        <w:tc>
          <w:tcPr>
            <w:tcW w:w="1417" w:type="dxa"/>
            <w:tcBorders>
              <w:top w:val="nil"/>
              <w:left w:val="nil"/>
              <w:bottom w:val="single" w:sz="4" w:space="0" w:color="auto"/>
              <w:right w:val="single" w:sz="4" w:space="0" w:color="auto"/>
            </w:tcBorders>
            <w:shd w:val="clear" w:color="auto" w:fill="auto"/>
            <w:vAlign w:val="center"/>
            <w:hideMark/>
          </w:tcPr>
          <w:p w14:paraId="5ACB9A3E"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132,3</w:t>
            </w:r>
          </w:p>
        </w:tc>
        <w:tc>
          <w:tcPr>
            <w:tcW w:w="1134" w:type="dxa"/>
            <w:tcBorders>
              <w:top w:val="nil"/>
              <w:left w:val="nil"/>
              <w:bottom w:val="single" w:sz="4" w:space="0" w:color="auto"/>
              <w:right w:val="single" w:sz="4" w:space="0" w:color="auto"/>
            </w:tcBorders>
            <w:shd w:val="clear" w:color="auto" w:fill="auto"/>
            <w:noWrap/>
            <w:vAlign w:val="bottom"/>
            <w:hideMark/>
          </w:tcPr>
          <w:p w14:paraId="4FE9195C"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9</w:t>
            </w:r>
          </w:p>
        </w:tc>
      </w:tr>
      <w:tr w:rsidR="009E0216" w:rsidRPr="00A52F41" w14:paraId="23E8BAF6" w14:textId="77777777" w:rsidTr="001D5FC0">
        <w:trPr>
          <w:trHeight w:val="243"/>
        </w:trPr>
        <w:tc>
          <w:tcPr>
            <w:tcW w:w="2458" w:type="dxa"/>
            <w:tcBorders>
              <w:top w:val="nil"/>
              <w:left w:val="single" w:sz="4" w:space="0" w:color="auto"/>
              <w:bottom w:val="single" w:sz="4" w:space="0" w:color="auto"/>
              <w:right w:val="single" w:sz="4" w:space="0" w:color="auto"/>
            </w:tcBorders>
            <w:shd w:val="clear" w:color="auto" w:fill="auto"/>
            <w:vAlign w:val="center"/>
            <w:hideMark/>
          </w:tcPr>
          <w:p w14:paraId="64BD5085"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Posavska</w:t>
            </w:r>
          </w:p>
        </w:tc>
        <w:tc>
          <w:tcPr>
            <w:tcW w:w="1581" w:type="dxa"/>
            <w:tcBorders>
              <w:top w:val="nil"/>
              <w:left w:val="nil"/>
              <w:bottom w:val="single" w:sz="4" w:space="0" w:color="auto"/>
              <w:right w:val="single" w:sz="4" w:space="0" w:color="auto"/>
            </w:tcBorders>
            <w:shd w:val="clear" w:color="auto" w:fill="auto"/>
            <w:vAlign w:val="center"/>
            <w:hideMark/>
          </w:tcPr>
          <w:p w14:paraId="4DC6DB87"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116,8</w:t>
            </w:r>
          </w:p>
        </w:tc>
        <w:tc>
          <w:tcPr>
            <w:tcW w:w="993" w:type="dxa"/>
            <w:tcBorders>
              <w:top w:val="nil"/>
              <w:left w:val="nil"/>
              <w:bottom w:val="single" w:sz="4" w:space="0" w:color="auto"/>
              <w:right w:val="single" w:sz="4" w:space="0" w:color="auto"/>
            </w:tcBorders>
            <w:shd w:val="clear" w:color="auto" w:fill="auto"/>
            <w:vAlign w:val="center"/>
            <w:hideMark/>
          </w:tcPr>
          <w:p w14:paraId="60E0A262"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9</w:t>
            </w:r>
          </w:p>
        </w:tc>
        <w:tc>
          <w:tcPr>
            <w:tcW w:w="1417" w:type="dxa"/>
            <w:tcBorders>
              <w:top w:val="nil"/>
              <w:left w:val="nil"/>
              <w:bottom w:val="single" w:sz="4" w:space="0" w:color="auto"/>
              <w:right w:val="single" w:sz="4" w:space="0" w:color="auto"/>
            </w:tcBorders>
            <w:shd w:val="clear" w:color="auto" w:fill="auto"/>
            <w:vAlign w:val="center"/>
            <w:hideMark/>
          </w:tcPr>
          <w:p w14:paraId="24C2695D" w14:textId="77777777" w:rsidR="009E0216" w:rsidRPr="00A52F41" w:rsidRDefault="009E0216" w:rsidP="004004F4">
            <w:pPr>
              <w:spacing w:after="0" w:line="336" w:lineRule="auto"/>
              <w:jc w:val="right"/>
              <w:rPr>
                <w:rFonts w:ascii="Arial" w:hAnsi="Arial" w:cs="Arial"/>
                <w:b/>
                <w:sz w:val="20"/>
                <w:szCs w:val="20"/>
                <w:lang w:eastAsia="sl-SI"/>
              </w:rPr>
            </w:pPr>
            <w:r w:rsidRPr="00A52F41">
              <w:rPr>
                <w:rFonts w:ascii="Arial" w:hAnsi="Arial" w:cs="Arial"/>
                <w:b/>
                <w:sz w:val="20"/>
                <w:szCs w:val="20"/>
                <w:lang w:eastAsia="sl-SI"/>
              </w:rPr>
              <w:t>121,8</w:t>
            </w:r>
          </w:p>
        </w:tc>
        <w:tc>
          <w:tcPr>
            <w:tcW w:w="1134" w:type="dxa"/>
            <w:tcBorders>
              <w:top w:val="nil"/>
              <w:left w:val="nil"/>
              <w:bottom w:val="single" w:sz="4" w:space="0" w:color="auto"/>
              <w:right w:val="single" w:sz="4" w:space="0" w:color="auto"/>
            </w:tcBorders>
            <w:shd w:val="clear" w:color="auto" w:fill="auto"/>
            <w:noWrap/>
            <w:vAlign w:val="bottom"/>
            <w:hideMark/>
          </w:tcPr>
          <w:p w14:paraId="5150CD81" w14:textId="77777777" w:rsidR="009E0216" w:rsidRPr="00A52F41" w:rsidRDefault="009E0216" w:rsidP="004004F4">
            <w:pPr>
              <w:spacing w:after="0" w:line="336" w:lineRule="auto"/>
              <w:jc w:val="right"/>
              <w:rPr>
                <w:rFonts w:ascii="Arial" w:hAnsi="Arial" w:cs="Arial"/>
                <w:b/>
                <w:sz w:val="20"/>
                <w:szCs w:val="20"/>
                <w:lang w:eastAsia="sl-SI"/>
              </w:rPr>
            </w:pPr>
            <w:r w:rsidRPr="00A52F41">
              <w:rPr>
                <w:rFonts w:ascii="Arial" w:hAnsi="Arial" w:cs="Arial"/>
                <w:b/>
                <w:sz w:val="20"/>
                <w:szCs w:val="20"/>
                <w:lang w:eastAsia="sl-SI"/>
              </w:rPr>
              <w:t>7</w:t>
            </w:r>
          </w:p>
        </w:tc>
      </w:tr>
      <w:tr w:rsidR="009E0216" w:rsidRPr="00A52F41" w14:paraId="56269085" w14:textId="77777777" w:rsidTr="001D5FC0">
        <w:trPr>
          <w:trHeight w:val="243"/>
        </w:trPr>
        <w:tc>
          <w:tcPr>
            <w:tcW w:w="2458" w:type="dxa"/>
            <w:tcBorders>
              <w:top w:val="nil"/>
              <w:left w:val="single" w:sz="4" w:space="0" w:color="auto"/>
              <w:bottom w:val="single" w:sz="4" w:space="0" w:color="auto"/>
              <w:right w:val="single" w:sz="4" w:space="0" w:color="auto"/>
            </w:tcBorders>
            <w:shd w:val="clear" w:color="auto" w:fill="auto"/>
            <w:vAlign w:val="center"/>
            <w:hideMark/>
          </w:tcPr>
          <w:p w14:paraId="325934D4"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Podravska</w:t>
            </w:r>
          </w:p>
        </w:tc>
        <w:tc>
          <w:tcPr>
            <w:tcW w:w="1581" w:type="dxa"/>
            <w:tcBorders>
              <w:top w:val="nil"/>
              <w:left w:val="nil"/>
              <w:bottom w:val="single" w:sz="4" w:space="0" w:color="auto"/>
              <w:right w:val="single" w:sz="4" w:space="0" w:color="auto"/>
            </w:tcBorders>
            <w:shd w:val="clear" w:color="auto" w:fill="auto"/>
            <w:vAlign w:val="center"/>
            <w:hideMark/>
          </w:tcPr>
          <w:p w14:paraId="234C6B1B"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116,8</w:t>
            </w:r>
          </w:p>
        </w:tc>
        <w:tc>
          <w:tcPr>
            <w:tcW w:w="993" w:type="dxa"/>
            <w:tcBorders>
              <w:top w:val="nil"/>
              <w:left w:val="nil"/>
              <w:bottom w:val="single" w:sz="4" w:space="0" w:color="auto"/>
              <w:right w:val="single" w:sz="4" w:space="0" w:color="auto"/>
            </w:tcBorders>
            <w:shd w:val="clear" w:color="auto" w:fill="auto"/>
            <w:vAlign w:val="center"/>
            <w:hideMark/>
          </w:tcPr>
          <w:p w14:paraId="45B5A63A"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9</w:t>
            </w:r>
          </w:p>
        </w:tc>
        <w:tc>
          <w:tcPr>
            <w:tcW w:w="1417" w:type="dxa"/>
            <w:tcBorders>
              <w:top w:val="nil"/>
              <w:left w:val="nil"/>
              <w:bottom w:val="single" w:sz="4" w:space="0" w:color="auto"/>
              <w:right w:val="single" w:sz="4" w:space="0" w:color="auto"/>
            </w:tcBorders>
            <w:shd w:val="clear" w:color="auto" w:fill="auto"/>
            <w:vAlign w:val="center"/>
            <w:hideMark/>
          </w:tcPr>
          <w:p w14:paraId="64B6DA7B"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133,4</w:t>
            </w:r>
          </w:p>
        </w:tc>
        <w:tc>
          <w:tcPr>
            <w:tcW w:w="1134" w:type="dxa"/>
            <w:tcBorders>
              <w:top w:val="nil"/>
              <w:left w:val="nil"/>
              <w:bottom w:val="single" w:sz="4" w:space="0" w:color="auto"/>
              <w:right w:val="single" w:sz="4" w:space="0" w:color="auto"/>
            </w:tcBorders>
            <w:shd w:val="clear" w:color="auto" w:fill="auto"/>
            <w:noWrap/>
            <w:vAlign w:val="bottom"/>
            <w:hideMark/>
          </w:tcPr>
          <w:p w14:paraId="55E89199"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10</w:t>
            </w:r>
          </w:p>
        </w:tc>
      </w:tr>
      <w:tr w:rsidR="009E0216" w:rsidRPr="00A52F41" w14:paraId="2BADA0B7" w14:textId="77777777" w:rsidTr="001D5FC0">
        <w:trPr>
          <w:trHeight w:val="243"/>
        </w:trPr>
        <w:tc>
          <w:tcPr>
            <w:tcW w:w="2458" w:type="dxa"/>
            <w:tcBorders>
              <w:top w:val="nil"/>
              <w:left w:val="single" w:sz="4" w:space="0" w:color="auto"/>
              <w:bottom w:val="single" w:sz="4" w:space="0" w:color="auto"/>
              <w:right w:val="single" w:sz="4" w:space="0" w:color="auto"/>
            </w:tcBorders>
            <w:shd w:val="clear" w:color="auto" w:fill="auto"/>
            <w:vAlign w:val="center"/>
            <w:hideMark/>
          </w:tcPr>
          <w:p w14:paraId="20831469"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Primorsko-notranjska</w:t>
            </w:r>
          </w:p>
        </w:tc>
        <w:tc>
          <w:tcPr>
            <w:tcW w:w="1581" w:type="dxa"/>
            <w:tcBorders>
              <w:top w:val="nil"/>
              <w:left w:val="nil"/>
              <w:bottom w:val="single" w:sz="4" w:space="0" w:color="auto"/>
              <w:right w:val="single" w:sz="4" w:space="0" w:color="auto"/>
            </w:tcBorders>
            <w:shd w:val="clear" w:color="auto" w:fill="auto"/>
            <w:vAlign w:val="center"/>
            <w:hideMark/>
          </w:tcPr>
          <w:p w14:paraId="5FB2CEAB"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127</w:t>
            </w:r>
          </w:p>
        </w:tc>
        <w:tc>
          <w:tcPr>
            <w:tcW w:w="993" w:type="dxa"/>
            <w:tcBorders>
              <w:top w:val="nil"/>
              <w:left w:val="nil"/>
              <w:bottom w:val="single" w:sz="4" w:space="0" w:color="auto"/>
              <w:right w:val="single" w:sz="4" w:space="0" w:color="auto"/>
            </w:tcBorders>
            <w:shd w:val="clear" w:color="auto" w:fill="auto"/>
            <w:vAlign w:val="center"/>
            <w:hideMark/>
          </w:tcPr>
          <w:p w14:paraId="69AF5DBF"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11</w:t>
            </w:r>
          </w:p>
        </w:tc>
        <w:tc>
          <w:tcPr>
            <w:tcW w:w="1417" w:type="dxa"/>
            <w:tcBorders>
              <w:top w:val="nil"/>
              <w:left w:val="nil"/>
              <w:bottom w:val="single" w:sz="4" w:space="0" w:color="auto"/>
              <w:right w:val="single" w:sz="4" w:space="0" w:color="auto"/>
            </w:tcBorders>
            <w:shd w:val="clear" w:color="auto" w:fill="auto"/>
            <w:vAlign w:val="center"/>
            <w:hideMark/>
          </w:tcPr>
          <w:p w14:paraId="07AC4A3F"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138,3</w:t>
            </w:r>
          </w:p>
        </w:tc>
        <w:tc>
          <w:tcPr>
            <w:tcW w:w="1134" w:type="dxa"/>
            <w:tcBorders>
              <w:top w:val="nil"/>
              <w:left w:val="nil"/>
              <w:bottom w:val="single" w:sz="4" w:space="0" w:color="auto"/>
              <w:right w:val="single" w:sz="4" w:space="0" w:color="auto"/>
            </w:tcBorders>
            <w:shd w:val="clear" w:color="auto" w:fill="auto"/>
            <w:noWrap/>
            <w:vAlign w:val="bottom"/>
            <w:hideMark/>
          </w:tcPr>
          <w:p w14:paraId="77A90EE7"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11</w:t>
            </w:r>
          </w:p>
        </w:tc>
      </w:tr>
      <w:tr w:rsidR="009E0216" w:rsidRPr="00A52F41" w14:paraId="543F6758" w14:textId="77777777" w:rsidTr="001D5FC0">
        <w:trPr>
          <w:trHeight w:val="243"/>
        </w:trPr>
        <w:tc>
          <w:tcPr>
            <w:tcW w:w="2458" w:type="dxa"/>
            <w:tcBorders>
              <w:top w:val="nil"/>
              <w:left w:val="single" w:sz="4" w:space="0" w:color="auto"/>
              <w:bottom w:val="single" w:sz="4" w:space="0" w:color="auto"/>
              <w:right w:val="single" w:sz="4" w:space="0" w:color="auto"/>
            </w:tcBorders>
            <w:shd w:val="clear" w:color="auto" w:fill="auto"/>
            <w:vAlign w:val="center"/>
            <w:hideMark/>
          </w:tcPr>
          <w:p w14:paraId="3EFB5C6E"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Pomurska</w:t>
            </w:r>
          </w:p>
        </w:tc>
        <w:tc>
          <w:tcPr>
            <w:tcW w:w="1581" w:type="dxa"/>
            <w:tcBorders>
              <w:top w:val="nil"/>
              <w:left w:val="nil"/>
              <w:bottom w:val="single" w:sz="4" w:space="0" w:color="auto"/>
              <w:right w:val="single" w:sz="4" w:space="0" w:color="auto"/>
            </w:tcBorders>
            <w:shd w:val="clear" w:color="auto" w:fill="auto"/>
            <w:vAlign w:val="center"/>
            <w:hideMark/>
          </w:tcPr>
          <w:p w14:paraId="4C15BA88"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159,5</w:t>
            </w:r>
          </w:p>
        </w:tc>
        <w:tc>
          <w:tcPr>
            <w:tcW w:w="993" w:type="dxa"/>
            <w:tcBorders>
              <w:top w:val="nil"/>
              <w:left w:val="nil"/>
              <w:bottom w:val="single" w:sz="4" w:space="0" w:color="auto"/>
              <w:right w:val="single" w:sz="4" w:space="0" w:color="auto"/>
            </w:tcBorders>
            <w:shd w:val="clear" w:color="auto" w:fill="auto"/>
            <w:vAlign w:val="center"/>
            <w:hideMark/>
          </w:tcPr>
          <w:p w14:paraId="78A1D3B0"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12</w:t>
            </w:r>
          </w:p>
        </w:tc>
        <w:tc>
          <w:tcPr>
            <w:tcW w:w="1417" w:type="dxa"/>
            <w:tcBorders>
              <w:top w:val="nil"/>
              <w:left w:val="nil"/>
              <w:bottom w:val="single" w:sz="4" w:space="0" w:color="auto"/>
              <w:right w:val="single" w:sz="4" w:space="0" w:color="auto"/>
            </w:tcBorders>
            <w:shd w:val="clear" w:color="auto" w:fill="auto"/>
            <w:vAlign w:val="center"/>
            <w:hideMark/>
          </w:tcPr>
          <w:p w14:paraId="7342F06F"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172,5</w:t>
            </w:r>
          </w:p>
        </w:tc>
        <w:tc>
          <w:tcPr>
            <w:tcW w:w="1134" w:type="dxa"/>
            <w:tcBorders>
              <w:top w:val="nil"/>
              <w:left w:val="nil"/>
              <w:bottom w:val="single" w:sz="4" w:space="0" w:color="auto"/>
              <w:right w:val="single" w:sz="4" w:space="0" w:color="auto"/>
            </w:tcBorders>
            <w:shd w:val="clear" w:color="auto" w:fill="auto"/>
            <w:noWrap/>
            <w:vAlign w:val="bottom"/>
            <w:hideMark/>
          </w:tcPr>
          <w:p w14:paraId="6A0EC8EF"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12</w:t>
            </w:r>
          </w:p>
        </w:tc>
      </w:tr>
    </w:tbl>
    <w:p w14:paraId="1F6C71BD" w14:textId="77777777" w:rsidR="009E0216" w:rsidRPr="007344C6" w:rsidRDefault="009E0216" w:rsidP="00EA2E4C">
      <w:pPr>
        <w:pStyle w:val="Navadensplet"/>
        <w:shd w:val="clear" w:color="auto" w:fill="FFFFFF"/>
        <w:spacing w:line="360" w:lineRule="auto"/>
        <w:rPr>
          <w:rFonts w:ascii="Arial" w:hAnsi="Arial" w:cs="Arial"/>
          <w:sz w:val="16"/>
          <w:szCs w:val="16"/>
        </w:rPr>
      </w:pPr>
      <w:r w:rsidRPr="007344C6">
        <w:rPr>
          <w:rFonts w:ascii="Arial" w:hAnsi="Arial" w:cs="Arial"/>
          <w:sz w:val="16"/>
          <w:szCs w:val="16"/>
        </w:rPr>
        <w:t xml:space="preserve">Vir: UMAR </w:t>
      </w:r>
      <w:r w:rsidR="007344C6">
        <w:rPr>
          <w:rFonts w:ascii="Arial" w:hAnsi="Arial" w:cs="Arial"/>
          <w:sz w:val="16"/>
          <w:szCs w:val="16"/>
        </w:rPr>
        <w:t>(2014, 2020)</w:t>
      </w:r>
    </w:p>
    <w:p w14:paraId="1C6320E3" w14:textId="77777777" w:rsidR="009E0216" w:rsidRPr="00A52F41" w:rsidRDefault="009E0216" w:rsidP="001D5FC0">
      <w:pPr>
        <w:pStyle w:val="Navadensplet"/>
        <w:shd w:val="clear" w:color="auto" w:fill="FFFFFF"/>
        <w:spacing w:before="200" w:after="200" w:line="360" w:lineRule="auto"/>
        <w:rPr>
          <w:rFonts w:ascii="Arial" w:hAnsi="Arial" w:cs="Arial"/>
          <w:u w:val="single"/>
        </w:rPr>
      </w:pPr>
      <w:r w:rsidRPr="00A52F41">
        <w:rPr>
          <w:rFonts w:ascii="Arial" w:hAnsi="Arial" w:cs="Arial"/>
          <w:u w:val="single"/>
        </w:rPr>
        <w:lastRenderedPageBreak/>
        <w:t>Ranljive skupine</w:t>
      </w:r>
    </w:p>
    <w:p w14:paraId="447C7691" w14:textId="77777777" w:rsidR="009E0216" w:rsidRPr="00A52F41" w:rsidRDefault="009E0216" w:rsidP="001D5FC0">
      <w:pPr>
        <w:pStyle w:val="Navadensplet"/>
        <w:shd w:val="clear" w:color="auto" w:fill="FFFFFF"/>
        <w:spacing w:before="200" w:after="200" w:line="360" w:lineRule="auto"/>
        <w:rPr>
          <w:rFonts w:ascii="Arial" w:hAnsi="Arial" w:cs="Arial"/>
        </w:rPr>
      </w:pPr>
      <w:r w:rsidRPr="00A52F41">
        <w:rPr>
          <w:rFonts w:ascii="Arial" w:hAnsi="Arial" w:cs="Arial"/>
        </w:rPr>
        <w:t xml:space="preserve">Trbanc idr. v Rupert in Vilič Klenovšek (2010, str. 7) z ranljivimi skupinami označujejo skupine, pri katerih se prepletajo različne prikrajšanosti (npr. materialna oziroma finančna, izobrazbena, zaposlitvena, stanovanjska prikrajšanost, osebe z motnjami v razvoju, ipd.) in ki so pri dostopu do pomembnih virov (kot je na primer zaposlitev) pogosto v izrazito neugodnem položaju, kar vodi do neenakopravnosti in socialne izključenosti. </w:t>
      </w:r>
    </w:p>
    <w:p w14:paraId="498ADA21" w14:textId="77777777" w:rsidR="009E0216" w:rsidRPr="00A52F41" w:rsidRDefault="009E0216" w:rsidP="001D5FC0">
      <w:pPr>
        <w:pStyle w:val="Navadensplet"/>
        <w:shd w:val="clear" w:color="auto" w:fill="FFFFFF"/>
        <w:spacing w:before="200" w:line="360" w:lineRule="auto"/>
        <w:rPr>
          <w:rFonts w:ascii="Arial" w:hAnsi="Arial" w:cs="Arial"/>
        </w:rPr>
      </w:pPr>
      <w:r w:rsidRPr="00A52F41">
        <w:rPr>
          <w:rFonts w:ascii="Arial" w:hAnsi="Arial" w:cs="Arial"/>
        </w:rPr>
        <w:t xml:space="preserve">Osebe z najvišjo stopnjo tveganja revščine v Sloveniji so: </w:t>
      </w:r>
    </w:p>
    <w:p w14:paraId="6EDEF189" w14:textId="77777777" w:rsidR="009E0216" w:rsidRPr="00A52F41" w:rsidRDefault="009E0216" w:rsidP="00A05198">
      <w:pPr>
        <w:pStyle w:val="Navadensplet"/>
        <w:numPr>
          <w:ilvl w:val="0"/>
          <w:numId w:val="33"/>
        </w:numPr>
        <w:shd w:val="clear" w:color="auto" w:fill="FFFFFF"/>
        <w:spacing w:line="360" w:lineRule="auto"/>
        <w:rPr>
          <w:rFonts w:ascii="Arial" w:hAnsi="Arial" w:cs="Arial"/>
        </w:rPr>
      </w:pPr>
      <w:r w:rsidRPr="00A52F41">
        <w:rPr>
          <w:rFonts w:ascii="Arial" w:hAnsi="Arial" w:cs="Arial"/>
        </w:rPr>
        <w:t xml:space="preserve">glede na gospodinjstva: gospodinjstva brez delovno aktivnih članov, z vzdrževanimi otroki, enočlanska in enostarševska gospodinjstva; </w:t>
      </w:r>
    </w:p>
    <w:p w14:paraId="79E514E5" w14:textId="77777777" w:rsidR="009E0216" w:rsidRPr="00A52F41" w:rsidRDefault="009E0216" w:rsidP="00A05198">
      <w:pPr>
        <w:pStyle w:val="Navadensplet"/>
        <w:numPr>
          <w:ilvl w:val="0"/>
          <w:numId w:val="33"/>
        </w:numPr>
        <w:shd w:val="clear" w:color="auto" w:fill="FFFFFF"/>
        <w:spacing w:line="360" w:lineRule="auto"/>
        <w:rPr>
          <w:rFonts w:ascii="Arial" w:hAnsi="Arial" w:cs="Arial"/>
        </w:rPr>
      </w:pPr>
      <w:r w:rsidRPr="00A52F41">
        <w:rPr>
          <w:rFonts w:ascii="Arial" w:hAnsi="Arial" w:cs="Arial"/>
        </w:rPr>
        <w:t xml:space="preserve">glede na status aktivnosti: brezposelne osebe, samozaposlene osebe, upokojene in ženske starejše od 59 let, še posebej ženske na podeželju, drugi neaktivni oz.  nezmožni za delo; </w:t>
      </w:r>
    </w:p>
    <w:p w14:paraId="645F8668" w14:textId="77777777" w:rsidR="009E0216" w:rsidRPr="00A52F41" w:rsidRDefault="009E0216" w:rsidP="00A05198">
      <w:pPr>
        <w:pStyle w:val="Navadensplet"/>
        <w:numPr>
          <w:ilvl w:val="0"/>
          <w:numId w:val="33"/>
        </w:numPr>
        <w:shd w:val="clear" w:color="auto" w:fill="FFFFFF"/>
        <w:spacing w:after="200" w:line="360" w:lineRule="auto"/>
        <w:ind w:left="714" w:hanging="357"/>
        <w:rPr>
          <w:rFonts w:ascii="Arial" w:hAnsi="Arial" w:cs="Arial"/>
        </w:rPr>
      </w:pPr>
      <w:r w:rsidRPr="00A52F41">
        <w:rPr>
          <w:rFonts w:ascii="Arial" w:hAnsi="Arial" w:cs="Arial"/>
        </w:rPr>
        <w:t xml:space="preserve"> glede na izobrazbo pa osebe z največ osnovnošolsko izobrazbo (SURS, 2020). </w:t>
      </w:r>
    </w:p>
    <w:p w14:paraId="7E878FE9" w14:textId="77777777" w:rsidR="009E0216" w:rsidRPr="00A52F41" w:rsidRDefault="009E0216" w:rsidP="001D5FC0">
      <w:pPr>
        <w:pStyle w:val="Navadensplet"/>
        <w:shd w:val="clear" w:color="auto" w:fill="FFFFFF"/>
        <w:spacing w:before="200" w:after="200" w:line="360" w:lineRule="auto"/>
        <w:rPr>
          <w:rFonts w:ascii="Arial" w:hAnsi="Arial" w:cs="Arial"/>
        </w:rPr>
      </w:pPr>
      <w:r w:rsidRPr="00A52F41">
        <w:rPr>
          <w:rFonts w:ascii="Arial" w:hAnsi="Arial" w:cs="Arial"/>
        </w:rPr>
        <w:t>Po kriznem obdobju po letu 2013 število oseb pod pragom tveganja revščine pada (leta 2019 243.000 oseb) in je skoraj na enaki vrednosti kot leta 2008. Še vedno to pomeni, da je pod pragom tveganja revščine vsak osmi prebivalec Slovenije. Gre za naslednje skupine oseb: 90.000 upokojencev (ali 18,2 % vseh upokojencev), od tega 60.000 upokojenih žensk in 30.000 upokojenih moških; 40.000 delovno aktivnih (ali 4,5 % od vseh delovno aktivnih); 40.000 brezposelnih (ali 43,6 % od vseh brezposelnih); 41.000 mladoletnih otrok (ali 10,5 % od vseh otrok); 32.000 drugih oseb (ali 18,9 % od vseh nezmožnih za delo, gospodinj, študentov, drugih neaktivnih in nerazvrščenih oseb).</w:t>
      </w:r>
    </w:p>
    <w:p w14:paraId="343CF7A2" w14:textId="77777777" w:rsidR="005B0F81" w:rsidRPr="00A52F41" w:rsidRDefault="009E0216" w:rsidP="001D5FC0">
      <w:pPr>
        <w:pStyle w:val="Navadensplet"/>
        <w:shd w:val="clear" w:color="auto" w:fill="FFFFFF"/>
        <w:spacing w:before="200" w:after="200" w:line="360" w:lineRule="auto"/>
        <w:rPr>
          <w:rFonts w:ascii="Arial" w:hAnsi="Arial" w:cs="Arial"/>
        </w:rPr>
      </w:pPr>
      <w:r w:rsidRPr="00A52F41">
        <w:rPr>
          <w:rFonts w:ascii="Arial" w:hAnsi="Arial" w:cs="Arial"/>
        </w:rPr>
        <w:t>Po podatkih SURS, ki beleži stopnjo tveganja revščine, to je odstotek oseb, ki živijo v gospodinjstvih z razpoložljivim dohodkom, nižjim od praga tveganja revščine, stopnja tveganja revščine po letu 2013 sicer pada (12% v letu 2019), zelo visoka pa je med osebami nad 65 let (18,6%). Še višje je tveganje revščine za starejše ženske (23 % v letu 2019), to še posebej velja za enočlanska gospodinjstva, ter osebe z nižje plačanimi poklici in manj delovne dobe. Spodbudno je, da je stopnja tveganja za otroke do 15 let in mlade nekoliko nižja od slovenskega povprečja in tudi ni večjih razlik med spoloma.</w:t>
      </w:r>
    </w:p>
    <w:p w14:paraId="21F4E176" w14:textId="77777777" w:rsidR="009E0216" w:rsidRPr="004004F4" w:rsidRDefault="005B0F81" w:rsidP="004004F4">
      <w:pPr>
        <w:pStyle w:val="SCslika"/>
        <w:keepNext/>
        <w:keepLines/>
        <w:rPr>
          <w:szCs w:val="20"/>
        </w:rPr>
      </w:pPr>
      <w:r w:rsidRPr="004004F4">
        <w:rPr>
          <w:szCs w:val="20"/>
        </w:rPr>
        <w:lastRenderedPageBreak/>
        <w:t>Tabela 11</w:t>
      </w:r>
      <w:r w:rsidR="009E0216" w:rsidRPr="004004F4">
        <w:rPr>
          <w:szCs w:val="20"/>
        </w:rPr>
        <w:t>: Osnovni kazalniki revščine in socialne izključenosti po letih</w:t>
      </w:r>
    </w:p>
    <w:tbl>
      <w:tblPr>
        <w:tblW w:w="9431" w:type="dxa"/>
        <w:tblInd w:w="-5" w:type="dxa"/>
        <w:tblLayout w:type="fixed"/>
        <w:tblCellMar>
          <w:left w:w="70" w:type="dxa"/>
          <w:right w:w="70" w:type="dxa"/>
        </w:tblCellMar>
        <w:tblLook w:val="04A0" w:firstRow="1" w:lastRow="0" w:firstColumn="1" w:lastColumn="0" w:noHBand="0" w:noVBand="1"/>
      </w:tblPr>
      <w:tblGrid>
        <w:gridCol w:w="4470"/>
        <w:gridCol w:w="992"/>
        <w:gridCol w:w="992"/>
        <w:gridCol w:w="992"/>
        <w:gridCol w:w="993"/>
        <w:gridCol w:w="992"/>
      </w:tblGrid>
      <w:tr w:rsidR="009E0216" w:rsidRPr="004004F4" w14:paraId="7808D500" w14:textId="77777777" w:rsidTr="00F25C63">
        <w:trPr>
          <w:trHeight w:val="302"/>
        </w:trPr>
        <w:tc>
          <w:tcPr>
            <w:tcW w:w="4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A3D04" w14:textId="54B849CA" w:rsidR="009E0216" w:rsidRPr="004004F4" w:rsidRDefault="009E0216" w:rsidP="00F25C63">
            <w:pPr>
              <w:keepNext/>
              <w:keepLines/>
              <w:spacing w:before="60" w:after="60" w:line="240" w:lineRule="auto"/>
              <w:jc w:val="both"/>
              <w:rPr>
                <w:rFonts w:ascii="Arial" w:hAnsi="Arial" w:cs="Arial"/>
                <w:b/>
                <w:bCs/>
                <w:color w:val="000000"/>
                <w:sz w:val="20"/>
                <w:szCs w:val="20"/>
                <w:lang w:eastAsia="sl-SI"/>
              </w:rPr>
            </w:pPr>
            <w:r w:rsidRPr="004004F4">
              <w:rPr>
                <w:rFonts w:ascii="Arial" w:hAnsi="Arial" w:cs="Arial"/>
                <w:b/>
                <w:bCs/>
                <w:color w:val="000000"/>
                <w:sz w:val="20"/>
                <w:szCs w:val="20"/>
                <w:lang w:eastAsia="sl-SI"/>
              </w:rPr>
              <w:t>O</w:t>
            </w:r>
            <w:r w:rsidR="004004F4" w:rsidRPr="004004F4">
              <w:rPr>
                <w:rFonts w:ascii="Arial" w:hAnsi="Arial" w:cs="Arial"/>
                <w:b/>
                <w:bCs/>
                <w:color w:val="000000"/>
                <w:sz w:val="20"/>
                <w:szCs w:val="20"/>
                <w:lang w:eastAsia="sl-SI"/>
              </w:rPr>
              <w:t>snovni k</w:t>
            </w:r>
            <w:r w:rsidRPr="004004F4">
              <w:rPr>
                <w:rFonts w:ascii="Arial" w:hAnsi="Arial" w:cs="Arial"/>
                <w:b/>
                <w:bCs/>
                <w:color w:val="000000"/>
                <w:sz w:val="20"/>
                <w:szCs w:val="20"/>
                <w:lang w:eastAsia="sl-SI"/>
              </w:rPr>
              <w:t>azalniki revščine in socialne izključenosti</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E83916D" w14:textId="77777777" w:rsidR="009E0216" w:rsidRPr="004004F4" w:rsidRDefault="009E0216" w:rsidP="00F25C63">
            <w:pPr>
              <w:keepNext/>
              <w:keepLines/>
              <w:spacing w:before="60" w:after="60" w:line="240" w:lineRule="auto"/>
              <w:jc w:val="center"/>
              <w:rPr>
                <w:rFonts w:ascii="Arial" w:hAnsi="Arial" w:cs="Arial"/>
                <w:b/>
                <w:bCs/>
                <w:color w:val="000000"/>
                <w:sz w:val="20"/>
                <w:szCs w:val="20"/>
                <w:lang w:eastAsia="sl-SI"/>
              </w:rPr>
            </w:pPr>
            <w:r w:rsidRPr="004004F4">
              <w:rPr>
                <w:rFonts w:ascii="Arial" w:hAnsi="Arial" w:cs="Arial"/>
                <w:b/>
                <w:bCs/>
                <w:color w:val="000000"/>
                <w:sz w:val="20"/>
                <w:szCs w:val="20"/>
                <w:lang w:eastAsia="sl-SI"/>
              </w:rPr>
              <w:t>2008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86EEDAC" w14:textId="77777777" w:rsidR="009E0216" w:rsidRPr="004004F4" w:rsidRDefault="009E0216" w:rsidP="00F25C63">
            <w:pPr>
              <w:keepNext/>
              <w:keepLines/>
              <w:spacing w:before="60" w:after="60" w:line="240" w:lineRule="auto"/>
              <w:jc w:val="center"/>
              <w:rPr>
                <w:rFonts w:ascii="Arial" w:hAnsi="Arial" w:cs="Arial"/>
                <w:b/>
                <w:bCs/>
                <w:color w:val="000000"/>
                <w:sz w:val="20"/>
                <w:szCs w:val="20"/>
                <w:lang w:eastAsia="sl-SI"/>
              </w:rPr>
            </w:pPr>
            <w:r w:rsidRPr="004004F4">
              <w:rPr>
                <w:rFonts w:ascii="Arial" w:hAnsi="Arial" w:cs="Arial"/>
                <w:b/>
                <w:bCs/>
                <w:color w:val="000000"/>
                <w:sz w:val="20"/>
                <w:szCs w:val="20"/>
                <w:lang w:eastAsia="sl-SI"/>
              </w:rPr>
              <w:t>2010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2A0A89D" w14:textId="77777777" w:rsidR="009E0216" w:rsidRPr="004004F4" w:rsidRDefault="009E0216" w:rsidP="00F25C63">
            <w:pPr>
              <w:keepNext/>
              <w:keepLines/>
              <w:spacing w:before="60" w:after="60" w:line="240" w:lineRule="auto"/>
              <w:jc w:val="center"/>
              <w:rPr>
                <w:rFonts w:ascii="Arial" w:hAnsi="Arial" w:cs="Arial"/>
                <w:b/>
                <w:bCs/>
                <w:color w:val="000000"/>
                <w:sz w:val="20"/>
                <w:szCs w:val="20"/>
                <w:lang w:eastAsia="sl-SI"/>
              </w:rPr>
            </w:pPr>
            <w:r w:rsidRPr="004004F4">
              <w:rPr>
                <w:rFonts w:ascii="Arial" w:hAnsi="Arial" w:cs="Arial"/>
                <w:b/>
                <w:bCs/>
                <w:color w:val="000000"/>
                <w:sz w:val="20"/>
                <w:szCs w:val="20"/>
                <w:lang w:eastAsia="sl-SI"/>
              </w:rPr>
              <w:t>2013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87173AA" w14:textId="77777777" w:rsidR="009E0216" w:rsidRPr="004004F4" w:rsidRDefault="009E0216" w:rsidP="00F25C63">
            <w:pPr>
              <w:keepNext/>
              <w:keepLines/>
              <w:spacing w:before="60" w:after="60" w:line="240" w:lineRule="auto"/>
              <w:jc w:val="center"/>
              <w:rPr>
                <w:rFonts w:ascii="Arial" w:hAnsi="Arial" w:cs="Arial"/>
                <w:b/>
                <w:bCs/>
                <w:color w:val="000000"/>
                <w:sz w:val="20"/>
                <w:szCs w:val="20"/>
                <w:lang w:eastAsia="sl-SI"/>
              </w:rPr>
            </w:pPr>
            <w:r w:rsidRPr="004004F4">
              <w:rPr>
                <w:rFonts w:ascii="Arial" w:hAnsi="Arial" w:cs="Arial"/>
                <w:b/>
                <w:bCs/>
                <w:color w:val="000000"/>
                <w:sz w:val="20"/>
                <w:szCs w:val="20"/>
                <w:lang w:eastAsia="sl-SI"/>
              </w:rPr>
              <w:t>2015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36F186D" w14:textId="77777777" w:rsidR="009E0216" w:rsidRPr="004004F4" w:rsidRDefault="009E0216" w:rsidP="00F25C63">
            <w:pPr>
              <w:keepNext/>
              <w:keepLines/>
              <w:spacing w:before="60" w:after="60" w:line="240" w:lineRule="auto"/>
              <w:jc w:val="center"/>
              <w:rPr>
                <w:rFonts w:ascii="Arial" w:hAnsi="Arial" w:cs="Arial"/>
                <w:b/>
                <w:bCs/>
                <w:color w:val="000000"/>
                <w:sz w:val="20"/>
                <w:szCs w:val="20"/>
                <w:lang w:eastAsia="sl-SI"/>
              </w:rPr>
            </w:pPr>
            <w:r w:rsidRPr="004004F4">
              <w:rPr>
                <w:rFonts w:ascii="Arial" w:hAnsi="Arial" w:cs="Arial"/>
                <w:b/>
                <w:bCs/>
                <w:color w:val="000000"/>
                <w:sz w:val="20"/>
                <w:szCs w:val="20"/>
                <w:lang w:eastAsia="sl-SI"/>
              </w:rPr>
              <w:t>2019</w:t>
            </w:r>
          </w:p>
        </w:tc>
      </w:tr>
      <w:tr w:rsidR="009E0216" w:rsidRPr="004004F4" w14:paraId="674FD845" w14:textId="77777777" w:rsidTr="00F25C63">
        <w:trPr>
          <w:trHeight w:val="302"/>
        </w:trPr>
        <w:tc>
          <w:tcPr>
            <w:tcW w:w="4470" w:type="dxa"/>
            <w:tcBorders>
              <w:top w:val="nil"/>
              <w:left w:val="single" w:sz="4" w:space="0" w:color="auto"/>
              <w:bottom w:val="single" w:sz="4" w:space="0" w:color="auto"/>
              <w:right w:val="single" w:sz="4" w:space="0" w:color="auto"/>
            </w:tcBorders>
            <w:shd w:val="clear" w:color="auto" w:fill="auto"/>
            <w:vAlign w:val="bottom"/>
            <w:hideMark/>
          </w:tcPr>
          <w:p w14:paraId="05E0652D" w14:textId="77777777" w:rsidR="009E0216" w:rsidRPr="004004F4" w:rsidRDefault="009E0216" w:rsidP="00F25C63">
            <w:pPr>
              <w:keepNext/>
              <w:keepLines/>
              <w:spacing w:before="60" w:after="60" w:line="240" w:lineRule="auto"/>
              <w:rPr>
                <w:rFonts w:ascii="Arial" w:hAnsi="Arial" w:cs="Arial"/>
                <w:color w:val="000000"/>
                <w:sz w:val="20"/>
                <w:szCs w:val="20"/>
                <w:lang w:eastAsia="sl-SI"/>
              </w:rPr>
            </w:pPr>
            <w:r w:rsidRPr="004004F4">
              <w:rPr>
                <w:rFonts w:ascii="Arial" w:hAnsi="Arial" w:cs="Arial"/>
                <w:color w:val="000000"/>
                <w:sz w:val="20"/>
                <w:szCs w:val="20"/>
                <w:lang w:eastAsia="sl-SI"/>
              </w:rPr>
              <w:t>Stopnja tveganja socialne izključenosti (% oseb)</w:t>
            </w:r>
          </w:p>
        </w:tc>
        <w:tc>
          <w:tcPr>
            <w:tcW w:w="992" w:type="dxa"/>
            <w:tcBorders>
              <w:top w:val="nil"/>
              <w:left w:val="nil"/>
              <w:bottom w:val="single" w:sz="4" w:space="0" w:color="auto"/>
              <w:right w:val="single" w:sz="4" w:space="0" w:color="auto"/>
            </w:tcBorders>
            <w:shd w:val="clear" w:color="auto" w:fill="auto"/>
            <w:noWrap/>
            <w:vAlign w:val="bottom"/>
            <w:hideMark/>
          </w:tcPr>
          <w:p w14:paraId="0C9632B6"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18,5</w:t>
            </w:r>
          </w:p>
        </w:tc>
        <w:tc>
          <w:tcPr>
            <w:tcW w:w="992" w:type="dxa"/>
            <w:tcBorders>
              <w:top w:val="nil"/>
              <w:left w:val="nil"/>
              <w:bottom w:val="single" w:sz="4" w:space="0" w:color="auto"/>
              <w:right w:val="single" w:sz="4" w:space="0" w:color="auto"/>
            </w:tcBorders>
            <w:shd w:val="clear" w:color="auto" w:fill="auto"/>
            <w:noWrap/>
            <w:vAlign w:val="bottom"/>
            <w:hideMark/>
          </w:tcPr>
          <w:p w14:paraId="79242EE7"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18,3</w:t>
            </w:r>
          </w:p>
        </w:tc>
        <w:tc>
          <w:tcPr>
            <w:tcW w:w="992" w:type="dxa"/>
            <w:tcBorders>
              <w:top w:val="nil"/>
              <w:left w:val="nil"/>
              <w:bottom w:val="single" w:sz="4" w:space="0" w:color="auto"/>
              <w:right w:val="single" w:sz="4" w:space="0" w:color="auto"/>
            </w:tcBorders>
            <w:shd w:val="clear" w:color="auto" w:fill="auto"/>
            <w:noWrap/>
            <w:vAlign w:val="bottom"/>
            <w:hideMark/>
          </w:tcPr>
          <w:p w14:paraId="7C285C5C"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20,4</w:t>
            </w:r>
          </w:p>
        </w:tc>
        <w:tc>
          <w:tcPr>
            <w:tcW w:w="993" w:type="dxa"/>
            <w:tcBorders>
              <w:top w:val="nil"/>
              <w:left w:val="nil"/>
              <w:bottom w:val="single" w:sz="4" w:space="0" w:color="auto"/>
              <w:right w:val="single" w:sz="4" w:space="0" w:color="auto"/>
            </w:tcBorders>
            <w:shd w:val="clear" w:color="auto" w:fill="auto"/>
            <w:noWrap/>
            <w:vAlign w:val="bottom"/>
            <w:hideMark/>
          </w:tcPr>
          <w:p w14:paraId="336C2CC9"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19,2</w:t>
            </w:r>
          </w:p>
        </w:tc>
        <w:tc>
          <w:tcPr>
            <w:tcW w:w="992" w:type="dxa"/>
            <w:tcBorders>
              <w:top w:val="nil"/>
              <w:left w:val="nil"/>
              <w:bottom w:val="single" w:sz="4" w:space="0" w:color="auto"/>
              <w:right w:val="single" w:sz="4" w:space="0" w:color="auto"/>
            </w:tcBorders>
            <w:shd w:val="clear" w:color="auto" w:fill="auto"/>
            <w:noWrap/>
            <w:vAlign w:val="bottom"/>
            <w:hideMark/>
          </w:tcPr>
          <w:p w14:paraId="57FEDC22"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14,4</w:t>
            </w:r>
          </w:p>
        </w:tc>
      </w:tr>
      <w:tr w:rsidR="009E0216" w:rsidRPr="004004F4" w14:paraId="4DF9D83D" w14:textId="77777777" w:rsidTr="00F25C63">
        <w:trPr>
          <w:trHeight w:val="468"/>
        </w:trPr>
        <w:tc>
          <w:tcPr>
            <w:tcW w:w="4470" w:type="dxa"/>
            <w:tcBorders>
              <w:top w:val="nil"/>
              <w:left w:val="single" w:sz="4" w:space="0" w:color="auto"/>
              <w:bottom w:val="single" w:sz="4" w:space="0" w:color="auto"/>
              <w:right w:val="single" w:sz="4" w:space="0" w:color="auto"/>
            </w:tcBorders>
            <w:shd w:val="clear" w:color="auto" w:fill="auto"/>
            <w:vAlign w:val="bottom"/>
            <w:hideMark/>
          </w:tcPr>
          <w:p w14:paraId="7D28B9B0" w14:textId="77777777" w:rsidR="009E0216" w:rsidRPr="004004F4" w:rsidRDefault="009E0216" w:rsidP="00F25C63">
            <w:pPr>
              <w:keepNext/>
              <w:keepLines/>
              <w:spacing w:before="60" w:after="60" w:line="240" w:lineRule="auto"/>
              <w:rPr>
                <w:rFonts w:ascii="Arial" w:hAnsi="Arial" w:cs="Arial"/>
                <w:color w:val="000000"/>
                <w:sz w:val="20"/>
                <w:szCs w:val="20"/>
                <w:lang w:eastAsia="sl-SI"/>
              </w:rPr>
            </w:pPr>
            <w:r w:rsidRPr="004004F4">
              <w:rPr>
                <w:rFonts w:ascii="Arial" w:hAnsi="Arial" w:cs="Arial"/>
                <w:color w:val="000000"/>
                <w:sz w:val="20"/>
                <w:szCs w:val="20"/>
                <w:lang w:eastAsia="sl-SI"/>
              </w:rPr>
              <w:t>Število oseb, izpostavljenih tveganju socialne izključenosti</w:t>
            </w:r>
          </w:p>
        </w:tc>
        <w:tc>
          <w:tcPr>
            <w:tcW w:w="992" w:type="dxa"/>
            <w:tcBorders>
              <w:top w:val="nil"/>
              <w:left w:val="nil"/>
              <w:bottom w:val="single" w:sz="4" w:space="0" w:color="auto"/>
              <w:right w:val="single" w:sz="4" w:space="0" w:color="auto"/>
            </w:tcBorders>
            <w:shd w:val="clear" w:color="auto" w:fill="auto"/>
            <w:noWrap/>
            <w:vAlign w:val="bottom"/>
            <w:hideMark/>
          </w:tcPr>
          <w:p w14:paraId="1E6880FD" w14:textId="14998FA3"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361</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000</w:t>
            </w:r>
          </w:p>
        </w:tc>
        <w:tc>
          <w:tcPr>
            <w:tcW w:w="992" w:type="dxa"/>
            <w:tcBorders>
              <w:top w:val="nil"/>
              <w:left w:val="nil"/>
              <w:bottom w:val="single" w:sz="4" w:space="0" w:color="auto"/>
              <w:right w:val="single" w:sz="4" w:space="0" w:color="auto"/>
            </w:tcBorders>
            <w:shd w:val="clear" w:color="auto" w:fill="auto"/>
            <w:noWrap/>
            <w:vAlign w:val="bottom"/>
            <w:hideMark/>
          </w:tcPr>
          <w:p w14:paraId="2A291AB1" w14:textId="6ABB7E63"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366</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000</w:t>
            </w:r>
          </w:p>
        </w:tc>
        <w:tc>
          <w:tcPr>
            <w:tcW w:w="992" w:type="dxa"/>
            <w:tcBorders>
              <w:top w:val="nil"/>
              <w:left w:val="nil"/>
              <w:bottom w:val="single" w:sz="4" w:space="0" w:color="auto"/>
              <w:right w:val="single" w:sz="4" w:space="0" w:color="auto"/>
            </w:tcBorders>
            <w:shd w:val="clear" w:color="auto" w:fill="auto"/>
            <w:noWrap/>
            <w:vAlign w:val="bottom"/>
            <w:hideMark/>
          </w:tcPr>
          <w:p w14:paraId="05F1B54C" w14:textId="29B67638"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410</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24C4D28B" w14:textId="7D1B1DF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385</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000</w:t>
            </w:r>
          </w:p>
        </w:tc>
        <w:tc>
          <w:tcPr>
            <w:tcW w:w="992" w:type="dxa"/>
            <w:tcBorders>
              <w:top w:val="nil"/>
              <w:left w:val="nil"/>
              <w:bottom w:val="single" w:sz="4" w:space="0" w:color="auto"/>
              <w:right w:val="single" w:sz="4" w:space="0" w:color="auto"/>
            </w:tcBorders>
            <w:shd w:val="clear" w:color="auto" w:fill="auto"/>
            <w:noWrap/>
            <w:vAlign w:val="bottom"/>
            <w:hideMark/>
          </w:tcPr>
          <w:p w14:paraId="2DCDDF3C" w14:textId="0B8C033A"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293</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000</w:t>
            </w:r>
          </w:p>
        </w:tc>
      </w:tr>
      <w:tr w:rsidR="009E0216" w:rsidRPr="004004F4" w14:paraId="52B83647" w14:textId="77777777" w:rsidTr="00F25C63">
        <w:trPr>
          <w:trHeight w:val="302"/>
        </w:trPr>
        <w:tc>
          <w:tcPr>
            <w:tcW w:w="4470" w:type="dxa"/>
            <w:tcBorders>
              <w:top w:val="nil"/>
              <w:left w:val="single" w:sz="4" w:space="0" w:color="auto"/>
              <w:bottom w:val="single" w:sz="4" w:space="0" w:color="auto"/>
              <w:right w:val="single" w:sz="4" w:space="0" w:color="auto"/>
            </w:tcBorders>
            <w:shd w:val="clear" w:color="auto" w:fill="auto"/>
            <w:vAlign w:val="bottom"/>
            <w:hideMark/>
          </w:tcPr>
          <w:p w14:paraId="04E97507" w14:textId="77777777" w:rsidR="009E0216" w:rsidRPr="004004F4" w:rsidRDefault="009E0216" w:rsidP="00F25C63">
            <w:pPr>
              <w:keepNext/>
              <w:keepLines/>
              <w:spacing w:before="60" w:after="60" w:line="240" w:lineRule="auto"/>
              <w:rPr>
                <w:rFonts w:ascii="Arial" w:hAnsi="Arial" w:cs="Arial"/>
                <w:color w:val="000000"/>
                <w:sz w:val="20"/>
                <w:szCs w:val="20"/>
                <w:lang w:eastAsia="sl-SI"/>
              </w:rPr>
            </w:pPr>
            <w:r w:rsidRPr="004004F4">
              <w:rPr>
                <w:rFonts w:ascii="Arial" w:hAnsi="Arial" w:cs="Arial"/>
                <w:color w:val="000000"/>
                <w:sz w:val="20"/>
                <w:szCs w:val="20"/>
                <w:lang w:eastAsia="sl-SI"/>
              </w:rPr>
              <w:t>Stopnja tveganja revščine (% oseb)</w:t>
            </w:r>
          </w:p>
        </w:tc>
        <w:tc>
          <w:tcPr>
            <w:tcW w:w="992" w:type="dxa"/>
            <w:tcBorders>
              <w:top w:val="nil"/>
              <w:left w:val="nil"/>
              <w:bottom w:val="single" w:sz="4" w:space="0" w:color="auto"/>
              <w:right w:val="single" w:sz="4" w:space="0" w:color="auto"/>
            </w:tcBorders>
            <w:shd w:val="clear" w:color="auto" w:fill="auto"/>
            <w:noWrap/>
            <w:vAlign w:val="bottom"/>
            <w:hideMark/>
          </w:tcPr>
          <w:p w14:paraId="0B3B515B"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12,3</w:t>
            </w:r>
          </w:p>
        </w:tc>
        <w:tc>
          <w:tcPr>
            <w:tcW w:w="992" w:type="dxa"/>
            <w:tcBorders>
              <w:top w:val="nil"/>
              <w:left w:val="nil"/>
              <w:bottom w:val="single" w:sz="4" w:space="0" w:color="auto"/>
              <w:right w:val="single" w:sz="4" w:space="0" w:color="auto"/>
            </w:tcBorders>
            <w:shd w:val="clear" w:color="auto" w:fill="auto"/>
            <w:noWrap/>
            <w:vAlign w:val="bottom"/>
            <w:hideMark/>
          </w:tcPr>
          <w:p w14:paraId="7DACD24B"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12,7</w:t>
            </w:r>
          </w:p>
        </w:tc>
        <w:tc>
          <w:tcPr>
            <w:tcW w:w="992" w:type="dxa"/>
            <w:tcBorders>
              <w:top w:val="nil"/>
              <w:left w:val="nil"/>
              <w:bottom w:val="single" w:sz="4" w:space="0" w:color="auto"/>
              <w:right w:val="single" w:sz="4" w:space="0" w:color="auto"/>
            </w:tcBorders>
            <w:shd w:val="clear" w:color="auto" w:fill="auto"/>
            <w:noWrap/>
            <w:vAlign w:val="bottom"/>
            <w:hideMark/>
          </w:tcPr>
          <w:p w14:paraId="6A0C76F6"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14,5</w:t>
            </w:r>
          </w:p>
        </w:tc>
        <w:tc>
          <w:tcPr>
            <w:tcW w:w="993" w:type="dxa"/>
            <w:tcBorders>
              <w:top w:val="nil"/>
              <w:left w:val="nil"/>
              <w:bottom w:val="single" w:sz="4" w:space="0" w:color="auto"/>
              <w:right w:val="single" w:sz="4" w:space="0" w:color="auto"/>
            </w:tcBorders>
            <w:shd w:val="clear" w:color="auto" w:fill="auto"/>
            <w:noWrap/>
            <w:vAlign w:val="bottom"/>
            <w:hideMark/>
          </w:tcPr>
          <w:p w14:paraId="7B3CB4F9"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14,3</w:t>
            </w:r>
          </w:p>
        </w:tc>
        <w:tc>
          <w:tcPr>
            <w:tcW w:w="992" w:type="dxa"/>
            <w:tcBorders>
              <w:top w:val="nil"/>
              <w:left w:val="nil"/>
              <w:bottom w:val="single" w:sz="4" w:space="0" w:color="auto"/>
              <w:right w:val="single" w:sz="4" w:space="0" w:color="auto"/>
            </w:tcBorders>
            <w:shd w:val="clear" w:color="auto" w:fill="auto"/>
            <w:noWrap/>
            <w:vAlign w:val="bottom"/>
            <w:hideMark/>
          </w:tcPr>
          <w:p w14:paraId="62F7AD17"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12,0</w:t>
            </w:r>
          </w:p>
        </w:tc>
      </w:tr>
      <w:tr w:rsidR="009E0216" w:rsidRPr="004004F4" w14:paraId="43BCAFE1" w14:textId="77777777" w:rsidTr="00F25C63">
        <w:trPr>
          <w:trHeight w:val="302"/>
        </w:trPr>
        <w:tc>
          <w:tcPr>
            <w:tcW w:w="4470" w:type="dxa"/>
            <w:tcBorders>
              <w:top w:val="nil"/>
              <w:left w:val="single" w:sz="4" w:space="0" w:color="auto"/>
              <w:bottom w:val="single" w:sz="4" w:space="0" w:color="auto"/>
              <w:right w:val="single" w:sz="4" w:space="0" w:color="auto"/>
            </w:tcBorders>
            <w:shd w:val="clear" w:color="auto" w:fill="auto"/>
            <w:vAlign w:val="bottom"/>
            <w:hideMark/>
          </w:tcPr>
          <w:p w14:paraId="0007235B" w14:textId="77777777" w:rsidR="009E0216" w:rsidRPr="004004F4" w:rsidRDefault="009E0216" w:rsidP="00F25C63">
            <w:pPr>
              <w:keepNext/>
              <w:keepLines/>
              <w:spacing w:before="60" w:after="60" w:line="240" w:lineRule="auto"/>
              <w:rPr>
                <w:rFonts w:ascii="Arial" w:hAnsi="Arial" w:cs="Arial"/>
                <w:color w:val="000000"/>
                <w:sz w:val="20"/>
                <w:szCs w:val="20"/>
                <w:lang w:eastAsia="sl-SI"/>
              </w:rPr>
            </w:pPr>
            <w:r w:rsidRPr="004004F4">
              <w:rPr>
                <w:rFonts w:ascii="Arial" w:hAnsi="Arial" w:cs="Arial"/>
                <w:color w:val="000000"/>
                <w:sz w:val="20"/>
                <w:szCs w:val="20"/>
                <w:lang w:eastAsia="sl-SI"/>
              </w:rPr>
              <w:t>Število oseb pod pragom tveganja revščine</w:t>
            </w:r>
          </w:p>
        </w:tc>
        <w:tc>
          <w:tcPr>
            <w:tcW w:w="992" w:type="dxa"/>
            <w:tcBorders>
              <w:top w:val="nil"/>
              <w:left w:val="nil"/>
              <w:bottom w:val="single" w:sz="4" w:space="0" w:color="auto"/>
              <w:right w:val="single" w:sz="4" w:space="0" w:color="auto"/>
            </w:tcBorders>
            <w:shd w:val="clear" w:color="auto" w:fill="auto"/>
            <w:noWrap/>
            <w:vAlign w:val="bottom"/>
            <w:hideMark/>
          </w:tcPr>
          <w:p w14:paraId="2CE3FA34" w14:textId="7FB34C8F"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241</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000</w:t>
            </w:r>
          </w:p>
        </w:tc>
        <w:tc>
          <w:tcPr>
            <w:tcW w:w="992" w:type="dxa"/>
            <w:tcBorders>
              <w:top w:val="nil"/>
              <w:left w:val="nil"/>
              <w:bottom w:val="single" w:sz="4" w:space="0" w:color="auto"/>
              <w:right w:val="single" w:sz="4" w:space="0" w:color="auto"/>
            </w:tcBorders>
            <w:shd w:val="clear" w:color="auto" w:fill="auto"/>
            <w:noWrap/>
            <w:vAlign w:val="bottom"/>
            <w:hideMark/>
          </w:tcPr>
          <w:p w14:paraId="410273CF" w14:textId="41DD4EB0"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254</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000</w:t>
            </w:r>
          </w:p>
        </w:tc>
        <w:tc>
          <w:tcPr>
            <w:tcW w:w="992" w:type="dxa"/>
            <w:tcBorders>
              <w:top w:val="nil"/>
              <w:left w:val="nil"/>
              <w:bottom w:val="single" w:sz="4" w:space="0" w:color="auto"/>
              <w:right w:val="single" w:sz="4" w:space="0" w:color="auto"/>
            </w:tcBorders>
            <w:shd w:val="clear" w:color="auto" w:fill="auto"/>
            <w:noWrap/>
            <w:vAlign w:val="bottom"/>
            <w:hideMark/>
          </w:tcPr>
          <w:p w14:paraId="1621A84A" w14:textId="6CD7DADE"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291</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2441DB6D" w14:textId="16BCA04A"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287</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000</w:t>
            </w:r>
          </w:p>
        </w:tc>
        <w:tc>
          <w:tcPr>
            <w:tcW w:w="992" w:type="dxa"/>
            <w:tcBorders>
              <w:top w:val="nil"/>
              <w:left w:val="nil"/>
              <w:bottom w:val="single" w:sz="4" w:space="0" w:color="auto"/>
              <w:right w:val="single" w:sz="4" w:space="0" w:color="auto"/>
            </w:tcBorders>
            <w:shd w:val="clear" w:color="auto" w:fill="auto"/>
            <w:noWrap/>
            <w:vAlign w:val="bottom"/>
            <w:hideMark/>
          </w:tcPr>
          <w:p w14:paraId="0D8BB573" w14:textId="2BEC42DE"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243</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000</w:t>
            </w:r>
          </w:p>
        </w:tc>
      </w:tr>
      <w:tr w:rsidR="009E0216" w:rsidRPr="004004F4" w14:paraId="38526111" w14:textId="77777777" w:rsidTr="00F25C63">
        <w:trPr>
          <w:trHeight w:val="468"/>
        </w:trPr>
        <w:tc>
          <w:tcPr>
            <w:tcW w:w="4470" w:type="dxa"/>
            <w:tcBorders>
              <w:top w:val="nil"/>
              <w:left w:val="single" w:sz="4" w:space="0" w:color="auto"/>
              <w:bottom w:val="single" w:sz="4" w:space="0" w:color="auto"/>
              <w:right w:val="single" w:sz="4" w:space="0" w:color="auto"/>
            </w:tcBorders>
            <w:shd w:val="clear" w:color="auto" w:fill="auto"/>
            <w:vAlign w:val="bottom"/>
            <w:hideMark/>
          </w:tcPr>
          <w:p w14:paraId="38B41FEF" w14:textId="176D66D2" w:rsidR="009E0216" w:rsidRPr="004004F4" w:rsidRDefault="009E0216" w:rsidP="00F25C63">
            <w:pPr>
              <w:keepNext/>
              <w:keepLines/>
              <w:spacing w:before="60" w:after="60" w:line="240" w:lineRule="auto"/>
              <w:rPr>
                <w:rFonts w:ascii="Arial" w:hAnsi="Arial" w:cs="Arial"/>
                <w:color w:val="000000"/>
                <w:sz w:val="20"/>
                <w:szCs w:val="20"/>
                <w:lang w:eastAsia="sl-SI"/>
              </w:rPr>
            </w:pPr>
            <w:r w:rsidRPr="004004F4">
              <w:rPr>
                <w:rFonts w:ascii="Arial" w:hAnsi="Arial" w:cs="Arial"/>
                <w:color w:val="000000"/>
                <w:sz w:val="20"/>
                <w:szCs w:val="20"/>
                <w:lang w:eastAsia="sl-SI"/>
              </w:rPr>
              <w:t xml:space="preserve">Stopnja resne materialne prikrajšanosti - </w:t>
            </w:r>
            <w:r w:rsidR="004004F4" w:rsidRPr="004004F4">
              <w:rPr>
                <w:rFonts w:ascii="Arial" w:hAnsi="Arial" w:cs="Arial"/>
                <w:color w:val="000000"/>
                <w:sz w:val="20"/>
                <w:szCs w:val="20"/>
                <w:lang w:eastAsia="sl-SI"/>
              </w:rPr>
              <w:br/>
            </w:r>
            <w:r w:rsidRPr="004004F4">
              <w:rPr>
                <w:rFonts w:ascii="Arial" w:hAnsi="Arial" w:cs="Arial"/>
                <w:color w:val="000000"/>
                <w:sz w:val="20"/>
                <w:szCs w:val="20"/>
                <w:lang w:eastAsia="sl-SI"/>
              </w:rPr>
              <w:t>za 4 od 9 elementov (% oseb)</w:t>
            </w:r>
          </w:p>
        </w:tc>
        <w:tc>
          <w:tcPr>
            <w:tcW w:w="992" w:type="dxa"/>
            <w:tcBorders>
              <w:top w:val="nil"/>
              <w:left w:val="nil"/>
              <w:bottom w:val="single" w:sz="4" w:space="0" w:color="auto"/>
              <w:right w:val="single" w:sz="4" w:space="0" w:color="auto"/>
            </w:tcBorders>
            <w:shd w:val="clear" w:color="auto" w:fill="auto"/>
            <w:noWrap/>
            <w:vAlign w:val="bottom"/>
            <w:hideMark/>
          </w:tcPr>
          <w:p w14:paraId="7139DB74"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6,7</w:t>
            </w:r>
          </w:p>
        </w:tc>
        <w:tc>
          <w:tcPr>
            <w:tcW w:w="992" w:type="dxa"/>
            <w:tcBorders>
              <w:top w:val="nil"/>
              <w:left w:val="nil"/>
              <w:bottom w:val="single" w:sz="4" w:space="0" w:color="auto"/>
              <w:right w:val="single" w:sz="4" w:space="0" w:color="auto"/>
            </w:tcBorders>
            <w:shd w:val="clear" w:color="auto" w:fill="auto"/>
            <w:noWrap/>
            <w:vAlign w:val="bottom"/>
            <w:hideMark/>
          </w:tcPr>
          <w:p w14:paraId="53A4E3DB"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5,9</w:t>
            </w:r>
          </w:p>
        </w:tc>
        <w:tc>
          <w:tcPr>
            <w:tcW w:w="992" w:type="dxa"/>
            <w:tcBorders>
              <w:top w:val="nil"/>
              <w:left w:val="nil"/>
              <w:bottom w:val="single" w:sz="4" w:space="0" w:color="auto"/>
              <w:right w:val="single" w:sz="4" w:space="0" w:color="auto"/>
            </w:tcBorders>
            <w:shd w:val="clear" w:color="auto" w:fill="auto"/>
            <w:noWrap/>
            <w:vAlign w:val="bottom"/>
            <w:hideMark/>
          </w:tcPr>
          <w:p w14:paraId="77C625FE"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6,7</w:t>
            </w:r>
          </w:p>
        </w:tc>
        <w:tc>
          <w:tcPr>
            <w:tcW w:w="993" w:type="dxa"/>
            <w:tcBorders>
              <w:top w:val="nil"/>
              <w:left w:val="nil"/>
              <w:bottom w:val="single" w:sz="4" w:space="0" w:color="auto"/>
              <w:right w:val="single" w:sz="4" w:space="0" w:color="auto"/>
            </w:tcBorders>
            <w:shd w:val="clear" w:color="auto" w:fill="auto"/>
            <w:noWrap/>
            <w:vAlign w:val="bottom"/>
            <w:hideMark/>
          </w:tcPr>
          <w:p w14:paraId="07AC6E86"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5,8</w:t>
            </w:r>
          </w:p>
        </w:tc>
        <w:tc>
          <w:tcPr>
            <w:tcW w:w="992" w:type="dxa"/>
            <w:tcBorders>
              <w:top w:val="nil"/>
              <w:left w:val="nil"/>
              <w:bottom w:val="single" w:sz="4" w:space="0" w:color="auto"/>
              <w:right w:val="single" w:sz="4" w:space="0" w:color="auto"/>
            </w:tcBorders>
            <w:shd w:val="clear" w:color="auto" w:fill="auto"/>
            <w:noWrap/>
            <w:vAlign w:val="bottom"/>
            <w:hideMark/>
          </w:tcPr>
          <w:p w14:paraId="7D18B7DC"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2,6</w:t>
            </w:r>
          </w:p>
        </w:tc>
      </w:tr>
      <w:tr w:rsidR="009E0216" w:rsidRPr="004004F4" w14:paraId="66A234DF" w14:textId="77777777" w:rsidTr="00F25C63">
        <w:trPr>
          <w:trHeight w:val="468"/>
        </w:trPr>
        <w:tc>
          <w:tcPr>
            <w:tcW w:w="4470" w:type="dxa"/>
            <w:tcBorders>
              <w:top w:val="nil"/>
              <w:left w:val="single" w:sz="4" w:space="0" w:color="auto"/>
              <w:bottom w:val="single" w:sz="4" w:space="0" w:color="auto"/>
              <w:right w:val="single" w:sz="4" w:space="0" w:color="auto"/>
            </w:tcBorders>
            <w:shd w:val="clear" w:color="auto" w:fill="auto"/>
            <w:vAlign w:val="bottom"/>
            <w:hideMark/>
          </w:tcPr>
          <w:p w14:paraId="4B62A39D" w14:textId="77777777" w:rsidR="009E0216" w:rsidRPr="004004F4" w:rsidRDefault="009E0216" w:rsidP="00F25C63">
            <w:pPr>
              <w:keepNext/>
              <w:keepLines/>
              <w:spacing w:before="60" w:after="60" w:line="240" w:lineRule="auto"/>
              <w:rPr>
                <w:rFonts w:ascii="Arial" w:hAnsi="Arial" w:cs="Arial"/>
                <w:color w:val="000000"/>
                <w:sz w:val="20"/>
                <w:szCs w:val="20"/>
                <w:lang w:eastAsia="sl-SI"/>
              </w:rPr>
            </w:pPr>
            <w:r w:rsidRPr="004004F4">
              <w:rPr>
                <w:rFonts w:ascii="Arial" w:hAnsi="Arial" w:cs="Arial"/>
                <w:color w:val="000000"/>
                <w:sz w:val="20"/>
                <w:szCs w:val="20"/>
                <w:lang w:eastAsia="sl-SI"/>
              </w:rPr>
              <w:t>Število oseb v gospodinjstvih z zelo nizko delovno intenzivnostjo, starost 0-59 let</w:t>
            </w:r>
          </w:p>
        </w:tc>
        <w:tc>
          <w:tcPr>
            <w:tcW w:w="992" w:type="dxa"/>
            <w:tcBorders>
              <w:top w:val="nil"/>
              <w:left w:val="nil"/>
              <w:bottom w:val="single" w:sz="4" w:space="0" w:color="auto"/>
              <w:right w:val="single" w:sz="4" w:space="0" w:color="auto"/>
            </w:tcBorders>
            <w:shd w:val="clear" w:color="auto" w:fill="auto"/>
            <w:noWrap/>
            <w:vAlign w:val="bottom"/>
            <w:hideMark/>
          </w:tcPr>
          <w:p w14:paraId="222BA118" w14:textId="59C3D880"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105</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000</w:t>
            </w:r>
          </w:p>
        </w:tc>
        <w:tc>
          <w:tcPr>
            <w:tcW w:w="992" w:type="dxa"/>
            <w:tcBorders>
              <w:top w:val="nil"/>
              <w:left w:val="nil"/>
              <w:bottom w:val="single" w:sz="4" w:space="0" w:color="auto"/>
              <w:right w:val="single" w:sz="4" w:space="0" w:color="auto"/>
            </w:tcBorders>
            <w:shd w:val="clear" w:color="auto" w:fill="auto"/>
            <w:noWrap/>
            <w:vAlign w:val="bottom"/>
            <w:hideMark/>
          </w:tcPr>
          <w:p w14:paraId="7ECFCE23" w14:textId="0F2B8233"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111</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000</w:t>
            </w:r>
          </w:p>
        </w:tc>
        <w:tc>
          <w:tcPr>
            <w:tcW w:w="992" w:type="dxa"/>
            <w:tcBorders>
              <w:top w:val="nil"/>
              <w:left w:val="nil"/>
              <w:bottom w:val="single" w:sz="4" w:space="0" w:color="auto"/>
              <w:right w:val="single" w:sz="4" w:space="0" w:color="auto"/>
            </w:tcBorders>
            <w:shd w:val="clear" w:color="auto" w:fill="auto"/>
            <w:noWrap/>
            <w:vAlign w:val="bottom"/>
            <w:hideMark/>
          </w:tcPr>
          <w:p w14:paraId="05240C4E" w14:textId="357250DE"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125</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52F8BBEA" w14:textId="5C90284E"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114</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000</w:t>
            </w:r>
          </w:p>
        </w:tc>
        <w:tc>
          <w:tcPr>
            <w:tcW w:w="992" w:type="dxa"/>
            <w:tcBorders>
              <w:top w:val="nil"/>
              <w:left w:val="nil"/>
              <w:bottom w:val="single" w:sz="4" w:space="0" w:color="auto"/>
              <w:right w:val="single" w:sz="4" w:space="0" w:color="auto"/>
            </w:tcBorders>
            <w:shd w:val="clear" w:color="auto" w:fill="auto"/>
            <w:noWrap/>
            <w:vAlign w:val="bottom"/>
            <w:hideMark/>
          </w:tcPr>
          <w:p w14:paraId="2B4DE6F6" w14:textId="08AEF554"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80</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000</w:t>
            </w:r>
          </w:p>
        </w:tc>
      </w:tr>
      <w:tr w:rsidR="009E0216" w:rsidRPr="004004F4" w14:paraId="0EAF1C18" w14:textId="77777777" w:rsidTr="00F25C63">
        <w:trPr>
          <w:trHeight w:val="468"/>
        </w:trPr>
        <w:tc>
          <w:tcPr>
            <w:tcW w:w="4470" w:type="dxa"/>
            <w:tcBorders>
              <w:top w:val="nil"/>
              <w:left w:val="single" w:sz="4" w:space="0" w:color="auto"/>
              <w:bottom w:val="single" w:sz="4" w:space="0" w:color="auto"/>
              <w:right w:val="single" w:sz="4" w:space="0" w:color="auto"/>
            </w:tcBorders>
            <w:shd w:val="clear" w:color="auto" w:fill="auto"/>
            <w:vAlign w:val="bottom"/>
            <w:hideMark/>
          </w:tcPr>
          <w:p w14:paraId="77D3301E" w14:textId="77777777" w:rsidR="009E0216" w:rsidRPr="004004F4" w:rsidRDefault="009E0216" w:rsidP="00F25C63">
            <w:pPr>
              <w:keepNext/>
              <w:keepLines/>
              <w:spacing w:before="60" w:after="60" w:line="240" w:lineRule="auto"/>
              <w:rPr>
                <w:rFonts w:ascii="Arial" w:hAnsi="Arial" w:cs="Arial"/>
                <w:color w:val="000000"/>
                <w:sz w:val="20"/>
                <w:szCs w:val="20"/>
                <w:lang w:eastAsia="sl-SI"/>
              </w:rPr>
            </w:pPr>
            <w:r w:rsidRPr="004004F4">
              <w:rPr>
                <w:rFonts w:ascii="Arial" w:hAnsi="Arial" w:cs="Arial"/>
                <w:color w:val="000000"/>
                <w:sz w:val="20"/>
                <w:szCs w:val="20"/>
                <w:lang w:eastAsia="sl-SI"/>
              </w:rPr>
              <w:t>% oseb, izpostavljenih vsem trem oblikam socialne izključenosti</w:t>
            </w:r>
          </w:p>
        </w:tc>
        <w:tc>
          <w:tcPr>
            <w:tcW w:w="992" w:type="dxa"/>
            <w:tcBorders>
              <w:top w:val="nil"/>
              <w:left w:val="nil"/>
              <w:bottom w:val="single" w:sz="4" w:space="0" w:color="auto"/>
              <w:right w:val="single" w:sz="4" w:space="0" w:color="auto"/>
            </w:tcBorders>
            <w:shd w:val="clear" w:color="auto" w:fill="auto"/>
            <w:noWrap/>
            <w:vAlign w:val="bottom"/>
            <w:hideMark/>
          </w:tcPr>
          <w:p w14:paraId="7BE9D852"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1,1</w:t>
            </w:r>
          </w:p>
        </w:tc>
        <w:tc>
          <w:tcPr>
            <w:tcW w:w="992" w:type="dxa"/>
            <w:tcBorders>
              <w:top w:val="nil"/>
              <w:left w:val="nil"/>
              <w:bottom w:val="single" w:sz="4" w:space="0" w:color="auto"/>
              <w:right w:val="single" w:sz="4" w:space="0" w:color="auto"/>
            </w:tcBorders>
            <w:shd w:val="clear" w:color="auto" w:fill="auto"/>
            <w:noWrap/>
            <w:vAlign w:val="bottom"/>
            <w:hideMark/>
          </w:tcPr>
          <w:p w14:paraId="551CB182"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1,1</w:t>
            </w:r>
          </w:p>
        </w:tc>
        <w:tc>
          <w:tcPr>
            <w:tcW w:w="992" w:type="dxa"/>
            <w:tcBorders>
              <w:top w:val="nil"/>
              <w:left w:val="nil"/>
              <w:bottom w:val="single" w:sz="4" w:space="0" w:color="auto"/>
              <w:right w:val="single" w:sz="4" w:space="0" w:color="auto"/>
            </w:tcBorders>
            <w:shd w:val="clear" w:color="auto" w:fill="auto"/>
            <w:noWrap/>
            <w:vAlign w:val="bottom"/>
            <w:hideMark/>
          </w:tcPr>
          <w:p w14:paraId="48D29B79"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1,5</w:t>
            </w:r>
          </w:p>
        </w:tc>
        <w:tc>
          <w:tcPr>
            <w:tcW w:w="993" w:type="dxa"/>
            <w:tcBorders>
              <w:top w:val="nil"/>
              <w:left w:val="nil"/>
              <w:bottom w:val="single" w:sz="4" w:space="0" w:color="auto"/>
              <w:right w:val="single" w:sz="4" w:space="0" w:color="auto"/>
            </w:tcBorders>
            <w:shd w:val="clear" w:color="auto" w:fill="auto"/>
            <w:noWrap/>
            <w:vAlign w:val="bottom"/>
            <w:hideMark/>
          </w:tcPr>
          <w:p w14:paraId="52A3433A"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1,5</w:t>
            </w:r>
          </w:p>
        </w:tc>
        <w:tc>
          <w:tcPr>
            <w:tcW w:w="992" w:type="dxa"/>
            <w:tcBorders>
              <w:top w:val="nil"/>
              <w:left w:val="nil"/>
              <w:bottom w:val="single" w:sz="4" w:space="0" w:color="auto"/>
              <w:right w:val="single" w:sz="4" w:space="0" w:color="auto"/>
            </w:tcBorders>
            <w:shd w:val="clear" w:color="auto" w:fill="auto"/>
            <w:noWrap/>
            <w:vAlign w:val="bottom"/>
            <w:hideMark/>
          </w:tcPr>
          <w:p w14:paraId="5C56F2D7" w14:textId="77777777"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0,5</w:t>
            </w:r>
          </w:p>
        </w:tc>
      </w:tr>
      <w:tr w:rsidR="009E0216" w:rsidRPr="004004F4" w14:paraId="1F90FD02" w14:textId="77777777" w:rsidTr="00F25C63">
        <w:trPr>
          <w:trHeight w:val="302"/>
        </w:trPr>
        <w:tc>
          <w:tcPr>
            <w:tcW w:w="4470" w:type="dxa"/>
            <w:tcBorders>
              <w:top w:val="nil"/>
              <w:left w:val="single" w:sz="4" w:space="0" w:color="auto"/>
              <w:bottom w:val="single" w:sz="4" w:space="0" w:color="auto"/>
              <w:right w:val="single" w:sz="4" w:space="0" w:color="auto"/>
            </w:tcBorders>
            <w:shd w:val="clear" w:color="auto" w:fill="auto"/>
            <w:vAlign w:val="bottom"/>
            <w:hideMark/>
          </w:tcPr>
          <w:p w14:paraId="6ED56D1A" w14:textId="3A07D61F" w:rsidR="009E0216" w:rsidRPr="004004F4" w:rsidRDefault="009E0216" w:rsidP="00F25C63">
            <w:pPr>
              <w:keepNext/>
              <w:keepLines/>
              <w:spacing w:before="60" w:after="60" w:line="240" w:lineRule="auto"/>
              <w:rPr>
                <w:rFonts w:ascii="Arial" w:hAnsi="Arial" w:cs="Arial"/>
                <w:color w:val="000000"/>
                <w:sz w:val="20"/>
                <w:szCs w:val="20"/>
                <w:lang w:eastAsia="sl-SI"/>
              </w:rPr>
            </w:pPr>
            <w:r w:rsidRPr="004004F4">
              <w:rPr>
                <w:rFonts w:ascii="Arial" w:hAnsi="Arial" w:cs="Arial"/>
                <w:color w:val="000000"/>
                <w:sz w:val="20"/>
                <w:szCs w:val="20"/>
                <w:lang w:eastAsia="sl-SI"/>
              </w:rPr>
              <w:t xml:space="preserve">Povprečni dohodek na gospodinjstvo - </w:t>
            </w:r>
            <w:r w:rsidR="004004F4" w:rsidRPr="004004F4">
              <w:rPr>
                <w:rFonts w:ascii="Arial" w:hAnsi="Arial" w:cs="Arial"/>
                <w:color w:val="000000"/>
                <w:sz w:val="20"/>
                <w:szCs w:val="20"/>
                <w:lang w:eastAsia="sl-SI"/>
              </w:rPr>
              <w:br/>
            </w:r>
            <w:r w:rsidRPr="004004F4">
              <w:rPr>
                <w:rFonts w:ascii="Arial" w:hAnsi="Arial" w:cs="Arial"/>
                <w:color w:val="000000"/>
                <w:sz w:val="20"/>
                <w:szCs w:val="20"/>
                <w:lang w:eastAsia="sl-SI"/>
              </w:rPr>
              <w:t>letni (EUR)</w:t>
            </w:r>
          </w:p>
        </w:tc>
        <w:tc>
          <w:tcPr>
            <w:tcW w:w="992" w:type="dxa"/>
            <w:tcBorders>
              <w:top w:val="nil"/>
              <w:left w:val="nil"/>
              <w:bottom w:val="single" w:sz="4" w:space="0" w:color="auto"/>
              <w:right w:val="single" w:sz="4" w:space="0" w:color="auto"/>
            </w:tcBorders>
            <w:shd w:val="clear" w:color="auto" w:fill="auto"/>
            <w:noWrap/>
            <w:vAlign w:val="bottom"/>
            <w:hideMark/>
          </w:tcPr>
          <w:p w14:paraId="0CC77AFB" w14:textId="57ECA6C6"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21</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112</w:t>
            </w:r>
          </w:p>
        </w:tc>
        <w:tc>
          <w:tcPr>
            <w:tcW w:w="992" w:type="dxa"/>
            <w:tcBorders>
              <w:top w:val="nil"/>
              <w:left w:val="nil"/>
              <w:bottom w:val="single" w:sz="4" w:space="0" w:color="auto"/>
              <w:right w:val="single" w:sz="4" w:space="0" w:color="auto"/>
            </w:tcBorders>
            <w:shd w:val="clear" w:color="auto" w:fill="auto"/>
            <w:noWrap/>
            <w:vAlign w:val="bottom"/>
            <w:hideMark/>
          </w:tcPr>
          <w:p w14:paraId="5BC59E76" w14:textId="10666373"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21</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392</w:t>
            </w:r>
          </w:p>
        </w:tc>
        <w:tc>
          <w:tcPr>
            <w:tcW w:w="992" w:type="dxa"/>
            <w:tcBorders>
              <w:top w:val="nil"/>
              <w:left w:val="nil"/>
              <w:bottom w:val="single" w:sz="4" w:space="0" w:color="auto"/>
              <w:right w:val="single" w:sz="4" w:space="0" w:color="auto"/>
            </w:tcBorders>
            <w:shd w:val="clear" w:color="auto" w:fill="auto"/>
            <w:noWrap/>
            <w:vAlign w:val="bottom"/>
            <w:hideMark/>
          </w:tcPr>
          <w:p w14:paraId="475D064F" w14:textId="6F970605"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21</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038</w:t>
            </w:r>
          </w:p>
        </w:tc>
        <w:tc>
          <w:tcPr>
            <w:tcW w:w="993" w:type="dxa"/>
            <w:tcBorders>
              <w:top w:val="nil"/>
              <w:left w:val="nil"/>
              <w:bottom w:val="single" w:sz="4" w:space="0" w:color="auto"/>
              <w:right w:val="single" w:sz="4" w:space="0" w:color="auto"/>
            </w:tcBorders>
            <w:shd w:val="clear" w:color="auto" w:fill="auto"/>
            <w:noWrap/>
            <w:vAlign w:val="bottom"/>
            <w:hideMark/>
          </w:tcPr>
          <w:p w14:paraId="56C7DEB0" w14:textId="214236ED"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21</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778</w:t>
            </w:r>
          </w:p>
        </w:tc>
        <w:tc>
          <w:tcPr>
            <w:tcW w:w="992" w:type="dxa"/>
            <w:tcBorders>
              <w:top w:val="nil"/>
              <w:left w:val="nil"/>
              <w:bottom w:val="single" w:sz="4" w:space="0" w:color="auto"/>
              <w:right w:val="single" w:sz="4" w:space="0" w:color="auto"/>
            </w:tcBorders>
            <w:shd w:val="clear" w:color="auto" w:fill="auto"/>
            <w:noWrap/>
            <w:vAlign w:val="bottom"/>
            <w:hideMark/>
          </w:tcPr>
          <w:p w14:paraId="4CB6E58C" w14:textId="414D1FE8"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24</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725</w:t>
            </w:r>
          </w:p>
        </w:tc>
      </w:tr>
      <w:tr w:rsidR="009E0216" w:rsidRPr="004004F4" w14:paraId="32FD8703" w14:textId="77777777" w:rsidTr="00F25C63">
        <w:trPr>
          <w:trHeight w:val="468"/>
        </w:trPr>
        <w:tc>
          <w:tcPr>
            <w:tcW w:w="4470" w:type="dxa"/>
            <w:tcBorders>
              <w:top w:val="nil"/>
              <w:left w:val="single" w:sz="4" w:space="0" w:color="auto"/>
              <w:bottom w:val="single" w:sz="4" w:space="0" w:color="auto"/>
              <w:right w:val="single" w:sz="4" w:space="0" w:color="auto"/>
            </w:tcBorders>
            <w:shd w:val="clear" w:color="auto" w:fill="auto"/>
            <w:vAlign w:val="bottom"/>
            <w:hideMark/>
          </w:tcPr>
          <w:p w14:paraId="184704B4" w14:textId="77777777" w:rsidR="009E0216" w:rsidRPr="004004F4" w:rsidRDefault="009E0216" w:rsidP="00F25C63">
            <w:pPr>
              <w:keepNext/>
              <w:keepLines/>
              <w:spacing w:before="60" w:after="60" w:line="240" w:lineRule="auto"/>
              <w:rPr>
                <w:rFonts w:ascii="Arial" w:hAnsi="Arial" w:cs="Arial"/>
                <w:color w:val="000000"/>
                <w:sz w:val="20"/>
                <w:szCs w:val="20"/>
                <w:lang w:eastAsia="sl-SI"/>
              </w:rPr>
            </w:pPr>
            <w:r w:rsidRPr="004004F4">
              <w:rPr>
                <w:rFonts w:ascii="Arial" w:hAnsi="Arial" w:cs="Arial"/>
                <w:color w:val="000000"/>
                <w:sz w:val="20"/>
                <w:szCs w:val="20"/>
                <w:lang w:eastAsia="sl-SI"/>
              </w:rPr>
              <w:t>Povprečni razpoložljivi dohodek na člana gospodinjstva - letni (EUR)</w:t>
            </w:r>
          </w:p>
        </w:tc>
        <w:tc>
          <w:tcPr>
            <w:tcW w:w="992" w:type="dxa"/>
            <w:tcBorders>
              <w:top w:val="nil"/>
              <w:left w:val="nil"/>
              <w:bottom w:val="single" w:sz="4" w:space="0" w:color="auto"/>
              <w:right w:val="single" w:sz="4" w:space="0" w:color="auto"/>
            </w:tcBorders>
            <w:shd w:val="clear" w:color="auto" w:fill="auto"/>
            <w:noWrap/>
            <w:vAlign w:val="bottom"/>
            <w:hideMark/>
          </w:tcPr>
          <w:p w14:paraId="778C3219" w14:textId="3DBE809F"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7</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532</w:t>
            </w:r>
          </w:p>
        </w:tc>
        <w:tc>
          <w:tcPr>
            <w:tcW w:w="992" w:type="dxa"/>
            <w:tcBorders>
              <w:top w:val="nil"/>
              <w:left w:val="nil"/>
              <w:bottom w:val="single" w:sz="4" w:space="0" w:color="auto"/>
              <w:right w:val="single" w:sz="4" w:space="0" w:color="auto"/>
            </w:tcBorders>
            <w:shd w:val="clear" w:color="auto" w:fill="auto"/>
            <w:noWrap/>
            <w:vAlign w:val="bottom"/>
            <w:hideMark/>
          </w:tcPr>
          <w:p w14:paraId="586AD893" w14:textId="269DA952"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8</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317</w:t>
            </w:r>
          </w:p>
        </w:tc>
        <w:tc>
          <w:tcPr>
            <w:tcW w:w="992" w:type="dxa"/>
            <w:tcBorders>
              <w:top w:val="nil"/>
              <w:left w:val="nil"/>
              <w:bottom w:val="single" w:sz="4" w:space="0" w:color="auto"/>
              <w:right w:val="single" w:sz="4" w:space="0" w:color="auto"/>
            </w:tcBorders>
            <w:shd w:val="clear" w:color="auto" w:fill="auto"/>
            <w:noWrap/>
            <w:vAlign w:val="bottom"/>
            <w:hideMark/>
          </w:tcPr>
          <w:p w14:paraId="16036409" w14:textId="3E04665B"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8</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413</w:t>
            </w:r>
          </w:p>
        </w:tc>
        <w:tc>
          <w:tcPr>
            <w:tcW w:w="993" w:type="dxa"/>
            <w:tcBorders>
              <w:top w:val="nil"/>
              <w:left w:val="nil"/>
              <w:bottom w:val="single" w:sz="4" w:space="0" w:color="auto"/>
              <w:right w:val="single" w:sz="4" w:space="0" w:color="auto"/>
            </w:tcBorders>
            <w:shd w:val="clear" w:color="auto" w:fill="auto"/>
            <w:noWrap/>
            <w:vAlign w:val="bottom"/>
            <w:hideMark/>
          </w:tcPr>
          <w:p w14:paraId="1B215E93" w14:textId="68CEC706"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8</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746</w:t>
            </w:r>
          </w:p>
        </w:tc>
        <w:tc>
          <w:tcPr>
            <w:tcW w:w="992" w:type="dxa"/>
            <w:tcBorders>
              <w:top w:val="nil"/>
              <w:left w:val="nil"/>
              <w:bottom w:val="single" w:sz="4" w:space="0" w:color="auto"/>
              <w:right w:val="single" w:sz="4" w:space="0" w:color="auto"/>
            </w:tcBorders>
            <w:shd w:val="clear" w:color="auto" w:fill="auto"/>
            <w:noWrap/>
            <w:vAlign w:val="bottom"/>
            <w:hideMark/>
          </w:tcPr>
          <w:p w14:paraId="6A35F4CF" w14:textId="63EA0ACE" w:rsidR="009E0216" w:rsidRPr="004004F4" w:rsidRDefault="009E0216" w:rsidP="00F25C63">
            <w:pPr>
              <w:keepNext/>
              <w:keepLines/>
              <w:spacing w:before="60" w:after="60" w:line="240" w:lineRule="auto"/>
              <w:jc w:val="right"/>
              <w:rPr>
                <w:rFonts w:ascii="Arial" w:hAnsi="Arial" w:cs="Arial"/>
                <w:color w:val="000000"/>
                <w:sz w:val="20"/>
                <w:szCs w:val="20"/>
                <w:lang w:eastAsia="sl-SI"/>
              </w:rPr>
            </w:pPr>
            <w:r w:rsidRPr="004004F4">
              <w:rPr>
                <w:rFonts w:ascii="Arial" w:hAnsi="Arial" w:cs="Arial"/>
                <w:color w:val="000000"/>
                <w:sz w:val="20"/>
                <w:szCs w:val="20"/>
                <w:lang w:eastAsia="sl-SI"/>
              </w:rPr>
              <w:t>10</w:t>
            </w:r>
            <w:r w:rsidR="004004F4" w:rsidRPr="004004F4">
              <w:rPr>
                <w:rFonts w:ascii="Arial" w:hAnsi="Arial" w:cs="Arial"/>
                <w:color w:val="000000"/>
                <w:sz w:val="20"/>
                <w:szCs w:val="20"/>
                <w:lang w:eastAsia="sl-SI"/>
              </w:rPr>
              <w:t>.</w:t>
            </w:r>
            <w:r w:rsidRPr="004004F4">
              <w:rPr>
                <w:rFonts w:ascii="Arial" w:hAnsi="Arial" w:cs="Arial"/>
                <w:color w:val="000000"/>
                <w:sz w:val="20"/>
                <w:szCs w:val="20"/>
                <w:lang w:eastAsia="sl-SI"/>
              </w:rPr>
              <w:t>093</w:t>
            </w:r>
          </w:p>
        </w:tc>
      </w:tr>
    </w:tbl>
    <w:p w14:paraId="43314173" w14:textId="77777777" w:rsidR="009E0216" w:rsidRPr="007344C6" w:rsidRDefault="009E0216" w:rsidP="00EA2E4C">
      <w:pPr>
        <w:pStyle w:val="Navadensplet"/>
        <w:shd w:val="clear" w:color="auto" w:fill="FFFFFF"/>
        <w:spacing w:line="360" w:lineRule="auto"/>
        <w:rPr>
          <w:rFonts w:ascii="Arial" w:hAnsi="Arial" w:cs="Arial"/>
          <w:sz w:val="16"/>
          <w:szCs w:val="16"/>
        </w:rPr>
      </w:pPr>
      <w:r w:rsidRPr="007344C6">
        <w:rPr>
          <w:rFonts w:ascii="Arial" w:hAnsi="Arial" w:cs="Arial"/>
          <w:sz w:val="16"/>
          <w:szCs w:val="16"/>
        </w:rPr>
        <w:t>Vir: SURS (2020)</w:t>
      </w:r>
    </w:p>
    <w:p w14:paraId="0B8B358C" w14:textId="77777777" w:rsidR="009E0216" w:rsidRPr="000915F5" w:rsidRDefault="007344C6" w:rsidP="001D5FC0">
      <w:pPr>
        <w:autoSpaceDE w:val="0"/>
        <w:autoSpaceDN w:val="0"/>
        <w:adjustRightInd w:val="0"/>
        <w:spacing w:before="200" w:line="360" w:lineRule="auto"/>
        <w:jc w:val="both"/>
        <w:rPr>
          <w:rFonts w:ascii="Arial" w:hAnsi="Arial" w:cs="Arial"/>
          <w:color w:val="000000"/>
          <w:sz w:val="20"/>
          <w:szCs w:val="20"/>
        </w:rPr>
      </w:pPr>
      <w:r w:rsidRPr="000915F5">
        <w:rPr>
          <w:rFonts w:ascii="Arial" w:hAnsi="Arial" w:cs="Arial"/>
          <w:color w:val="000000"/>
          <w:sz w:val="20"/>
          <w:szCs w:val="20"/>
        </w:rPr>
        <w:t>F</w:t>
      </w:r>
      <w:r w:rsidR="009E0216" w:rsidRPr="000915F5">
        <w:rPr>
          <w:rFonts w:ascii="Arial" w:hAnsi="Arial" w:cs="Arial"/>
          <w:color w:val="000000"/>
          <w:sz w:val="20"/>
          <w:szCs w:val="20"/>
        </w:rPr>
        <w:t>inančni položaj gospodinjstev se je v 2019 še izboljšal. Stanovanjske razmere gospodinjstev so bile v 2019 boljše kot v 2018. S svojimi dohodki je mesec brez težav preživelo več gospodinjstev kot v 2018. 8 % je bilo gospodinjstev, ki so živela z dohodki, nižjimi od praga tveganja revščine (oz. pod tem pragom). Po podatkih SURS je bil delež gospodinjstev, ki so prejemala denarno ali materialno pomoč dobrodelnih organizacij, največji v pomurski (11 %) in zasa</w:t>
      </w:r>
      <w:r w:rsidRPr="000915F5">
        <w:rPr>
          <w:rFonts w:ascii="Arial" w:hAnsi="Arial" w:cs="Arial"/>
          <w:color w:val="000000"/>
          <w:sz w:val="20"/>
          <w:szCs w:val="20"/>
        </w:rPr>
        <w:t xml:space="preserve">vski (7 %) statistični regiji. </w:t>
      </w:r>
    </w:p>
    <w:p w14:paraId="7691E66A" w14:textId="77777777" w:rsidR="009E0216" w:rsidRPr="000915F5" w:rsidRDefault="009E0216" w:rsidP="001D5FC0">
      <w:pPr>
        <w:pStyle w:val="Navadensplet"/>
        <w:shd w:val="clear" w:color="auto" w:fill="FFFFFF"/>
        <w:spacing w:before="200" w:after="200" w:line="360" w:lineRule="auto"/>
        <w:rPr>
          <w:rFonts w:ascii="Arial" w:hAnsi="Arial" w:cs="Arial"/>
        </w:rPr>
      </w:pPr>
      <w:r w:rsidRPr="000915F5">
        <w:rPr>
          <w:rFonts w:ascii="Arial" w:hAnsi="Arial" w:cs="Arial"/>
        </w:rPr>
        <w:t>Največja deleža skupnega razpoložljivega dohodka gospodinjstev so leta 2019 predstavljali dohodki iz dela (67,3 %) in pokojnine (21,2 %), sledili so družinski in socialni prejemki (9,3 %) ter kapitalski in drugi dohodki (2,2 %). Če v dohodek ne bi šteli socialnih transferjev (družinskih in socialnih prejemkov), bi bila stopnja tveganja revščine veliko večja. Povprečni letni razpoložljivi dohodek na člana gospodinjstva se je v letu 2019 zvišal za 760 EUR in je bil skupaj 10.093 EUR (SURS, 2020).</w:t>
      </w:r>
    </w:p>
    <w:p w14:paraId="288ABC7C" w14:textId="2C4FCD94" w:rsidR="009E0216" w:rsidRPr="000915F5" w:rsidRDefault="009E0216" w:rsidP="00BE756C">
      <w:pPr>
        <w:autoSpaceDE w:val="0"/>
        <w:autoSpaceDN w:val="0"/>
        <w:adjustRightInd w:val="0"/>
        <w:spacing w:before="200" w:line="360" w:lineRule="auto"/>
        <w:jc w:val="both"/>
        <w:rPr>
          <w:rFonts w:ascii="Arial" w:hAnsi="Arial" w:cs="Arial"/>
          <w:sz w:val="20"/>
          <w:szCs w:val="20"/>
        </w:rPr>
      </w:pPr>
      <w:r w:rsidRPr="000915F5">
        <w:rPr>
          <w:rFonts w:ascii="Arial" w:hAnsi="Arial" w:cs="Arial"/>
          <w:color w:val="000000"/>
          <w:sz w:val="20"/>
          <w:szCs w:val="20"/>
        </w:rPr>
        <w:t xml:space="preserve">Slabši pa je finančni položaj upokojencev. Povprečna neto pokojnina je v začetku leta 2020 znašala 667,12 EUR. Delež upokojencev, ki imajo pokojnine nižje od 600 EUR, je z začetku leta 2020 znašala okoli 40 % vseh upokojencev, kar pomeni, da živijo pod pragom revščine. Pokojnino višjo od 1.000 EUR ima 11,6 % upokojencev, višjo od 1.500 EUR pa 4,4  % upokojencev. Še nižja je kmečka pokojnina, ki jo prejemajo kmetje, ki so bili v pokojninsko in invalidsko zavarovanje vključeni za ožji obseg pravic. Njihova poprečna pokojnina je v letu 2019 znašala 221,02 </w:t>
      </w:r>
      <w:r w:rsidR="00FF2A8E">
        <w:rPr>
          <w:rFonts w:ascii="Arial" w:hAnsi="Arial" w:cs="Arial"/>
          <w:color w:val="000000"/>
          <w:sz w:val="20"/>
          <w:szCs w:val="20"/>
        </w:rPr>
        <w:t>EUR</w:t>
      </w:r>
      <w:r w:rsidRPr="000915F5">
        <w:rPr>
          <w:rFonts w:ascii="Arial" w:hAnsi="Arial" w:cs="Arial"/>
          <w:color w:val="000000"/>
          <w:sz w:val="20"/>
          <w:szCs w:val="20"/>
        </w:rPr>
        <w:t>. Moških prejemnikov pokojnine kot nosilcev kmetije je bilo 1.539, žensk pa 833. (ZPIZ, 2020). Dodaten problem pa predstavlja nizka vključenost kmetov in njihovih žena/partnerk v socialna zavarovanja. Decembra 2019 jih je bilo vključenih v pokojninsko in invalidsko zavarovanje 10.731 oseb. Kmetov je bilo 8.939, medtem ko je bilo članov kmečkega gospodarstva (žene, otroci, delavci na kmetiji, stari starši) pa 1.792 (ZPIZ, 2019).</w:t>
      </w:r>
    </w:p>
    <w:p w14:paraId="6D6DB005" w14:textId="77777777" w:rsidR="00EA2E4C" w:rsidRPr="000915F5" w:rsidRDefault="009E0216" w:rsidP="00BE756C">
      <w:pPr>
        <w:spacing w:before="200" w:line="360" w:lineRule="auto"/>
        <w:jc w:val="both"/>
        <w:rPr>
          <w:rFonts w:ascii="Arial" w:hAnsi="Arial" w:cs="Arial"/>
          <w:sz w:val="20"/>
          <w:szCs w:val="20"/>
        </w:rPr>
      </w:pPr>
      <w:r w:rsidRPr="000915F5">
        <w:rPr>
          <w:rFonts w:ascii="Arial" w:hAnsi="Arial" w:cs="Arial"/>
          <w:sz w:val="20"/>
          <w:szCs w:val="20"/>
        </w:rPr>
        <w:lastRenderedPageBreak/>
        <w:t xml:space="preserve">Dohodkovni položaj mladih na pragu odraslosti je primerljiv s položajem nekaj let starejših generacij. Srednja vrednost letnega bruto dohodka na zaposlenega 29-letnika je v letu 2018 znašala skoraj 16.150 EUR, medtem ko so bili dohodki brezposelnih (mediana 6.400 EUR), študentov (mediana 5.200 EUR) in drugih neaktivnih oseb (mediana 5.800 EUR) veliko nižji. Povprečni letni bruto dohodek na zaposlenega 29-letnika je v letu 2018 znašal 17.400 EUR. Le zaposleni z vsaj visokošolsko izobrazbo so imeli nadpovprečne dohodke (UMAR, 2020). </w:t>
      </w:r>
    </w:p>
    <w:p w14:paraId="24069AE4" w14:textId="77777777" w:rsidR="007344C6" w:rsidRPr="00BE756C" w:rsidRDefault="009E0216" w:rsidP="00BE756C">
      <w:pPr>
        <w:spacing w:before="200" w:line="360" w:lineRule="auto"/>
        <w:jc w:val="both"/>
        <w:rPr>
          <w:rFonts w:ascii="Arial" w:hAnsi="Arial" w:cs="Arial"/>
          <w:sz w:val="20"/>
          <w:szCs w:val="20"/>
        </w:rPr>
      </w:pPr>
      <w:r w:rsidRPr="00BE756C">
        <w:rPr>
          <w:rFonts w:ascii="Arial" w:hAnsi="Arial" w:cs="Arial"/>
          <w:sz w:val="20"/>
          <w:szCs w:val="20"/>
        </w:rPr>
        <w:t>Stopnja tveganja socialne izključenosti se je po letu 2014 zniževala. V letu 2019 je znašala 14,4 %</w:t>
      </w:r>
      <w:r w:rsidR="00D8220A" w:rsidRPr="00BE756C">
        <w:rPr>
          <w:rFonts w:ascii="Arial" w:hAnsi="Arial" w:cs="Arial"/>
          <w:sz w:val="20"/>
          <w:szCs w:val="20"/>
        </w:rPr>
        <w:t xml:space="preserve"> (Slika 15)</w:t>
      </w:r>
      <w:r w:rsidRPr="00BE756C">
        <w:rPr>
          <w:rFonts w:ascii="Arial" w:hAnsi="Arial" w:cs="Arial"/>
          <w:sz w:val="20"/>
          <w:szCs w:val="20"/>
        </w:rPr>
        <w:t xml:space="preserve">; to pomeni, da je bilo tveganju socialne izključenosti izpostavljenih približno 293.000 oseb ali 33.000 manj kot v prejšnjem letu. Zmanjšanje števila oseb, izpostavljenih temu tveganju, je bilo posledica znižanja vseh treh kazalnikov socialne izključenosti: stopnje tveganja revščine (ta se je znižala za 1,3 odstotne točke, vendar je še vedno višja kot pred pričetkom krize leta 2007), stopnje resne materialne prikrajšanosti (za 1,1 odstotne točke) in stopnje zelo nizke delovne intenzivnosti (za 0,2 odstotne točke). </w:t>
      </w:r>
    </w:p>
    <w:p w14:paraId="2C70E609" w14:textId="77777777" w:rsidR="007344C6" w:rsidRPr="00A52F41" w:rsidRDefault="007344C6" w:rsidP="00D4717F">
      <w:pPr>
        <w:pStyle w:val="SCslika"/>
        <w:keepNext/>
        <w:keepLines/>
      </w:pPr>
      <w:r w:rsidRPr="007344C6">
        <w:t>Slika 1</w:t>
      </w:r>
      <w:r w:rsidR="00A53A3F">
        <w:t>5</w:t>
      </w:r>
      <w:r w:rsidRPr="007344C6">
        <w:t>: Osebe, izpostavljene tveganju socialne izključenosti, 2019</w:t>
      </w:r>
    </w:p>
    <w:p w14:paraId="0235AC82" w14:textId="373BFA21" w:rsidR="009E0216" w:rsidRPr="00A52F41" w:rsidRDefault="009E0216" w:rsidP="00D4717F">
      <w:pPr>
        <w:pStyle w:val="Navadensplet"/>
        <w:keepNext/>
        <w:keepLines/>
        <w:shd w:val="clear" w:color="auto" w:fill="FFFFFF"/>
        <w:rPr>
          <w:rFonts w:ascii="Arial" w:hAnsi="Arial" w:cs="Arial"/>
        </w:rPr>
      </w:pPr>
      <w:r w:rsidRPr="00A52F41">
        <w:rPr>
          <w:rFonts w:ascii="Arial" w:hAnsi="Arial" w:cs="Arial"/>
          <w:noProof/>
          <w:lang w:eastAsia="sl-SI"/>
        </w:rPr>
        <w:drawing>
          <wp:inline distT="0" distB="0" distL="0" distR="0" wp14:anchorId="156E40D3" wp14:editId="2CDF6BCF">
            <wp:extent cx="5579764" cy="2728569"/>
            <wp:effectExtent l="19050" t="19050" r="20955" b="15240"/>
            <wp:docPr id="1631865544" name="Slika 163186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15" t="32346" r="39815" b="18764"/>
                    <a:stretch/>
                  </pic:blipFill>
                  <pic:spPr bwMode="auto">
                    <a:xfrm>
                      <a:off x="0" y="0"/>
                      <a:ext cx="5670173" cy="2772780"/>
                    </a:xfrm>
                    <a:prstGeom prst="rect">
                      <a:avLst/>
                    </a:prstGeom>
                    <a:ln w="63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27A468" w14:textId="77777777" w:rsidR="007344C6" w:rsidRDefault="007344C6" w:rsidP="00D4717F">
      <w:pPr>
        <w:pStyle w:val="Napis"/>
        <w:keepNext w:val="0"/>
        <w:widowControl w:val="0"/>
        <w:spacing w:before="0" w:line="360" w:lineRule="auto"/>
        <w:jc w:val="both"/>
      </w:pPr>
      <w:bookmarkStart w:id="45" w:name="_Toc47082377"/>
      <w:bookmarkStart w:id="46" w:name="_Toc47092618"/>
      <w:r w:rsidRPr="007344C6">
        <w:t xml:space="preserve"> </w:t>
      </w:r>
      <w:r w:rsidR="009E0216" w:rsidRPr="007344C6">
        <w:t>Vir: SURS, 2020</w:t>
      </w:r>
      <w:bookmarkEnd w:id="45"/>
      <w:bookmarkEnd w:id="46"/>
    </w:p>
    <w:p w14:paraId="4F31D063" w14:textId="3348CD0B" w:rsidR="009E0216" w:rsidRPr="00A417A4" w:rsidRDefault="009E0216" w:rsidP="00D4717F">
      <w:pPr>
        <w:pStyle w:val="Napis"/>
        <w:keepNext w:val="0"/>
        <w:widowControl w:val="0"/>
        <w:spacing w:before="200" w:after="200" w:line="360" w:lineRule="auto"/>
        <w:jc w:val="both"/>
        <w:rPr>
          <w:noProof/>
          <w:sz w:val="20"/>
          <w:szCs w:val="24"/>
          <w:lang w:eastAsia="sl-SI"/>
        </w:rPr>
      </w:pPr>
      <w:r w:rsidRPr="00A52F41">
        <w:rPr>
          <w:sz w:val="20"/>
          <w:szCs w:val="20"/>
        </w:rPr>
        <w:t xml:space="preserve">Najvišjo stopnjo tveganja socialne izključenosti imajo starejši od 65 let (20,1 % oseb), še posebej </w:t>
      </w:r>
      <w:r w:rsidRPr="00A417A4">
        <w:rPr>
          <w:noProof/>
          <w:sz w:val="20"/>
          <w:szCs w:val="24"/>
          <w:lang w:eastAsia="sl-SI"/>
        </w:rPr>
        <w:t>ženske, starejše od 65 let (24,4 % oseb)</w:t>
      </w:r>
      <w:r w:rsidR="00D8220A" w:rsidRPr="00A417A4">
        <w:rPr>
          <w:noProof/>
          <w:sz w:val="20"/>
          <w:szCs w:val="24"/>
          <w:lang w:eastAsia="sl-SI"/>
        </w:rPr>
        <w:t>, kot je razvidno iz Tabele 12.</w:t>
      </w:r>
    </w:p>
    <w:p w14:paraId="45145861" w14:textId="6726273D" w:rsidR="009E0216" w:rsidRDefault="005B0F81" w:rsidP="00F25C63">
      <w:pPr>
        <w:pStyle w:val="SCslika"/>
      </w:pPr>
      <w:bookmarkStart w:id="47" w:name="_Toc47092640"/>
      <w:r w:rsidRPr="00A417A4">
        <w:t>Tabela</w:t>
      </w:r>
      <w:r w:rsidR="009E0216" w:rsidRPr="00A417A4">
        <w:t xml:space="preserve"> </w:t>
      </w:r>
      <w:r w:rsidRPr="00A417A4">
        <w:t>12</w:t>
      </w:r>
      <w:r w:rsidR="009E0216" w:rsidRPr="00A417A4">
        <w:t>: Stopnja tveganja socialne izključenosti po starosti in spolu (% oseb), 2019</w:t>
      </w:r>
      <w:bookmarkEnd w:id="47"/>
    </w:p>
    <w:tbl>
      <w:tblPr>
        <w:tblW w:w="7371" w:type="dxa"/>
        <w:tblInd w:w="70" w:type="dxa"/>
        <w:tblLayout w:type="fixed"/>
        <w:tblCellMar>
          <w:left w:w="70" w:type="dxa"/>
          <w:right w:w="70" w:type="dxa"/>
        </w:tblCellMar>
        <w:tblLook w:val="04A0" w:firstRow="1" w:lastRow="0" w:firstColumn="1" w:lastColumn="0" w:noHBand="0" w:noVBand="1"/>
      </w:tblPr>
      <w:tblGrid>
        <w:gridCol w:w="2300"/>
        <w:gridCol w:w="1267"/>
        <w:gridCol w:w="1268"/>
        <w:gridCol w:w="1268"/>
        <w:gridCol w:w="1268"/>
      </w:tblGrid>
      <w:tr w:rsidR="00611510" w:rsidRPr="00D4717F" w14:paraId="09F7C7C7" w14:textId="77777777" w:rsidTr="00B64C96">
        <w:trPr>
          <w:trHeight w:val="315"/>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51D3D" w14:textId="77777777" w:rsidR="00611510" w:rsidRPr="00611510" w:rsidRDefault="00611510" w:rsidP="00F25C63">
            <w:pPr>
              <w:spacing w:after="0" w:line="240" w:lineRule="auto"/>
              <w:jc w:val="center"/>
              <w:rPr>
                <w:rFonts w:ascii="Arial" w:eastAsia="Times New Roman" w:hAnsi="Arial" w:cs="Arial"/>
                <w:b/>
                <w:color w:val="000000"/>
                <w:sz w:val="20"/>
                <w:szCs w:val="20"/>
                <w:lang w:eastAsia="sl-SI"/>
              </w:rPr>
            </w:pPr>
            <w:r w:rsidRPr="00611510">
              <w:rPr>
                <w:rFonts w:ascii="Arial" w:eastAsia="Times New Roman" w:hAnsi="Arial" w:cs="Arial"/>
                <w:b/>
                <w:color w:val="000000"/>
                <w:sz w:val="20"/>
                <w:szCs w:val="20"/>
                <w:lang w:eastAsia="sl-SI"/>
              </w:rPr>
              <w:t>Starostne skupine</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14:paraId="5B5F9409" w14:textId="77777777" w:rsidR="00611510" w:rsidRPr="00611510" w:rsidRDefault="00611510" w:rsidP="00F25C63">
            <w:pPr>
              <w:spacing w:after="0" w:line="240" w:lineRule="auto"/>
              <w:jc w:val="center"/>
              <w:rPr>
                <w:rFonts w:ascii="Arial" w:eastAsia="Times New Roman" w:hAnsi="Arial" w:cs="Arial"/>
                <w:b/>
                <w:color w:val="000000"/>
                <w:sz w:val="20"/>
                <w:szCs w:val="20"/>
                <w:lang w:eastAsia="sl-SI"/>
              </w:rPr>
            </w:pPr>
            <w:r w:rsidRPr="00611510">
              <w:rPr>
                <w:rFonts w:ascii="Arial" w:eastAsia="Times New Roman" w:hAnsi="Arial" w:cs="Arial"/>
                <w:b/>
                <w:color w:val="000000"/>
                <w:sz w:val="20"/>
                <w:szCs w:val="20"/>
                <w:lang w:eastAsia="sl-SI"/>
              </w:rPr>
              <w:t>0-17 let</w:t>
            </w:r>
          </w:p>
        </w:tc>
        <w:tc>
          <w:tcPr>
            <w:tcW w:w="1268" w:type="dxa"/>
            <w:tcBorders>
              <w:top w:val="single" w:sz="4" w:space="0" w:color="auto"/>
              <w:left w:val="nil"/>
              <w:bottom w:val="single" w:sz="4" w:space="0" w:color="auto"/>
              <w:right w:val="single" w:sz="4" w:space="0" w:color="auto"/>
            </w:tcBorders>
            <w:shd w:val="clear" w:color="auto" w:fill="auto"/>
            <w:noWrap/>
            <w:vAlign w:val="bottom"/>
            <w:hideMark/>
          </w:tcPr>
          <w:p w14:paraId="7CBF062A" w14:textId="77777777" w:rsidR="00611510" w:rsidRPr="00611510" w:rsidRDefault="00611510" w:rsidP="00F25C63">
            <w:pPr>
              <w:spacing w:after="0" w:line="240" w:lineRule="auto"/>
              <w:jc w:val="center"/>
              <w:rPr>
                <w:rFonts w:ascii="Arial" w:eastAsia="Times New Roman" w:hAnsi="Arial" w:cs="Arial"/>
                <w:b/>
                <w:color w:val="000000"/>
                <w:sz w:val="20"/>
                <w:szCs w:val="20"/>
                <w:lang w:eastAsia="sl-SI"/>
              </w:rPr>
            </w:pPr>
            <w:r w:rsidRPr="00611510">
              <w:rPr>
                <w:rFonts w:ascii="Arial" w:eastAsia="Times New Roman" w:hAnsi="Arial" w:cs="Arial"/>
                <w:b/>
                <w:color w:val="000000"/>
                <w:sz w:val="20"/>
                <w:szCs w:val="20"/>
                <w:lang w:eastAsia="sl-SI"/>
              </w:rPr>
              <w:t>18-64 let</w:t>
            </w:r>
          </w:p>
        </w:tc>
        <w:tc>
          <w:tcPr>
            <w:tcW w:w="1268" w:type="dxa"/>
            <w:tcBorders>
              <w:top w:val="single" w:sz="4" w:space="0" w:color="auto"/>
              <w:left w:val="nil"/>
              <w:bottom w:val="single" w:sz="4" w:space="0" w:color="auto"/>
              <w:right w:val="single" w:sz="4" w:space="0" w:color="auto"/>
            </w:tcBorders>
            <w:shd w:val="clear" w:color="auto" w:fill="auto"/>
            <w:noWrap/>
            <w:vAlign w:val="bottom"/>
            <w:hideMark/>
          </w:tcPr>
          <w:p w14:paraId="475C84D9" w14:textId="77777777" w:rsidR="00611510" w:rsidRPr="00611510" w:rsidRDefault="00611510" w:rsidP="00F25C63">
            <w:pPr>
              <w:spacing w:after="0" w:line="240" w:lineRule="auto"/>
              <w:jc w:val="center"/>
              <w:rPr>
                <w:rFonts w:ascii="Arial" w:eastAsia="Times New Roman" w:hAnsi="Arial" w:cs="Arial"/>
                <w:b/>
                <w:color w:val="000000"/>
                <w:sz w:val="20"/>
                <w:szCs w:val="20"/>
                <w:lang w:eastAsia="sl-SI"/>
              </w:rPr>
            </w:pPr>
            <w:r w:rsidRPr="00611510">
              <w:rPr>
                <w:rFonts w:ascii="Arial" w:eastAsia="Times New Roman" w:hAnsi="Arial" w:cs="Arial"/>
                <w:b/>
                <w:color w:val="000000"/>
                <w:sz w:val="20"/>
                <w:szCs w:val="20"/>
                <w:lang w:eastAsia="sl-SI"/>
              </w:rPr>
              <w:t>65+ let</w:t>
            </w:r>
          </w:p>
        </w:tc>
        <w:tc>
          <w:tcPr>
            <w:tcW w:w="1268" w:type="dxa"/>
            <w:tcBorders>
              <w:top w:val="single" w:sz="4" w:space="0" w:color="auto"/>
              <w:left w:val="nil"/>
              <w:bottom w:val="single" w:sz="4" w:space="0" w:color="auto"/>
              <w:right w:val="single" w:sz="4" w:space="0" w:color="auto"/>
            </w:tcBorders>
            <w:shd w:val="clear" w:color="auto" w:fill="auto"/>
            <w:noWrap/>
            <w:vAlign w:val="bottom"/>
            <w:hideMark/>
          </w:tcPr>
          <w:p w14:paraId="436161F5" w14:textId="2A99A69A" w:rsidR="00611510" w:rsidRPr="00611510" w:rsidRDefault="00611510" w:rsidP="00F25C63">
            <w:pPr>
              <w:spacing w:after="0" w:line="240" w:lineRule="auto"/>
              <w:jc w:val="center"/>
              <w:rPr>
                <w:rFonts w:ascii="Arial" w:eastAsia="Times New Roman" w:hAnsi="Arial" w:cs="Arial"/>
                <w:b/>
                <w:color w:val="000000"/>
                <w:sz w:val="20"/>
                <w:szCs w:val="20"/>
                <w:lang w:eastAsia="sl-SI"/>
              </w:rPr>
            </w:pPr>
            <w:r w:rsidRPr="00611510">
              <w:rPr>
                <w:rFonts w:ascii="Arial" w:eastAsia="Times New Roman" w:hAnsi="Arial" w:cs="Arial"/>
                <w:b/>
                <w:color w:val="000000"/>
                <w:sz w:val="20"/>
                <w:szCs w:val="20"/>
                <w:lang w:eastAsia="sl-SI"/>
              </w:rPr>
              <w:t>Skupaj</w:t>
            </w:r>
            <w:r w:rsidR="00211319">
              <w:rPr>
                <w:rFonts w:ascii="Arial" w:eastAsia="Times New Roman" w:hAnsi="Arial" w:cs="Arial"/>
                <w:b/>
                <w:color w:val="000000"/>
                <w:sz w:val="20"/>
                <w:szCs w:val="20"/>
                <w:lang w:eastAsia="sl-SI"/>
              </w:rPr>
              <w:t xml:space="preserve"> povprečno</w:t>
            </w:r>
          </w:p>
        </w:tc>
      </w:tr>
      <w:tr w:rsidR="00611510" w:rsidRPr="00D4717F" w14:paraId="4C93F113" w14:textId="77777777" w:rsidTr="00B64C96">
        <w:trPr>
          <w:trHeight w:val="3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01B7D39F" w14:textId="77777777" w:rsidR="00611510" w:rsidRPr="00D4717F" w:rsidRDefault="00611510" w:rsidP="00F25C63">
            <w:pPr>
              <w:spacing w:after="0" w:line="240" w:lineRule="auto"/>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Moški</w:t>
            </w:r>
          </w:p>
        </w:tc>
        <w:tc>
          <w:tcPr>
            <w:tcW w:w="1267" w:type="dxa"/>
            <w:tcBorders>
              <w:top w:val="nil"/>
              <w:left w:val="nil"/>
              <w:bottom w:val="single" w:sz="4" w:space="0" w:color="auto"/>
              <w:right w:val="single" w:sz="4" w:space="0" w:color="auto"/>
            </w:tcBorders>
            <w:shd w:val="clear" w:color="auto" w:fill="auto"/>
            <w:vAlign w:val="center"/>
            <w:hideMark/>
          </w:tcPr>
          <w:p w14:paraId="043E2254" w14:textId="77777777" w:rsidR="00611510" w:rsidRPr="00D4717F" w:rsidRDefault="00611510" w:rsidP="00F25C63">
            <w:pPr>
              <w:spacing w:after="0" w:line="240" w:lineRule="auto"/>
              <w:jc w:val="right"/>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13,6</w:t>
            </w:r>
          </w:p>
        </w:tc>
        <w:tc>
          <w:tcPr>
            <w:tcW w:w="1268" w:type="dxa"/>
            <w:tcBorders>
              <w:top w:val="nil"/>
              <w:left w:val="nil"/>
              <w:bottom w:val="single" w:sz="4" w:space="0" w:color="auto"/>
              <w:right w:val="single" w:sz="4" w:space="0" w:color="auto"/>
            </w:tcBorders>
            <w:shd w:val="clear" w:color="auto" w:fill="auto"/>
            <w:vAlign w:val="center"/>
            <w:hideMark/>
          </w:tcPr>
          <w:p w14:paraId="5EB7A065" w14:textId="77777777" w:rsidR="00611510" w:rsidRPr="00D4717F" w:rsidRDefault="00611510" w:rsidP="00F25C63">
            <w:pPr>
              <w:spacing w:after="0" w:line="240" w:lineRule="auto"/>
              <w:jc w:val="right"/>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15,9</w:t>
            </w:r>
          </w:p>
        </w:tc>
        <w:tc>
          <w:tcPr>
            <w:tcW w:w="1268" w:type="dxa"/>
            <w:tcBorders>
              <w:top w:val="nil"/>
              <w:left w:val="nil"/>
              <w:bottom w:val="single" w:sz="4" w:space="0" w:color="auto"/>
              <w:right w:val="single" w:sz="4" w:space="0" w:color="auto"/>
            </w:tcBorders>
            <w:shd w:val="clear" w:color="auto" w:fill="auto"/>
            <w:vAlign w:val="center"/>
            <w:hideMark/>
          </w:tcPr>
          <w:p w14:paraId="45913626" w14:textId="77777777" w:rsidR="00611510" w:rsidRPr="00611510" w:rsidRDefault="00611510" w:rsidP="00F25C63">
            <w:pPr>
              <w:spacing w:after="0" w:line="240" w:lineRule="auto"/>
              <w:jc w:val="right"/>
              <w:rPr>
                <w:rFonts w:ascii="Arial" w:eastAsia="Times New Roman" w:hAnsi="Arial" w:cs="Arial"/>
                <w:color w:val="000000"/>
                <w:sz w:val="20"/>
                <w:szCs w:val="20"/>
                <w:lang w:eastAsia="sl-SI"/>
              </w:rPr>
            </w:pPr>
            <w:r w:rsidRPr="00611510">
              <w:rPr>
                <w:rFonts w:ascii="Arial" w:eastAsia="Times New Roman" w:hAnsi="Arial" w:cs="Arial"/>
                <w:color w:val="000000"/>
                <w:sz w:val="20"/>
                <w:szCs w:val="20"/>
                <w:lang w:eastAsia="sl-SI"/>
              </w:rPr>
              <w:t>14,4</w:t>
            </w:r>
          </w:p>
        </w:tc>
        <w:tc>
          <w:tcPr>
            <w:tcW w:w="1268" w:type="dxa"/>
            <w:tcBorders>
              <w:top w:val="nil"/>
              <w:left w:val="nil"/>
              <w:bottom w:val="single" w:sz="4" w:space="0" w:color="auto"/>
              <w:right w:val="single" w:sz="4" w:space="0" w:color="auto"/>
            </w:tcBorders>
            <w:shd w:val="clear" w:color="auto" w:fill="auto"/>
            <w:vAlign w:val="center"/>
            <w:hideMark/>
          </w:tcPr>
          <w:p w14:paraId="6ED716D6" w14:textId="77777777" w:rsidR="00611510" w:rsidRPr="00D4717F" w:rsidRDefault="00611510" w:rsidP="00F25C63">
            <w:pPr>
              <w:spacing w:after="0" w:line="240" w:lineRule="auto"/>
              <w:jc w:val="right"/>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15,2</w:t>
            </w:r>
          </w:p>
        </w:tc>
      </w:tr>
      <w:tr w:rsidR="00611510" w:rsidRPr="00D4717F" w14:paraId="353EA40A" w14:textId="77777777" w:rsidTr="00B64C96">
        <w:trPr>
          <w:trHeight w:val="315"/>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62943DF1" w14:textId="77777777" w:rsidR="00611510" w:rsidRPr="00D4717F" w:rsidRDefault="00611510" w:rsidP="00F25C63">
            <w:pPr>
              <w:spacing w:after="0" w:line="240" w:lineRule="auto"/>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Ženske</w:t>
            </w:r>
          </w:p>
        </w:tc>
        <w:tc>
          <w:tcPr>
            <w:tcW w:w="1267" w:type="dxa"/>
            <w:tcBorders>
              <w:top w:val="nil"/>
              <w:left w:val="nil"/>
              <w:bottom w:val="single" w:sz="4" w:space="0" w:color="auto"/>
              <w:right w:val="single" w:sz="4" w:space="0" w:color="auto"/>
            </w:tcBorders>
            <w:shd w:val="clear" w:color="auto" w:fill="auto"/>
            <w:vAlign w:val="center"/>
            <w:hideMark/>
          </w:tcPr>
          <w:p w14:paraId="6C1930CC" w14:textId="77777777" w:rsidR="00611510" w:rsidRPr="00D4717F" w:rsidRDefault="00611510" w:rsidP="00F25C63">
            <w:pPr>
              <w:spacing w:after="0" w:line="240" w:lineRule="auto"/>
              <w:jc w:val="right"/>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12,6</w:t>
            </w:r>
          </w:p>
        </w:tc>
        <w:tc>
          <w:tcPr>
            <w:tcW w:w="1268" w:type="dxa"/>
            <w:tcBorders>
              <w:top w:val="nil"/>
              <w:left w:val="nil"/>
              <w:bottom w:val="single" w:sz="4" w:space="0" w:color="auto"/>
              <w:right w:val="single" w:sz="4" w:space="0" w:color="auto"/>
            </w:tcBorders>
            <w:shd w:val="clear" w:color="auto" w:fill="auto"/>
            <w:vAlign w:val="center"/>
            <w:hideMark/>
          </w:tcPr>
          <w:p w14:paraId="1D71F1AE" w14:textId="77777777" w:rsidR="00611510" w:rsidRPr="00D4717F" w:rsidRDefault="00611510" w:rsidP="00F25C63">
            <w:pPr>
              <w:spacing w:after="0" w:line="240" w:lineRule="auto"/>
              <w:jc w:val="right"/>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16,1</w:t>
            </w:r>
          </w:p>
        </w:tc>
        <w:tc>
          <w:tcPr>
            <w:tcW w:w="1268" w:type="dxa"/>
            <w:tcBorders>
              <w:top w:val="nil"/>
              <w:left w:val="nil"/>
              <w:bottom w:val="single" w:sz="4" w:space="0" w:color="auto"/>
              <w:right w:val="single" w:sz="4" w:space="0" w:color="auto"/>
            </w:tcBorders>
            <w:shd w:val="clear" w:color="auto" w:fill="auto"/>
            <w:vAlign w:val="center"/>
            <w:hideMark/>
          </w:tcPr>
          <w:p w14:paraId="37516585" w14:textId="77777777" w:rsidR="00611510" w:rsidRPr="00611510" w:rsidRDefault="00611510" w:rsidP="00F25C63">
            <w:pPr>
              <w:spacing w:after="0" w:line="240" w:lineRule="auto"/>
              <w:jc w:val="right"/>
              <w:rPr>
                <w:rFonts w:ascii="Arial" w:eastAsia="Times New Roman" w:hAnsi="Arial" w:cs="Arial"/>
                <w:color w:val="000000"/>
                <w:sz w:val="20"/>
                <w:szCs w:val="20"/>
                <w:lang w:eastAsia="sl-SI"/>
              </w:rPr>
            </w:pPr>
            <w:r w:rsidRPr="00611510">
              <w:rPr>
                <w:rFonts w:ascii="Arial" w:eastAsia="Times New Roman" w:hAnsi="Arial" w:cs="Arial"/>
                <w:color w:val="000000"/>
                <w:sz w:val="20"/>
                <w:szCs w:val="20"/>
                <w:lang w:eastAsia="sl-SI"/>
              </w:rPr>
              <w:t>24,4</w:t>
            </w:r>
          </w:p>
        </w:tc>
        <w:tc>
          <w:tcPr>
            <w:tcW w:w="1268" w:type="dxa"/>
            <w:tcBorders>
              <w:top w:val="nil"/>
              <w:left w:val="nil"/>
              <w:bottom w:val="single" w:sz="4" w:space="0" w:color="auto"/>
              <w:right w:val="single" w:sz="4" w:space="0" w:color="auto"/>
            </w:tcBorders>
            <w:shd w:val="clear" w:color="auto" w:fill="auto"/>
            <w:vAlign w:val="center"/>
            <w:hideMark/>
          </w:tcPr>
          <w:p w14:paraId="48B079D4" w14:textId="77777777" w:rsidR="00611510" w:rsidRPr="00D4717F" w:rsidRDefault="00611510" w:rsidP="00F25C63">
            <w:pPr>
              <w:spacing w:after="0" w:line="240" w:lineRule="auto"/>
              <w:jc w:val="right"/>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17,2</w:t>
            </w:r>
          </w:p>
        </w:tc>
      </w:tr>
      <w:tr w:rsidR="00611510" w:rsidRPr="00D4717F" w14:paraId="655A89FE" w14:textId="77777777" w:rsidTr="00B64C96">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7EE4C" w14:textId="77777777" w:rsidR="00611510" w:rsidRPr="00D4717F" w:rsidRDefault="00611510" w:rsidP="00F25C63">
            <w:pPr>
              <w:spacing w:after="0" w:line="240" w:lineRule="auto"/>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Spol - SKUPAJ</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79EDAB34" w14:textId="77777777" w:rsidR="00611510" w:rsidRPr="00D4717F" w:rsidRDefault="00611510" w:rsidP="00F25C63">
            <w:pPr>
              <w:spacing w:after="0" w:line="240" w:lineRule="auto"/>
              <w:jc w:val="right"/>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13,1</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14:paraId="2DCDE2AD" w14:textId="77777777" w:rsidR="00611510" w:rsidRPr="00D4717F" w:rsidRDefault="00611510" w:rsidP="00F25C63">
            <w:pPr>
              <w:spacing w:after="0" w:line="240" w:lineRule="auto"/>
              <w:jc w:val="right"/>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16</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14:paraId="4E7DD931" w14:textId="77777777" w:rsidR="00611510" w:rsidRPr="006F05FF" w:rsidRDefault="00611510" w:rsidP="00F25C63">
            <w:pPr>
              <w:spacing w:after="0" w:line="240" w:lineRule="auto"/>
              <w:jc w:val="right"/>
              <w:rPr>
                <w:rFonts w:ascii="Arial" w:eastAsia="Times New Roman" w:hAnsi="Arial" w:cs="Arial"/>
                <w:color w:val="000000"/>
                <w:sz w:val="20"/>
                <w:szCs w:val="20"/>
                <w:lang w:eastAsia="sl-SI"/>
              </w:rPr>
            </w:pPr>
            <w:r w:rsidRPr="006F05FF">
              <w:rPr>
                <w:rFonts w:ascii="Arial" w:eastAsia="Times New Roman" w:hAnsi="Arial" w:cs="Arial"/>
                <w:color w:val="000000"/>
                <w:sz w:val="20"/>
                <w:szCs w:val="20"/>
                <w:lang w:eastAsia="sl-SI"/>
              </w:rPr>
              <w:t>20,1</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14:paraId="4D021E8B" w14:textId="77777777" w:rsidR="00611510" w:rsidRPr="00D4717F" w:rsidRDefault="00611510" w:rsidP="00F25C63">
            <w:pPr>
              <w:spacing w:after="0" w:line="240" w:lineRule="auto"/>
              <w:jc w:val="right"/>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16,2</w:t>
            </w:r>
          </w:p>
        </w:tc>
      </w:tr>
    </w:tbl>
    <w:p w14:paraId="3DBC446C" w14:textId="3CE8D8B9" w:rsidR="00D4717F" w:rsidRPr="00F25C63" w:rsidRDefault="008F0832" w:rsidP="00F25C63">
      <w:pPr>
        <w:pStyle w:val="SCslika"/>
        <w:spacing w:before="0" w:after="200"/>
        <w:rPr>
          <w:sz w:val="16"/>
          <w:szCs w:val="16"/>
        </w:rPr>
      </w:pPr>
      <w:r w:rsidRPr="00F25C63">
        <w:rPr>
          <w:sz w:val="16"/>
          <w:szCs w:val="16"/>
        </w:rPr>
        <w:t>Vir: SURS</w:t>
      </w:r>
    </w:p>
    <w:p w14:paraId="5DB052FE" w14:textId="77777777" w:rsidR="007344C6" w:rsidRPr="00A417A4" w:rsidRDefault="007344C6" w:rsidP="00F25C63">
      <w:pPr>
        <w:pStyle w:val="SCslika"/>
        <w:keepNext/>
        <w:keepLines/>
      </w:pPr>
      <w:r w:rsidRPr="00A417A4">
        <w:lastRenderedPageBreak/>
        <w:t>Slika 1</w:t>
      </w:r>
      <w:r w:rsidR="00A53A3F" w:rsidRPr="00A417A4">
        <w:t>6</w:t>
      </w:r>
      <w:r w:rsidRPr="00A417A4">
        <w:t>: Stopnja tveganja socialne izključenosti, statistične regije, Slovenija, 2019</w:t>
      </w:r>
    </w:p>
    <w:p w14:paraId="79AD5B82" w14:textId="77777777" w:rsidR="009E0216" w:rsidRPr="00A52F41" w:rsidRDefault="00611510" w:rsidP="00F25C63">
      <w:pPr>
        <w:spacing w:after="0" w:line="240" w:lineRule="auto"/>
        <w:jc w:val="both"/>
        <w:rPr>
          <w:rFonts w:ascii="Arial" w:hAnsi="Arial" w:cs="Arial"/>
          <w:sz w:val="20"/>
          <w:szCs w:val="20"/>
        </w:rPr>
      </w:pPr>
      <w:r w:rsidRPr="00611510">
        <w:rPr>
          <w:rFonts w:ascii="Arial" w:hAnsi="Arial" w:cs="Arial"/>
          <w:noProof/>
          <w:sz w:val="20"/>
          <w:szCs w:val="20"/>
          <w:lang w:eastAsia="sl-SI"/>
        </w:rPr>
        <w:drawing>
          <wp:inline distT="0" distB="0" distL="0" distR="0" wp14:anchorId="393B02C4" wp14:editId="4EEA9757">
            <wp:extent cx="5760720" cy="3579628"/>
            <wp:effectExtent l="19050" t="19050" r="11430" b="2095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4873"/>
                    <a:stretch/>
                  </pic:blipFill>
                  <pic:spPr bwMode="auto">
                    <a:xfrm>
                      <a:off x="0" y="0"/>
                      <a:ext cx="5776632" cy="3589515"/>
                    </a:xfrm>
                    <a:prstGeom prst="rect">
                      <a:avLst/>
                    </a:prstGeom>
                    <a:ln w="63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9C85C9" w14:textId="77777777" w:rsidR="009E0216" w:rsidRPr="00026AF3" w:rsidRDefault="007344C6" w:rsidP="00D4717F">
      <w:pPr>
        <w:pStyle w:val="Navadensplet"/>
        <w:widowControl w:val="0"/>
        <w:shd w:val="clear" w:color="auto" w:fill="FFFFFF"/>
        <w:spacing w:line="360" w:lineRule="auto"/>
        <w:rPr>
          <w:rFonts w:ascii="Arial" w:hAnsi="Arial" w:cs="Arial"/>
          <w:sz w:val="16"/>
          <w:szCs w:val="16"/>
        </w:rPr>
      </w:pPr>
      <w:r w:rsidRPr="00026AF3">
        <w:rPr>
          <w:rFonts w:ascii="Arial" w:hAnsi="Arial" w:cs="Arial"/>
          <w:sz w:val="16"/>
          <w:szCs w:val="16"/>
        </w:rPr>
        <w:t>Vir: SURS</w:t>
      </w:r>
    </w:p>
    <w:p w14:paraId="75F7ADE3" w14:textId="3C6318B1" w:rsidR="009E0216" w:rsidRPr="00A52F41" w:rsidRDefault="009E0FB0" w:rsidP="00BE756C">
      <w:pPr>
        <w:pStyle w:val="Navadensplet"/>
        <w:shd w:val="clear" w:color="auto" w:fill="FFFFFF"/>
        <w:spacing w:before="200" w:after="200" w:line="360" w:lineRule="auto"/>
        <w:rPr>
          <w:rFonts w:ascii="Arial" w:hAnsi="Arial" w:cs="Arial"/>
        </w:rPr>
      </w:pPr>
      <w:r>
        <w:rPr>
          <w:rFonts w:ascii="Arial" w:hAnsi="Arial" w:cs="Arial"/>
        </w:rPr>
        <w:t>Slika 16 prikazuje, da je bila s</w:t>
      </w:r>
      <w:r w:rsidR="009E0216" w:rsidRPr="00A52F41">
        <w:rPr>
          <w:rFonts w:ascii="Arial" w:hAnsi="Arial" w:cs="Arial"/>
        </w:rPr>
        <w:t>topnja tveganja socialne izključenosti najvišja v zasavski statistični regiji (21,4-odstotna stopnja); sledili sta ji koroška (z 19,3-odstotno) in podravska (z 18,6-odstotno). Najnižja je bila v gorenjski statistični regiji (9,6-odstotna), sledili sta ji osrednjeslovenska in posavska statistična regija (vsaka z 11,6-odstotno stopnjo). Število ljudi, izpostavljenih tveganju socialne izključenosti, se je znižalo od izhodiščnega leta 2008 do leta 2019 s 361.000 na 293.000 (za 68.000) (SURS, 2020). Še posebno problematična je dolgotrajna revščina, saj si ljudje zaradi nje lahko ne morejo privoščiti nekaterih dobrin, storitev in dejavnosti, ki so običajne za družbo, v kateri živijo, in se zaradi tega oddaljijo od socialnega okolja ali se celo izolirajo od družbe. V Sloveniji je v letu 2019 živelo 7,4 % ali 134.000 oseb, ki so bile dalj časa pod pragom tveganja revščine (skoraj vsak štirinajsti), v letu prej pa 7,7 % (približno 6.000 več)</w:t>
      </w:r>
      <w:r w:rsidR="00D8220A">
        <w:rPr>
          <w:rFonts w:ascii="Arial" w:hAnsi="Arial" w:cs="Arial"/>
        </w:rPr>
        <w:t>.</w:t>
      </w:r>
    </w:p>
    <w:p w14:paraId="02EBBBE8" w14:textId="40B7239B" w:rsidR="009E0216" w:rsidRPr="00A52F41" w:rsidRDefault="009E0216" w:rsidP="00BE756C">
      <w:pPr>
        <w:pStyle w:val="Navadensplet"/>
        <w:shd w:val="clear" w:color="auto" w:fill="FFFFFF"/>
        <w:spacing w:before="200" w:after="200" w:line="360" w:lineRule="auto"/>
        <w:rPr>
          <w:rFonts w:ascii="Arial" w:hAnsi="Arial" w:cs="Arial"/>
        </w:rPr>
      </w:pPr>
      <w:r w:rsidRPr="00A52F41">
        <w:rPr>
          <w:rFonts w:ascii="Arial" w:hAnsi="Arial" w:cs="Arial"/>
        </w:rPr>
        <w:t>Povprečna stopnja zelo nizke delovne intenzivnosti je bila v letu 2018 v Sloveniji 5,4 % oseb, najvišja stopnja pa v koroški (8,6 %), posavski (7,5 %) in savinjski (7,1 %) statistični regiji (SURS, 2020).</w:t>
      </w:r>
    </w:p>
    <w:p w14:paraId="289467E2" w14:textId="77777777" w:rsidR="009E0216" w:rsidRPr="00A52F41" w:rsidRDefault="009E0216" w:rsidP="00BE756C">
      <w:pPr>
        <w:pStyle w:val="Navadensplet"/>
        <w:shd w:val="clear" w:color="auto" w:fill="FFFFFF"/>
        <w:spacing w:before="200" w:after="200" w:line="360" w:lineRule="auto"/>
        <w:rPr>
          <w:rFonts w:ascii="Arial" w:hAnsi="Arial" w:cs="Arial"/>
        </w:rPr>
      </w:pPr>
      <w:r w:rsidRPr="00A52F41">
        <w:rPr>
          <w:rFonts w:ascii="Arial" w:hAnsi="Arial" w:cs="Arial"/>
        </w:rPr>
        <w:t>V letu 2019 je imelo 89 % gospodinjstev, v katerih živi vsaj ena oseba, stara od 16 do 74 let, dostop do interneta (v letu 2010 pa 68 %). Internet redno uporablja 83 % oseb, starih 16–74 let; 49 % jih uporablja neposredno sporočanje, 47 % e-bančništvo, 6 % jih prek interneta upravlja pametne gospodinjske aparate ali naprave. Digitalni razkorak, tj. neenakost, ki jo povzroči nezmožnost dostopa ter uporabe informacijskih in komunikacijskih tehnologij, je najvišji med osebami, starimi 65 ali več let. Več kot polovica neuporabnikov interneta sodi v starostno skupino 65–74 let (SURS, 2020).</w:t>
      </w:r>
    </w:p>
    <w:p w14:paraId="2D14C08F" w14:textId="77777777" w:rsidR="009E0216" w:rsidRPr="00A52F41" w:rsidRDefault="009E0216" w:rsidP="00BE756C">
      <w:pPr>
        <w:pStyle w:val="Navadensplet"/>
        <w:shd w:val="clear" w:color="auto" w:fill="FFFFFF"/>
        <w:spacing w:before="200" w:after="200" w:line="360" w:lineRule="auto"/>
        <w:rPr>
          <w:rFonts w:ascii="Arial" w:hAnsi="Arial" w:cs="Arial"/>
        </w:rPr>
      </w:pPr>
      <w:r w:rsidRPr="00A52F41">
        <w:rPr>
          <w:rFonts w:ascii="Arial" w:hAnsi="Arial" w:cs="Arial"/>
        </w:rPr>
        <w:lastRenderedPageBreak/>
        <w:t xml:space="preserve">Splošno zadovoljstvo z življenjem se v zadnjih letih zvišuje. V letu 2019 je znašalo v povprečju 7,5 (od 10), najvišje so ga ocenili prebivalci gorenjske statistične regije (7,6 od 10). Z najnižjo oceno so svoje zadovoljstvo z življenjem ocenili prebivalci pomurske in koroške statistične regije (7,1) (SURS, 2020). </w:t>
      </w:r>
    </w:p>
    <w:p w14:paraId="102BF8BB" w14:textId="77777777" w:rsidR="009E0216" w:rsidRPr="00A52F41" w:rsidRDefault="009E0216" w:rsidP="00BE756C">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 xml:space="preserve">Enotedenske letne počitnice zunaj doma za vse člane gospodinjstva si je v letu 2019 finančno lahko privoščilo 76 % gospodinjstev, to je za tri odstotne točke več kot v 2018, in največ, odkar se meri ta podatek, </w:t>
      </w:r>
      <w:r w:rsidR="007344C6">
        <w:rPr>
          <w:rFonts w:ascii="Arial" w:hAnsi="Arial" w:cs="Arial"/>
          <w:sz w:val="20"/>
          <w:szCs w:val="20"/>
        </w:rPr>
        <w:t xml:space="preserve">tj. od leta 2005 (SURS, 2020). </w:t>
      </w:r>
    </w:p>
    <w:p w14:paraId="01F1DC0E" w14:textId="77777777" w:rsidR="009E0216" w:rsidRPr="00A52F41" w:rsidRDefault="009E0216" w:rsidP="00BE756C">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Po podatkih UMAR (2020) osebe z nižjimi dohodki najredkeje obiskujejo kulturne prireditve in se najmanj ukvarjajo z ljubiteljskimi kulturnimi dejavnostmi. Manj se ukvarjajo tudi s športom in telesno vadbo, kar vpliva na splošno počutje in zdravstveno stanje posameznika. Zdravstveno stanje prebivalstva se je v zadnjih desetih letih izboljševalo, pričakovano trajanje življenja ob rojstvu pa se je podaljšalo. Čeprav se življenjski slog na nekaterih področjih izboljšuje, se zaostanek za povprečjem EU povečuje. Po podatkih UMAR se je bolniška odsotnost z dela v zadnjih letih povečala. Predvsem se je povečalo število dolgotrajnih bolniških odsotnosti, kar je deloma lahko povezano s staranjem aktivne populacije, spremembami pokojninske zakonodaje.</w:t>
      </w:r>
    </w:p>
    <w:p w14:paraId="3693A874" w14:textId="60ACC6C2" w:rsidR="009E0216" w:rsidRPr="007344C6" w:rsidRDefault="009E0216" w:rsidP="00BE756C">
      <w:pPr>
        <w:spacing w:before="200" w:line="360" w:lineRule="auto"/>
        <w:jc w:val="both"/>
        <w:rPr>
          <w:rFonts w:ascii="Arial" w:hAnsi="Arial" w:cs="Arial"/>
          <w:sz w:val="20"/>
          <w:szCs w:val="20"/>
        </w:rPr>
      </w:pPr>
      <w:r w:rsidRPr="00A52F41">
        <w:rPr>
          <w:rFonts w:ascii="Arial" w:hAnsi="Arial" w:cs="Arial"/>
          <w:sz w:val="20"/>
          <w:szCs w:val="20"/>
        </w:rPr>
        <w:t>Podatki</w:t>
      </w:r>
      <w:r w:rsidR="008F0832">
        <w:rPr>
          <w:rFonts w:ascii="Arial" w:hAnsi="Arial" w:cs="Arial"/>
          <w:sz w:val="20"/>
          <w:szCs w:val="20"/>
        </w:rPr>
        <w:t xml:space="preserve"> SURS</w:t>
      </w:r>
      <w:r w:rsidRPr="00A52F41">
        <w:rPr>
          <w:rFonts w:ascii="Arial" w:hAnsi="Arial" w:cs="Arial"/>
          <w:sz w:val="20"/>
          <w:szCs w:val="20"/>
        </w:rPr>
        <w:t xml:space="preserve"> o stanovanjskih razmerah za leto 2019 kažejo, da je bilo 79 % gospodinjstev v dobrem stanju. Na kakovost bivanja vplivajo tudi drugi dejavniki, kot so onesnaženost okolja (84 % gospodinjstev je leta 2019 živelo v čistem okolju), hrup (85 % gospodinjstev ni imelo težav s hrupom) in pojavljanje kriminala ali vandalizma v bivalnem okolju (92 % gospodinjstev ni zaznalo kriminala). Gospodinjstva, ki živijo v gosto poseljenih območjih, so se v večjem odstotku soočala z onesnaženostjo okolja, hrupom in pojavljanjem kriminala kot gospodinjstv</w:t>
      </w:r>
      <w:r w:rsidR="007344C6">
        <w:rPr>
          <w:rFonts w:ascii="Arial" w:hAnsi="Arial" w:cs="Arial"/>
          <w:sz w:val="20"/>
          <w:szCs w:val="20"/>
        </w:rPr>
        <w:t>a v redko poseljenih  območjih.</w:t>
      </w:r>
    </w:p>
    <w:p w14:paraId="59B239CA" w14:textId="77777777" w:rsidR="009E0216" w:rsidRPr="00A52F41" w:rsidRDefault="009E0216" w:rsidP="00BE756C">
      <w:pPr>
        <w:pStyle w:val="Navadensplet"/>
        <w:shd w:val="clear" w:color="auto" w:fill="FFFFFF"/>
        <w:spacing w:before="200" w:after="200" w:line="360" w:lineRule="auto"/>
        <w:rPr>
          <w:rFonts w:ascii="Arial" w:hAnsi="Arial" w:cs="Arial"/>
        </w:rPr>
      </w:pPr>
      <w:r w:rsidRPr="00A52F41">
        <w:rPr>
          <w:rFonts w:ascii="Arial" w:hAnsi="Arial" w:cs="Arial"/>
        </w:rPr>
        <w:t>Dostopnost plačljivih prostočasnih dejavnosti, se je v zadnjih letih povečala, nizka pa je med starejšimi in osebami z nizkimi dohodki (UMAR, 2020). Še vedno pa zaradi finančnih ali drugih razlogov niso dostopne slabi polovici prebivalcev. Nizko pa je zadovoljstvo z dolžino prostega časa v starostni skupini 25–44 let, ki je najbolj delovno aktivna ter pri osebah z nizkimi dohodki. Finančna dostopnost do zdravstvenih storitev z vidika sistema ostaja dobra, problem čakalnih dob pa dejansko dostopnost poslabšuje. Med prikrajšanosti mladih na podeželju po nekaterih raziskavah lahko štejemo slabše možnosti za interesne dejavnosti, športne aktivnosti, manj prostega časa ter več dela, če izhajamo iz predpostavke, da živijo mladi na kmetiji, nižja življenjska raven, manj družbenih stikov ter slabše možnosti za izobraževanje in varstvo. Prednosti mladih na podeželju pa so večja svoboda, sproščenost, več prostora za gibanje, stik z naravo, več dela ter delovnih navad, zdravo življenje, ter večja prometna varnost (Črnčič, 2016).</w:t>
      </w:r>
    </w:p>
    <w:p w14:paraId="6C4B731D" w14:textId="77777777" w:rsidR="009E0216" w:rsidRPr="00A52F41" w:rsidRDefault="009E0216" w:rsidP="00BE756C">
      <w:pPr>
        <w:pStyle w:val="Navadensplet"/>
        <w:shd w:val="clear" w:color="auto" w:fill="FFFFFF"/>
        <w:spacing w:before="200" w:after="200" w:line="360" w:lineRule="auto"/>
        <w:rPr>
          <w:rFonts w:ascii="Arial" w:hAnsi="Arial" w:cs="Arial"/>
        </w:rPr>
      </w:pPr>
      <w:r w:rsidRPr="00A52F41">
        <w:rPr>
          <w:rFonts w:ascii="Arial" w:hAnsi="Arial" w:cs="Arial"/>
        </w:rPr>
        <w:t xml:space="preserve">Na dostojno življenje lahko vpliva tudi izpostavljenost različnim oblikam diskriminacije, ki je v Sloveniji relativno nizka (v obdobju 2008-2019 se je delež zmanjšal na 9 % in je med najnižjimi v EU), gre pa za primere nasilja nad ženskami, diskriminacija na delovnem mestu. (Poročilo o razvoju 2020, 2020). Glede na socialno mrežo in pogoste stike z ljudmi je Slovenija pod EU povprečjem. </w:t>
      </w:r>
    </w:p>
    <w:p w14:paraId="258C085D" w14:textId="5F51EF5E"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Za Slovenijo je značilen visok delež lastniških stanovanj, izrazita stanovanjska nemobilnost in visok delež prebivalcev, ki živijo na kmetijah ali v individualnih hišah. Ob takšnem stanju se odpirajo vprašanja </w:t>
      </w:r>
      <w:r w:rsidRPr="00A52F41">
        <w:rPr>
          <w:rFonts w:ascii="Arial" w:hAnsi="Arial" w:cs="Arial"/>
          <w:sz w:val="20"/>
          <w:szCs w:val="20"/>
        </w:rPr>
        <w:lastRenderedPageBreak/>
        <w:t xml:space="preserve">zagotavljanja mobilnosti lokalnih prebivalcev na manj dostopnih in redkejše poseljenih območjih ter njihovega dostopa do storitev. V zadnjem času se kot pomemben ukrep za boljšo mobilnost starejših kažejo tudi storitve sopotništva, prevoze na klic in drugih alternativnih oblik prevoza. Socialno vključenost starejših se spodbuja tudi z njihovim sodelovanjem pri mobilnosti drugih starostnih skupin in medsebojno pomočjo med starejšimi različnih zmožnosti. Poleg vseh oblik sopotništva je treba kot odlično obliko medgeneracijskega sodelovanja omeniti pomoč starejših pri spremljanju otrok na poti v šolo. </w:t>
      </w:r>
    </w:p>
    <w:p w14:paraId="08298FC3"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V Sloveniji je že vzpostavljena mreža različnih večgeneracijskih centrov, tako institucionalnih kot neinstitucionalnih in v slovenskem prostoru predstavlja pomembno obogatitev v sistemu pomoči ranljivim ciljnim skupinam.</w:t>
      </w:r>
    </w:p>
    <w:p w14:paraId="3D7CD341" w14:textId="77777777" w:rsidR="009E0216" w:rsidRPr="00A52F41" w:rsidRDefault="009E0216" w:rsidP="00BE756C">
      <w:pPr>
        <w:autoSpaceDE w:val="0"/>
        <w:autoSpaceDN w:val="0"/>
        <w:adjustRightInd w:val="0"/>
        <w:spacing w:before="200" w:line="360" w:lineRule="auto"/>
        <w:jc w:val="both"/>
        <w:rPr>
          <w:rFonts w:ascii="Arial" w:hAnsi="Arial" w:cs="Arial"/>
          <w:sz w:val="20"/>
          <w:szCs w:val="20"/>
          <w:u w:val="single"/>
        </w:rPr>
      </w:pPr>
      <w:r w:rsidRPr="00A52F41">
        <w:rPr>
          <w:rFonts w:ascii="Arial" w:hAnsi="Arial" w:cs="Arial"/>
          <w:sz w:val="20"/>
          <w:szCs w:val="20"/>
          <w:u w:val="single"/>
        </w:rPr>
        <w:t>Nepridobitne organizacije in društva</w:t>
      </w:r>
    </w:p>
    <w:p w14:paraId="78C12CEA" w14:textId="322A8884" w:rsidR="009E0216" w:rsidRPr="00A52F41" w:rsidRDefault="008F0832" w:rsidP="00BE756C">
      <w:pPr>
        <w:autoSpaceDE w:val="0"/>
        <w:autoSpaceDN w:val="0"/>
        <w:adjustRightInd w:val="0"/>
        <w:spacing w:before="200" w:line="360" w:lineRule="auto"/>
        <w:jc w:val="both"/>
        <w:rPr>
          <w:rFonts w:ascii="Arial" w:hAnsi="Arial" w:cs="Arial"/>
          <w:sz w:val="20"/>
          <w:szCs w:val="20"/>
        </w:rPr>
      </w:pPr>
      <w:r>
        <w:rPr>
          <w:rFonts w:ascii="Arial" w:hAnsi="Arial" w:cs="Arial"/>
          <w:sz w:val="20"/>
          <w:szCs w:val="20"/>
        </w:rPr>
        <w:t>Za socialno vključevanje prebivalcev na podeželju je pomembno</w:t>
      </w:r>
      <w:r w:rsidR="009E0216" w:rsidRPr="00A52F41">
        <w:rPr>
          <w:rFonts w:ascii="Arial" w:hAnsi="Arial" w:cs="Arial"/>
          <w:sz w:val="20"/>
          <w:szCs w:val="20"/>
        </w:rPr>
        <w:t xml:space="preserve"> delovanje nepridobitnih organizacij in društev</w:t>
      </w:r>
      <w:r w:rsidR="007B2E0B">
        <w:rPr>
          <w:rFonts w:ascii="Arial" w:hAnsi="Arial" w:cs="Arial"/>
          <w:sz w:val="20"/>
          <w:szCs w:val="20"/>
        </w:rPr>
        <w:t>, ki je na podeželju zelo razvito in številčno ter</w:t>
      </w:r>
      <w:r w:rsidR="009E0216" w:rsidRPr="00A52F41">
        <w:rPr>
          <w:rFonts w:ascii="Arial" w:hAnsi="Arial" w:cs="Arial"/>
          <w:sz w:val="20"/>
          <w:szCs w:val="20"/>
        </w:rPr>
        <w:t xml:space="preserve"> se je v obdobju 2008-2019 stalno povečevalo. Po podatkih AJPES se je število nepridobitnih organizacij in društev od leta 2008 do leta 2019 povečalo, kar prikazuje </w:t>
      </w:r>
      <w:r w:rsidR="008E6C7E">
        <w:rPr>
          <w:rFonts w:ascii="Arial" w:hAnsi="Arial" w:cs="Arial"/>
          <w:sz w:val="20"/>
          <w:szCs w:val="20"/>
        </w:rPr>
        <w:t>Tabela 13</w:t>
      </w:r>
      <w:r w:rsidR="009E0216" w:rsidRPr="00A52F41">
        <w:rPr>
          <w:rFonts w:ascii="Arial" w:hAnsi="Arial" w:cs="Arial"/>
          <w:sz w:val="20"/>
          <w:szCs w:val="20"/>
        </w:rPr>
        <w:t>. Leta 2019 je bilo na podeželju 3.812 nepridobitnih organizacij (t.j. pravne osebe zasebnega prava), kar je 43 % vseh nepridobitnih organizacij v Sloveniji. Polovico od teh so zasebni zavodi, sledijo jim sindikati, ustanove, politične stranke, verske skupnosti ipd.</w:t>
      </w:r>
    </w:p>
    <w:p w14:paraId="25E51814" w14:textId="77777777" w:rsidR="009E0216" w:rsidRPr="00A52F41" w:rsidRDefault="009E0216" w:rsidP="00BE756C">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 xml:space="preserve">Te so leta 2018 v največjem deležu zaposlovale na področju izobraževanja (35,6 %), sledijo strokovne, znanstvene in tehnične dejavnosti (Informacija o poslovanju nepridobitnih organizacij – pravnih oseb zasebnega prava v RS v letu 2018, 2019). </w:t>
      </w:r>
    </w:p>
    <w:p w14:paraId="60D96F89"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Po podatki AJPES je bilo leta 2019 na podeželju 14.110 društev, kar predstavlja 58,4 % vseh slovenskih društev. Največ društev je bilo razvrščenih v skupino športnih in rekreativnih društev (okoli 35 % vseh društev), kulturnih in umetniških društev (okoli 17 % vseh društev) in društev za pomoč ljudem (13 % vseh društev). 235 društev je imelo status invalidske organizacije. (AJPES, </w:t>
      </w:r>
      <w:hyperlink r:id="rId29" w:history="1">
        <w:r w:rsidRPr="00A52F41">
          <w:rPr>
            <w:rStyle w:val="Hiperpovezava"/>
            <w:rFonts w:ascii="Arial" w:hAnsi="Arial" w:cs="Arial"/>
            <w:sz w:val="20"/>
            <w:szCs w:val="20"/>
          </w:rPr>
          <w:t>https://www.ajpes.si/Registri/Poslovni_register/Porocila</w:t>
        </w:r>
      </w:hyperlink>
      <w:r w:rsidRPr="00A52F41">
        <w:rPr>
          <w:rFonts w:ascii="Arial" w:hAnsi="Arial" w:cs="Arial"/>
          <w:sz w:val="20"/>
          <w:szCs w:val="20"/>
        </w:rPr>
        <w:t>).</w:t>
      </w:r>
    </w:p>
    <w:p w14:paraId="1098C46C" w14:textId="77777777" w:rsidR="005B0F81"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V letu 2018 so društva zaposlovala 3.638 delavcev. Glede na skupino društev je bil največji delež zaposlenih v društvih za pomoč ljudem, 48,2 %, ter v športnih in rekreativnih društvih, 24,8 %. Med regijami pa sta največji delež zaposlenih imeli osrednjeslovenska regija, tj. 54,9 %, in podravska </w:t>
      </w:r>
    </w:p>
    <w:p w14:paraId="4FB41B0E" w14:textId="77777777" w:rsidR="000915F5" w:rsidRDefault="000915F5">
      <w:pPr>
        <w:rPr>
          <w:rFonts w:ascii="Arial" w:hAnsi="Arial" w:cs="Arial"/>
          <w:sz w:val="20"/>
          <w:szCs w:val="20"/>
        </w:rPr>
      </w:pPr>
      <w:r>
        <w:rPr>
          <w:rFonts w:ascii="Arial" w:hAnsi="Arial" w:cs="Arial"/>
          <w:sz w:val="20"/>
          <w:szCs w:val="20"/>
        </w:rPr>
        <w:br w:type="page"/>
      </w:r>
    </w:p>
    <w:p w14:paraId="4B7ECE4A" w14:textId="77777777" w:rsidR="009E0216" w:rsidRPr="00A417A4" w:rsidRDefault="005B0F81" w:rsidP="00A417A4">
      <w:pPr>
        <w:pStyle w:val="SCslika"/>
        <w:keepNext/>
        <w:keepLines/>
      </w:pPr>
      <w:r w:rsidRPr="00A417A4">
        <w:lastRenderedPageBreak/>
        <w:t>Tabela 13</w:t>
      </w:r>
      <w:r w:rsidR="009E0216" w:rsidRPr="00A417A4">
        <w:t>: Število nepridobitnih organizacij in društev na podeželju, po letih</w:t>
      </w:r>
    </w:p>
    <w:tbl>
      <w:tblPr>
        <w:tblW w:w="7528" w:type="dxa"/>
        <w:tblInd w:w="55" w:type="dxa"/>
        <w:tblCellMar>
          <w:left w:w="70" w:type="dxa"/>
          <w:right w:w="70" w:type="dxa"/>
        </w:tblCellMar>
        <w:tblLook w:val="04A0" w:firstRow="1" w:lastRow="0" w:firstColumn="1" w:lastColumn="0" w:noHBand="0" w:noVBand="1"/>
      </w:tblPr>
      <w:tblGrid>
        <w:gridCol w:w="958"/>
        <w:gridCol w:w="1184"/>
        <w:gridCol w:w="3118"/>
        <w:gridCol w:w="2268"/>
      </w:tblGrid>
      <w:tr w:rsidR="009E0216" w:rsidRPr="00A52F41" w14:paraId="74A1CC11" w14:textId="77777777" w:rsidTr="00BE756C">
        <w:trPr>
          <w:trHeight w:val="759"/>
        </w:trPr>
        <w:tc>
          <w:tcPr>
            <w:tcW w:w="2142" w:type="dxa"/>
            <w:gridSpan w:val="2"/>
            <w:tcBorders>
              <w:top w:val="single" w:sz="8" w:space="0" w:color="auto"/>
              <w:left w:val="single" w:sz="4" w:space="0" w:color="auto"/>
              <w:bottom w:val="single" w:sz="8" w:space="0" w:color="auto"/>
              <w:right w:val="single" w:sz="4" w:space="0" w:color="000000"/>
            </w:tcBorders>
            <w:shd w:val="clear" w:color="auto" w:fill="auto"/>
            <w:noWrap/>
            <w:vAlign w:val="center"/>
            <w:hideMark/>
          </w:tcPr>
          <w:p w14:paraId="5ABCBD6E"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Poslovni subjekti</w:t>
            </w:r>
          </w:p>
        </w:tc>
        <w:tc>
          <w:tcPr>
            <w:tcW w:w="3118" w:type="dxa"/>
            <w:tcBorders>
              <w:top w:val="single" w:sz="8" w:space="0" w:color="auto"/>
              <w:left w:val="nil"/>
              <w:bottom w:val="single" w:sz="8" w:space="0" w:color="auto"/>
              <w:right w:val="single" w:sz="4" w:space="0" w:color="auto"/>
            </w:tcBorders>
            <w:shd w:val="clear" w:color="auto" w:fill="auto"/>
            <w:vAlign w:val="center"/>
            <w:hideMark/>
          </w:tcPr>
          <w:p w14:paraId="15BC08EB"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Nepridobitne organizacije - pravne osebe zasebnega prava</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69AEDEAF"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Društva</w:t>
            </w:r>
          </w:p>
        </w:tc>
      </w:tr>
      <w:tr w:rsidR="009E0216" w:rsidRPr="00A52F41" w14:paraId="685721E1"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7E1EA8F9"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2008</w:t>
            </w:r>
          </w:p>
        </w:tc>
        <w:tc>
          <w:tcPr>
            <w:tcW w:w="1184" w:type="dxa"/>
            <w:tcBorders>
              <w:top w:val="nil"/>
              <w:left w:val="nil"/>
              <w:bottom w:val="single" w:sz="4" w:space="0" w:color="auto"/>
              <w:right w:val="single" w:sz="4" w:space="0" w:color="auto"/>
            </w:tcBorders>
            <w:shd w:val="clear" w:color="auto" w:fill="auto"/>
            <w:noWrap/>
            <w:vAlign w:val="bottom"/>
            <w:hideMark/>
          </w:tcPr>
          <w:p w14:paraId="794561F3"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75CB8D1A"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7.405</w:t>
            </w:r>
          </w:p>
        </w:tc>
        <w:tc>
          <w:tcPr>
            <w:tcW w:w="2268" w:type="dxa"/>
            <w:tcBorders>
              <w:top w:val="nil"/>
              <w:left w:val="nil"/>
              <w:bottom w:val="single" w:sz="4" w:space="0" w:color="auto"/>
              <w:right w:val="single" w:sz="8" w:space="0" w:color="auto"/>
            </w:tcBorders>
            <w:shd w:val="clear" w:color="auto" w:fill="auto"/>
            <w:hideMark/>
          </w:tcPr>
          <w:p w14:paraId="1CF118F5"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21.479</w:t>
            </w:r>
          </w:p>
        </w:tc>
      </w:tr>
      <w:tr w:rsidR="009E0216" w:rsidRPr="00A52F41" w14:paraId="49078784"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71BB9B63"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45451F53"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Podeželje</w:t>
            </w:r>
          </w:p>
        </w:tc>
        <w:tc>
          <w:tcPr>
            <w:tcW w:w="3118" w:type="dxa"/>
            <w:tcBorders>
              <w:top w:val="nil"/>
              <w:left w:val="nil"/>
              <w:bottom w:val="single" w:sz="8" w:space="0" w:color="auto"/>
              <w:right w:val="single" w:sz="4" w:space="0" w:color="auto"/>
            </w:tcBorders>
            <w:shd w:val="clear" w:color="auto" w:fill="auto"/>
            <w:hideMark/>
          </w:tcPr>
          <w:p w14:paraId="07CF7E76"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3.559</w:t>
            </w:r>
          </w:p>
        </w:tc>
        <w:tc>
          <w:tcPr>
            <w:tcW w:w="2268" w:type="dxa"/>
            <w:tcBorders>
              <w:top w:val="nil"/>
              <w:left w:val="nil"/>
              <w:bottom w:val="single" w:sz="8" w:space="0" w:color="auto"/>
              <w:right w:val="single" w:sz="8" w:space="0" w:color="auto"/>
            </w:tcBorders>
            <w:shd w:val="clear" w:color="auto" w:fill="auto"/>
            <w:hideMark/>
          </w:tcPr>
          <w:p w14:paraId="3E331709"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12.836</w:t>
            </w:r>
          </w:p>
        </w:tc>
      </w:tr>
      <w:tr w:rsidR="009E0216" w:rsidRPr="00A52F41" w14:paraId="5598153C"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40E6A53A"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2010</w:t>
            </w:r>
          </w:p>
        </w:tc>
        <w:tc>
          <w:tcPr>
            <w:tcW w:w="1184" w:type="dxa"/>
            <w:tcBorders>
              <w:top w:val="nil"/>
              <w:left w:val="nil"/>
              <w:bottom w:val="single" w:sz="4" w:space="0" w:color="auto"/>
              <w:right w:val="single" w:sz="4" w:space="0" w:color="auto"/>
            </w:tcBorders>
            <w:shd w:val="clear" w:color="auto" w:fill="auto"/>
            <w:noWrap/>
            <w:vAlign w:val="bottom"/>
            <w:hideMark/>
          </w:tcPr>
          <w:p w14:paraId="6B5D667A"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7931504D"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7.609</w:t>
            </w:r>
          </w:p>
        </w:tc>
        <w:tc>
          <w:tcPr>
            <w:tcW w:w="2268" w:type="dxa"/>
            <w:tcBorders>
              <w:top w:val="nil"/>
              <w:left w:val="nil"/>
              <w:bottom w:val="single" w:sz="4" w:space="0" w:color="auto"/>
              <w:right w:val="single" w:sz="8" w:space="0" w:color="auto"/>
            </w:tcBorders>
            <w:shd w:val="clear" w:color="auto" w:fill="auto"/>
            <w:hideMark/>
          </w:tcPr>
          <w:p w14:paraId="73E28F15"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21.981</w:t>
            </w:r>
          </w:p>
        </w:tc>
      </w:tr>
      <w:tr w:rsidR="009E0216" w:rsidRPr="00A52F41" w14:paraId="36A1AA0F"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46737B55"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574F523B" w14:textId="67CACD86" w:rsidR="009E0216" w:rsidRPr="00A52F41" w:rsidRDefault="00A05198"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Podeželj</w:t>
            </w:r>
            <w:r>
              <w:rPr>
                <w:rFonts w:ascii="Arial" w:hAnsi="Arial" w:cs="Arial"/>
                <w:sz w:val="20"/>
                <w:szCs w:val="20"/>
                <w:lang w:eastAsia="sl-SI"/>
              </w:rPr>
              <w:t>e</w:t>
            </w:r>
          </w:p>
        </w:tc>
        <w:tc>
          <w:tcPr>
            <w:tcW w:w="3118" w:type="dxa"/>
            <w:tcBorders>
              <w:top w:val="nil"/>
              <w:left w:val="nil"/>
              <w:bottom w:val="single" w:sz="8" w:space="0" w:color="auto"/>
              <w:right w:val="single" w:sz="4" w:space="0" w:color="auto"/>
            </w:tcBorders>
            <w:shd w:val="clear" w:color="auto" w:fill="auto"/>
            <w:hideMark/>
          </w:tcPr>
          <w:p w14:paraId="19127FEC"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3.603</w:t>
            </w:r>
          </w:p>
        </w:tc>
        <w:tc>
          <w:tcPr>
            <w:tcW w:w="2268" w:type="dxa"/>
            <w:tcBorders>
              <w:top w:val="nil"/>
              <w:left w:val="nil"/>
              <w:bottom w:val="single" w:sz="8" w:space="0" w:color="auto"/>
              <w:right w:val="single" w:sz="8" w:space="0" w:color="auto"/>
            </w:tcBorders>
            <w:shd w:val="clear" w:color="auto" w:fill="auto"/>
            <w:hideMark/>
          </w:tcPr>
          <w:p w14:paraId="75C23615"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13.186</w:t>
            </w:r>
          </w:p>
        </w:tc>
      </w:tr>
      <w:tr w:rsidR="009E0216" w:rsidRPr="00A52F41" w14:paraId="06787089"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7305C09C"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2013</w:t>
            </w:r>
          </w:p>
        </w:tc>
        <w:tc>
          <w:tcPr>
            <w:tcW w:w="1184" w:type="dxa"/>
            <w:tcBorders>
              <w:top w:val="nil"/>
              <w:left w:val="nil"/>
              <w:bottom w:val="single" w:sz="4" w:space="0" w:color="auto"/>
              <w:right w:val="single" w:sz="4" w:space="0" w:color="auto"/>
            </w:tcBorders>
            <w:shd w:val="clear" w:color="auto" w:fill="auto"/>
            <w:noWrap/>
            <w:vAlign w:val="bottom"/>
            <w:hideMark/>
          </w:tcPr>
          <w:p w14:paraId="3EBB2598"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2C9E1B0D"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7.959</w:t>
            </w:r>
          </w:p>
        </w:tc>
        <w:tc>
          <w:tcPr>
            <w:tcW w:w="2268" w:type="dxa"/>
            <w:tcBorders>
              <w:top w:val="nil"/>
              <w:left w:val="nil"/>
              <w:bottom w:val="single" w:sz="4" w:space="0" w:color="auto"/>
              <w:right w:val="single" w:sz="8" w:space="0" w:color="auto"/>
            </w:tcBorders>
            <w:shd w:val="clear" w:color="auto" w:fill="auto"/>
            <w:hideMark/>
          </w:tcPr>
          <w:p w14:paraId="48808B9A"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22.804</w:t>
            </w:r>
          </w:p>
        </w:tc>
      </w:tr>
      <w:tr w:rsidR="009E0216" w:rsidRPr="00A52F41" w14:paraId="68591826"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5581E639"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736A0A38"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Podeželje</w:t>
            </w:r>
          </w:p>
        </w:tc>
        <w:tc>
          <w:tcPr>
            <w:tcW w:w="3118" w:type="dxa"/>
            <w:tcBorders>
              <w:top w:val="nil"/>
              <w:left w:val="nil"/>
              <w:bottom w:val="single" w:sz="8" w:space="0" w:color="auto"/>
              <w:right w:val="single" w:sz="4" w:space="0" w:color="auto"/>
            </w:tcBorders>
            <w:shd w:val="clear" w:color="auto" w:fill="auto"/>
            <w:hideMark/>
          </w:tcPr>
          <w:p w14:paraId="46170DAA"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3.689</w:t>
            </w:r>
          </w:p>
        </w:tc>
        <w:tc>
          <w:tcPr>
            <w:tcW w:w="2268" w:type="dxa"/>
            <w:tcBorders>
              <w:top w:val="nil"/>
              <w:left w:val="nil"/>
              <w:bottom w:val="single" w:sz="8" w:space="0" w:color="auto"/>
              <w:right w:val="single" w:sz="8" w:space="0" w:color="auto"/>
            </w:tcBorders>
            <w:shd w:val="clear" w:color="auto" w:fill="auto"/>
            <w:hideMark/>
          </w:tcPr>
          <w:p w14:paraId="7D740E64"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13.766</w:t>
            </w:r>
          </w:p>
        </w:tc>
      </w:tr>
      <w:tr w:rsidR="009E0216" w:rsidRPr="00A52F41" w14:paraId="451545A2"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3D005387"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2015</w:t>
            </w:r>
          </w:p>
        </w:tc>
        <w:tc>
          <w:tcPr>
            <w:tcW w:w="1184" w:type="dxa"/>
            <w:tcBorders>
              <w:top w:val="nil"/>
              <w:left w:val="nil"/>
              <w:bottom w:val="single" w:sz="4" w:space="0" w:color="auto"/>
              <w:right w:val="single" w:sz="4" w:space="0" w:color="auto"/>
            </w:tcBorders>
            <w:shd w:val="clear" w:color="auto" w:fill="auto"/>
            <w:noWrap/>
            <w:vAlign w:val="bottom"/>
            <w:hideMark/>
          </w:tcPr>
          <w:p w14:paraId="50914732"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70652B3E"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8.516</w:t>
            </w:r>
          </w:p>
        </w:tc>
        <w:tc>
          <w:tcPr>
            <w:tcW w:w="2268" w:type="dxa"/>
            <w:tcBorders>
              <w:top w:val="nil"/>
              <w:left w:val="nil"/>
              <w:bottom w:val="single" w:sz="4" w:space="0" w:color="auto"/>
              <w:right w:val="single" w:sz="8" w:space="0" w:color="auto"/>
            </w:tcBorders>
            <w:shd w:val="clear" w:color="auto" w:fill="auto"/>
            <w:hideMark/>
          </w:tcPr>
          <w:p w14:paraId="7438E0CE"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23.863</w:t>
            </w:r>
          </w:p>
        </w:tc>
      </w:tr>
      <w:tr w:rsidR="009E0216" w:rsidRPr="00A52F41" w14:paraId="38E68066"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5C1D28FF"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65BAB3F9"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Podeželje</w:t>
            </w:r>
          </w:p>
        </w:tc>
        <w:tc>
          <w:tcPr>
            <w:tcW w:w="3118" w:type="dxa"/>
            <w:tcBorders>
              <w:top w:val="nil"/>
              <w:left w:val="nil"/>
              <w:bottom w:val="single" w:sz="8" w:space="0" w:color="auto"/>
              <w:right w:val="single" w:sz="4" w:space="0" w:color="auto"/>
            </w:tcBorders>
            <w:shd w:val="clear" w:color="auto" w:fill="auto"/>
            <w:hideMark/>
          </w:tcPr>
          <w:p w14:paraId="46974288"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3.753</w:t>
            </w:r>
          </w:p>
        </w:tc>
        <w:tc>
          <w:tcPr>
            <w:tcW w:w="2268" w:type="dxa"/>
            <w:tcBorders>
              <w:top w:val="nil"/>
              <w:left w:val="nil"/>
              <w:bottom w:val="single" w:sz="8" w:space="0" w:color="auto"/>
              <w:right w:val="single" w:sz="8" w:space="0" w:color="auto"/>
            </w:tcBorders>
            <w:shd w:val="clear" w:color="auto" w:fill="auto"/>
            <w:hideMark/>
          </w:tcPr>
          <w:p w14:paraId="33E0248A"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13.900</w:t>
            </w:r>
          </w:p>
        </w:tc>
      </w:tr>
      <w:tr w:rsidR="009E0216" w:rsidRPr="00A52F41" w14:paraId="7CEC52B6"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7DD8A0B8"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2019</w:t>
            </w:r>
          </w:p>
        </w:tc>
        <w:tc>
          <w:tcPr>
            <w:tcW w:w="1184" w:type="dxa"/>
            <w:tcBorders>
              <w:top w:val="nil"/>
              <w:left w:val="nil"/>
              <w:bottom w:val="single" w:sz="4" w:space="0" w:color="auto"/>
              <w:right w:val="single" w:sz="4" w:space="0" w:color="auto"/>
            </w:tcBorders>
            <w:shd w:val="clear" w:color="auto" w:fill="auto"/>
            <w:noWrap/>
            <w:vAlign w:val="bottom"/>
            <w:hideMark/>
          </w:tcPr>
          <w:p w14:paraId="7A9AA09C"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191084EC"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8.872</w:t>
            </w:r>
          </w:p>
        </w:tc>
        <w:tc>
          <w:tcPr>
            <w:tcW w:w="2268" w:type="dxa"/>
            <w:tcBorders>
              <w:top w:val="nil"/>
              <w:left w:val="nil"/>
              <w:bottom w:val="single" w:sz="4" w:space="0" w:color="auto"/>
              <w:right w:val="single" w:sz="8" w:space="0" w:color="auto"/>
            </w:tcBorders>
            <w:shd w:val="clear" w:color="auto" w:fill="auto"/>
            <w:hideMark/>
          </w:tcPr>
          <w:p w14:paraId="29C81C24"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24.153</w:t>
            </w:r>
          </w:p>
        </w:tc>
      </w:tr>
      <w:tr w:rsidR="009E0216" w:rsidRPr="00A52F41" w14:paraId="23BF6A10"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112E14D2"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2FE163C7"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Podeželje</w:t>
            </w:r>
          </w:p>
        </w:tc>
        <w:tc>
          <w:tcPr>
            <w:tcW w:w="3118" w:type="dxa"/>
            <w:tcBorders>
              <w:top w:val="nil"/>
              <w:left w:val="nil"/>
              <w:bottom w:val="single" w:sz="8" w:space="0" w:color="auto"/>
              <w:right w:val="single" w:sz="4" w:space="0" w:color="auto"/>
            </w:tcBorders>
            <w:shd w:val="clear" w:color="auto" w:fill="auto"/>
            <w:hideMark/>
          </w:tcPr>
          <w:p w14:paraId="74BD9890"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3.812</w:t>
            </w:r>
          </w:p>
        </w:tc>
        <w:tc>
          <w:tcPr>
            <w:tcW w:w="2268" w:type="dxa"/>
            <w:tcBorders>
              <w:top w:val="nil"/>
              <w:left w:val="nil"/>
              <w:bottom w:val="single" w:sz="8" w:space="0" w:color="auto"/>
              <w:right w:val="single" w:sz="8" w:space="0" w:color="auto"/>
            </w:tcBorders>
            <w:shd w:val="clear" w:color="auto" w:fill="auto"/>
            <w:hideMark/>
          </w:tcPr>
          <w:p w14:paraId="2892D343"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14.110</w:t>
            </w:r>
          </w:p>
        </w:tc>
      </w:tr>
    </w:tbl>
    <w:p w14:paraId="0154AE8D" w14:textId="77777777" w:rsidR="009E0216" w:rsidRPr="00026AF3" w:rsidRDefault="009E0216" w:rsidP="00EA2E4C">
      <w:pPr>
        <w:spacing w:line="360" w:lineRule="auto"/>
        <w:jc w:val="both"/>
        <w:rPr>
          <w:rFonts w:ascii="Arial" w:hAnsi="Arial" w:cs="Arial"/>
          <w:sz w:val="16"/>
          <w:szCs w:val="16"/>
        </w:rPr>
      </w:pPr>
      <w:r w:rsidRPr="00026AF3">
        <w:rPr>
          <w:rFonts w:ascii="Arial" w:hAnsi="Arial" w:cs="Arial"/>
          <w:sz w:val="16"/>
          <w:szCs w:val="16"/>
        </w:rPr>
        <w:t xml:space="preserve">Vir: AJPES, </w:t>
      </w:r>
      <w:r w:rsidR="00026AF3" w:rsidRPr="00026AF3">
        <w:rPr>
          <w:rFonts w:ascii="Arial" w:hAnsi="Arial" w:cs="Arial"/>
          <w:sz w:val="16"/>
          <w:szCs w:val="16"/>
        </w:rPr>
        <w:t>(2009, 2011, 2014, 2016, 2020)</w:t>
      </w:r>
    </w:p>
    <w:p w14:paraId="3BC0A3A9" w14:textId="77777777" w:rsidR="009E0216" w:rsidRPr="00A417A4" w:rsidRDefault="005B0F81" w:rsidP="00A417A4">
      <w:pPr>
        <w:pStyle w:val="SCslika"/>
        <w:keepNext/>
        <w:keepLines/>
      </w:pPr>
      <w:r w:rsidRPr="00A417A4">
        <w:t>Tabela</w:t>
      </w:r>
      <w:r w:rsidR="009E0216" w:rsidRPr="00A417A4">
        <w:t xml:space="preserve"> </w:t>
      </w:r>
      <w:r w:rsidRPr="00A417A4">
        <w:t>14</w:t>
      </w:r>
      <w:r w:rsidR="009E0216" w:rsidRPr="00A417A4">
        <w:t>: Vrsta društva po letih (v letih 2008, 2013, 2018)</w:t>
      </w:r>
    </w:p>
    <w:tbl>
      <w:tblPr>
        <w:tblW w:w="647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2"/>
        <w:gridCol w:w="1241"/>
        <w:gridCol w:w="1241"/>
        <w:gridCol w:w="1241"/>
      </w:tblGrid>
      <w:tr w:rsidR="009E0216" w:rsidRPr="00A52F41" w14:paraId="7BE519D3" w14:textId="77777777" w:rsidTr="00C0502F">
        <w:trPr>
          <w:trHeight w:val="301"/>
        </w:trPr>
        <w:tc>
          <w:tcPr>
            <w:tcW w:w="2752" w:type="dxa"/>
            <w:shd w:val="clear" w:color="auto" w:fill="auto"/>
            <w:noWrap/>
            <w:vAlign w:val="center"/>
            <w:hideMark/>
          </w:tcPr>
          <w:p w14:paraId="68534E21"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Vrsta društva</w:t>
            </w:r>
          </w:p>
        </w:tc>
        <w:tc>
          <w:tcPr>
            <w:tcW w:w="1241" w:type="dxa"/>
            <w:shd w:val="clear" w:color="auto" w:fill="auto"/>
            <w:noWrap/>
            <w:vAlign w:val="center"/>
            <w:hideMark/>
          </w:tcPr>
          <w:p w14:paraId="5EE9299E"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2008 </w:t>
            </w:r>
          </w:p>
        </w:tc>
        <w:tc>
          <w:tcPr>
            <w:tcW w:w="1241" w:type="dxa"/>
            <w:shd w:val="clear" w:color="auto" w:fill="auto"/>
            <w:noWrap/>
            <w:vAlign w:val="center"/>
            <w:hideMark/>
          </w:tcPr>
          <w:p w14:paraId="31EE863D"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2013</w:t>
            </w:r>
          </w:p>
        </w:tc>
        <w:tc>
          <w:tcPr>
            <w:tcW w:w="1241" w:type="dxa"/>
            <w:shd w:val="clear" w:color="auto" w:fill="auto"/>
            <w:noWrap/>
            <w:vAlign w:val="center"/>
            <w:hideMark/>
          </w:tcPr>
          <w:p w14:paraId="26A0A4F5"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2018</w:t>
            </w:r>
          </w:p>
        </w:tc>
      </w:tr>
      <w:tr w:rsidR="009E0216" w:rsidRPr="00A52F41" w14:paraId="2AF195EE" w14:textId="77777777" w:rsidTr="00C0502F">
        <w:trPr>
          <w:trHeight w:val="301"/>
        </w:trPr>
        <w:tc>
          <w:tcPr>
            <w:tcW w:w="2752" w:type="dxa"/>
            <w:shd w:val="clear" w:color="auto" w:fill="auto"/>
            <w:noWrap/>
            <w:vAlign w:val="center"/>
            <w:hideMark/>
          </w:tcPr>
          <w:p w14:paraId="1F1CB727"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xml:space="preserve">Športna, rekreativna </w:t>
            </w:r>
          </w:p>
        </w:tc>
        <w:tc>
          <w:tcPr>
            <w:tcW w:w="1241" w:type="dxa"/>
            <w:shd w:val="clear" w:color="auto" w:fill="auto"/>
            <w:noWrap/>
            <w:vAlign w:val="center"/>
            <w:hideMark/>
          </w:tcPr>
          <w:p w14:paraId="2BAB249E"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33,90%</w:t>
            </w:r>
          </w:p>
        </w:tc>
        <w:tc>
          <w:tcPr>
            <w:tcW w:w="1241" w:type="dxa"/>
            <w:shd w:val="clear" w:color="auto" w:fill="auto"/>
            <w:noWrap/>
            <w:vAlign w:val="center"/>
            <w:hideMark/>
          </w:tcPr>
          <w:p w14:paraId="5FA885E2"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35,80%</w:t>
            </w:r>
          </w:p>
        </w:tc>
        <w:tc>
          <w:tcPr>
            <w:tcW w:w="1241" w:type="dxa"/>
            <w:shd w:val="clear" w:color="auto" w:fill="auto"/>
            <w:noWrap/>
            <w:vAlign w:val="center"/>
            <w:hideMark/>
          </w:tcPr>
          <w:p w14:paraId="5F2509B0"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35,20%</w:t>
            </w:r>
          </w:p>
        </w:tc>
      </w:tr>
      <w:tr w:rsidR="009E0216" w:rsidRPr="00A52F41" w14:paraId="0DBC1933" w14:textId="77777777" w:rsidTr="00C0502F">
        <w:trPr>
          <w:trHeight w:val="301"/>
        </w:trPr>
        <w:tc>
          <w:tcPr>
            <w:tcW w:w="2752" w:type="dxa"/>
            <w:shd w:val="clear" w:color="auto" w:fill="auto"/>
            <w:noWrap/>
            <w:vAlign w:val="center"/>
            <w:hideMark/>
          </w:tcPr>
          <w:p w14:paraId="1111A202"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Kulturna, umetniška</w:t>
            </w:r>
          </w:p>
        </w:tc>
        <w:tc>
          <w:tcPr>
            <w:tcW w:w="1241" w:type="dxa"/>
            <w:shd w:val="clear" w:color="auto" w:fill="auto"/>
            <w:noWrap/>
            <w:vAlign w:val="center"/>
            <w:hideMark/>
          </w:tcPr>
          <w:p w14:paraId="6C80D255"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14,20%</w:t>
            </w:r>
          </w:p>
        </w:tc>
        <w:tc>
          <w:tcPr>
            <w:tcW w:w="1241" w:type="dxa"/>
            <w:shd w:val="clear" w:color="auto" w:fill="auto"/>
            <w:noWrap/>
            <w:vAlign w:val="center"/>
            <w:hideMark/>
          </w:tcPr>
          <w:p w14:paraId="2511FC25"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15,70%</w:t>
            </w:r>
          </w:p>
        </w:tc>
        <w:tc>
          <w:tcPr>
            <w:tcW w:w="1241" w:type="dxa"/>
            <w:shd w:val="clear" w:color="auto" w:fill="auto"/>
            <w:noWrap/>
            <w:vAlign w:val="center"/>
            <w:hideMark/>
          </w:tcPr>
          <w:p w14:paraId="3E02D542"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16,90%</w:t>
            </w:r>
          </w:p>
        </w:tc>
      </w:tr>
      <w:tr w:rsidR="009E0216" w:rsidRPr="00A52F41" w14:paraId="083E5E83" w14:textId="77777777" w:rsidTr="00C0502F">
        <w:trPr>
          <w:trHeight w:val="301"/>
        </w:trPr>
        <w:tc>
          <w:tcPr>
            <w:tcW w:w="2752" w:type="dxa"/>
            <w:shd w:val="clear" w:color="auto" w:fill="auto"/>
            <w:noWrap/>
            <w:vAlign w:val="center"/>
            <w:hideMark/>
          </w:tcPr>
          <w:p w14:paraId="041F734D"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Društvo za pomoč ljudem</w:t>
            </w:r>
          </w:p>
        </w:tc>
        <w:tc>
          <w:tcPr>
            <w:tcW w:w="1241" w:type="dxa"/>
            <w:shd w:val="clear" w:color="auto" w:fill="auto"/>
            <w:noWrap/>
            <w:vAlign w:val="center"/>
            <w:hideMark/>
          </w:tcPr>
          <w:p w14:paraId="4597062C"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13,30%</w:t>
            </w:r>
          </w:p>
        </w:tc>
        <w:tc>
          <w:tcPr>
            <w:tcW w:w="1241" w:type="dxa"/>
            <w:shd w:val="clear" w:color="auto" w:fill="auto"/>
            <w:noWrap/>
            <w:vAlign w:val="center"/>
            <w:hideMark/>
          </w:tcPr>
          <w:p w14:paraId="4DD49E79"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13,10%</w:t>
            </w:r>
          </w:p>
        </w:tc>
        <w:tc>
          <w:tcPr>
            <w:tcW w:w="1241" w:type="dxa"/>
            <w:shd w:val="clear" w:color="auto" w:fill="auto"/>
            <w:noWrap/>
            <w:vAlign w:val="center"/>
            <w:hideMark/>
          </w:tcPr>
          <w:p w14:paraId="70D075A6"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12,90%</w:t>
            </w:r>
          </w:p>
        </w:tc>
      </w:tr>
    </w:tbl>
    <w:p w14:paraId="5BBC8F25" w14:textId="77777777" w:rsidR="009E0216" w:rsidRPr="00026AF3" w:rsidRDefault="009E0216" w:rsidP="00EA2E4C">
      <w:pPr>
        <w:spacing w:line="360" w:lineRule="auto"/>
        <w:jc w:val="both"/>
        <w:rPr>
          <w:rFonts w:ascii="Arial" w:hAnsi="Arial" w:cs="Arial"/>
          <w:sz w:val="16"/>
          <w:szCs w:val="16"/>
        </w:rPr>
      </w:pPr>
      <w:r w:rsidRPr="00026AF3">
        <w:rPr>
          <w:rFonts w:ascii="Arial" w:hAnsi="Arial" w:cs="Arial"/>
          <w:sz w:val="16"/>
          <w:szCs w:val="16"/>
        </w:rPr>
        <w:t>Vir: AJPES, Informacija o poslovanju društev v Republiki Sloveniji v letu 2008, 2013, 2018</w:t>
      </w:r>
    </w:p>
    <w:p w14:paraId="6BCC6A30"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V letu 2013 je bilo 494 prostovoljskih organizacij in organizacij s prostovoljskim programom (Skupno poročilo o prostovoljstvu v Republiki Sloveniji za leto 2013, 2014. V naslednjih letih se je število povečevalo, tako da  je v letu 2018 že bilo 1.822 prostovoljskih organizacij in organizacij s prostovoljskim programom (Skupno poročilo o prostovoljstvu v Republiki Sloveniji za leto 2018, 2019).</w:t>
      </w:r>
    </w:p>
    <w:p w14:paraId="1C1294EC" w14:textId="77777777" w:rsidR="00026AF3" w:rsidRDefault="00026AF3" w:rsidP="00BE756C">
      <w:pPr>
        <w:pStyle w:val="Naslov2"/>
        <w:spacing w:after="200" w:line="360" w:lineRule="auto"/>
        <w:jc w:val="both"/>
        <w:rPr>
          <w:rFonts w:ascii="Arial" w:hAnsi="Arial" w:cs="Arial"/>
          <w:b w:val="0"/>
          <w:color w:val="auto"/>
          <w:sz w:val="20"/>
          <w:szCs w:val="20"/>
        </w:rPr>
      </w:pPr>
    </w:p>
    <w:p w14:paraId="0FE7E15A" w14:textId="77777777" w:rsidR="009E0216" w:rsidRPr="00BE756C" w:rsidRDefault="009E0216" w:rsidP="00BE756C">
      <w:pPr>
        <w:pStyle w:val="Naslov2"/>
        <w:spacing w:after="200" w:line="360" w:lineRule="auto"/>
        <w:jc w:val="both"/>
        <w:rPr>
          <w:rFonts w:ascii="Arial" w:hAnsi="Arial" w:cs="Arial"/>
          <w:color w:val="auto"/>
          <w:sz w:val="24"/>
          <w:szCs w:val="24"/>
        </w:rPr>
      </w:pPr>
      <w:bookmarkStart w:id="48" w:name="_Toc55999328"/>
      <w:r w:rsidRPr="00BE756C">
        <w:rPr>
          <w:rFonts w:ascii="Arial" w:hAnsi="Arial" w:cs="Arial"/>
          <w:color w:val="auto"/>
          <w:sz w:val="24"/>
          <w:szCs w:val="24"/>
        </w:rPr>
        <w:t>2.1 IZOBRAŽEVANJE</w:t>
      </w:r>
      <w:bookmarkEnd w:id="48"/>
    </w:p>
    <w:p w14:paraId="651CD48F" w14:textId="77777777" w:rsidR="00026AF3" w:rsidRPr="00A52F41" w:rsidRDefault="009E0216" w:rsidP="00BE756C">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 xml:space="preserve">Vključenost v izobraževanje in izobrazbena struktura prebivalstva sta v Sloveniji relativno visoki. Med državami EU ima Slovenija nadpovprečen in rastoč delež visoko izobraženega prebivalstva, dosežki mladih pri naravoslovni, matematični in bralni pismenosti so dobri. Kljub temu se je država v obdobju visokega povpraševanja po delu v preteklih letih soočila s pomanjkanjem ustrezne delovne sile oziroma znanj in spretnosti, kar lahko dolgoročno negativno vpliva na razvoj gospodarstva in blaginjo prebivalstva. To je na eni strani posledica manjših generacij na trgu dela (demografske spremembe), zaradi česar se zmanjšuje ponudba delovne sile. Omejitve za polno izkoriščanje potencialov ob </w:t>
      </w:r>
      <w:r w:rsidRPr="00A52F41">
        <w:rPr>
          <w:rFonts w:ascii="Arial" w:hAnsi="Arial" w:cs="Arial"/>
          <w:sz w:val="20"/>
          <w:szCs w:val="20"/>
        </w:rPr>
        <w:lastRenderedPageBreak/>
        <w:t>demografskih spremembah pomenijo tudi neskladja v znanju in spretnostih glede na potrebe trga dela (</w:t>
      </w:r>
      <w:r w:rsidR="00026AF3">
        <w:rPr>
          <w:rFonts w:ascii="Arial" w:hAnsi="Arial" w:cs="Arial"/>
          <w:sz w:val="20"/>
          <w:szCs w:val="20"/>
        </w:rPr>
        <w:t>Poročilo o razvoju 2020, 2020).</w:t>
      </w:r>
    </w:p>
    <w:p w14:paraId="1E135681" w14:textId="24C3FEB5"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Po podatkih SURS se je skupno število otrok v Sloveniji vključenih v formalno izobraževanje v zadnji desetih letih nekoliko zmanjšalo (v šolskem letu 2018/19 422.576 oseb, na podeželju pa 255.968 oseb). Povečalo se je število otrok vrtcih in učencev v osnovnih šolah, tako v Sloveniji kot na podeželju, medtem ko se je število dijakov in študentov v povprečju v Sloveniji in na podeželju zmanjšalo. V šolskem letu 2018/2019 je v Sloveniji delovalo 968 vrtcev in enot vrtcev. Vanje je bilo leta 2019 vključenih </w:t>
      </w:r>
      <w:r w:rsidRPr="00A52F41">
        <w:rPr>
          <w:rFonts w:ascii="Arial" w:hAnsi="Arial" w:cs="Arial"/>
          <w:color w:val="000000"/>
          <w:sz w:val="20"/>
          <w:szCs w:val="20"/>
          <w:lang w:eastAsia="sl-SI"/>
        </w:rPr>
        <w:t>87.708</w:t>
      </w:r>
      <w:r w:rsidRPr="00A52F41">
        <w:rPr>
          <w:rFonts w:ascii="Arial" w:hAnsi="Arial" w:cs="Arial"/>
          <w:sz w:val="20"/>
          <w:szCs w:val="20"/>
        </w:rPr>
        <w:t xml:space="preserve"> otrok, od tega na podeželju skoraj 60 % vseh. Skoraj vsaka občina ima vrtec. V šolskem letu 2018/2019 je redni osnovnošolski program obiskovalo približno 184.100 učencev, od tega približno 112.200 učencev na podeželju (60 % vseh učencev). Na začetku šolskega leta 2018/2019 je bilo v srednješolsko izobraževanje vpisanih 73.110 dijakov, od tega približno 44.300 dijakov glede na prebivališče s podeželja (60 % vseh dijakov). V študijskem letu 2018/2019 je bilo v Sloveniji v terciarno izobraževanje vpisanih 75.990 študentov ali povprečno 37 študentov na 1.000 prebivalcev. Od tega jih s podeželja glede na prebivališče prihaja okoli 42.600 (55 % vseh študentov) (</w:t>
      </w:r>
      <w:r w:rsidR="008E6C7E">
        <w:rPr>
          <w:rFonts w:ascii="Arial" w:hAnsi="Arial" w:cs="Arial"/>
          <w:sz w:val="20"/>
          <w:szCs w:val="20"/>
        </w:rPr>
        <w:t>Tabela 15</w:t>
      </w:r>
      <w:r w:rsidRPr="00A52F41">
        <w:rPr>
          <w:rFonts w:ascii="Arial" w:hAnsi="Arial" w:cs="Arial"/>
          <w:sz w:val="20"/>
          <w:szCs w:val="20"/>
        </w:rPr>
        <w:t>).</w:t>
      </w:r>
    </w:p>
    <w:p w14:paraId="66EA638F" w14:textId="77777777" w:rsidR="009E0216" w:rsidRPr="00A417A4" w:rsidRDefault="00910940" w:rsidP="00A417A4">
      <w:pPr>
        <w:pStyle w:val="SCslika"/>
        <w:keepNext/>
        <w:keepLines/>
      </w:pPr>
      <w:r w:rsidRPr="00A417A4">
        <w:t>Tabela</w:t>
      </w:r>
      <w:r w:rsidR="00026AF3" w:rsidRPr="00A417A4">
        <w:t xml:space="preserve"> 1</w:t>
      </w:r>
      <w:r w:rsidRPr="00A417A4">
        <w:t>5</w:t>
      </w:r>
      <w:r w:rsidR="009E0216" w:rsidRPr="00A417A4">
        <w:t>: Vključeni v formalno izobraževanje po vrsti programa, 2008, 2018</w:t>
      </w:r>
    </w:p>
    <w:tbl>
      <w:tblPr>
        <w:tblW w:w="87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5"/>
        <w:gridCol w:w="1555"/>
        <w:gridCol w:w="1555"/>
        <w:gridCol w:w="1555"/>
        <w:gridCol w:w="1555"/>
      </w:tblGrid>
      <w:tr w:rsidR="009E0216" w:rsidRPr="00A52F41" w14:paraId="570FDEA8" w14:textId="77777777" w:rsidTr="00C0502F">
        <w:trPr>
          <w:trHeight w:val="623"/>
        </w:trPr>
        <w:tc>
          <w:tcPr>
            <w:tcW w:w="2495" w:type="dxa"/>
            <w:shd w:val="clear" w:color="auto" w:fill="auto"/>
            <w:vAlign w:val="bottom"/>
            <w:hideMark/>
          </w:tcPr>
          <w:p w14:paraId="48FA56D7"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Formalno izobraževanje, šolsko leto 2018/2019</w:t>
            </w:r>
          </w:p>
        </w:tc>
        <w:tc>
          <w:tcPr>
            <w:tcW w:w="1555" w:type="dxa"/>
            <w:vAlign w:val="bottom"/>
          </w:tcPr>
          <w:p w14:paraId="46E2538A"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Slovenija</w:t>
            </w:r>
          </w:p>
          <w:p w14:paraId="73ABC260" w14:textId="5D2FB5A3"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(leto 2008)</w:t>
            </w:r>
          </w:p>
        </w:tc>
        <w:tc>
          <w:tcPr>
            <w:tcW w:w="1555" w:type="dxa"/>
          </w:tcPr>
          <w:p w14:paraId="1F4CD6A3"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Slovenija (leto 2018/2019)</w:t>
            </w:r>
          </w:p>
        </w:tc>
        <w:tc>
          <w:tcPr>
            <w:tcW w:w="1555" w:type="dxa"/>
          </w:tcPr>
          <w:p w14:paraId="7984A571"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 xml:space="preserve">Podeželje </w:t>
            </w:r>
          </w:p>
          <w:p w14:paraId="70CBCE91"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(leto 2008)</w:t>
            </w:r>
          </w:p>
        </w:tc>
        <w:tc>
          <w:tcPr>
            <w:tcW w:w="1555" w:type="dxa"/>
          </w:tcPr>
          <w:p w14:paraId="55C08DE1"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Podeželje (leto 2018/2019)</w:t>
            </w:r>
          </w:p>
        </w:tc>
      </w:tr>
      <w:tr w:rsidR="009E0216" w:rsidRPr="00A52F41" w14:paraId="09933A3F" w14:textId="77777777" w:rsidTr="00C0502F">
        <w:trPr>
          <w:trHeight w:val="273"/>
        </w:trPr>
        <w:tc>
          <w:tcPr>
            <w:tcW w:w="2495" w:type="dxa"/>
            <w:shd w:val="clear" w:color="auto" w:fill="auto"/>
            <w:noWrap/>
            <w:vAlign w:val="bottom"/>
            <w:hideMark/>
          </w:tcPr>
          <w:p w14:paraId="16DDBEC8"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Otroci v vrtcu</w:t>
            </w:r>
          </w:p>
        </w:tc>
        <w:tc>
          <w:tcPr>
            <w:tcW w:w="1555" w:type="dxa"/>
            <w:vAlign w:val="bottom"/>
          </w:tcPr>
          <w:p w14:paraId="53ECB9C6"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65.966</w:t>
            </w:r>
          </w:p>
        </w:tc>
        <w:tc>
          <w:tcPr>
            <w:tcW w:w="1555" w:type="dxa"/>
          </w:tcPr>
          <w:p w14:paraId="3B9FC6D5"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87.147</w:t>
            </w:r>
          </w:p>
        </w:tc>
        <w:tc>
          <w:tcPr>
            <w:tcW w:w="1555" w:type="dxa"/>
          </w:tcPr>
          <w:p w14:paraId="7B9BB46A"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35.921</w:t>
            </w:r>
          </w:p>
        </w:tc>
        <w:tc>
          <w:tcPr>
            <w:tcW w:w="1555" w:type="dxa"/>
          </w:tcPr>
          <w:p w14:paraId="1F653AF3"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51.000</w:t>
            </w:r>
          </w:p>
        </w:tc>
      </w:tr>
      <w:tr w:rsidR="009E0216" w:rsidRPr="00A52F41" w14:paraId="1FE9E7EC" w14:textId="77777777" w:rsidTr="00C0502F">
        <w:trPr>
          <w:trHeight w:val="273"/>
        </w:trPr>
        <w:tc>
          <w:tcPr>
            <w:tcW w:w="2495" w:type="dxa"/>
            <w:shd w:val="clear" w:color="auto" w:fill="auto"/>
            <w:noWrap/>
            <w:vAlign w:val="bottom"/>
            <w:hideMark/>
          </w:tcPr>
          <w:p w14:paraId="702E3EAD"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Učenci</w:t>
            </w:r>
          </w:p>
        </w:tc>
        <w:tc>
          <w:tcPr>
            <w:tcW w:w="1555" w:type="dxa"/>
            <w:vAlign w:val="bottom"/>
          </w:tcPr>
          <w:p w14:paraId="3927711A"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161.887</w:t>
            </w:r>
          </w:p>
        </w:tc>
        <w:tc>
          <w:tcPr>
            <w:tcW w:w="1555" w:type="dxa"/>
          </w:tcPr>
          <w:p w14:paraId="392ACED5"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184.100</w:t>
            </w:r>
          </w:p>
        </w:tc>
        <w:tc>
          <w:tcPr>
            <w:tcW w:w="1555" w:type="dxa"/>
          </w:tcPr>
          <w:p w14:paraId="3A4D99CC"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100.340</w:t>
            </w:r>
          </w:p>
        </w:tc>
        <w:tc>
          <w:tcPr>
            <w:tcW w:w="1555" w:type="dxa"/>
          </w:tcPr>
          <w:p w14:paraId="4E11E779"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112.200</w:t>
            </w:r>
          </w:p>
        </w:tc>
      </w:tr>
      <w:tr w:rsidR="009E0216" w:rsidRPr="00A52F41" w14:paraId="0363947D" w14:textId="77777777" w:rsidTr="00C0502F">
        <w:trPr>
          <w:trHeight w:val="273"/>
        </w:trPr>
        <w:tc>
          <w:tcPr>
            <w:tcW w:w="2495" w:type="dxa"/>
            <w:shd w:val="clear" w:color="auto" w:fill="auto"/>
            <w:noWrap/>
            <w:vAlign w:val="bottom"/>
            <w:hideMark/>
          </w:tcPr>
          <w:p w14:paraId="6B730FD7"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Dijaki</w:t>
            </w:r>
          </w:p>
        </w:tc>
        <w:tc>
          <w:tcPr>
            <w:tcW w:w="1555" w:type="dxa"/>
            <w:vAlign w:val="bottom"/>
          </w:tcPr>
          <w:p w14:paraId="38339368"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87.501</w:t>
            </w:r>
          </w:p>
        </w:tc>
        <w:tc>
          <w:tcPr>
            <w:tcW w:w="1555" w:type="dxa"/>
          </w:tcPr>
          <w:p w14:paraId="2DAAD0A1"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73.110</w:t>
            </w:r>
          </w:p>
        </w:tc>
        <w:tc>
          <w:tcPr>
            <w:tcW w:w="1555" w:type="dxa"/>
          </w:tcPr>
          <w:p w14:paraId="0D126DC8"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53.369</w:t>
            </w:r>
          </w:p>
        </w:tc>
        <w:tc>
          <w:tcPr>
            <w:tcW w:w="1555" w:type="dxa"/>
          </w:tcPr>
          <w:p w14:paraId="170A5B77"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44.300</w:t>
            </w:r>
          </w:p>
        </w:tc>
      </w:tr>
      <w:tr w:rsidR="009E0216" w:rsidRPr="00A52F41" w14:paraId="4C5CA247" w14:textId="77777777" w:rsidTr="00C0502F">
        <w:trPr>
          <w:trHeight w:val="273"/>
        </w:trPr>
        <w:tc>
          <w:tcPr>
            <w:tcW w:w="2495" w:type="dxa"/>
            <w:shd w:val="clear" w:color="auto" w:fill="auto"/>
            <w:noWrap/>
            <w:vAlign w:val="bottom"/>
            <w:hideMark/>
          </w:tcPr>
          <w:p w14:paraId="1E4431FD"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Študenti</w:t>
            </w:r>
          </w:p>
        </w:tc>
        <w:tc>
          <w:tcPr>
            <w:tcW w:w="1555" w:type="dxa"/>
            <w:vAlign w:val="bottom"/>
          </w:tcPr>
          <w:p w14:paraId="393E81B0"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114.391</w:t>
            </w:r>
          </w:p>
        </w:tc>
        <w:tc>
          <w:tcPr>
            <w:tcW w:w="1555" w:type="dxa"/>
          </w:tcPr>
          <w:p w14:paraId="2E02216B"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75.991</w:t>
            </w:r>
          </w:p>
        </w:tc>
        <w:tc>
          <w:tcPr>
            <w:tcW w:w="1555" w:type="dxa"/>
          </w:tcPr>
          <w:p w14:paraId="22C8CF9A"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66.338</w:t>
            </w:r>
          </w:p>
        </w:tc>
        <w:tc>
          <w:tcPr>
            <w:tcW w:w="1555" w:type="dxa"/>
          </w:tcPr>
          <w:p w14:paraId="0CD11699"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42.600</w:t>
            </w:r>
          </w:p>
        </w:tc>
      </w:tr>
      <w:tr w:rsidR="009E0216" w:rsidRPr="00A52F41" w14:paraId="2562075B" w14:textId="77777777" w:rsidTr="00C0502F">
        <w:trPr>
          <w:trHeight w:val="273"/>
        </w:trPr>
        <w:tc>
          <w:tcPr>
            <w:tcW w:w="2495" w:type="dxa"/>
            <w:shd w:val="clear" w:color="auto" w:fill="auto"/>
            <w:noWrap/>
            <w:vAlign w:val="bottom"/>
          </w:tcPr>
          <w:p w14:paraId="18CA6E90"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Skupaj</w:t>
            </w:r>
          </w:p>
        </w:tc>
        <w:tc>
          <w:tcPr>
            <w:tcW w:w="1555" w:type="dxa"/>
          </w:tcPr>
          <w:p w14:paraId="29004BF4"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429.745</w:t>
            </w:r>
          </w:p>
        </w:tc>
        <w:tc>
          <w:tcPr>
            <w:tcW w:w="1555" w:type="dxa"/>
          </w:tcPr>
          <w:p w14:paraId="0B6E879E"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420.348</w:t>
            </w:r>
          </w:p>
        </w:tc>
        <w:tc>
          <w:tcPr>
            <w:tcW w:w="1555" w:type="dxa"/>
          </w:tcPr>
          <w:p w14:paraId="2A555FD0"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255.968</w:t>
            </w:r>
          </w:p>
        </w:tc>
        <w:tc>
          <w:tcPr>
            <w:tcW w:w="1555" w:type="dxa"/>
          </w:tcPr>
          <w:p w14:paraId="284976DF"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250.100</w:t>
            </w:r>
          </w:p>
        </w:tc>
      </w:tr>
    </w:tbl>
    <w:p w14:paraId="3CC0E655" w14:textId="77777777" w:rsidR="009E0216" w:rsidRPr="00026AF3" w:rsidRDefault="009E0216" w:rsidP="00EA2E4C">
      <w:pPr>
        <w:shd w:val="clear" w:color="auto" w:fill="FFFFFF"/>
        <w:spacing w:line="360" w:lineRule="auto"/>
        <w:jc w:val="both"/>
        <w:rPr>
          <w:rFonts w:ascii="Arial" w:hAnsi="Arial" w:cs="Arial"/>
          <w:sz w:val="16"/>
          <w:szCs w:val="16"/>
        </w:rPr>
      </w:pPr>
      <w:r w:rsidRPr="00026AF3">
        <w:rPr>
          <w:rFonts w:ascii="Arial" w:hAnsi="Arial" w:cs="Arial"/>
          <w:sz w:val="16"/>
          <w:szCs w:val="16"/>
        </w:rPr>
        <w:t>Vir: SURS</w:t>
      </w:r>
    </w:p>
    <w:p w14:paraId="4F510E2A" w14:textId="725BA32A" w:rsidR="009E0216" w:rsidRPr="00A52F41" w:rsidRDefault="009E0216" w:rsidP="00EA2E4C">
      <w:pPr>
        <w:shd w:val="clear" w:color="auto" w:fill="FFFFFF"/>
        <w:spacing w:line="360" w:lineRule="auto"/>
        <w:jc w:val="both"/>
        <w:rPr>
          <w:rFonts w:ascii="Arial" w:hAnsi="Arial" w:cs="Arial"/>
          <w:sz w:val="20"/>
          <w:szCs w:val="20"/>
        </w:rPr>
      </w:pPr>
      <w:r w:rsidRPr="00A52F41">
        <w:rPr>
          <w:rFonts w:ascii="Arial" w:hAnsi="Arial" w:cs="Arial"/>
          <w:sz w:val="20"/>
          <w:szCs w:val="20"/>
        </w:rPr>
        <w:t xml:space="preserve">Najvišji delež vključenih v izobrazbo je torej osnovnošolcev, na podeželju pa je nekoliko večji delež osnovnošolcev in dijakov v primerjavi s Slovenijo, delež študentov od vseh prebivalcev na podeželju pa je nekoliko nižji na podeželju kot v </w:t>
      </w:r>
      <w:r w:rsidRPr="00CA2977">
        <w:rPr>
          <w:rFonts w:ascii="Arial" w:hAnsi="Arial" w:cs="Arial"/>
          <w:sz w:val="20"/>
          <w:szCs w:val="20"/>
        </w:rPr>
        <w:t>Sloveniji (Slika 1</w:t>
      </w:r>
      <w:r w:rsidR="009E0FB0" w:rsidRPr="00CA2977">
        <w:rPr>
          <w:rFonts w:ascii="Arial" w:hAnsi="Arial" w:cs="Arial"/>
          <w:sz w:val="20"/>
          <w:szCs w:val="20"/>
        </w:rPr>
        <w:t>7</w:t>
      </w:r>
      <w:r w:rsidRPr="00CA2977">
        <w:rPr>
          <w:rFonts w:ascii="Arial" w:hAnsi="Arial" w:cs="Arial"/>
          <w:sz w:val="20"/>
          <w:szCs w:val="20"/>
        </w:rPr>
        <w:t>).</w:t>
      </w:r>
      <w:r w:rsidRPr="00A52F41">
        <w:rPr>
          <w:rFonts w:ascii="Arial" w:hAnsi="Arial" w:cs="Arial"/>
          <w:sz w:val="20"/>
          <w:szCs w:val="20"/>
        </w:rPr>
        <w:t xml:space="preserve"> Na podeželju je enak delež</w:t>
      </w:r>
      <w:r w:rsidR="009E0FB0">
        <w:rPr>
          <w:rFonts w:ascii="Arial" w:hAnsi="Arial" w:cs="Arial"/>
          <w:sz w:val="20"/>
          <w:szCs w:val="20"/>
        </w:rPr>
        <w:t xml:space="preserve"> </w:t>
      </w:r>
      <w:r w:rsidRPr="00A52F41">
        <w:rPr>
          <w:rFonts w:ascii="Arial" w:hAnsi="Arial" w:cs="Arial"/>
          <w:sz w:val="20"/>
          <w:szCs w:val="20"/>
        </w:rPr>
        <w:t>diplomantov (na 1.000 prebivalcev) kot v Sloveniji.</w:t>
      </w:r>
    </w:p>
    <w:p w14:paraId="73993F71" w14:textId="77777777" w:rsidR="00026AF3" w:rsidRPr="00026AF3" w:rsidRDefault="00A53A3F" w:rsidP="00026AF3">
      <w:pPr>
        <w:pStyle w:val="Napis"/>
        <w:spacing w:line="360" w:lineRule="auto"/>
        <w:jc w:val="both"/>
        <w:rPr>
          <w:sz w:val="20"/>
          <w:szCs w:val="20"/>
        </w:rPr>
      </w:pPr>
      <w:bookmarkStart w:id="49" w:name="_Toc47082379"/>
      <w:bookmarkStart w:id="50" w:name="_Toc47092620"/>
      <w:r>
        <w:rPr>
          <w:sz w:val="20"/>
          <w:szCs w:val="20"/>
        </w:rPr>
        <w:lastRenderedPageBreak/>
        <w:t>Slika 17</w:t>
      </w:r>
      <w:r w:rsidR="00026AF3" w:rsidRPr="00026AF3">
        <w:rPr>
          <w:sz w:val="20"/>
          <w:szCs w:val="20"/>
        </w:rPr>
        <w:t>: Delež učencev, dijakov in študentov od celotnega prebivalstva na podeželju oz. Sloveniji (leto 2018)</w:t>
      </w:r>
      <w:bookmarkEnd w:id="49"/>
      <w:bookmarkEnd w:id="50"/>
    </w:p>
    <w:p w14:paraId="5923B840" w14:textId="77777777" w:rsidR="009E0216" w:rsidRPr="00A52F41" w:rsidRDefault="009E0216" w:rsidP="00EA2E4C">
      <w:pPr>
        <w:pStyle w:val="Napis"/>
        <w:spacing w:line="360" w:lineRule="auto"/>
        <w:jc w:val="both"/>
        <w:rPr>
          <w:sz w:val="20"/>
          <w:szCs w:val="20"/>
        </w:rPr>
      </w:pPr>
      <w:r w:rsidRPr="00A52F41">
        <w:rPr>
          <w:noProof/>
          <w:sz w:val="20"/>
          <w:szCs w:val="20"/>
          <w:lang w:eastAsia="sl-SI"/>
        </w:rPr>
        <w:drawing>
          <wp:inline distT="0" distB="0" distL="0" distR="0" wp14:anchorId="2EF57EBA" wp14:editId="1B0B69FC">
            <wp:extent cx="4229100" cy="1812897"/>
            <wp:effectExtent l="0" t="0" r="0" b="16510"/>
            <wp:docPr id="27" name="Grafikon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606629" w14:textId="77777777" w:rsidR="009E0216" w:rsidRPr="00026AF3" w:rsidRDefault="00026AF3" w:rsidP="00EA2E4C">
      <w:pPr>
        <w:shd w:val="clear" w:color="auto" w:fill="FFFFFF"/>
        <w:spacing w:line="360" w:lineRule="auto"/>
        <w:jc w:val="both"/>
        <w:rPr>
          <w:rFonts w:ascii="Arial" w:hAnsi="Arial" w:cs="Arial"/>
          <w:sz w:val="16"/>
          <w:szCs w:val="16"/>
        </w:rPr>
      </w:pPr>
      <w:r w:rsidRPr="00026AF3">
        <w:rPr>
          <w:rFonts w:ascii="Arial" w:hAnsi="Arial" w:cs="Arial"/>
          <w:sz w:val="16"/>
          <w:szCs w:val="16"/>
        </w:rPr>
        <w:t>Vir: SURS, lastni preračuni</w:t>
      </w:r>
    </w:p>
    <w:p w14:paraId="6F3C16D9" w14:textId="0E0F2110" w:rsidR="009E0216" w:rsidRPr="00A52F41" w:rsidRDefault="009E0216" w:rsidP="00BE756C">
      <w:pPr>
        <w:shd w:val="clear" w:color="auto" w:fill="FFFFFF"/>
        <w:spacing w:before="200" w:line="360" w:lineRule="auto"/>
        <w:jc w:val="both"/>
        <w:rPr>
          <w:rFonts w:ascii="Arial" w:hAnsi="Arial" w:cs="Arial"/>
          <w:sz w:val="20"/>
          <w:szCs w:val="20"/>
        </w:rPr>
      </w:pPr>
      <w:r w:rsidRPr="00A52F41">
        <w:rPr>
          <w:rFonts w:ascii="Arial" w:hAnsi="Arial" w:cs="Arial"/>
          <w:sz w:val="20"/>
          <w:szCs w:val="20"/>
        </w:rPr>
        <w:t>Med statističnimi regijami je imela največ študentov na 1.000 prebivalcev goriška statistična regija, najmanj pa obalno-kraška statistična regija. Zaradi zmanjševanja generacij in negativnih demografskih sprememb se število vpisanih otrok v osnovne in srednje šole ter število dijakov zmanjšuje, predvsem zaradi posledic negativnih demografskih sprememb (zmanjšanje št. dijakov se je v osmih letih zmanjšalo za 11 %, št. študentov pa je za 34 % nižje kot pred desetimi leti, predvsem na družboslovnih smereh) (SURS, 2020). Takšna gibanja, ki naj bi se po demografskih projekcijah nadaljevala še nekaj let, zmanjšujejo potencialno število mladih za neposreden vpis v terciarno izobraževanje in ponudbo mladih na trgu dela. Zmanjšanje števila mladih, vpisanih v poklicno izobraževanje, je bilo neugodno z vidika potreb delodajalcev, ki so zaradi demografskih razlogov težko dobili ustrezne kadre za zaposlitev (kljub v mednarodni primerjavi visokemu deležu vpisanih na poklicne programe). Že več let se zaradi demografskih razlogov zmanjšuje tudi število vpisanih v terciarno izobraževanje.</w:t>
      </w:r>
    </w:p>
    <w:p w14:paraId="6F456882" w14:textId="77777777" w:rsidR="009E0216" w:rsidRPr="00A52F41" w:rsidRDefault="009E0216" w:rsidP="00BE756C">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Deleža mladih (20–24 let) in odraslih (25–64 let) z vsaj srednješolsko izobrazbo sta višja kot v povprečju EU in se dolgoročno gledano povečujeta. Leta 2018 je delež odraslih (25–64 let) s terciarno izobrazbo znašal 32,5 % (EU: 32,3 %). Dolgoletna rast deleža, ki je povezana z visoko vključenostjo mladih v terciarno izobraževanje, se je leta 2018 ustavila. Slednje je najverjetneje povezano z demografskim učinkom (zmanjšanje generacije mladih, pri katerih je delež terciarno izobraženih višji kot v višjih starostnih skupinah). Delež odraslih s terciarno izobrazbo se je v obdobju 2008–2018 najbolj povečal v starostnih skupinah 35–44 let in 25–34 let, znotraj katere je v starostni skupini 30–34 let že več let višji od povprečja EU.  Čeprav so bila takšna gibanja ugodna z vidika povečevanja človeškega kapitala in konkurenčnosti slovenskega gospodarstva, pa je ob staranju prebivalstva, rastočem povpraševanju delodajalcev po kadrih in neskladjih na trgu dela ponudba ustrezno izobraženih s terciarno izobrazbo zaostajala za potrebami družbe in gospodarstva. Glede na spol izstopa veliko večji delež terciarno izobraženih žensk kot moških. Razlike med regijami so relativno nizke. Več terciarno izobraženih je v zahodni (37,7 %) kot v vzhodni Sloveniji (27,9 %). Večji delež terciarno izobraženih je v statističnih regijah v katerih so visokošolske ustanove in več delovnih mest (Poročilo o razvoju 2020, 2020).</w:t>
      </w:r>
    </w:p>
    <w:p w14:paraId="54C72FCC" w14:textId="5D68FBCA" w:rsidR="009E0216" w:rsidRPr="00CA2977"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Na podeželju je v primerjavi s celotno Slovenijo in ostalimi območji več ljudi brez izobrazbe. Brez izobrazbe ali samo z osnovnošolsko je na podeželju več žensk kot moških. Tako na podeželju, kot na </w:t>
      </w:r>
      <w:r w:rsidRPr="00A52F41">
        <w:rPr>
          <w:rFonts w:ascii="Arial" w:hAnsi="Arial" w:cs="Arial"/>
          <w:sz w:val="20"/>
          <w:szCs w:val="20"/>
        </w:rPr>
        <w:lastRenderedPageBreak/>
        <w:t xml:space="preserve">ostalih območjih največji delež v doseženi stopnji izobrazbe predstavlja srednješolska izobrazba (nekoliko več na podeželju). V primerjavi po spolu več moških dosega srednješolsko izobrazbo, več žensk kot moških pa višješolsko izobrazbo, tako na podeželju, kot v ostalih območjih. Višješolska izobrazba je zastopana v skoraj enakem deležu tako na podeželju kot na ostalem območju, na ostalih območjih je veliko več le 3. stopnje višješolske </w:t>
      </w:r>
      <w:r w:rsidRPr="00CA2977">
        <w:rPr>
          <w:rFonts w:ascii="Arial" w:hAnsi="Arial" w:cs="Arial"/>
          <w:sz w:val="20"/>
          <w:szCs w:val="20"/>
        </w:rPr>
        <w:t>izobrazbe (Slika 1</w:t>
      </w:r>
      <w:r w:rsidR="008E6C7E" w:rsidRPr="00CA2977">
        <w:rPr>
          <w:rFonts w:ascii="Arial" w:hAnsi="Arial" w:cs="Arial"/>
          <w:sz w:val="20"/>
          <w:szCs w:val="20"/>
        </w:rPr>
        <w:t>8</w:t>
      </w:r>
      <w:r w:rsidRPr="00CA2977">
        <w:rPr>
          <w:rFonts w:ascii="Arial" w:hAnsi="Arial" w:cs="Arial"/>
          <w:sz w:val="20"/>
          <w:szCs w:val="20"/>
        </w:rPr>
        <w:t>).</w:t>
      </w:r>
    </w:p>
    <w:p w14:paraId="1C1534C3" w14:textId="6F9ED74F" w:rsidR="009E0216" w:rsidRPr="00A417A4" w:rsidRDefault="00910940" w:rsidP="00A417A4">
      <w:pPr>
        <w:pStyle w:val="SCslika"/>
        <w:keepNext/>
        <w:keepLines/>
      </w:pPr>
      <w:bookmarkStart w:id="51" w:name="_Toc47092641"/>
      <w:r w:rsidRPr="00A417A4">
        <w:t>Tabela</w:t>
      </w:r>
      <w:r w:rsidR="009E0216" w:rsidRPr="00A417A4">
        <w:t xml:space="preserve"> </w:t>
      </w:r>
      <w:r w:rsidR="00026AF3" w:rsidRPr="00A417A4">
        <w:t>1</w:t>
      </w:r>
      <w:r w:rsidRPr="00A417A4">
        <w:t>6</w:t>
      </w:r>
      <w:r w:rsidR="009E0216" w:rsidRPr="00A417A4">
        <w:t>: Stopnja izobrazbe v letu 2019</w:t>
      </w:r>
      <w:bookmarkEnd w:id="51"/>
    </w:p>
    <w:tbl>
      <w:tblPr>
        <w:tblW w:w="7655" w:type="dxa"/>
        <w:tblCellMar>
          <w:left w:w="70" w:type="dxa"/>
          <w:right w:w="70" w:type="dxa"/>
        </w:tblCellMar>
        <w:tblLook w:val="04A0" w:firstRow="1" w:lastRow="0" w:firstColumn="1" w:lastColumn="0" w:noHBand="0" w:noVBand="1"/>
      </w:tblPr>
      <w:tblGrid>
        <w:gridCol w:w="1175"/>
        <w:gridCol w:w="1693"/>
        <w:gridCol w:w="1728"/>
        <w:gridCol w:w="1595"/>
        <w:gridCol w:w="1464"/>
      </w:tblGrid>
      <w:tr w:rsidR="009E0216" w:rsidRPr="00A52F41" w14:paraId="06141AE8" w14:textId="77777777" w:rsidTr="00C0502F">
        <w:trPr>
          <w:trHeight w:val="344"/>
        </w:trPr>
        <w:tc>
          <w:tcPr>
            <w:tcW w:w="11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95D183"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 </w:t>
            </w:r>
          </w:p>
        </w:tc>
        <w:tc>
          <w:tcPr>
            <w:tcW w:w="1693" w:type="dxa"/>
            <w:tcBorders>
              <w:top w:val="single" w:sz="4" w:space="0" w:color="auto"/>
              <w:left w:val="nil"/>
              <w:bottom w:val="single" w:sz="4" w:space="0" w:color="auto"/>
              <w:right w:val="single" w:sz="4" w:space="0" w:color="auto"/>
            </w:tcBorders>
            <w:shd w:val="clear" w:color="auto" w:fill="auto"/>
            <w:vAlign w:val="bottom"/>
            <w:hideMark/>
          </w:tcPr>
          <w:p w14:paraId="32938308"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Brez izobrazbe, nepopolna osnovnošolska</w:t>
            </w:r>
          </w:p>
        </w:tc>
        <w:tc>
          <w:tcPr>
            <w:tcW w:w="1728" w:type="dxa"/>
            <w:tcBorders>
              <w:top w:val="single" w:sz="4" w:space="0" w:color="auto"/>
              <w:left w:val="nil"/>
              <w:bottom w:val="single" w:sz="4" w:space="0" w:color="auto"/>
              <w:right w:val="single" w:sz="4" w:space="0" w:color="auto"/>
            </w:tcBorders>
            <w:shd w:val="clear" w:color="auto" w:fill="auto"/>
            <w:vAlign w:val="bottom"/>
            <w:hideMark/>
          </w:tcPr>
          <w:p w14:paraId="601687DF"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Osnovnošolska</w:t>
            </w:r>
          </w:p>
        </w:tc>
        <w:tc>
          <w:tcPr>
            <w:tcW w:w="1595" w:type="dxa"/>
            <w:tcBorders>
              <w:top w:val="single" w:sz="4" w:space="0" w:color="auto"/>
              <w:left w:val="nil"/>
              <w:bottom w:val="single" w:sz="4" w:space="0" w:color="auto"/>
              <w:right w:val="single" w:sz="4" w:space="0" w:color="auto"/>
            </w:tcBorders>
            <w:shd w:val="clear" w:color="auto" w:fill="auto"/>
            <w:vAlign w:val="bottom"/>
            <w:hideMark/>
          </w:tcPr>
          <w:p w14:paraId="5B67582B"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Srednješolska - Skupaj</w:t>
            </w:r>
          </w:p>
        </w:tc>
        <w:tc>
          <w:tcPr>
            <w:tcW w:w="1464" w:type="dxa"/>
            <w:tcBorders>
              <w:top w:val="single" w:sz="4" w:space="0" w:color="auto"/>
              <w:left w:val="nil"/>
              <w:bottom w:val="single" w:sz="4" w:space="0" w:color="auto"/>
              <w:right w:val="single" w:sz="4" w:space="0" w:color="auto"/>
            </w:tcBorders>
            <w:shd w:val="clear" w:color="auto" w:fill="auto"/>
            <w:vAlign w:val="bottom"/>
            <w:hideMark/>
          </w:tcPr>
          <w:p w14:paraId="26AE4184"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Višješolska, visokošolska - Skupaj</w:t>
            </w:r>
          </w:p>
        </w:tc>
      </w:tr>
      <w:tr w:rsidR="009E0216" w:rsidRPr="00A52F41" w14:paraId="4E759016" w14:textId="77777777" w:rsidTr="00C0502F">
        <w:trPr>
          <w:trHeight w:val="344"/>
        </w:trPr>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14:paraId="4C58E15D"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Slovenija</w:t>
            </w:r>
          </w:p>
        </w:tc>
        <w:tc>
          <w:tcPr>
            <w:tcW w:w="1693" w:type="dxa"/>
            <w:tcBorders>
              <w:top w:val="single" w:sz="4" w:space="0" w:color="auto"/>
              <w:left w:val="nil"/>
              <w:bottom w:val="single" w:sz="4" w:space="0" w:color="auto"/>
              <w:right w:val="single" w:sz="4" w:space="0" w:color="auto"/>
            </w:tcBorders>
            <w:shd w:val="clear" w:color="auto" w:fill="auto"/>
            <w:vAlign w:val="bottom"/>
          </w:tcPr>
          <w:p w14:paraId="08CA97A3"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52096</w:t>
            </w:r>
          </w:p>
        </w:tc>
        <w:tc>
          <w:tcPr>
            <w:tcW w:w="1728" w:type="dxa"/>
            <w:tcBorders>
              <w:top w:val="single" w:sz="4" w:space="0" w:color="auto"/>
              <w:left w:val="nil"/>
              <w:bottom w:val="single" w:sz="4" w:space="0" w:color="auto"/>
              <w:right w:val="single" w:sz="4" w:space="0" w:color="auto"/>
            </w:tcBorders>
            <w:shd w:val="clear" w:color="auto" w:fill="auto"/>
            <w:vAlign w:val="bottom"/>
          </w:tcPr>
          <w:p w14:paraId="5F27FC70"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354902</w:t>
            </w:r>
          </w:p>
        </w:tc>
        <w:tc>
          <w:tcPr>
            <w:tcW w:w="1595" w:type="dxa"/>
            <w:tcBorders>
              <w:top w:val="single" w:sz="4" w:space="0" w:color="auto"/>
              <w:left w:val="nil"/>
              <w:bottom w:val="single" w:sz="4" w:space="0" w:color="auto"/>
              <w:right w:val="single" w:sz="4" w:space="0" w:color="auto"/>
            </w:tcBorders>
            <w:shd w:val="clear" w:color="auto" w:fill="auto"/>
            <w:vAlign w:val="bottom"/>
          </w:tcPr>
          <w:p w14:paraId="1C0C45AF"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932871</w:t>
            </w:r>
          </w:p>
        </w:tc>
        <w:tc>
          <w:tcPr>
            <w:tcW w:w="1464" w:type="dxa"/>
            <w:tcBorders>
              <w:top w:val="single" w:sz="4" w:space="0" w:color="auto"/>
              <w:left w:val="nil"/>
              <w:bottom w:val="single" w:sz="4" w:space="0" w:color="auto"/>
              <w:right w:val="single" w:sz="4" w:space="0" w:color="auto"/>
            </w:tcBorders>
            <w:shd w:val="clear" w:color="auto" w:fill="auto"/>
            <w:vAlign w:val="bottom"/>
          </w:tcPr>
          <w:p w14:paraId="1DD9FAC1"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427333</w:t>
            </w:r>
          </w:p>
        </w:tc>
      </w:tr>
      <w:tr w:rsidR="009E0216" w:rsidRPr="00A52F41" w14:paraId="47064EDB" w14:textId="77777777" w:rsidTr="00C0502F">
        <w:trPr>
          <w:trHeight w:val="159"/>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14:paraId="0F256AE5" w14:textId="75742097" w:rsidR="009E0216" w:rsidRPr="00A52F41" w:rsidRDefault="00E23678" w:rsidP="00A05198">
            <w:pPr>
              <w:spacing w:before="60" w:after="0" w:line="312" w:lineRule="auto"/>
              <w:jc w:val="both"/>
              <w:rPr>
                <w:rFonts w:ascii="Arial" w:hAnsi="Arial" w:cs="Arial"/>
                <w:sz w:val="20"/>
                <w:szCs w:val="20"/>
              </w:rPr>
            </w:pPr>
            <w:r>
              <w:rPr>
                <w:rFonts w:ascii="Arial" w:hAnsi="Arial" w:cs="Arial"/>
                <w:sz w:val="20"/>
                <w:szCs w:val="20"/>
              </w:rPr>
              <w:t>p</w:t>
            </w:r>
            <w:r w:rsidR="009E0216" w:rsidRPr="00A52F41">
              <w:rPr>
                <w:rFonts w:ascii="Arial" w:hAnsi="Arial" w:cs="Arial"/>
                <w:sz w:val="20"/>
                <w:szCs w:val="20"/>
              </w:rPr>
              <w:t>odeželje</w:t>
            </w:r>
          </w:p>
        </w:tc>
        <w:tc>
          <w:tcPr>
            <w:tcW w:w="1693" w:type="dxa"/>
            <w:tcBorders>
              <w:top w:val="nil"/>
              <w:left w:val="nil"/>
              <w:bottom w:val="single" w:sz="4" w:space="0" w:color="auto"/>
              <w:right w:val="single" w:sz="4" w:space="0" w:color="auto"/>
            </w:tcBorders>
            <w:shd w:val="clear" w:color="auto" w:fill="auto"/>
            <w:noWrap/>
            <w:vAlign w:val="bottom"/>
            <w:hideMark/>
          </w:tcPr>
          <w:p w14:paraId="298290EF"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35551</w:t>
            </w:r>
          </w:p>
        </w:tc>
        <w:tc>
          <w:tcPr>
            <w:tcW w:w="1728" w:type="dxa"/>
            <w:tcBorders>
              <w:top w:val="nil"/>
              <w:left w:val="nil"/>
              <w:bottom w:val="single" w:sz="4" w:space="0" w:color="auto"/>
              <w:right w:val="single" w:sz="4" w:space="0" w:color="auto"/>
            </w:tcBorders>
            <w:shd w:val="clear" w:color="auto" w:fill="auto"/>
            <w:noWrap/>
            <w:vAlign w:val="bottom"/>
            <w:hideMark/>
          </w:tcPr>
          <w:p w14:paraId="10FEEE14"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223790</w:t>
            </w:r>
          </w:p>
        </w:tc>
        <w:tc>
          <w:tcPr>
            <w:tcW w:w="1595" w:type="dxa"/>
            <w:tcBorders>
              <w:top w:val="nil"/>
              <w:left w:val="nil"/>
              <w:bottom w:val="single" w:sz="4" w:space="0" w:color="auto"/>
              <w:right w:val="single" w:sz="4" w:space="0" w:color="auto"/>
            </w:tcBorders>
            <w:shd w:val="clear" w:color="auto" w:fill="auto"/>
            <w:noWrap/>
            <w:vAlign w:val="bottom"/>
            <w:hideMark/>
          </w:tcPr>
          <w:p w14:paraId="1F003329"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553105</w:t>
            </w:r>
          </w:p>
        </w:tc>
        <w:tc>
          <w:tcPr>
            <w:tcW w:w="1464" w:type="dxa"/>
            <w:tcBorders>
              <w:top w:val="nil"/>
              <w:left w:val="nil"/>
              <w:bottom w:val="single" w:sz="4" w:space="0" w:color="auto"/>
              <w:right w:val="single" w:sz="4" w:space="0" w:color="auto"/>
            </w:tcBorders>
            <w:shd w:val="clear" w:color="auto" w:fill="auto"/>
            <w:noWrap/>
            <w:vAlign w:val="bottom"/>
            <w:hideMark/>
          </w:tcPr>
          <w:p w14:paraId="65B760B8"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215727</w:t>
            </w:r>
          </w:p>
        </w:tc>
      </w:tr>
    </w:tbl>
    <w:p w14:paraId="580C037F" w14:textId="77777777" w:rsidR="009E0216" w:rsidRPr="00026AF3" w:rsidRDefault="009E0216" w:rsidP="00EA2E4C">
      <w:pPr>
        <w:autoSpaceDE w:val="0"/>
        <w:autoSpaceDN w:val="0"/>
        <w:adjustRightInd w:val="0"/>
        <w:spacing w:line="360" w:lineRule="auto"/>
        <w:jc w:val="both"/>
        <w:rPr>
          <w:rFonts w:ascii="Arial" w:hAnsi="Arial" w:cs="Arial"/>
          <w:sz w:val="16"/>
          <w:szCs w:val="16"/>
        </w:rPr>
      </w:pPr>
      <w:r w:rsidRPr="00026AF3">
        <w:rPr>
          <w:rFonts w:ascii="Arial" w:hAnsi="Arial" w:cs="Arial"/>
          <w:sz w:val="16"/>
          <w:szCs w:val="16"/>
        </w:rPr>
        <w:t>Vir: SURS, lastni preračuni</w:t>
      </w:r>
    </w:p>
    <w:p w14:paraId="3AEBB845" w14:textId="77777777" w:rsidR="00026AF3" w:rsidRPr="002F2DED" w:rsidRDefault="00026AF3" w:rsidP="002F2DED">
      <w:pPr>
        <w:pStyle w:val="SCslika"/>
        <w:keepNext/>
        <w:keepLines/>
      </w:pPr>
      <w:bookmarkStart w:id="52" w:name="_Toc47082380"/>
      <w:bookmarkStart w:id="53" w:name="_Toc47092621"/>
      <w:r w:rsidRPr="002F2DED">
        <w:t>Slika 1</w:t>
      </w:r>
      <w:r w:rsidR="00A53A3F" w:rsidRPr="002F2DED">
        <w:t>8</w:t>
      </w:r>
      <w:r w:rsidRPr="002F2DED">
        <w:t>: Stopnja izobrazbe v letu 2019</w:t>
      </w:r>
      <w:bookmarkEnd w:id="52"/>
      <w:bookmarkEnd w:id="53"/>
    </w:p>
    <w:p w14:paraId="00090B4F" w14:textId="73A6832E" w:rsidR="009E0216" w:rsidRPr="00A52F41" w:rsidRDefault="009E0216" w:rsidP="002F2DED">
      <w:pPr>
        <w:pStyle w:val="Napis"/>
        <w:spacing w:line="240" w:lineRule="auto"/>
        <w:jc w:val="both"/>
        <w:rPr>
          <w:sz w:val="20"/>
          <w:szCs w:val="20"/>
        </w:rPr>
      </w:pPr>
      <w:r w:rsidRPr="00A52F41">
        <w:rPr>
          <w:noProof/>
          <w:sz w:val="20"/>
          <w:szCs w:val="20"/>
          <w:lang w:eastAsia="sl-SI"/>
        </w:rPr>
        <w:drawing>
          <wp:inline distT="0" distB="0" distL="0" distR="0" wp14:anchorId="1FED95CE" wp14:editId="3A6B3D71">
            <wp:extent cx="5451895" cy="2613660"/>
            <wp:effectExtent l="0" t="0" r="15875" b="1524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60379D0" w14:textId="77777777" w:rsidR="009E0216" w:rsidRPr="00026AF3" w:rsidRDefault="00026AF3" w:rsidP="00EA2E4C">
      <w:pPr>
        <w:shd w:val="clear" w:color="auto" w:fill="FFFFFF"/>
        <w:spacing w:line="360" w:lineRule="auto"/>
        <w:jc w:val="both"/>
        <w:rPr>
          <w:rFonts w:ascii="Arial" w:hAnsi="Arial" w:cs="Arial"/>
          <w:sz w:val="16"/>
          <w:szCs w:val="16"/>
        </w:rPr>
      </w:pPr>
      <w:r w:rsidRPr="00026AF3">
        <w:rPr>
          <w:rFonts w:ascii="Arial" w:hAnsi="Arial" w:cs="Arial"/>
          <w:sz w:val="16"/>
          <w:szCs w:val="16"/>
        </w:rPr>
        <w:t>Vir: SURS, lastni preračuni</w:t>
      </w:r>
    </w:p>
    <w:p w14:paraId="7E650F87" w14:textId="77777777" w:rsidR="009E0216" w:rsidRPr="00A52F41" w:rsidRDefault="009E0216" w:rsidP="00BE756C">
      <w:pPr>
        <w:shd w:val="clear" w:color="auto" w:fill="FFFFFF"/>
        <w:spacing w:before="200" w:line="360" w:lineRule="auto"/>
        <w:jc w:val="both"/>
        <w:rPr>
          <w:rFonts w:ascii="Arial" w:hAnsi="Arial" w:cs="Arial"/>
          <w:sz w:val="20"/>
          <w:szCs w:val="20"/>
        </w:rPr>
      </w:pPr>
      <w:r w:rsidRPr="00A52F41">
        <w:rPr>
          <w:rFonts w:ascii="Arial" w:hAnsi="Arial" w:cs="Arial"/>
          <w:sz w:val="20"/>
          <w:szCs w:val="20"/>
        </w:rPr>
        <w:t>Nizke spretnosti odraslih (besedilne, matematične in digitalne) lahko vplivajo na kakovost njihovega življenja. Vključenost prebivalcev v starostni skupini 25–64 let v vseživljenjsko učenje se je v dolgoletnem obdobju znižala in je malo nad povprečjem EU. Od leta 2010, ko je bila najvišja, se je precej znižala in je leta 2018 znašala 11,4 % (EU: 11,1 %). Poleg tega izstopa nizka vključenost nizko izobraženih, starejših, moških, ter odraslih z nizkimi spretnostmi v vseživljenjsko učenje, ki zmanjšuje njihove možnosti za vključenost v družbo in participacijo na trgu dela. To je z vidika spopadanja s tehnološkim napredkom, digitalizacijo in avtomatizacijo, neugoden trend. Z razvojnega vidika regij je neugodna nizka vključenost v nekaterih gospodarsko slabše razvitih regijah. V dolgoletnem obdobju se je vključenost v vseživljenjsko učenje znižala v vseh regijah. Vključenost delovno aktivnih v vseživljenjsko učenje se je v obdobju 2008–2016 zmanjšala, kar lahko zmanjšuje možnosti prilagajanja zaposlenih globalnim trendom in podjetij za dvig konkurenčnosti.</w:t>
      </w:r>
    </w:p>
    <w:p w14:paraId="0611BC56" w14:textId="0D2185CD" w:rsidR="009E0216" w:rsidRDefault="009E0216" w:rsidP="00BE756C">
      <w:pPr>
        <w:shd w:val="clear" w:color="auto" w:fill="FFFFFF"/>
        <w:spacing w:before="200" w:line="360" w:lineRule="auto"/>
        <w:jc w:val="both"/>
        <w:rPr>
          <w:rFonts w:ascii="Arial" w:hAnsi="Arial" w:cs="Arial"/>
          <w:sz w:val="20"/>
          <w:szCs w:val="20"/>
        </w:rPr>
      </w:pPr>
      <w:r w:rsidRPr="00A52F41">
        <w:rPr>
          <w:rFonts w:ascii="Arial" w:hAnsi="Arial" w:cs="Arial"/>
          <w:sz w:val="20"/>
          <w:szCs w:val="20"/>
        </w:rPr>
        <w:lastRenderedPageBreak/>
        <w:t xml:space="preserve">Glede na status aktivnosti je vključenost v vseživljenjsko učenje najvišja med delovno aktivnimi prebivalci, pri katerih pa se je v dolgoletnem obdobju močno zmanjšala. Vključenost brezposelnih ne zaostaja veliko za vključenostjo delovno aktivnih (Poročilo o razvoju 2020, 2020). </w:t>
      </w:r>
    </w:p>
    <w:p w14:paraId="5A16C411" w14:textId="77777777" w:rsidR="002F2DED" w:rsidRPr="00A52F41" w:rsidRDefault="002F2DED" w:rsidP="00BE756C">
      <w:pPr>
        <w:shd w:val="clear" w:color="auto" w:fill="FFFFFF"/>
        <w:spacing w:before="200" w:line="360" w:lineRule="auto"/>
        <w:jc w:val="both"/>
        <w:rPr>
          <w:rFonts w:ascii="Arial" w:hAnsi="Arial" w:cs="Arial"/>
          <w:sz w:val="20"/>
          <w:szCs w:val="20"/>
        </w:rPr>
      </w:pPr>
    </w:p>
    <w:p w14:paraId="7172E051" w14:textId="77777777" w:rsidR="009E0216" w:rsidRPr="00BE756C" w:rsidRDefault="009E0216" w:rsidP="00BE756C">
      <w:pPr>
        <w:pStyle w:val="Naslov2"/>
        <w:spacing w:after="200" w:line="360" w:lineRule="auto"/>
        <w:jc w:val="both"/>
        <w:rPr>
          <w:rFonts w:ascii="Arial" w:hAnsi="Arial" w:cs="Arial"/>
          <w:color w:val="auto"/>
          <w:sz w:val="24"/>
          <w:szCs w:val="24"/>
        </w:rPr>
      </w:pPr>
      <w:bookmarkStart w:id="54" w:name="_Toc46486898"/>
      <w:bookmarkStart w:id="55" w:name="_Toc55999329"/>
      <w:bookmarkEnd w:id="54"/>
      <w:r w:rsidRPr="00BE756C">
        <w:rPr>
          <w:rFonts w:ascii="Arial" w:hAnsi="Arial" w:cs="Arial"/>
          <w:color w:val="auto"/>
          <w:sz w:val="24"/>
          <w:szCs w:val="24"/>
        </w:rPr>
        <w:t>2.2 OPREMLJENOST S STORITVAMI</w:t>
      </w:r>
      <w:bookmarkEnd w:id="55"/>
    </w:p>
    <w:p w14:paraId="30E52AFE" w14:textId="031324C7" w:rsidR="009E0216" w:rsidRPr="00A52F41" w:rsidRDefault="009E0216" w:rsidP="00BE756C">
      <w:pPr>
        <w:pStyle w:val="Default"/>
        <w:spacing w:before="200" w:after="200" w:line="360" w:lineRule="auto"/>
        <w:jc w:val="both"/>
        <w:rPr>
          <w:rFonts w:ascii="Arial" w:hAnsi="Arial" w:cs="Arial"/>
          <w:sz w:val="20"/>
          <w:szCs w:val="20"/>
          <w:lang w:val="sl-SI"/>
        </w:rPr>
      </w:pPr>
      <w:r w:rsidRPr="00A52F41">
        <w:rPr>
          <w:rFonts w:ascii="Arial" w:hAnsi="Arial" w:cs="Arial"/>
          <w:sz w:val="20"/>
          <w:szCs w:val="20"/>
          <w:lang w:val="sl-SI" w:eastAsia="sl-SI"/>
        </w:rPr>
        <w:t xml:space="preserve">Središčna naselja imajo na podeželju večplasten pomen, saj ohranjajo poselitev in kulturno pokrajino, omogočajo oskrbovanje in zaposlovanje prebivalstva, ohranjajo družabno življenje in imajo upravno funkcijo. </w:t>
      </w:r>
      <w:r w:rsidRPr="00A52F41">
        <w:rPr>
          <w:rFonts w:ascii="Arial" w:hAnsi="Arial" w:cs="Arial"/>
          <w:sz w:val="20"/>
          <w:szCs w:val="20"/>
          <w:lang w:val="sl-SI"/>
        </w:rPr>
        <w:t>Pomembno vlogo imajo občinska središča. Opremljenost s storitvami splošnega pomena (npr. poštne storitve, bančne storitve, trgovina, javni promet, šolstvo, zdravstvo) je razmeroma ustrezna. Kot so pokazale študije (Nared, Polajnar Horvat in Razpotnik Visković, 2017) je struktura in opremljenost centralnih naselij (nacionalno, regionalna središča) nad 10.000 prebivalci razmeroma stabilna, večje spremembe v opremljenosti naselij so vidne v centralnih naseljih nižjih stopenj pod 10.000 prebivalci (medobčinska, središča lokalnega in središča ruralnega-vici</w:t>
      </w:r>
      <w:r w:rsidR="0080599C">
        <w:rPr>
          <w:rFonts w:ascii="Arial" w:hAnsi="Arial" w:cs="Arial"/>
          <w:sz w:val="20"/>
          <w:szCs w:val="20"/>
          <w:lang w:val="sl-SI"/>
        </w:rPr>
        <w:t>na</w:t>
      </w:r>
      <w:r w:rsidRPr="00A52F41">
        <w:rPr>
          <w:rFonts w:ascii="Arial" w:hAnsi="Arial" w:cs="Arial"/>
          <w:sz w:val="20"/>
          <w:szCs w:val="20"/>
          <w:lang w:val="sl-SI"/>
        </w:rPr>
        <w:t xml:space="preserve">lnega pomena), ki so prikazana na spodnji </w:t>
      </w:r>
      <w:r w:rsidR="0036277E">
        <w:rPr>
          <w:rFonts w:ascii="Arial" w:hAnsi="Arial" w:cs="Arial"/>
          <w:sz w:val="20"/>
          <w:szCs w:val="20"/>
          <w:lang w:val="sl-SI"/>
        </w:rPr>
        <w:t>S</w:t>
      </w:r>
      <w:r w:rsidRPr="00A52F41">
        <w:rPr>
          <w:rFonts w:ascii="Arial" w:hAnsi="Arial" w:cs="Arial"/>
          <w:sz w:val="20"/>
          <w:szCs w:val="20"/>
          <w:lang w:val="sl-SI"/>
        </w:rPr>
        <w:t>liki 1</w:t>
      </w:r>
      <w:r w:rsidR="0036277E">
        <w:rPr>
          <w:rFonts w:ascii="Arial" w:hAnsi="Arial" w:cs="Arial"/>
          <w:sz w:val="20"/>
          <w:szCs w:val="20"/>
          <w:lang w:val="sl-SI"/>
        </w:rPr>
        <w:t>9</w:t>
      </w:r>
      <w:r w:rsidRPr="00A52F41">
        <w:rPr>
          <w:rFonts w:ascii="Arial" w:hAnsi="Arial" w:cs="Arial"/>
          <w:sz w:val="20"/>
          <w:szCs w:val="20"/>
          <w:lang w:val="sl-SI"/>
        </w:rPr>
        <w:t>, zlasti zaradi prostorskih in družbenih sprememb v preteklih desetletjih: reforme lokalne samouprave, centralizacije, digitalizacije in povečane rabe interneta, izgradnje avtocestnega križa in naraščajoče mobilnosti, suburbanizacije in post suburbanizacije, demografskih sprememb, terciarizacije gospodarstva in privatizacije javnih služb ter gospodarske krize. Tudi glede izvedeno javnomnenjsko raziskavo družbenih vrednost o prostoru in okolju, se naselja v Sloveniji razvijajo, vendar najmanj naselja velikosti do 10.000 prebivalcev, prav tako je tega mnenja manj ljudi kot v letu 2004 (CRP 2017, ARRS, MOP).</w:t>
      </w:r>
    </w:p>
    <w:p w14:paraId="62AF2272"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color w:val="000000"/>
          <w:sz w:val="20"/>
          <w:szCs w:val="20"/>
        </w:rPr>
        <w:t>Nastanek številnih novih manjših občin je močno vplival na število centralnih naselij: 38 središč medobčinskega pomena, 55 središč lokalnega pomena, zlasti pa središč ruralnega/vicinalnega pomena, ki ne dosegajo meje</w:t>
      </w:r>
      <w:r w:rsidRPr="00A52F41">
        <w:rPr>
          <w:rFonts w:ascii="Arial" w:hAnsi="Arial" w:cs="Arial"/>
          <w:sz w:val="20"/>
          <w:szCs w:val="20"/>
        </w:rPr>
        <w:t xml:space="preserve"> 500 prebivalcev (248 takšnih naselij). Zaradi velikega števila manjših občin ta naselja prevladujejo v vzhodni Sloveniji. Večja naselja so praviloma bolje opremljena s funkcijami kot manjša. Opremljenost je ponekod nadpovprečna na manj urbaniziranih predelih države, kar si lahko razlagamo z zavestnim enakomernim zagotavljanjem funkcij po celotnem državnem ozemlju kot posledico politike policentričnega urbanega razvoja od 60-ih let preteklega stoletja dalje. Podpovprečno so opremljena zlasti središča v bližini večjih mest, kar je posledica suburbanizacije. Zaradi selitev prebivalcev na obrobje mest se je v teh naseljih močno povečalo število prebivalcev, oskrba s funkcijami pa se temu ni dovolj hitro prilagajala (Nared, Polajnar Horvat idr., 2017).</w:t>
      </w:r>
    </w:p>
    <w:p w14:paraId="73C956E3" w14:textId="77777777" w:rsidR="009E0216" w:rsidRPr="00A52F41" w:rsidRDefault="009E0216" w:rsidP="00BE756C">
      <w:pPr>
        <w:spacing w:before="200" w:line="360" w:lineRule="auto"/>
        <w:jc w:val="both"/>
        <w:rPr>
          <w:rFonts w:ascii="Arial" w:hAnsi="Arial" w:cs="Arial"/>
          <w:sz w:val="20"/>
          <w:szCs w:val="20"/>
          <w:u w:val="single"/>
        </w:rPr>
      </w:pPr>
      <w:r w:rsidRPr="00A52F41">
        <w:rPr>
          <w:rFonts w:ascii="Arial" w:hAnsi="Arial" w:cs="Arial"/>
          <w:sz w:val="20"/>
          <w:szCs w:val="20"/>
          <w:u w:val="single"/>
        </w:rPr>
        <w:t>Družbeni vidik življenja na podeželju</w:t>
      </w:r>
    </w:p>
    <w:p w14:paraId="0E173CC0"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Na podlagi ankete (Potočnik Slavič, 2019) je bilo ugotovljeno, da so zelo pomembni dejavniki širšega življenjskega okolja dostopnost z avtomobilom in javnim prevozom ter medgeneracijsko sožitje. Za starostnike so pomembne različne storitve: delujoč sistem mobilnih storitev, vključevanje v različne aktivnosti za starejše, obstoječa mreža središčnih naselij. Na podlagi izvedene ankete anketiranci lokalno okolje običajno označujejo kot privlačno pokrajino in velika večina anketiranih (96 %) je zadovoljnih z življenjem v domačem naselju. Starostniki na podeželju izjemno visoko vrednotijo naravo, </w:t>
      </w:r>
      <w:r w:rsidRPr="00A52F41">
        <w:rPr>
          <w:rFonts w:ascii="Arial" w:hAnsi="Arial" w:cs="Arial"/>
          <w:sz w:val="20"/>
          <w:szCs w:val="20"/>
        </w:rPr>
        <w:lastRenderedPageBreak/>
        <w:t xml:space="preserve">mir in prijazno, prijetno okolje. V lokalnem podeželskem okolju so tako anketirani najbolj ponosni na: naravno okolje, mir, naravni spomenik, urejeno naselje (skoraj 40 % vseh); sledi organiziranost, složnost ljudi, aktivnosti, prireditve, društva, običaje; kulturne znamenitosti, cerkev, zgodovinsko, kulturno, etnološko dediščino, znane osebnosti; šolo, gasilski dom, igrišče, ceste, javno razsvetljavo.  </w:t>
      </w:r>
    </w:p>
    <w:p w14:paraId="2C825603" w14:textId="2F57FEDD" w:rsidR="009E0216" w:rsidRPr="00F25C63" w:rsidRDefault="009E0216" w:rsidP="00BE756C">
      <w:pPr>
        <w:pStyle w:val="Default"/>
        <w:spacing w:before="200" w:after="200" w:line="360" w:lineRule="auto"/>
        <w:jc w:val="both"/>
        <w:rPr>
          <w:rFonts w:ascii="Arial" w:hAnsi="Arial" w:cs="Arial"/>
          <w:sz w:val="20"/>
          <w:szCs w:val="20"/>
          <w:lang w:val="sl-SI"/>
        </w:rPr>
      </w:pPr>
      <w:r w:rsidRPr="00A52F41">
        <w:rPr>
          <w:rFonts w:ascii="Arial" w:hAnsi="Arial" w:cs="Arial"/>
          <w:sz w:val="20"/>
          <w:szCs w:val="20"/>
          <w:lang w:val="sl-SI"/>
        </w:rPr>
        <w:t xml:space="preserve">Na podlagi </w:t>
      </w:r>
      <w:r w:rsidR="00E23678" w:rsidRPr="00A52F41">
        <w:rPr>
          <w:rFonts w:ascii="Arial" w:hAnsi="Arial" w:cs="Arial"/>
          <w:sz w:val="20"/>
          <w:szCs w:val="20"/>
          <w:lang w:val="sl-SI"/>
        </w:rPr>
        <w:t>javnomnenjske</w:t>
      </w:r>
      <w:r w:rsidRPr="00A52F41">
        <w:rPr>
          <w:rFonts w:ascii="Arial" w:hAnsi="Arial" w:cs="Arial"/>
          <w:sz w:val="20"/>
          <w:szCs w:val="20"/>
          <w:lang w:val="sl-SI"/>
        </w:rPr>
        <w:t xml:space="preserve"> raziskave družbenih vrednot o prostoru in okolju, ki je primerjala družbene vrednote v letu 2004 in 2018, je bilo ugotovljeno, da na splošno dinamika spreminjanja vrednotnih vzorcev, ostaja izrazito nizka. Ljudje so sedaj nekoliko bolj pripravljeni na selitve, zlasti na bivanjsko mobilnost, zlasti mladi, medtem ko za </w:t>
      </w:r>
      <w:r w:rsidR="00E23678" w:rsidRPr="00A52F41">
        <w:rPr>
          <w:rFonts w:ascii="Arial" w:hAnsi="Arial" w:cs="Arial"/>
          <w:sz w:val="20"/>
          <w:szCs w:val="20"/>
          <w:lang w:val="sl-SI"/>
        </w:rPr>
        <w:t>starejše</w:t>
      </w:r>
      <w:r w:rsidRPr="00A52F41">
        <w:rPr>
          <w:rFonts w:ascii="Arial" w:hAnsi="Arial" w:cs="Arial"/>
          <w:sz w:val="20"/>
          <w:szCs w:val="20"/>
          <w:lang w:val="sl-SI"/>
        </w:rPr>
        <w:t xml:space="preserve"> velja večja lokalna navezanost. Raziskava je pokazala, da ljudje višje vrednotijo življenje na podeželju in izven naselja (cca. 77 % sodelujočih v raziskavi). </w:t>
      </w:r>
      <w:r w:rsidRPr="00F25C63">
        <w:rPr>
          <w:rFonts w:ascii="Arial" w:hAnsi="Arial" w:cs="Arial"/>
          <w:sz w:val="20"/>
          <w:szCs w:val="20"/>
          <w:lang w:val="sl-SI"/>
        </w:rPr>
        <w:t>Povečala pa se je potreba po varnosti in bližini narave. V primerjalnih letih je več ljudi, ki bi živeli v vaseh ali na obrobju mesta, manj ljudi pa bi živelo v mestih (CRP 2017, ARRS, MOP).</w:t>
      </w:r>
    </w:p>
    <w:p w14:paraId="3B1B60EC" w14:textId="77777777" w:rsidR="009E0216" w:rsidRPr="00A417A4" w:rsidRDefault="00026AF3" w:rsidP="002F2DED">
      <w:pPr>
        <w:pStyle w:val="SCslika"/>
        <w:keepNext/>
        <w:keepLines/>
        <w:spacing w:before="200"/>
      </w:pPr>
      <w:r w:rsidRPr="00A417A4">
        <w:t>Slika 1</w:t>
      </w:r>
      <w:r w:rsidR="00A53A3F" w:rsidRPr="00A417A4">
        <w:t>9</w:t>
      </w:r>
      <w:r w:rsidRPr="00A417A4">
        <w:t>: Stopnja centralnosti glede na prebivalstvo in storitve</w:t>
      </w:r>
    </w:p>
    <w:p w14:paraId="24621328" w14:textId="77777777" w:rsidR="009E0216" w:rsidRPr="00A52F41" w:rsidRDefault="009E0216" w:rsidP="00BE756C">
      <w:pPr>
        <w:spacing w:after="0" w:line="24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193A26AA" wp14:editId="66E9F709">
            <wp:extent cx="3768702" cy="5646049"/>
            <wp:effectExtent l="13652" t="24448" r="17463" b="17462"/>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2872" t="11385" r="42948" b="6688"/>
                    <a:stretch/>
                  </pic:blipFill>
                  <pic:spPr bwMode="auto">
                    <a:xfrm rot="5400000">
                      <a:off x="0" y="0"/>
                      <a:ext cx="3774630" cy="5654930"/>
                    </a:xfrm>
                    <a:prstGeom prst="rect">
                      <a:avLst/>
                    </a:prstGeom>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61859BB4" w14:textId="77777777" w:rsidR="009E0216" w:rsidRPr="00A53A3F" w:rsidRDefault="00026AF3" w:rsidP="002F2DED">
      <w:pPr>
        <w:spacing w:line="360" w:lineRule="auto"/>
        <w:jc w:val="both"/>
        <w:rPr>
          <w:rFonts w:ascii="Arial" w:hAnsi="Arial" w:cs="Arial"/>
          <w:iCs/>
          <w:sz w:val="16"/>
          <w:szCs w:val="16"/>
        </w:rPr>
      </w:pPr>
      <w:bookmarkStart w:id="56" w:name="_Toc47082381"/>
      <w:bookmarkStart w:id="57" w:name="_Toc47092622"/>
      <w:r w:rsidRPr="00A53A3F">
        <w:rPr>
          <w:rFonts w:ascii="Arial" w:hAnsi="Arial" w:cs="Arial"/>
          <w:iCs/>
          <w:sz w:val="16"/>
          <w:szCs w:val="16"/>
        </w:rPr>
        <w:t>Vir:</w:t>
      </w:r>
      <w:r w:rsidR="009E0216" w:rsidRPr="00A53A3F">
        <w:rPr>
          <w:rFonts w:ascii="Arial" w:hAnsi="Arial" w:cs="Arial"/>
          <w:iCs/>
          <w:sz w:val="16"/>
          <w:szCs w:val="16"/>
        </w:rPr>
        <w:t xml:space="preserve"> Nared, Bole idr., 2017</w:t>
      </w:r>
      <w:bookmarkEnd w:id="56"/>
      <w:bookmarkEnd w:id="57"/>
    </w:p>
    <w:p w14:paraId="3E150D82" w14:textId="59EAF9E6" w:rsidR="009E0216" w:rsidRPr="002F2DED" w:rsidRDefault="009E0216" w:rsidP="00BE756C">
      <w:pPr>
        <w:pStyle w:val="Navadensplet"/>
        <w:spacing w:before="200" w:after="200" w:line="360" w:lineRule="auto"/>
        <w:rPr>
          <w:rFonts w:ascii="Arial" w:hAnsi="Arial" w:cs="Arial"/>
          <w:u w:val="single"/>
        </w:rPr>
      </w:pPr>
      <w:r w:rsidRPr="00A52F41">
        <w:rPr>
          <w:rFonts w:ascii="Arial" w:hAnsi="Arial" w:cs="Arial"/>
          <w:u w:val="single"/>
        </w:rPr>
        <w:t xml:space="preserve">Oskrba in bivanje </w:t>
      </w:r>
      <w:r w:rsidR="0036277E" w:rsidRPr="00A52F41">
        <w:rPr>
          <w:rFonts w:ascii="Arial" w:hAnsi="Arial" w:cs="Arial"/>
          <w:u w:val="single"/>
        </w:rPr>
        <w:t>starejših</w:t>
      </w:r>
    </w:p>
    <w:p w14:paraId="48B40FF0" w14:textId="77777777" w:rsidR="009E0216" w:rsidRDefault="009E0216" w:rsidP="00BE756C">
      <w:pPr>
        <w:pStyle w:val="Navadensplet"/>
        <w:spacing w:before="200" w:after="200" w:line="360" w:lineRule="auto"/>
        <w:rPr>
          <w:rFonts w:ascii="Arial" w:hAnsi="Arial" w:cs="Arial"/>
        </w:rPr>
      </w:pPr>
      <w:r w:rsidRPr="00A52F41">
        <w:rPr>
          <w:rFonts w:ascii="Arial" w:hAnsi="Arial" w:cs="Arial"/>
        </w:rPr>
        <w:t xml:space="preserve">Po vključenosti prebivalstva nad 65 let v storitve dolgotrajne oskrbe je Slovenija malenkost nad povprečjem 25-ih držav OECD in sicer 11,4 %, povečuje pa se zaostanek po vključenosti te skupine prebivalstva v oskrbo na domu. Institucionalno varstvo starejših je namenjeno odpravljanju osebnih stisk in težav starejših od 65 let in drugih oseb, ki zaradi bolezni, starosti ali drugih razlogov ne morejo živeti doma. 1. januarja 2018 je bilo v Sloveniji 401.262 starejših  ali skoraj vsaka peta oseba; 58 % teh oseb so bile ženske. V Sloveniji je bilo po </w:t>
      </w:r>
      <w:hyperlink r:id="rId33" w:history="1">
        <w:r w:rsidRPr="00A52F41">
          <w:rPr>
            <w:rFonts w:ascii="Arial" w:hAnsi="Arial" w:cs="Arial"/>
          </w:rPr>
          <w:t xml:space="preserve">podatkih Skupnosti socialnih zavodov Slovenije </w:t>
        </w:r>
      </w:hyperlink>
      <w:r w:rsidRPr="00A52F41">
        <w:rPr>
          <w:rFonts w:ascii="Arial" w:hAnsi="Arial" w:cs="Arial"/>
        </w:rPr>
        <w:t xml:space="preserve">1. januarja 2018 v javni mreži 123 domov za starostnike in posebnih socialnovarstvenih zavodov. V 91 občinah (od 212) </w:t>
      </w:r>
      <w:r w:rsidRPr="00A52F41">
        <w:rPr>
          <w:rFonts w:ascii="Arial" w:hAnsi="Arial" w:cs="Arial"/>
        </w:rPr>
        <w:lastRenderedPageBreak/>
        <w:t>je bila vsaj ena taka enota. Razporeditev kapacitet v javni mreži po statističnih regijah je skoraj povsem skladna z deležem prebivalcev, starih 65 ali več let.</w:t>
      </w:r>
    </w:p>
    <w:p w14:paraId="4FBB85D8" w14:textId="77777777" w:rsidR="00026AF3" w:rsidRPr="00026AF3" w:rsidRDefault="00A53A3F" w:rsidP="00A417A4">
      <w:pPr>
        <w:pStyle w:val="SCslika"/>
        <w:keepNext/>
        <w:keepLines/>
      </w:pPr>
      <w:bookmarkStart w:id="58" w:name="_Toc47082382"/>
      <w:bookmarkStart w:id="59" w:name="_Toc47092623"/>
      <w:r>
        <w:t>Slika 20</w:t>
      </w:r>
      <w:r w:rsidR="00026AF3" w:rsidRPr="00026AF3">
        <w:t>: Število mest v domovih za starejše in število prebivalcev, starih 65 let in več, po statističnih regijah, 1.1.2018</w:t>
      </w:r>
      <w:bookmarkEnd w:id="58"/>
      <w:bookmarkEnd w:id="59"/>
    </w:p>
    <w:p w14:paraId="680A8410" w14:textId="05DAD193" w:rsidR="009E0216" w:rsidRPr="00A52F41" w:rsidRDefault="009E0216" w:rsidP="00EA2E4C">
      <w:pPr>
        <w:pStyle w:val="Navadensplet"/>
        <w:keepNext/>
        <w:spacing w:line="360" w:lineRule="auto"/>
        <w:rPr>
          <w:rFonts w:ascii="Arial" w:hAnsi="Arial" w:cs="Arial"/>
        </w:rPr>
      </w:pPr>
      <w:r w:rsidRPr="00A52F41">
        <w:rPr>
          <w:rFonts w:ascii="Arial" w:hAnsi="Arial" w:cs="Arial"/>
          <w:noProof/>
          <w:lang w:eastAsia="sl-SI"/>
        </w:rPr>
        <w:drawing>
          <wp:inline distT="0" distB="0" distL="0" distR="0" wp14:anchorId="38B705B6" wp14:editId="31335B85">
            <wp:extent cx="5760720" cy="2252980"/>
            <wp:effectExtent l="19050" t="19050" r="11430" b="13970"/>
            <wp:docPr id="1631865541" name="Slika 163186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65541" name="št. mest dv domovih po regijah.png"/>
                    <pic:cNvPicPr/>
                  </pic:nvPicPr>
                  <pic:blipFill>
                    <a:blip r:embed="rId34">
                      <a:extLst>
                        <a:ext uri="{28A0092B-C50C-407E-A947-70E740481C1C}">
                          <a14:useLocalDpi xmlns:a14="http://schemas.microsoft.com/office/drawing/2010/main" val="0"/>
                        </a:ext>
                      </a:extLst>
                    </a:blip>
                    <a:stretch>
                      <a:fillRect/>
                    </a:stretch>
                  </pic:blipFill>
                  <pic:spPr>
                    <a:xfrm>
                      <a:off x="0" y="0"/>
                      <a:ext cx="5776790" cy="2259265"/>
                    </a:xfrm>
                    <a:prstGeom prst="rect">
                      <a:avLst/>
                    </a:prstGeom>
                    <a:ln w="6350">
                      <a:solidFill>
                        <a:schemeClr val="tx1">
                          <a:lumMod val="50000"/>
                          <a:lumOff val="50000"/>
                        </a:schemeClr>
                      </a:solidFill>
                    </a:ln>
                  </pic:spPr>
                </pic:pic>
              </a:graphicData>
            </a:graphic>
          </wp:inline>
        </w:drawing>
      </w:r>
    </w:p>
    <w:p w14:paraId="2329BA8F" w14:textId="77777777" w:rsidR="009E0216" w:rsidRPr="00A52F41" w:rsidRDefault="009E0216" w:rsidP="00BE756C">
      <w:pPr>
        <w:pStyle w:val="Navadensplet"/>
        <w:spacing w:before="200" w:after="200" w:line="360" w:lineRule="auto"/>
        <w:rPr>
          <w:rFonts w:ascii="Arial" w:hAnsi="Arial" w:cs="Arial"/>
        </w:rPr>
      </w:pPr>
      <w:r w:rsidRPr="00A52F41">
        <w:rPr>
          <w:rFonts w:ascii="Arial" w:hAnsi="Arial" w:cs="Arial"/>
        </w:rPr>
        <w:t>Konec leta 2018 je bilo v Sloveniji na voljo 21.063 mest v 59 javnih zavodih in 43 izvajalcih s koncesijo. Od tega je v javnih domovih za starejše 13.206 mest, v zasebnih domovih za starejše 5.361 mest in v posebnih zavodih za odrasle 2.496 mest (Skupnost socialnih zavodov Slovenije, 2019).</w:t>
      </w:r>
    </w:p>
    <w:p w14:paraId="37952D3C" w14:textId="5DD9404C" w:rsidR="009E0216" w:rsidRDefault="00910940" w:rsidP="00A05198">
      <w:pPr>
        <w:pStyle w:val="SCslika"/>
        <w:keepNext/>
        <w:keepLines/>
      </w:pPr>
      <w:bookmarkStart w:id="60" w:name="_Toc47092642"/>
      <w:r>
        <w:t>Tabela</w:t>
      </w:r>
      <w:r w:rsidR="009E0216" w:rsidRPr="00A52F41">
        <w:t xml:space="preserve"> </w:t>
      </w:r>
      <w:r>
        <w:t>17</w:t>
      </w:r>
      <w:r w:rsidR="009E0216" w:rsidRPr="00A52F41">
        <w:t xml:space="preserve">: </w:t>
      </w:r>
      <w:r w:rsidR="007B2E0B">
        <w:t>Institucionalno (d</w:t>
      </w:r>
      <w:r w:rsidR="009E0216" w:rsidRPr="00A52F41">
        <w:t>omsko</w:t>
      </w:r>
      <w:r w:rsidR="007B2E0B">
        <w:t>)</w:t>
      </w:r>
      <w:r w:rsidR="009E0216" w:rsidRPr="00A52F41">
        <w:t xml:space="preserve"> varstvo starejših, pokritost potreb, maj 2019</w:t>
      </w:r>
      <w:bookmarkEnd w:id="60"/>
    </w:p>
    <w:tbl>
      <w:tblPr>
        <w:tblW w:w="5240" w:type="dxa"/>
        <w:tblInd w:w="75" w:type="dxa"/>
        <w:tblCellMar>
          <w:left w:w="70" w:type="dxa"/>
          <w:right w:w="70" w:type="dxa"/>
        </w:tblCellMar>
        <w:tblLook w:val="04A0" w:firstRow="1" w:lastRow="0" w:firstColumn="1" w:lastColumn="0" w:noHBand="0" w:noVBand="1"/>
      </w:tblPr>
      <w:tblGrid>
        <w:gridCol w:w="3681"/>
        <w:gridCol w:w="1559"/>
      </w:tblGrid>
      <w:tr w:rsidR="00A05198" w:rsidRPr="00A05198" w14:paraId="174B769B" w14:textId="77777777" w:rsidTr="009D1026">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5D7E4" w14:textId="14974814" w:rsidR="00A05198" w:rsidRPr="00A05198" w:rsidRDefault="00A05198" w:rsidP="009D1026">
            <w:pPr>
              <w:keepNext/>
              <w:keepLines/>
              <w:spacing w:before="60" w:after="0" w:line="312" w:lineRule="auto"/>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Prebivalci (skupaj)</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BC81E9F" w14:textId="77777777" w:rsidR="00A05198" w:rsidRPr="00A05198"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2.080.908</w:t>
            </w:r>
          </w:p>
        </w:tc>
      </w:tr>
      <w:tr w:rsidR="00A05198" w:rsidRPr="00A05198" w14:paraId="59980F1A" w14:textId="77777777" w:rsidTr="009D1026">
        <w:trPr>
          <w:trHeight w:val="300"/>
        </w:trPr>
        <w:tc>
          <w:tcPr>
            <w:tcW w:w="5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11DEAB" w14:textId="77777777" w:rsidR="00A05198" w:rsidRPr="00A05198" w:rsidRDefault="00A05198" w:rsidP="009D1026">
            <w:pPr>
              <w:keepNext/>
              <w:keepLines/>
              <w:spacing w:before="60" w:after="0" w:line="312" w:lineRule="auto"/>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Prebivalci (stari 65 in več)</w:t>
            </w:r>
          </w:p>
        </w:tc>
      </w:tr>
      <w:tr w:rsidR="00A05198" w:rsidRPr="00A05198" w14:paraId="68CD8DC8"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9882F23" w14:textId="77777777" w:rsidR="00A05198" w:rsidRPr="00A05198" w:rsidRDefault="00A05198" w:rsidP="00A05198">
            <w:pPr>
              <w:pStyle w:val="Odstavekseznama"/>
              <w:keepNext/>
              <w:keepLines/>
              <w:numPr>
                <w:ilvl w:val="0"/>
                <w:numId w:val="44"/>
              </w:numPr>
              <w:spacing w:before="60" w:after="0" w:line="312" w:lineRule="auto"/>
              <w:ind w:left="627" w:hanging="283"/>
              <w:contextualSpacing w:val="0"/>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število</w:t>
            </w:r>
          </w:p>
        </w:tc>
        <w:tc>
          <w:tcPr>
            <w:tcW w:w="1559" w:type="dxa"/>
            <w:tcBorders>
              <w:top w:val="nil"/>
              <w:left w:val="nil"/>
              <w:bottom w:val="single" w:sz="4" w:space="0" w:color="auto"/>
              <w:right w:val="single" w:sz="4" w:space="0" w:color="auto"/>
            </w:tcBorders>
            <w:shd w:val="clear" w:color="auto" w:fill="auto"/>
            <w:noWrap/>
            <w:vAlign w:val="bottom"/>
            <w:hideMark/>
          </w:tcPr>
          <w:p w14:paraId="388531A0" w14:textId="77777777" w:rsidR="00A05198" w:rsidRPr="00A05198"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413.054</w:t>
            </w:r>
          </w:p>
        </w:tc>
      </w:tr>
      <w:tr w:rsidR="00A05198" w:rsidRPr="00A05198" w14:paraId="7B372483"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0C51683" w14:textId="77777777" w:rsidR="00A05198" w:rsidRPr="00A05198" w:rsidRDefault="00A05198" w:rsidP="00A05198">
            <w:pPr>
              <w:pStyle w:val="Odstavekseznama"/>
              <w:keepNext/>
              <w:keepLines/>
              <w:numPr>
                <w:ilvl w:val="0"/>
                <w:numId w:val="44"/>
              </w:numPr>
              <w:spacing w:before="60" w:after="0" w:line="312" w:lineRule="auto"/>
              <w:ind w:left="627" w:hanging="283"/>
              <w:contextualSpacing w:val="0"/>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delež (%)</w:t>
            </w:r>
          </w:p>
        </w:tc>
        <w:tc>
          <w:tcPr>
            <w:tcW w:w="1559" w:type="dxa"/>
            <w:tcBorders>
              <w:top w:val="nil"/>
              <w:left w:val="nil"/>
              <w:bottom w:val="single" w:sz="4" w:space="0" w:color="auto"/>
              <w:right w:val="single" w:sz="4" w:space="0" w:color="auto"/>
            </w:tcBorders>
            <w:shd w:val="clear" w:color="auto" w:fill="auto"/>
            <w:noWrap/>
            <w:vAlign w:val="bottom"/>
            <w:hideMark/>
          </w:tcPr>
          <w:p w14:paraId="13FD65CD" w14:textId="77777777" w:rsidR="00A05198" w:rsidRPr="00A05198"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19,85</w:t>
            </w:r>
          </w:p>
        </w:tc>
      </w:tr>
      <w:tr w:rsidR="00A05198" w:rsidRPr="00A05198" w14:paraId="1E8E75B3" w14:textId="77777777" w:rsidTr="009D1026">
        <w:trPr>
          <w:trHeight w:val="300"/>
        </w:trPr>
        <w:tc>
          <w:tcPr>
            <w:tcW w:w="5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80BAE4" w14:textId="77777777" w:rsidR="00A05198" w:rsidRPr="00A05198" w:rsidRDefault="00A05198" w:rsidP="009D1026">
            <w:pPr>
              <w:keepNext/>
              <w:keepLines/>
              <w:spacing w:before="60" w:after="0" w:line="312" w:lineRule="auto"/>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Obstoječi domovi za starejše</w:t>
            </w:r>
          </w:p>
        </w:tc>
      </w:tr>
      <w:tr w:rsidR="00A05198" w:rsidRPr="00A05198" w14:paraId="5C72EBB9"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A4628B2" w14:textId="77777777" w:rsidR="00A05198" w:rsidRPr="00A05198" w:rsidRDefault="00A05198" w:rsidP="00A05198">
            <w:pPr>
              <w:pStyle w:val="Odstavekseznama"/>
              <w:keepNext/>
              <w:keepLines/>
              <w:numPr>
                <w:ilvl w:val="0"/>
                <w:numId w:val="44"/>
              </w:numPr>
              <w:spacing w:before="60" w:after="0" w:line="312" w:lineRule="auto"/>
              <w:ind w:left="627" w:hanging="283"/>
              <w:contextualSpacing w:val="0"/>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število domov</w:t>
            </w:r>
          </w:p>
        </w:tc>
        <w:tc>
          <w:tcPr>
            <w:tcW w:w="1559" w:type="dxa"/>
            <w:tcBorders>
              <w:top w:val="nil"/>
              <w:left w:val="nil"/>
              <w:bottom w:val="single" w:sz="4" w:space="0" w:color="auto"/>
              <w:right w:val="single" w:sz="4" w:space="0" w:color="auto"/>
            </w:tcBorders>
            <w:shd w:val="clear" w:color="auto" w:fill="auto"/>
            <w:noWrap/>
            <w:vAlign w:val="bottom"/>
            <w:hideMark/>
          </w:tcPr>
          <w:p w14:paraId="5094183E" w14:textId="77777777" w:rsidR="00A05198" w:rsidRPr="00A05198"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118</w:t>
            </w:r>
          </w:p>
        </w:tc>
      </w:tr>
      <w:tr w:rsidR="00A05198" w:rsidRPr="00A05198" w14:paraId="01576AFD"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FC9F2F2" w14:textId="77777777" w:rsidR="00A05198" w:rsidRPr="00A05198" w:rsidRDefault="00A05198" w:rsidP="00A05198">
            <w:pPr>
              <w:pStyle w:val="Odstavekseznama"/>
              <w:keepNext/>
              <w:keepLines/>
              <w:numPr>
                <w:ilvl w:val="0"/>
                <w:numId w:val="44"/>
              </w:numPr>
              <w:spacing w:before="60" w:after="0" w:line="312" w:lineRule="auto"/>
              <w:ind w:left="627" w:hanging="283"/>
              <w:contextualSpacing w:val="0"/>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število mest</w:t>
            </w:r>
          </w:p>
        </w:tc>
        <w:tc>
          <w:tcPr>
            <w:tcW w:w="1559" w:type="dxa"/>
            <w:tcBorders>
              <w:top w:val="nil"/>
              <w:left w:val="nil"/>
              <w:bottom w:val="single" w:sz="4" w:space="0" w:color="auto"/>
              <w:right w:val="single" w:sz="4" w:space="0" w:color="auto"/>
            </w:tcBorders>
            <w:shd w:val="clear" w:color="auto" w:fill="auto"/>
            <w:noWrap/>
            <w:vAlign w:val="bottom"/>
            <w:hideMark/>
          </w:tcPr>
          <w:p w14:paraId="417A067B" w14:textId="77777777" w:rsidR="00A05198" w:rsidRPr="00A05198"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17.819</w:t>
            </w:r>
          </w:p>
        </w:tc>
      </w:tr>
      <w:tr w:rsidR="00A05198" w:rsidRPr="00A05198" w14:paraId="2E05087F"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1B01845" w14:textId="77777777" w:rsidR="00A05198" w:rsidRPr="00A05198" w:rsidRDefault="00A05198" w:rsidP="009D1026">
            <w:pPr>
              <w:keepNext/>
              <w:keepLines/>
              <w:spacing w:before="60" w:after="0" w:line="312" w:lineRule="auto"/>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Mesta zadostujejo za % skupine</w:t>
            </w:r>
          </w:p>
        </w:tc>
        <w:tc>
          <w:tcPr>
            <w:tcW w:w="1559" w:type="dxa"/>
            <w:tcBorders>
              <w:top w:val="nil"/>
              <w:left w:val="nil"/>
              <w:bottom w:val="single" w:sz="4" w:space="0" w:color="auto"/>
              <w:right w:val="single" w:sz="4" w:space="0" w:color="auto"/>
            </w:tcBorders>
            <w:shd w:val="clear" w:color="auto" w:fill="auto"/>
            <w:noWrap/>
            <w:vAlign w:val="bottom"/>
            <w:hideMark/>
          </w:tcPr>
          <w:p w14:paraId="2B9FD6ED" w14:textId="32FC60D9" w:rsidR="00A05198" w:rsidRPr="00A05198" w:rsidRDefault="00A05198" w:rsidP="00E23678">
            <w:pPr>
              <w:keepNext/>
              <w:keepLines/>
              <w:spacing w:before="60" w:after="0" w:line="312" w:lineRule="auto"/>
              <w:jc w:val="right"/>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4,3</w:t>
            </w:r>
          </w:p>
        </w:tc>
      </w:tr>
      <w:tr w:rsidR="00A05198" w:rsidRPr="00A05198" w14:paraId="690EFAAB"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223A96C" w14:textId="77777777" w:rsidR="00A05198" w:rsidRPr="00A05198" w:rsidRDefault="00A05198" w:rsidP="009D1026">
            <w:pPr>
              <w:keepNext/>
              <w:keepLines/>
              <w:spacing w:before="60" w:after="0" w:line="312" w:lineRule="auto"/>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 xml:space="preserve">Potrebno število mest </w:t>
            </w:r>
            <w:r w:rsidRPr="00A05198">
              <w:rPr>
                <w:rFonts w:ascii="Arial" w:eastAsia="Times New Roman" w:hAnsi="Arial" w:cs="Arial"/>
                <w:color w:val="000000"/>
                <w:sz w:val="20"/>
                <w:szCs w:val="20"/>
                <w:lang w:eastAsia="sl-SI"/>
              </w:rPr>
              <w:br/>
              <w:t>(za 4,8 % ciljne skupine)</w:t>
            </w:r>
          </w:p>
        </w:tc>
        <w:tc>
          <w:tcPr>
            <w:tcW w:w="1559" w:type="dxa"/>
            <w:tcBorders>
              <w:top w:val="nil"/>
              <w:left w:val="nil"/>
              <w:bottom w:val="single" w:sz="4" w:space="0" w:color="auto"/>
              <w:right w:val="single" w:sz="4" w:space="0" w:color="auto"/>
            </w:tcBorders>
            <w:shd w:val="clear" w:color="auto" w:fill="auto"/>
            <w:noWrap/>
            <w:vAlign w:val="bottom"/>
            <w:hideMark/>
          </w:tcPr>
          <w:p w14:paraId="7D2755AE" w14:textId="77777777" w:rsidR="00A05198" w:rsidRPr="00A05198"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19.827</w:t>
            </w:r>
          </w:p>
        </w:tc>
      </w:tr>
      <w:tr w:rsidR="00A05198" w:rsidRPr="00A05198" w14:paraId="7696996F"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EB35D7D" w14:textId="77777777" w:rsidR="00A05198" w:rsidRPr="00A05198" w:rsidRDefault="00A05198" w:rsidP="009D1026">
            <w:pPr>
              <w:keepNext/>
              <w:keepLines/>
              <w:spacing w:before="60" w:after="0" w:line="312" w:lineRule="auto"/>
              <w:rPr>
                <w:rFonts w:ascii="Arial" w:eastAsia="Times New Roman" w:hAnsi="Arial" w:cs="Arial"/>
                <w:b/>
                <w:color w:val="000000"/>
                <w:sz w:val="20"/>
                <w:szCs w:val="20"/>
                <w:lang w:eastAsia="sl-SI"/>
              </w:rPr>
            </w:pPr>
            <w:r w:rsidRPr="00A05198">
              <w:rPr>
                <w:rFonts w:ascii="Arial" w:eastAsia="Times New Roman" w:hAnsi="Arial" w:cs="Arial"/>
                <w:b/>
                <w:color w:val="000000"/>
                <w:sz w:val="20"/>
                <w:szCs w:val="20"/>
                <w:lang w:eastAsia="sl-SI"/>
              </w:rPr>
              <w:t>Razlika v številu mest</w:t>
            </w:r>
          </w:p>
        </w:tc>
        <w:tc>
          <w:tcPr>
            <w:tcW w:w="1559" w:type="dxa"/>
            <w:tcBorders>
              <w:top w:val="nil"/>
              <w:left w:val="nil"/>
              <w:bottom w:val="single" w:sz="4" w:space="0" w:color="auto"/>
              <w:right w:val="single" w:sz="4" w:space="0" w:color="auto"/>
            </w:tcBorders>
            <w:shd w:val="clear" w:color="auto" w:fill="auto"/>
            <w:noWrap/>
            <w:vAlign w:val="bottom"/>
            <w:hideMark/>
          </w:tcPr>
          <w:p w14:paraId="42168FC7" w14:textId="77777777" w:rsidR="00A05198" w:rsidRPr="00A05198" w:rsidRDefault="00A05198" w:rsidP="009D1026">
            <w:pPr>
              <w:keepNext/>
              <w:keepLines/>
              <w:spacing w:before="60" w:after="0" w:line="312" w:lineRule="auto"/>
              <w:jc w:val="right"/>
              <w:rPr>
                <w:rFonts w:ascii="Arial" w:eastAsia="Times New Roman" w:hAnsi="Arial" w:cs="Arial"/>
                <w:b/>
                <w:color w:val="000000"/>
                <w:sz w:val="20"/>
                <w:szCs w:val="20"/>
                <w:lang w:eastAsia="sl-SI"/>
              </w:rPr>
            </w:pPr>
            <w:r w:rsidRPr="00A05198">
              <w:rPr>
                <w:rFonts w:ascii="Arial" w:eastAsia="Times New Roman" w:hAnsi="Arial" w:cs="Arial"/>
                <w:b/>
                <w:color w:val="000000"/>
                <w:sz w:val="20"/>
                <w:szCs w:val="20"/>
                <w:lang w:eastAsia="sl-SI"/>
              </w:rPr>
              <w:t>-2.008</w:t>
            </w:r>
          </w:p>
        </w:tc>
      </w:tr>
    </w:tbl>
    <w:p w14:paraId="0A8936DB" w14:textId="77777777" w:rsidR="00A05198" w:rsidRPr="00E23678" w:rsidRDefault="00A05198" w:rsidP="00A05198">
      <w:pPr>
        <w:pStyle w:val="Navadensplet"/>
        <w:spacing w:line="360" w:lineRule="auto"/>
        <w:rPr>
          <w:rFonts w:ascii="Arial" w:hAnsi="Arial" w:cs="Arial"/>
          <w:iCs/>
          <w:sz w:val="18"/>
        </w:rPr>
      </w:pPr>
      <w:r w:rsidRPr="00E23678">
        <w:rPr>
          <w:rFonts w:ascii="Arial" w:hAnsi="Arial" w:cs="Arial"/>
          <w:iCs/>
          <w:sz w:val="18"/>
        </w:rPr>
        <w:t>Vir: Skupnost socialnih zavodov Slovenije</w:t>
      </w:r>
      <w:r w:rsidRPr="00E23678" w:rsidDel="00807F0A">
        <w:rPr>
          <w:rFonts w:ascii="Arial" w:hAnsi="Arial" w:cs="Arial"/>
          <w:iCs/>
          <w:sz w:val="18"/>
        </w:rPr>
        <w:t xml:space="preserve"> </w:t>
      </w:r>
    </w:p>
    <w:p w14:paraId="2CFC342B" w14:textId="3CD0450D" w:rsidR="009E0216" w:rsidRPr="00A52F41" w:rsidRDefault="009E0216" w:rsidP="00BE756C">
      <w:pPr>
        <w:pStyle w:val="Navadensplet"/>
        <w:spacing w:before="200" w:after="200" w:line="360" w:lineRule="auto"/>
        <w:rPr>
          <w:rFonts w:ascii="Arial" w:hAnsi="Arial" w:cs="Arial"/>
        </w:rPr>
      </w:pPr>
      <w:r w:rsidRPr="00A52F41">
        <w:rPr>
          <w:rFonts w:ascii="Arial" w:hAnsi="Arial" w:cs="Arial"/>
        </w:rPr>
        <w:t xml:space="preserve">Trenutno v Sloveniji po podatkih ministrstva za delo, družino, socialne zadeve in enake možnosti primanjkuje približno 1100 mest. Druga težava na področju oskrbe starostnikov so visoki stroški oskrbe v domovih glede na višino pokojnin v Sloveniji. Najnižja oskrba med 12 naključno izbranih javnih domovih je 568 </w:t>
      </w:r>
      <w:r w:rsidR="00FF2A8E">
        <w:rPr>
          <w:rFonts w:ascii="Arial" w:hAnsi="Arial" w:cs="Arial"/>
        </w:rPr>
        <w:t>EUR</w:t>
      </w:r>
      <w:r w:rsidRPr="00A52F41">
        <w:rPr>
          <w:rFonts w:ascii="Arial" w:hAnsi="Arial" w:cs="Arial"/>
        </w:rPr>
        <w:t xml:space="preserve">, najvišja pa 1065 </w:t>
      </w:r>
      <w:r w:rsidR="00FF2A8E">
        <w:rPr>
          <w:rFonts w:ascii="Arial" w:hAnsi="Arial" w:cs="Arial"/>
        </w:rPr>
        <w:t>EUR</w:t>
      </w:r>
      <w:r w:rsidRPr="00A52F41">
        <w:rPr>
          <w:rFonts w:ascii="Arial" w:hAnsi="Arial" w:cs="Arial"/>
        </w:rPr>
        <w:t xml:space="preserve"> (ZPIZ, 2020).</w:t>
      </w:r>
    </w:p>
    <w:p w14:paraId="1C3EAF7A" w14:textId="77777777" w:rsidR="009E0216" w:rsidRPr="00A52F41" w:rsidRDefault="009E0216" w:rsidP="00BE756C">
      <w:pPr>
        <w:pStyle w:val="Navadensplet"/>
        <w:spacing w:before="200" w:after="200" w:line="360" w:lineRule="auto"/>
        <w:rPr>
          <w:rFonts w:ascii="Arial" w:hAnsi="Arial" w:cs="Arial"/>
        </w:rPr>
      </w:pPr>
      <w:r w:rsidRPr="00A52F41">
        <w:rPr>
          <w:rFonts w:ascii="Arial" w:hAnsi="Arial" w:cs="Arial"/>
        </w:rPr>
        <w:t xml:space="preserve">Raziskave kažejo (Filipovič in Hlebec, 2006; Sendi in drugi, 2002 v Nagode 2011), da Slovenci želijo čim dlje in čim bolj neodvisno bivati v lastnem domu. Želje glede stanovanj so vezane predvsem na obstoječe stanovanje in sosesko. 7 % starih 50 let in več pa je izbralo kolektivno obliko bivanja. </w:t>
      </w:r>
    </w:p>
    <w:p w14:paraId="1532AD1C" w14:textId="77777777" w:rsidR="009E0216" w:rsidRPr="00A52F41" w:rsidRDefault="009E0216" w:rsidP="00BE756C">
      <w:pPr>
        <w:pStyle w:val="Navadensplet"/>
        <w:spacing w:before="200" w:after="200" w:line="360" w:lineRule="auto"/>
        <w:rPr>
          <w:rFonts w:ascii="Arial" w:hAnsi="Arial" w:cs="Arial"/>
        </w:rPr>
      </w:pPr>
      <w:r w:rsidRPr="00A52F41">
        <w:rPr>
          <w:rFonts w:ascii="Arial" w:hAnsi="Arial" w:cs="Arial"/>
        </w:rPr>
        <w:lastRenderedPageBreak/>
        <w:t xml:space="preserve">Oskrba in bivanje starejših pa vključuje tudi pomoč na domu, primer dnevni centri, stanovanjske skupine, oskrbovana stanovanja, varovanje na daljavo, dostava kosil in podobno. </w:t>
      </w:r>
    </w:p>
    <w:p w14:paraId="16701975" w14:textId="77777777" w:rsidR="009E0216" w:rsidRPr="00A52F41" w:rsidRDefault="009E0216" w:rsidP="00BE756C">
      <w:pPr>
        <w:pStyle w:val="Navadensplet"/>
        <w:spacing w:before="200" w:after="200" w:line="360" w:lineRule="auto"/>
        <w:rPr>
          <w:rFonts w:ascii="Arial" w:hAnsi="Arial" w:cs="Arial"/>
        </w:rPr>
      </w:pPr>
      <w:r w:rsidRPr="00A52F41">
        <w:rPr>
          <w:rFonts w:ascii="Arial" w:hAnsi="Arial" w:cs="Arial"/>
        </w:rPr>
        <w:t>Pomoč na domu je bila v okviru mreže javne službe na dan 31. 12. 2017 pravno-formalno zagotovljena v 210 od 212 občin. Le občini Jezersko in Kostel namreč nista podelili koncesije za izvajanje pomoči na domu oz. nista sklenili pogodbe z nobenim javnim zavodom. V treh občinah ni bilo nobenega uporabnika pomoči na domu. Skupaj je pomoč na domu v okviru mreže javne službe izvajalo 81 različnih izvajalcev. Na dan 31. 12. 2017 je bilo v Sloveniji 7.731 uporabnikov pomoči na domu. Število uporabnikov je v primerjavi z letom 2016 naraslo za 4,8 %. Pomoč na domu je v letu 2017 prejemalo 1,7 % oseb, starih 65 let ali več, ki zaradi starosti ali pojavov, ki spremljajo starost, niso sposobne za popolnoma samostojno življenje. Ob koncu leta 2017 je bilo v storitev vključenih tudi 939 oseb iz ciljne populacije odraslih invalidnih oseb, kronično bolnih in oseb z dolgotrajnimi okvarami zdravja (Izvajanje pomoči na domu, Analiza stanja v letu 2017, 2018). Višina stroškov za storitve dolgotrajne oskrbe na domu je že za osebe z zmerno oviranostjo zelo visoka in v povprečju presega dohodkovne zmožnosti upokojencev (Poročilo o razvoju 2020, 2020).</w:t>
      </w:r>
    </w:p>
    <w:p w14:paraId="7D1194B1" w14:textId="37BACE52"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Na podeželju </w:t>
      </w:r>
      <w:r w:rsidR="00C9225D">
        <w:rPr>
          <w:rFonts w:ascii="Arial" w:hAnsi="Arial" w:cs="Arial"/>
          <w:sz w:val="20"/>
          <w:szCs w:val="20"/>
        </w:rPr>
        <w:t xml:space="preserve">je </w:t>
      </w:r>
      <w:r w:rsidRPr="00A52F41">
        <w:rPr>
          <w:rFonts w:ascii="Arial" w:hAnsi="Arial" w:cs="Arial"/>
          <w:sz w:val="20"/>
          <w:szCs w:val="20"/>
        </w:rPr>
        <w:t>že vzpostavljen</w:t>
      </w:r>
      <w:r w:rsidR="00C9225D">
        <w:rPr>
          <w:rFonts w:ascii="Arial" w:hAnsi="Arial" w:cs="Arial"/>
          <w:sz w:val="20"/>
          <w:szCs w:val="20"/>
        </w:rPr>
        <w:t>a</w:t>
      </w:r>
      <w:r w:rsidRPr="00A52F41">
        <w:rPr>
          <w:rFonts w:ascii="Arial" w:hAnsi="Arial" w:cs="Arial"/>
          <w:sz w:val="20"/>
          <w:szCs w:val="20"/>
        </w:rPr>
        <w:t xml:space="preserve"> dokaj dobro prostorsko razporejeno mrežo institucij in dejavnosti ter deležnikov, ki s svojimi osebnimi viri in okoljem delujejo kot vmesnik, stičišče med starostniki in njihovim okoljem, kot prikazuje spodnja Slika</w:t>
      </w:r>
      <w:r w:rsidR="0036277E">
        <w:rPr>
          <w:rFonts w:ascii="Arial" w:hAnsi="Arial" w:cs="Arial"/>
          <w:sz w:val="20"/>
          <w:szCs w:val="20"/>
        </w:rPr>
        <w:t xml:space="preserve"> 21</w:t>
      </w:r>
      <w:r w:rsidRPr="00A52F41">
        <w:rPr>
          <w:rFonts w:ascii="Arial" w:hAnsi="Arial" w:cs="Arial"/>
          <w:sz w:val="20"/>
          <w:szCs w:val="20"/>
        </w:rPr>
        <w:t>. S starostniki sodelujejo mreže osnovnih šol in vrtcev</w:t>
      </w:r>
      <w:r w:rsidR="00F657BE">
        <w:rPr>
          <w:rFonts w:ascii="Arial" w:hAnsi="Arial" w:cs="Arial"/>
          <w:sz w:val="20"/>
          <w:szCs w:val="20"/>
        </w:rPr>
        <w:t>,</w:t>
      </w:r>
      <w:r w:rsidRPr="00A52F41">
        <w:rPr>
          <w:rFonts w:ascii="Arial" w:hAnsi="Arial" w:cs="Arial"/>
          <w:sz w:val="20"/>
          <w:szCs w:val="20"/>
        </w:rPr>
        <w:t xml:space="preserve"> predvsem na področju kulturnih in družbenih ter izobraževalnih aktivnosti; mreža župnij z materialno in duhovno pomočjo; domovi starejših občanov na več kot 110 lokacijah po Sloveniji in</w:t>
      </w:r>
      <w:r w:rsidR="00F657BE">
        <w:rPr>
          <w:rFonts w:ascii="Arial" w:hAnsi="Arial" w:cs="Arial"/>
          <w:sz w:val="20"/>
          <w:szCs w:val="20"/>
        </w:rPr>
        <w:t xml:space="preserve"> kateri</w:t>
      </w:r>
      <w:r w:rsidRPr="00A52F41">
        <w:rPr>
          <w:rFonts w:ascii="Arial" w:hAnsi="Arial" w:cs="Arial"/>
          <w:sz w:val="20"/>
          <w:szCs w:val="20"/>
        </w:rPr>
        <w:t xml:space="preserve"> so odprti za sodelovanje s šolami, župnijami in društvi; večgeneracijski centri in občinski medgeneracijski centri, pri vzpostavitvi katerih sodelujejo številna prostovoljna društva, partnerstva, Slovenska univerza za tretje življenjsko obdobje</w:t>
      </w:r>
      <w:r w:rsidR="00F657BE">
        <w:rPr>
          <w:rFonts w:ascii="Arial" w:hAnsi="Arial" w:cs="Arial"/>
          <w:sz w:val="20"/>
          <w:szCs w:val="20"/>
        </w:rPr>
        <w:t xml:space="preserve"> idr</w:t>
      </w:r>
      <w:r w:rsidRPr="00A52F41">
        <w:rPr>
          <w:rFonts w:ascii="Arial" w:hAnsi="Arial" w:cs="Arial"/>
          <w:sz w:val="20"/>
          <w:szCs w:val="20"/>
        </w:rPr>
        <w:t>.</w:t>
      </w:r>
    </w:p>
    <w:p w14:paraId="6F430AAD" w14:textId="77777777" w:rsidR="009E0216" w:rsidRPr="00026AF3" w:rsidRDefault="00A53A3F" w:rsidP="00A417A4">
      <w:pPr>
        <w:pStyle w:val="SCslika"/>
        <w:keepNext/>
        <w:keepLines/>
      </w:pPr>
      <w:r w:rsidRPr="00A417A4">
        <w:lastRenderedPageBreak/>
        <w:t>Slika 21</w:t>
      </w:r>
      <w:r w:rsidR="00026AF3" w:rsidRPr="00A417A4">
        <w:t>: Ustanove, ki z delovanjem in mreženjem ustvarjajo vmesnik, stičišče med starostniki in</w:t>
      </w:r>
      <w:r w:rsidR="00026AF3">
        <w:t xml:space="preserve"> njihovim okoljem na podeželju</w:t>
      </w:r>
    </w:p>
    <w:p w14:paraId="79FD8AC7" w14:textId="34CD2AA9" w:rsidR="009E0216" w:rsidRPr="00A52F41" w:rsidRDefault="00E7648B" w:rsidP="00E7648B">
      <w:pPr>
        <w:pStyle w:val="Napis"/>
        <w:spacing w:before="0" w:line="240" w:lineRule="auto"/>
        <w:jc w:val="both"/>
        <w:rPr>
          <w:sz w:val="20"/>
          <w:szCs w:val="20"/>
        </w:rPr>
      </w:pPr>
      <w:r w:rsidRPr="00E7648B">
        <w:rPr>
          <w:noProof/>
          <w:sz w:val="20"/>
          <w:szCs w:val="20"/>
          <w:lang w:eastAsia="sl-SI"/>
        </w:rPr>
        <w:drawing>
          <wp:inline distT="0" distB="0" distL="0" distR="0" wp14:anchorId="3DEA5BAD" wp14:editId="66D8040D">
            <wp:extent cx="5805577" cy="4043810"/>
            <wp:effectExtent l="19050" t="19050" r="24130" b="1397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08895" cy="4046121"/>
                    </a:xfrm>
                    <a:prstGeom prst="rect">
                      <a:avLst/>
                    </a:prstGeom>
                    <a:ln w="6350">
                      <a:solidFill>
                        <a:schemeClr val="tx1">
                          <a:lumMod val="65000"/>
                          <a:lumOff val="35000"/>
                        </a:schemeClr>
                      </a:solidFill>
                    </a:ln>
                  </pic:spPr>
                </pic:pic>
              </a:graphicData>
            </a:graphic>
          </wp:inline>
        </w:drawing>
      </w:r>
    </w:p>
    <w:p w14:paraId="0EC1DEEB" w14:textId="77777777" w:rsidR="009E0216" w:rsidRPr="00026AF3" w:rsidRDefault="00026AF3" w:rsidP="00E7648B">
      <w:pPr>
        <w:pStyle w:val="Napis"/>
        <w:spacing w:before="0" w:after="200" w:line="360" w:lineRule="auto"/>
        <w:jc w:val="both"/>
      </w:pPr>
      <w:bookmarkStart w:id="61" w:name="_Toc47082383"/>
      <w:bookmarkStart w:id="62" w:name="_Toc47092624"/>
      <w:r w:rsidRPr="00026AF3">
        <w:t xml:space="preserve">Vir: </w:t>
      </w:r>
      <w:r w:rsidR="009E0216" w:rsidRPr="00026AF3">
        <w:t>Potočnik Slavič, 2019</w:t>
      </w:r>
      <w:bookmarkEnd w:id="61"/>
      <w:bookmarkEnd w:id="62"/>
    </w:p>
    <w:p w14:paraId="3E91A321" w14:textId="77777777" w:rsidR="00910940" w:rsidRPr="00A52F41" w:rsidRDefault="00910940" w:rsidP="00EA2E4C">
      <w:pPr>
        <w:pStyle w:val="Navadensplet"/>
        <w:spacing w:line="360" w:lineRule="auto"/>
        <w:rPr>
          <w:rFonts w:ascii="Arial" w:hAnsi="Arial" w:cs="Arial"/>
        </w:rPr>
      </w:pPr>
    </w:p>
    <w:p w14:paraId="742C06F2" w14:textId="77777777" w:rsidR="009E0216" w:rsidRPr="00BE756C" w:rsidRDefault="009E0216" w:rsidP="00A05198">
      <w:pPr>
        <w:pStyle w:val="tevilnatoka11Nova"/>
        <w:numPr>
          <w:ilvl w:val="1"/>
          <w:numId w:val="35"/>
        </w:numPr>
        <w:tabs>
          <w:tab w:val="clear" w:pos="4297"/>
        </w:tabs>
        <w:spacing w:before="200" w:after="200" w:line="360" w:lineRule="auto"/>
        <w:outlineLvl w:val="1"/>
        <w:rPr>
          <w:b/>
          <w:sz w:val="24"/>
          <w:szCs w:val="24"/>
        </w:rPr>
      </w:pPr>
      <w:bookmarkStart w:id="63" w:name="_Toc55999330"/>
      <w:r w:rsidRPr="00BE756C">
        <w:rPr>
          <w:b/>
          <w:sz w:val="24"/>
          <w:szCs w:val="24"/>
        </w:rPr>
        <w:t>KULTURNA DEDIŠČINA</w:t>
      </w:r>
      <w:bookmarkEnd w:id="63"/>
    </w:p>
    <w:p w14:paraId="7BC60963" w14:textId="0A6E90D0"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Slovenija ima bogato in raznoliko kulturno dediščino ter dolgo tradicijo njenega organiziranega varstva. Kulturn</w:t>
      </w:r>
      <w:r w:rsidR="0038298F">
        <w:rPr>
          <w:rFonts w:ascii="Arial" w:hAnsi="Arial" w:cs="Arial"/>
          <w:sz w:val="20"/>
          <w:szCs w:val="20"/>
        </w:rPr>
        <w:t>a</w:t>
      </w:r>
      <w:r w:rsidRPr="00A52F41">
        <w:rPr>
          <w:rFonts w:ascii="Arial" w:hAnsi="Arial" w:cs="Arial"/>
          <w:sz w:val="20"/>
          <w:szCs w:val="20"/>
        </w:rPr>
        <w:t xml:space="preserve"> dediščin</w:t>
      </w:r>
      <w:r w:rsidR="0038298F">
        <w:rPr>
          <w:rFonts w:ascii="Arial" w:hAnsi="Arial" w:cs="Arial"/>
          <w:sz w:val="20"/>
          <w:szCs w:val="20"/>
        </w:rPr>
        <w:t>a</w:t>
      </w:r>
      <w:r w:rsidRPr="00A52F41">
        <w:rPr>
          <w:rFonts w:ascii="Arial" w:hAnsi="Arial" w:cs="Arial"/>
          <w:sz w:val="20"/>
          <w:szCs w:val="20"/>
        </w:rPr>
        <w:t xml:space="preserve">  je pomembna za gospodarski, družbeni in lokalni razvoj območja. Dediščina je temelj kulturne pestrosti Slovenije, ki se prepleta z izjemno krajinsko in biotsko raznovrstnostjo, privlačnostjo države za življenje državljanov, za izobraževanje, za razvoj, za umetniško ustvarjanje, za turizem in druge gospodarske dejavnosti.</w:t>
      </w:r>
    </w:p>
    <w:p w14:paraId="776304C3" w14:textId="77777777" w:rsidR="009E0216" w:rsidRPr="00A52F41" w:rsidRDefault="009E0216" w:rsidP="00BE756C">
      <w:pPr>
        <w:spacing w:before="200" w:line="360" w:lineRule="auto"/>
        <w:jc w:val="both"/>
        <w:rPr>
          <w:rFonts w:ascii="Arial" w:eastAsia="Arial" w:hAnsi="Arial" w:cs="Arial"/>
          <w:color w:val="000000" w:themeColor="text1"/>
          <w:sz w:val="20"/>
          <w:szCs w:val="20"/>
        </w:rPr>
      </w:pPr>
      <w:r w:rsidRPr="00A52F41">
        <w:rPr>
          <w:rFonts w:ascii="Arial" w:eastAsia="Arial" w:hAnsi="Arial" w:cs="Arial"/>
          <w:color w:val="000000" w:themeColor="text1"/>
          <w:sz w:val="20"/>
          <w:szCs w:val="20"/>
        </w:rPr>
        <w:t xml:space="preserve">V register nepremične kulturne dediščine, ki je </w:t>
      </w:r>
      <w:r w:rsidRPr="00A52F41">
        <w:rPr>
          <w:rFonts w:ascii="Arial" w:hAnsi="Arial" w:cs="Arial"/>
          <w:sz w:val="20"/>
          <w:szCs w:val="20"/>
        </w:rPr>
        <w:t>osrednja zbirka podatkov o dediščini v Sloveniji, ki jo vodi Ministrstvo za kulturo,</w:t>
      </w:r>
      <w:r w:rsidRPr="00A52F41">
        <w:rPr>
          <w:rFonts w:ascii="Arial" w:eastAsia="Arial" w:hAnsi="Arial" w:cs="Arial"/>
          <w:color w:val="000000" w:themeColor="text1"/>
          <w:sz w:val="20"/>
          <w:szCs w:val="20"/>
        </w:rPr>
        <w:t xml:space="preserve"> je trenutno vpisanih (na dan 2. 9. 2020) 30.685 enot dediščine, od tega je na podeželju 23.867 oziroma 78 % vseh enot kulturne dediščine. Poleg te dediščine je v registru evidentiranih še 1337 enot, ki so izgubile dediščinske lastnosti in so bile iz registra izbrisane oziroma se jih varuje le še arhivsko/dokumentarno. </w:t>
      </w:r>
    </w:p>
    <w:p w14:paraId="2CBA98F6" w14:textId="736D014B" w:rsidR="009E0216" w:rsidRPr="00A417A4" w:rsidRDefault="009E0216" w:rsidP="00867E94">
      <w:pPr>
        <w:pStyle w:val="SCslika"/>
        <w:keepNext/>
        <w:keepLines/>
      </w:pPr>
      <w:r w:rsidRPr="00A417A4">
        <w:lastRenderedPageBreak/>
        <w:t xml:space="preserve"> </w:t>
      </w:r>
      <w:r w:rsidR="00910940" w:rsidRPr="00A417A4">
        <w:t>Tabela 18</w:t>
      </w:r>
      <w:r w:rsidRPr="00A417A4">
        <w:t>: Vpisane enote dediščine, v Slove</w:t>
      </w:r>
      <w:r w:rsidR="00F25C63">
        <w:t>niji in na podeželju po letih</w:t>
      </w:r>
    </w:p>
    <w:tbl>
      <w:tblPr>
        <w:tblW w:w="8857" w:type="dxa"/>
        <w:tblInd w:w="55" w:type="dxa"/>
        <w:tblCellMar>
          <w:left w:w="70" w:type="dxa"/>
          <w:right w:w="70" w:type="dxa"/>
        </w:tblCellMar>
        <w:tblLook w:val="04A0" w:firstRow="1" w:lastRow="0" w:firstColumn="1" w:lastColumn="0" w:noHBand="0" w:noVBand="1"/>
      </w:tblPr>
      <w:tblGrid>
        <w:gridCol w:w="1538"/>
        <w:gridCol w:w="1521"/>
        <w:gridCol w:w="2126"/>
        <w:gridCol w:w="1559"/>
        <w:gridCol w:w="2113"/>
      </w:tblGrid>
      <w:tr w:rsidR="009E0216" w:rsidRPr="00A52F41" w14:paraId="0225DAFF" w14:textId="77777777" w:rsidTr="00F25C63">
        <w:trPr>
          <w:trHeight w:val="302"/>
        </w:trPr>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AF368" w14:textId="77777777" w:rsidR="009E0216" w:rsidRPr="00A52F41" w:rsidRDefault="009E0216" w:rsidP="00867E94">
            <w:pPr>
              <w:keepNext/>
              <w:keepLines/>
              <w:spacing w:before="60"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 </w:t>
            </w:r>
          </w:p>
        </w:tc>
        <w:tc>
          <w:tcPr>
            <w:tcW w:w="364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6A88EAF" w14:textId="77777777" w:rsidR="009E0216" w:rsidRPr="00A52F41" w:rsidRDefault="009E0216" w:rsidP="00867E94">
            <w:pPr>
              <w:keepNext/>
              <w:keepLines/>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vsa dediščina</w:t>
            </w:r>
          </w:p>
        </w:tc>
        <w:tc>
          <w:tcPr>
            <w:tcW w:w="367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B76A85E" w14:textId="77777777" w:rsidR="009E0216" w:rsidRPr="00A52F41" w:rsidRDefault="009E0216" w:rsidP="00867E94">
            <w:pPr>
              <w:keepNext/>
              <w:keepLines/>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etnološka dediščina</w:t>
            </w:r>
          </w:p>
        </w:tc>
      </w:tr>
      <w:tr w:rsidR="009E0216" w:rsidRPr="00A52F41" w14:paraId="2CA5404A" w14:textId="77777777" w:rsidTr="00F25C63">
        <w:trPr>
          <w:trHeight w:val="335"/>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014F08A3" w14:textId="77777777" w:rsidR="009E0216" w:rsidRPr="00A52F41" w:rsidRDefault="009E0216" w:rsidP="00867E94">
            <w:pPr>
              <w:keepNext/>
              <w:keepLines/>
              <w:spacing w:before="60" w:after="0" w:line="312" w:lineRule="auto"/>
              <w:jc w:val="center"/>
              <w:rPr>
                <w:rFonts w:ascii="Arial" w:hAnsi="Arial" w:cs="Arial"/>
                <w:color w:val="000000"/>
                <w:sz w:val="20"/>
                <w:szCs w:val="20"/>
                <w:lang w:eastAsia="sl-SI"/>
              </w:rPr>
            </w:pPr>
            <w:r w:rsidRPr="00A52F41">
              <w:rPr>
                <w:rFonts w:ascii="Arial" w:hAnsi="Arial" w:cs="Arial"/>
                <w:color w:val="000000"/>
                <w:sz w:val="20"/>
                <w:szCs w:val="20"/>
                <w:lang w:eastAsia="sl-SI"/>
              </w:rPr>
              <w:t>leto</w:t>
            </w:r>
          </w:p>
        </w:tc>
        <w:tc>
          <w:tcPr>
            <w:tcW w:w="1521" w:type="dxa"/>
            <w:tcBorders>
              <w:top w:val="nil"/>
              <w:left w:val="nil"/>
              <w:bottom w:val="single" w:sz="4" w:space="0" w:color="auto"/>
              <w:right w:val="single" w:sz="4" w:space="0" w:color="auto"/>
            </w:tcBorders>
            <w:shd w:val="clear" w:color="auto" w:fill="auto"/>
            <w:vAlign w:val="bottom"/>
            <w:hideMark/>
          </w:tcPr>
          <w:p w14:paraId="500AF7D5" w14:textId="33848D78" w:rsidR="009E0216" w:rsidRPr="00A52F41" w:rsidRDefault="00F25C63" w:rsidP="00867E94">
            <w:pPr>
              <w:keepNext/>
              <w:keepLines/>
              <w:spacing w:before="60" w:after="0" w:line="312" w:lineRule="auto"/>
              <w:jc w:val="center"/>
              <w:rPr>
                <w:rFonts w:ascii="Arial" w:hAnsi="Arial" w:cs="Arial"/>
                <w:color w:val="000000"/>
                <w:sz w:val="20"/>
                <w:szCs w:val="20"/>
                <w:lang w:eastAsia="sl-SI"/>
              </w:rPr>
            </w:pPr>
            <w:r>
              <w:rPr>
                <w:rFonts w:ascii="Arial" w:hAnsi="Arial" w:cs="Arial"/>
                <w:color w:val="000000"/>
                <w:sz w:val="20"/>
                <w:szCs w:val="20"/>
                <w:lang w:eastAsia="sl-SI"/>
              </w:rPr>
              <w:t xml:space="preserve">vpisane </w:t>
            </w:r>
            <w:r w:rsidR="009E0216" w:rsidRPr="00A52F41">
              <w:rPr>
                <w:rFonts w:ascii="Arial" w:hAnsi="Arial" w:cs="Arial"/>
                <w:color w:val="000000"/>
                <w:sz w:val="20"/>
                <w:szCs w:val="20"/>
                <w:lang w:eastAsia="sl-SI"/>
              </w:rPr>
              <w:t>enote</w:t>
            </w:r>
          </w:p>
        </w:tc>
        <w:tc>
          <w:tcPr>
            <w:tcW w:w="2126" w:type="dxa"/>
            <w:tcBorders>
              <w:top w:val="nil"/>
              <w:left w:val="nil"/>
              <w:bottom w:val="single" w:sz="4" w:space="0" w:color="auto"/>
              <w:right w:val="single" w:sz="4" w:space="0" w:color="auto"/>
            </w:tcBorders>
            <w:shd w:val="clear" w:color="auto" w:fill="auto"/>
            <w:vAlign w:val="bottom"/>
            <w:hideMark/>
          </w:tcPr>
          <w:p w14:paraId="4FD29411" w14:textId="77777777" w:rsidR="009E0216" w:rsidRPr="00A52F41" w:rsidRDefault="009E0216" w:rsidP="00867E94">
            <w:pPr>
              <w:keepNext/>
              <w:keepLines/>
              <w:spacing w:before="60" w:after="0" w:line="312" w:lineRule="auto"/>
              <w:jc w:val="center"/>
              <w:rPr>
                <w:rFonts w:ascii="Arial" w:hAnsi="Arial" w:cs="Arial"/>
                <w:color w:val="000000"/>
                <w:sz w:val="20"/>
                <w:szCs w:val="20"/>
                <w:lang w:eastAsia="sl-SI"/>
              </w:rPr>
            </w:pPr>
            <w:r w:rsidRPr="00A52F41">
              <w:rPr>
                <w:rFonts w:ascii="Arial" w:hAnsi="Arial" w:cs="Arial"/>
                <w:color w:val="000000"/>
                <w:sz w:val="20"/>
                <w:szCs w:val="20"/>
                <w:lang w:eastAsia="sl-SI"/>
              </w:rPr>
              <w:t>arhivsko varstvo/izbris</w:t>
            </w:r>
          </w:p>
        </w:tc>
        <w:tc>
          <w:tcPr>
            <w:tcW w:w="1559" w:type="dxa"/>
            <w:tcBorders>
              <w:top w:val="nil"/>
              <w:left w:val="nil"/>
              <w:bottom w:val="single" w:sz="4" w:space="0" w:color="auto"/>
              <w:right w:val="single" w:sz="4" w:space="0" w:color="auto"/>
            </w:tcBorders>
            <w:shd w:val="clear" w:color="auto" w:fill="auto"/>
            <w:vAlign w:val="bottom"/>
            <w:hideMark/>
          </w:tcPr>
          <w:p w14:paraId="5C873A46" w14:textId="0D54A0F7" w:rsidR="009E0216" w:rsidRPr="00A52F41" w:rsidRDefault="00F25C63" w:rsidP="00867E94">
            <w:pPr>
              <w:keepNext/>
              <w:keepLines/>
              <w:spacing w:before="60" w:after="0" w:line="312" w:lineRule="auto"/>
              <w:jc w:val="center"/>
              <w:rPr>
                <w:rFonts w:ascii="Arial" w:hAnsi="Arial" w:cs="Arial"/>
                <w:color w:val="000000"/>
                <w:sz w:val="20"/>
                <w:szCs w:val="20"/>
                <w:lang w:eastAsia="sl-SI"/>
              </w:rPr>
            </w:pPr>
            <w:r>
              <w:rPr>
                <w:rFonts w:ascii="Arial" w:hAnsi="Arial" w:cs="Arial"/>
                <w:color w:val="000000"/>
                <w:sz w:val="20"/>
                <w:szCs w:val="20"/>
                <w:lang w:eastAsia="sl-SI"/>
              </w:rPr>
              <w:t xml:space="preserve">vpisane </w:t>
            </w:r>
            <w:r w:rsidR="009E0216" w:rsidRPr="00A52F41">
              <w:rPr>
                <w:rFonts w:ascii="Arial" w:hAnsi="Arial" w:cs="Arial"/>
                <w:color w:val="000000"/>
                <w:sz w:val="20"/>
                <w:szCs w:val="20"/>
                <w:lang w:eastAsia="sl-SI"/>
              </w:rPr>
              <w:t>enote</w:t>
            </w:r>
          </w:p>
        </w:tc>
        <w:tc>
          <w:tcPr>
            <w:tcW w:w="2113" w:type="dxa"/>
            <w:tcBorders>
              <w:top w:val="nil"/>
              <w:left w:val="nil"/>
              <w:bottom w:val="single" w:sz="4" w:space="0" w:color="auto"/>
              <w:right w:val="single" w:sz="4" w:space="0" w:color="auto"/>
            </w:tcBorders>
            <w:shd w:val="clear" w:color="auto" w:fill="auto"/>
            <w:vAlign w:val="bottom"/>
            <w:hideMark/>
          </w:tcPr>
          <w:p w14:paraId="4AD37110" w14:textId="77777777" w:rsidR="009E0216" w:rsidRPr="00A52F41" w:rsidRDefault="009E0216" w:rsidP="00867E94">
            <w:pPr>
              <w:keepNext/>
              <w:keepLines/>
              <w:spacing w:before="60" w:after="0" w:line="312" w:lineRule="auto"/>
              <w:jc w:val="center"/>
              <w:rPr>
                <w:rFonts w:ascii="Arial" w:hAnsi="Arial" w:cs="Arial"/>
                <w:color w:val="000000"/>
                <w:sz w:val="20"/>
                <w:szCs w:val="20"/>
                <w:lang w:eastAsia="sl-SI"/>
              </w:rPr>
            </w:pPr>
            <w:r w:rsidRPr="00A52F41">
              <w:rPr>
                <w:rFonts w:ascii="Arial" w:hAnsi="Arial" w:cs="Arial"/>
                <w:color w:val="000000"/>
                <w:sz w:val="20"/>
                <w:szCs w:val="20"/>
                <w:lang w:eastAsia="sl-SI"/>
              </w:rPr>
              <w:t>arhivsko varstvo/izbris</w:t>
            </w:r>
          </w:p>
        </w:tc>
      </w:tr>
      <w:tr w:rsidR="009E0216" w:rsidRPr="00A52F41" w14:paraId="68A25B11"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5AA029AD" w14:textId="61F12864" w:rsidR="009E0216" w:rsidRPr="00A52F41" w:rsidRDefault="009E0216" w:rsidP="00867E94">
            <w:pPr>
              <w:keepNext/>
              <w:keepLines/>
              <w:spacing w:before="60"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Slovenija</w:t>
            </w:r>
            <w:r w:rsidR="00867E94">
              <w:rPr>
                <w:rFonts w:ascii="Arial" w:hAnsi="Arial" w:cs="Arial"/>
                <w:b/>
                <w:bCs/>
                <w:color w:val="000000"/>
                <w:sz w:val="20"/>
                <w:szCs w:val="20"/>
                <w:lang w:eastAsia="sl-SI"/>
              </w:rPr>
              <w:t xml:space="preserve"> </w:t>
            </w:r>
            <w:r w:rsidRPr="00A52F41">
              <w:rPr>
                <w:rFonts w:ascii="Arial" w:hAnsi="Arial" w:cs="Arial"/>
                <w:b/>
                <w:bCs/>
                <w:color w:val="000000"/>
                <w:sz w:val="20"/>
                <w:szCs w:val="20"/>
                <w:lang w:eastAsia="sl-SI"/>
              </w:rPr>
              <w:t>/</w:t>
            </w:r>
            <w:r w:rsidR="00867E94">
              <w:rPr>
                <w:rFonts w:ascii="Arial" w:hAnsi="Arial" w:cs="Arial"/>
                <w:b/>
                <w:bCs/>
                <w:color w:val="000000"/>
                <w:sz w:val="20"/>
                <w:szCs w:val="20"/>
                <w:lang w:eastAsia="sl-SI"/>
              </w:rPr>
              <w:t xml:space="preserve"> v</w:t>
            </w:r>
            <w:r w:rsidRPr="00A52F41">
              <w:rPr>
                <w:rFonts w:ascii="Arial" w:hAnsi="Arial" w:cs="Arial"/>
                <w:b/>
                <w:bCs/>
                <w:color w:val="000000"/>
                <w:sz w:val="20"/>
                <w:szCs w:val="20"/>
                <w:lang w:eastAsia="sl-SI"/>
              </w:rPr>
              <w:t>si</w:t>
            </w:r>
          </w:p>
        </w:tc>
        <w:tc>
          <w:tcPr>
            <w:tcW w:w="1521" w:type="dxa"/>
            <w:tcBorders>
              <w:top w:val="nil"/>
              <w:left w:val="nil"/>
              <w:bottom w:val="single" w:sz="4" w:space="0" w:color="auto"/>
              <w:right w:val="single" w:sz="4" w:space="0" w:color="auto"/>
            </w:tcBorders>
            <w:shd w:val="clear" w:color="auto" w:fill="auto"/>
            <w:noWrap/>
            <w:vAlign w:val="bottom"/>
            <w:hideMark/>
          </w:tcPr>
          <w:p w14:paraId="4D6BC709" w14:textId="671466DE" w:rsidR="009E0216" w:rsidRPr="00A52F41" w:rsidRDefault="009E0216" w:rsidP="00867E94">
            <w:pPr>
              <w:keepNext/>
              <w:keepLines/>
              <w:spacing w:before="60" w:after="0" w:line="312" w:lineRule="auto"/>
              <w:jc w:val="right"/>
              <w:rPr>
                <w:rFonts w:ascii="Arial" w:hAnsi="Arial" w:cs="Arial"/>
                <w:b/>
                <w:bCs/>
                <w:color w:val="000000"/>
                <w:sz w:val="20"/>
                <w:szCs w:val="20"/>
                <w:lang w:eastAsia="sl-SI"/>
              </w:rPr>
            </w:pPr>
            <w:r w:rsidRPr="00A52F41">
              <w:rPr>
                <w:rFonts w:ascii="Arial" w:hAnsi="Arial" w:cs="Arial"/>
                <w:b/>
                <w:bCs/>
                <w:color w:val="000000"/>
                <w:sz w:val="20"/>
                <w:szCs w:val="20"/>
                <w:lang w:eastAsia="sl-SI"/>
              </w:rPr>
              <w:t>30</w:t>
            </w:r>
            <w:r w:rsidR="00867E94">
              <w:rPr>
                <w:rFonts w:ascii="Arial" w:hAnsi="Arial" w:cs="Arial"/>
                <w:b/>
                <w:bCs/>
                <w:color w:val="000000"/>
                <w:sz w:val="20"/>
                <w:szCs w:val="20"/>
                <w:lang w:eastAsia="sl-SI"/>
              </w:rPr>
              <w:t>.</w:t>
            </w:r>
            <w:r w:rsidRPr="00A52F41">
              <w:rPr>
                <w:rFonts w:ascii="Arial" w:hAnsi="Arial" w:cs="Arial"/>
                <w:b/>
                <w:bCs/>
                <w:color w:val="000000"/>
                <w:sz w:val="20"/>
                <w:szCs w:val="20"/>
                <w:lang w:eastAsia="sl-SI"/>
              </w:rPr>
              <w:t>685</w:t>
            </w:r>
          </w:p>
        </w:tc>
        <w:tc>
          <w:tcPr>
            <w:tcW w:w="2126" w:type="dxa"/>
            <w:tcBorders>
              <w:top w:val="nil"/>
              <w:left w:val="nil"/>
              <w:bottom w:val="single" w:sz="4" w:space="0" w:color="auto"/>
              <w:right w:val="single" w:sz="4" w:space="0" w:color="auto"/>
            </w:tcBorders>
            <w:shd w:val="clear" w:color="auto" w:fill="auto"/>
            <w:noWrap/>
            <w:vAlign w:val="bottom"/>
            <w:hideMark/>
          </w:tcPr>
          <w:p w14:paraId="3ABF8168" w14:textId="0A24041C" w:rsidR="009E0216" w:rsidRPr="00A52F41" w:rsidRDefault="009E0216" w:rsidP="00867E94">
            <w:pPr>
              <w:keepNext/>
              <w:keepLines/>
              <w:spacing w:before="60" w:after="0" w:line="312" w:lineRule="auto"/>
              <w:jc w:val="right"/>
              <w:rPr>
                <w:rFonts w:ascii="Arial" w:hAnsi="Arial" w:cs="Arial"/>
                <w:b/>
                <w:bCs/>
                <w:color w:val="000000"/>
                <w:sz w:val="20"/>
                <w:szCs w:val="20"/>
                <w:lang w:eastAsia="sl-SI"/>
              </w:rPr>
            </w:pPr>
            <w:r w:rsidRPr="00A52F41">
              <w:rPr>
                <w:rFonts w:ascii="Arial" w:hAnsi="Arial" w:cs="Arial"/>
                <w:b/>
                <w:bCs/>
                <w:color w:val="000000"/>
                <w:sz w:val="20"/>
                <w:szCs w:val="20"/>
                <w:lang w:eastAsia="sl-SI"/>
              </w:rPr>
              <w:t>1</w:t>
            </w:r>
            <w:r w:rsidR="00867E94">
              <w:rPr>
                <w:rFonts w:ascii="Arial" w:hAnsi="Arial" w:cs="Arial"/>
                <w:b/>
                <w:bCs/>
                <w:color w:val="000000"/>
                <w:sz w:val="20"/>
                <w:szCs w:val="20"/>
                <w:lang w:eastAsia="sl-SI"/>
              </w:rPr>
              <w:t>.</w:t>
            </w:r>
            <w:r w:rsidRPr="00A52F41">
              <w:rPr>
                <w:rFonts w:ascii="Arial" w:hAnsi="Arial" w:cs="Arial"/>
                <w:b/>
                <w:bCs/>
                <w:color w:val="000000"/>
                <w:sz w:val="20"/>
                <w:szCs w:val="20"/>
                <w:lang w:eastAsia="sl-SI"/>
              </w:rPr>
              <w:t>337</w:t>
            </w:r>
          </w:p>
        </w:tc>
        <w:tc>
          <w:tcPr>
            <w:tcW w:w="1559" w:type="dxa"/>
            <w:tcBorders>
              <w:top w:val="nil"/>
              <w:left w:val="nil"/>
              <w:bottom w:val="single" w:sz="4" w:space="0" w:color="auto"/>
              <w:right w:val="single" w:sz="4" w:space="0" w:color="auto"/>
            </w:tcBorders>
            <w:shd w:val="clear" w:color="auto" w:fill="auto"/>
            <w:noWrap/>
            <w:vAlign w:val="bottom"/>
            <w:hideMark/>
          </w:tcPr>
          <w:p w14:paraId="5FD44427" w14:textId="546AF377" w:rsidR="009E0216" w:rsidRPr="00A52F41" w:rsidRDefault="009E0216" w:rsidP="00867E94">
            <w:pPr>
              <w:keepNext/>
              <w:keepLines/>
              <w:spacing w:before="60" w:after="0" w:line="312" w:lineRule="auto"/>
              <w:jc w:val="right"/>
              <w:rPr>
                <w:rFonts w:ascii="Arial" w:hAnsi="Arial" w:cs="Arial"/>
                <w:b/>
                <w:bCs/>
                <w:color w:val="000000"/>
                <w:sz w:val="20"/>
                <w:szCs w:val="20"/>
                <w:lang w:eastAsia="sl-SI"/>
              </w:rPr>
            </w:pPr>
            <w:r w:rsidRPr="00A52F41">
              <w:rPr>
                <w:rFonts w:ascii="Arial" w:hAnsi="Arial" w:cs="Arial"/>
                <w:b/>
                <w:bCs/>
                <w:color w:val="000000"/>
                <w:sz w:val="20"/>
                <w:szCs w:val="20"/>
                <w:lang w:eastAsia="sl-SI"/>
              </w:rPr>
              <w:t>15</w:t>
            </w:r>
            <w:r w:rsidR="00867E94">
              <w:rPr>
                <w:rFonts w:ascii="Arial" w:hAnsi="Arial" w:cs="Arial"/>
                <w:b/>
                <w:bCs/>
                <w:color w:val="000000"/>
                <w:sz w:val="20"/>
                <w:szCs w:val="20"/>
                <w:lang w:eastAsia="sl-SI"/>
              </w:rPr>
              <w:t>.</w:t>
            </w:r>
            <w:r w:rsidRPr="00A52F41">
              <w:rPr>
                <w:rFonts w:ascii="Arial" w:hAnsi="Arial" w:cs="Arial"/>
                <w:b/>
                <w:bCs/>
                <w:color w:val="000000"/>
                <w:sz w:val="20"/>
                <w:szCs w:val="20"/>
                <w:lang w:eastAsia="sl-SI"/>
              </w:rPr>
              <w:t>056</w:t>
            </w:r>
          </w:p>
        </w:tc>
        <w:tc>
          <w:tcPr>
            <w:tcW w:w="2113" w:type="dxa"/>
            <w:tcBorders>
              <w:top w:val="nil"/>
              <w:left w:val="nil"/>
              <w:bottom w:val="single" w:sz="4" w:space="0" w:color="auto"/>
              <w:right w:val="single" w:sz="4" w:space="0" w:color="auto"/>
            </w:tcBorders>
            <w:shd w:val="clear" w:color="auto" w:fill="auto"/>
            <w:noWrap/>
            <w:vAlign w:val="bottom"/>
            <w:hideMark/>
          </w:tcPr>
          <w:p w14:paraId="6D47700C" w14:textId="7C4E1B43" w:rsidR="009E0216" w:rsidRPr="00A52F41" w:rsidRDefault="009E0216" w:rsidP="00867E94">
            <w:pPr>
              <w:keepNext/>
              <w:keepLines/>
              <w:spacing w:before="60" w:after="0" w:line="312" w:lineRule="auto"/>
              <w:jc w:val="right"/>
              <w:rPr>
                <w:rFonts w:ascii="Arial" w:hAnsi="Arial" w:cs="Arial"/>
                <w:b/>
                <w:bCs/>
                <w:color w:val="000000"/>
                <w:sz w:val="20"/>
                <w:szCs w:val="20"/>
                <w:lang w:eastAsia="sl-SI"/>
              </w:rPr>
            </w:pPr>
            <w:r w:rsidRPr="00A52F41">
              <w:rPr>
                <w:rFonts w:ascii="Arial" w:hAnsi="Arial" w:cs="Arial"/>
                <w:b/>
                <w:bCs/>
                <w:color w:val="000000"/>
                <w:sz w:val="20"/>
                <w:szCs w:val="20"/>
                <w:lang w:eastAsia="sl-SI"/>
              </w:rPr>
              <w:t>1</w:t>
            </w:r>
            <w:r w:rsidR="00867E94">
              <w:rPr>
                <w:rFonts w:ascii="Arial" w:hAnsi="Arial" w:cs="Arial"/>
                <w:b/>
                <w:bCs/>
                <w:color w:val="000000"/>
                <w:sz w:val="20"/>
                <w:szCs w:val="20"/>
                <w:lang w:eastAsia="sl-SI"/>
              </w:rPr>
              <w:t>.</w:t>
            </w:r>
            <w:r w:rsidRPr="00A52F41">
              <w:rPr>
                <w:rFonts w:ascii="Arial" w:hAnsi="Arial" w:cs="Arial"/>
                <w:b/>
                <w:bCs/>
                <w:color w:val="000000"/>
                <w:sz w:val="20"/>
                <w:szCs w:val="20"/>
                <w:lang w:eastAsia="sl-SI"/>
              </w:rPr>
              <w:t>078</w:t>
            </w:r>
          </w:p>
        </w:tc>
      </w:tr>
      <w:tr w:rsidR="009E0216" w:rsidRPr="00A52F41" w14:paraId="767AAD43"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378C8BCB" w14:textId="77777777" w:rsidR="009E0216" w:rsidRPr="00A52F41" w:rsidRDefault="009E0216" w:rsidP="00867E94">
            <w:pPr>
              <w:keepNext/>
              <w:keepLines/>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2008</w:t>
            </w:r>
          </w:p>
        </w:tc>
        <w:tc>
          <w:tcPr>
            <w:tcW w:w="1521" w:type="dxa"/>
            <w:tcBorders>
              <w:top w:val="nil"/>
              <w:left w:val="nil"/>
              <w:bottom w:val="single" w:sz="4" w:space="0" w:color="auto"/>
              <w:right w:val="single" w:sz="4" w:space="0" w:color="auto"/>
            </w:tcBorders>
            <w:shd w:val="clear" w:color="auto" w:fill="auto"/>
            <w:noWrap/>
            <w:vAlign w:val="bottom"/>
            <w:hideMark/>
          </w:tcPr>
          <w:p w14:paraId="25DBC4D0"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728</w:t>
            </w:r>
          </w:p>
        </w:tc>
        <w:tc>
          <w:tcPr>
            <w:tcW w:w="2126" w:type="dxa"/>
            <w:tcBorders>
              <w:top w:val="nil"/>
              <w:left w:val="nil"/>
              <w:bottom w:val="single" w:sz="4" w:space="0" w:color="auto"/>
              <w:right w:val="single" w:sz="4" w:space="0" w:color="auto"/>
            </w:tcBorders>
            <w:shd w:val="clear" w:color="auto" w:fill="auto"/>
            <w:noWrap/>
            <w:vAlign w:val="bottom"/>
            <w:hideMark/>
          </w:tcPr>
          <w:p w14:paraId="7B1A1FC6"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52</w:t>
            </w:r>
          </w:p>
        </w:tc>
        <w:tc>
          <w:tcPr>
            <w:tcW w:w="1559" w:type="dxa"/>
            <w:tcBorders>
              <w:top w:val="nil"/>
              <w:left w:val="nil"/>
              <w:bottom w:val="single" w:sz="4" w:space="0" w:color="auto"/>
              <w:right w:val="single" w:sz="4" w:space="0" w:color="auto"/>
            </w:tcBorders>
            <w:shd w:val="clear" w:color="auto" w:fill="auto"/>
            <w:noWrap/>
            <w:vAlign w:val="bottom"/>
            <w:hideMark/>
          </w:tcPr>
          <w:p w14:paraId="3441E252"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412</w:t>
            </w:r>
          </w:p>
        </w:tc>
        <w:tc>
          <w:tcPr>
            <w:tcW w:w="2113" w:type="dxa"/>
            <w:tcBorders>
              <w:top w:val="nil"/>
              <w:left w:val="nil"/>
              <w:bottom w:val="single" w:sz="4" w:space="0" w:color="auto"/>
              <w:right w:val="single" w:sz="4" w:space="0" w:color="auto"/>
            </w:tcBorders>
            <w:shd w:val="clear" w:color="auto" w:fill="auto"/>
            <w:noWrap/>
            <w:vAlign w:val="bottom"/>
            <w:hideMark/>
          </w:tcPr>
          <w:p w14:paraId="5E943323"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38</w:t>
            </w:r>
          </w:p>
        </w:tc>
      </w:tr>
      <w:tr w:rsidR="009E0216" w:rsidRPr="00A52F41" w14:paraId="6EAF109E"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5B55E497" w14:textId="77777777" w:rsidR="009E0216" w:rsidRPr="00A52F41" w:rsidRDefault="009E0216" w:rsidP="00867E94">
            <w:pPr>
              <w:keepNext/>
              <w:keepLines/>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2010</w:t>
            </w:r>
          </w:p>
        </w:tc>
        <w:tc>
          <w:tcPr>
            <w:tcW w:w="1521" w:type="dxa"/>
            <w:tcBorders>
              <w:top w:val="nil"/>
              <w:left w:val="nil"/>
              <w:bottom w:val="single" w:sz="4" w:space="0" w:color="auto"/>
              <w:right w:val="single" w:sz="4" w:space="0" w:color="auto"/>
            </w:tcBorders>
            <w:shd w:val="clear" w:color="auto" w:fill="auto"/>
            <w:noWrap/>
            <w:vAlign w:val="bottom"/>
            <w:hideMark/>
          </w:tcPr>
          <w:p w14:paraId="092F5B70"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956</w:t>
            </w:r>
          </w:p>
        </w:tc>
        <w:tc>
          <w:tcPr>
            <w:tcW w:w="2126" w:type="dxa"/>
            <w:tcBorders>
              <w:top w:val="nil"/>
              <w:left w:val="nil"/>
              <w:bottom w:val="single" w:sz="4" w:space="0" w:color="auto"/>
              <w:right w:val="single" w:sz="4" w:space="0" w:color="auto"/>
            </w:tcBorders>
            <w:shd w:val="clear" w:color="auto" w:fill="auto"/>
            <w:noWrap/>
            <w:vAlign w:val="bottom"/>
            <w:hideMark/>
          </w:tcPr>
          <w:p w14:paraId="78D37E59"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57</w:t>
            </w:r>
          </w:p>
        </w:tc>
        <w:tc>
          <w:tcPr>
            <w:tcW w:w="1559" w:type="dxa"/>
            <w:tcBorders>
              <w:top w:val="nil"/>
              <w:left w:val="nil"/>
              <w:bottom w:val="single" w:sz="4" w:space="0" w:color="auto"/>
              <w:right w:val="single" w:sz="4" w:space="0" w:color="auto"/>
            </w:tcBorders>
            <w:shd w:val="clear" w:color="auto" w:fill="auto"/>
            <w:noWrap/>
            <w:vAlign w:val="bottom"/>
            <w:hideMark/>
          </w:tcPr>
          <w:p w14:paraId="64A3120B"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516</w:t>
            </w:r>
          </w:p>
        </w:tc>
        <w:tc>
          <w:tcPr>
            <w:tcW w:w="2113" w:type="dxa"/>
            <w:tcBorders>
              <w:top w:val="nil"/>
              <w:left w:val="nil"/>
              <w:bottom w:val="single" w:sz="4" w:space="0" w:color="auto"/>
              <w:right w:val="single" w:sz="4" w:space="0" w:color="auto"/>
            </w:tcBorders>
            <w:shd w:val="clear" w:color="auto" w:fill="auto"/>
            <w:noWrap/>
            <w:vAlign w:val="bottom"/>
            <w:hideMark/>
          </w:tcPr>
          <w:p w14:paraId="5EF8179F"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34</w:t>
            </w:r>
          </w:p>
        </w:tc>
      </w:tr>
      <w:tr w:rsidR="009E0216" w:rsidRPr="00A52F41" w14:paraId="5A3A0720"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4D1D5FC7" w14:textId="77777777" w:rsidR="009E0216" w:rsidRPr="00A52F41" w:rsidRDefault="009E0216" w:rsidP="00867E94">
            <w:pPr>
              <w:keepNext/>
              <w:keepLines/>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2013</w:t>
            </w:r>
          </w:p>
        </w:tc>
        <w:tc>
          <w:tcPr>
            <w:tcW w:w="1521" w:type="dxa"/>
            <w:tcBorders>
              <w:top w:val="nil"/>
              <w:left w:val="nil"/>
              <w:bottom w:val="single" w:sz="4" w:space="0" w:color="auto"/>
              <w:right w:val="single" w:sz="4" w:space="0" w:color="auto"/>
            </w:tcBorders>
            <w:shd w:val="clear" w:color="auto" w:fill="auto"/>
            <w:noWrap/>
            <w:vAlign w:val="bottom"/>
            <w:hideMark/>
          </w:tcPr>
          <w:p w14:paraId="7AF04229"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144</w:t>
            </w:r>
          </w:p>
        </w:tc>
        <w:tc>
          <w:tcPr>
            <w:tcW w:w="2126" w:type="dxa"/>
            <w:tcBorders>
              <w:top w:val="nil"/>
              <w:left w:val="nil"/>
              <w:bottom w:val="single" w:sz="4" w:space="0" w:color="auto"/>
              <w:right w:val="single" w:sz="4" w:space="0" w:color="auto"/>
            </w:tcBorders>
            <w:shd w:val="clear" w:color="auto" w:fill="auto"/>
            <w:noWrap/>
            <w:vAlign w:val="bottom"/>
            <w:hideMark/>
          </w:tcPr>
          <w:p w14:paraId="6E271C2C"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62</w:t>
            </w:r>
          </w:p>
        </w:tc>
        <w:tc>
          <w:tcPr>
            <w:tcW w:w="1559" w:type="dxa"/>
            <w:tcBorders>
              <w:top w:val="nil"/>
              <w:left w:val="nil"/>
              <w:bottom w:val="single" w:sz="4" w:space="0" w:color="auto"/>
              <w:right w:val="single" w:sz="4" w:space="0" w:color="auto"/>
            </w:tcBorders>
            <w:shd w:val="clear" w:color="auto" w:fill="auto"/>
            <w:noWrap/>
            <w:vAlign w:val="bottom"/>
            <w:hideMark/>
          </w:tcPr>
          <w:p w14:paraId="6D70B8CC"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62</w:t>
            </w:r>
          </w:p>
        </w:tc>
        <w:tc>
          <w:tcPr>
            <w:tcW w:w="2113" w:type="dxa"/>
            <w:tcBorders>
              <w:top w:val="nil"/>
              <w:left w:val="nil"/>
              <w:bottom w:val="single" w:sz="4" w:space="0" w:color="auto"/>
              <w:right w:val="single" w:sz="4" w:space="0" w:color="auto"/>
            </w:tcBorders>
            <w:shd w:val="clear" w:color="auto" w:fill="auto"/>
            <w:noWrap/>
            <w:vAlign w:val="bottom"/>
            <w:hideMark/>
          </w:tcPr>
          <w:p w14:paraId="186E4AD8"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55</w:t>
            </w:r>
          </w:p>
        </w:tc>
      </w:tr>
      <w:tr w:rsidR="009E0216" w:rsidRPr="00A52F41" w14:paraId="2CBD5C84"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7F303B7A" w14:textId="77777777" w:rsidR="009E0216" w:rsidRPr="00A52F41" w:rsidRDefault="009E0216" w:rsidP="00867E94">
            <w:pPr>
              <w:keepNext/>
              <w:keepLines/>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2015</w:t>
            </w:r>
          </w:p>
        </w:tc>
        <w:tc>
          <w:tcPr>
            <w:tcW w:w="1521" w:type="dxa"/>
            <w:tcBorders>
              <w:top w:val="nil"/>
              <w:left w:val="nil"/>
              <w:bottom w:val="single" w:sz="4" w:space="0" w:color="auto"/>
              <w:right w:val="single" w:sz="4" w:space="0" w:color="auto"/>
            </w:tcBorders>
            <w:shd w:val="clear" w:color="auto" w:fill="auto"/>
            <w:noWrap/>
            <w:vAlign w:val="bottom"/>
            <w:hideMark/>
          </w:tcPr>
          <w:p w14:paraId="7866A3E3"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172</w:t>
            </w:r>
          </w:p>
        </w:tc>
        <w:tc>
          <w:tcPr>
            <w:tcW w:w="2126" w:type="dxa"/>
            <w:tcBorders>
              <w:top w:val="nil"/>
              <w:left w:val="nil"/>
              <w:bottom w:val="single" w:sz="4" w:space="0" w:color="auto"/>
              <w:right w:val="single" w:sz="4" w:space="0" w:color="auto"/>
            </w:tcBorders>
            <w:shd w:val="clear" w:color="auto" w:fill="auto"/>
            <w:noWrap/>
            <w:vAlign w:val="bottom"/>
            <w:hideMark/>
          </w:tcPr>
          <w:p w14:paraId="14AA4350"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55</w:t>
            </w:r>
          </w:p>
        </w:tc>
        <w:tc>
          <w:tcPr>
            <w:tcW w:w="1559" w:type="dxa"/>
            <w:tcBorders>
              <w:top w:val="nil"/>
              <w:left w:val="nil"/>
              <w:bottom w:val="single" w:sz="4" w:space="0" w:color="auto"/>
              <w:right w:val="single" w:sz="4" w:space="0" w:color="auto"/>
            </w:tcBorders>
            <w:shd w:val="clear" w:color="auto" w:fill="auto"/>
            <w:noWrap/>
            <w:vAlign w:val="bottom"/>
            <w:hideMark/>
          </w:tcPr>
          <w:p w14:paraId="62E513AD"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52</w:t>
            </w:r>
          </w:p>
        </w:tc>
        <w:tc>
          <w:tcPr>
            <w:tcW w:w="2113" w:type="dxa"/>
            <w:tcBorders>
              <w:top w:val="nil"/>
              <w:left w:val="nil"/>
              <w:bottom w:val="single" w:sz="4" w:space="0" w:color="auto"/>
              <w:right w:val="single" w:sz="4" w:space="0" w:color="auto"/>
            </w:tcBorders>
            <w:shd w:val="clear" w:color="auto" w:fill="auto"/>
            <w:noWrap/>
            <w:vAlign w:val="bottom"/>
            <w:hideMark/>
          </w:tcPr>
          <w:p w14:paraId="0930B5DC"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45</w:t>
            </w:r>
          </w:p>
        </w:tc>
      </w:tr>
      <w:tr w:rsidR="009E0216" w:rsidRPr="00A52F41" w14:paraId="2180ADAB"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7792F224" w14:textId="77777777" w:rsidR="009E0216" w:rsidRPr="00A52F41" w:rsidRDefault="009E0216" w:rsidP="00867E94">
            <w:pPr>
              <w:keepNext/>
              <w:keepLines/>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2019</w:t>
            </w:r>
          </w:p>
        </w:tc>
        <w:tc>
          <w:tcPr>
            <w:tcW w:w="1521" w:type="dxa"/>
            <w:tcBorders>
              <w:top w:val="nil"/>
              <w:left w:val="nil"/>
              <w:bottom w:val="single" w:sz="4" w:space="0" w:color="auto"/>
              <w:right w:val="single" w:sz="4" w:space="0" w:color="auto"/>
            </w:tcBorders>
            <w:shd w:val="clear" w:color="auto" w:fill="auto"/>
            <w:noWrap/>
            <w:vAlign w:val="bottom"/>
            <w:hideMark/>
          </w:tcPr>
          <w:p w14:paraId="5B604623"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61</w:t>
            </w:r>
          </w:p>
        </w:tc>
        <w:tc>
          <w:tcPr>
            <w:tcW w:w="2126" w:type="dxa"/>
            <w:tcBorders>
              <w:top w:val="nil"/>
              <w:left w:val="nil"/>
              <w:bottom w:val="single" w:sz="4" w:space="0" w:color="auto"/>
              <w:right w:val="single" w:sz="4" w:space="0" w:color="auto"/>
            </w:tcBorders>
            <w:shd w:val="clear" w:color="auto" w:fill="auto"/>
            <w:noWrap/>
            <w:vAlign w:val="bottom"/>
            <w:hideMark/>
          </w:tcPr>
          <w:p w14:paraId="176F9EAF"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131</w:t>
            </w:r>
          </w:p>
        </w:tc>
        <w:tc>
          <w:tcPr>
            <w:tcW w:w="1559" w:type="dxa"/>
            <w:tcBorders>
              <w:top w:val="nil"/>
              <w:left w:val="nil"/>
              <w:bottom w:val="single" w:sz="4" w:space="0" w:color="auto"/>
              <w:right w:val="single" w:sz="4" w:space="0" w:color="auto"/>
            </w:tcBorders>
            <w:shd w:val="clear" w:color="auto" w:fill="auto"/>
            <w:noWrap/>
            <w:vAlign w:val="bottom"/>
            <w:hideMark/>
          </w:tcPr>
          <w:p w14:paraId="30275D9E"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27</w:t>
            </w:r>
          </w:p>
        </w:tc>
        <w:tc>
          <w:tcPr>
            <w:tcW w:w="2113" w:type="dxa"/>
            <w:tcBorders>
              <w:top w:val="nil"/>
              <w:left w:val="nil"/>
              <w:bottom w:val="single" w:sz="4" w:space="0" w:color="auto"/>
              <w:right w:val="single" w:sz="4" w:space="0" w:color="auto"/>
            </w:tcBorders>
            <w:shd w:val="clear" w:color="auto" w:fill="auto"/>
            <w:noWrap/>
            <w:vAlign w:val="bottom"/>
            <w:hideMark/>
          </w:tcPr>
          <w:p w14:paraId="713F3928"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120</w:t>
            </w:r>
          </w:p>
        </w:tc>
      </w:tr>
      <w:tr w:rsidR="009E0216" w:rsidRPr="00A52F41" w14:paraId="53550EE8" w14:textId="77777777" w:rsidTr="00F25C63">
        <w:trPr>
          <w:trHeight w:val="302"/>
        </w:trPr>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32F98" w14:textId="4F3474B8" w:rsidR="009E0216" w:rsidRPr="00A52F41" w:rsidRDefault="009E0216" w:rsidP="00867E94">
            <w:pPr>
              <w:keepNext/>
              <w:keepLines/>
              <w:spacing w:before="60" w:after="0" w:line="312" w:lineRule="auto"/>
              <w:jc w:val="both"/>
              <w:rPr>
                <w:rFonts w:ascii="Arial" w:hAnsi="Arial" w:cs="Arial"/>
                <w:b/>
                <w:color w:val="000000"/>
                <w:sz w:val="20"/>
                <w:szCs w:val="20"/>
                <w:lang w:eastAsia="sl-SI"/>
              </w:rPr>
            </w:pPr>
            <w:r w:rsidRPr="00A52F41">
              <w:rPr>
                <w:rFonts w:ascii="Arial" w:hAnsi="Arial" w:cs="Arial"/>
                <w:b/>
                <w:color w:val="000000"/>
                <w:sz w:val="20"/>
                <w:szCs w:val="20"/>
                <w:lang w:eastAsia="sl-SI"/>
              </w:rPr>
              <w:t>Podeželje</w:t>
            </w:r>
            <w:r w:rsidR="00867E94">
              <w:rPr>
                <w:rFonts w:ascii="Arial" w:hAnsi="Arial" w:cs="Arial"/>
                <w:b/>
                <w:color w:val="000000"/>
                <w:sz w:val="20"/>
                <w:szCs w:val="20"/>
                <w:lang w:eastAsia="sl-SI"/>
              </w:rPr>
              <w:t xml:space="preserve"> </w:t>
            </w:r>
            <w:r w:rsidRPr="00A52F41">
              <w:rPr>
                <w:rFonts w:ascii="Arial" w:hAnsi="Arial" w:cs="Arial"/>
                <w:b/>
                <w:color w:val="000000"/>
                <w:sz w:val="20"/>
                <w:szCs w:val="20"/>
                <w:lang w:eastAsia="sl-SI"/>
              </w:rPr>
              <w:t>/</w:t>
            </w:r>
            <w:r w:rsidR="00867E94">
              <w:rPr>
                <w:rFonts w:ascii="Arial" w:hAnsi="Arial" w:cs="Arial"/>
                <w:b/>
                <w:color w:val="000000"/>
                <w:sz w:val="20"/>
                <w:szCs w:val="20"/>
                <w:lang w:eastAsia="sl-SI"/>
              </w:rPr>
              <w:t xml:space="preserve"> </w:t>
            </w:r>
            <w:r w:rsidRPr="00A52F41">
              <w:rPr>
                <w:rFonts w:ascii="Arial" w:hAnsi="Arial" w:cs="Arial"/>
                <w:b/>
                <w:color w:val="000000"/>
                <w:sz w:val="20"/>
                <w:szCs w:val="20"/>
                <w:lang w:eastAsia="sl-SI"/>
              </w:rPr>
              <w:t xml:space="preserve">Vsi </w:t>
            </w:r>
          </w:p>
        </w:tc>
        <w:tc>
          <w:tcPr>
            <w:tcW w:w="1521" w:type="dxa"/>
            <w:tcBorders>
              <w:top w:val="single" w:sz="4" w:space="0" w:color="auto"/>
              <w:left w:val="nil"/>
              <w:bottom w:val="single" w:sz="4" w:space="0" w:color="auto"/>
              <w:right w:val="single" w:sz="4" w:space="0" w:color="auto"/>
            </w:tcBorders>
            <w:shd w:val="clear" w:color="auto" w:fill="auto"/>
            <w:noWrap/>
            <w:vAlign w:val="bottom"/>
          </w:tcPr>
          <w:p w14:paraId="0995B616" w14:textId="105439E6" w:rsidR="009E0216" w:rsidRPr="00A52F41" w:rsidRDefault="009E0216" w:rsidP="00867E94">
            <w:pPr>
              <w:keepNext/>
              <w:keepLines/>
              <w:spacing w:before="60" w:after="0" w:line="312" w:lineRule="auto"/>
              <w:jc w:val="right"/>
              <w:rPr>
                <w:rFonts w:ascii="Arial" w:hAnsi="Arial" w:cs="Arial"/>
                <w:b/>
                <w:color w:val="000000"/>
                <w:sz w:val="20"/>
                <w:szCs w:val="20"/>
                <w:lang w:eastAsia="sl-SI"/>
              </w:rPr>
            </w:pPr>
            <w:r w:rsidRPr="00A52F41">
              <w:rPr>
                <w:rFonts w:ascii="Arial" w:hAnsi="Arial" w:cs="Arial"/>
                <w:b/>
                <w:color w:val="000000"/>
                <w:sz w:val="20"/>
                <w:szCs w:val="20"/>
                <w:lang w:eastAsia="sl-SI"/>
              </w:rPr>
              <w:t>23</w:t>
            </w:r>
            <w:r w:rsidR="00867E94">
              <w:rPr>
                <w:rFonts w:ascii="Arial" w:hAnsi="Arial" w:cs="Arial"/>
                <w:b/>
                <w:color w:val="000000"/>
                <w:sz w:val="20"/>
                <w:szCs w:val="20"/>
                <w:lang w:eastAsia="sl-SI"/>
              </w:rPr>
              <w:t>.</w:t>
            </w:r>
            <w:r w:rsidRPr="00A52F41">
              <w:rPr>
                <w:rFonts w:ascii="Arial" w:hAnsi="Arial" w:cs="Arial"/>
                <w:b/>
                <w:color w:val="000000"/>
                <w:sz w:val="20"/>
                <w:szCs w:val="20"/>
                <w:lang w:eastAsia="sl-SI"/>
              </w:rPr>
              <w:t>867</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F7711A1" w14:textId="552BBAD2" w:rsidR="009E0216" w:rsidRPr="00A52F41" w:rsidRDefault="009E0216" w:rsidP="00867E94">
            <w:pPr>
              <w:keepNext/>
              <w:keepLines/>
              <w:spacing w:before="60" w:after="0" w:line="312" w:lineRule="auto"/>
              <w:jc w:val="right"/>
              <w:rPr>
                <w:rFonts w:ascii="Arial" w:hAnsi="Arial" w:cs="Arial"/>
                <w:b/>
                <w:color w:val="000000"/>
                <w:sz w:val="20"/>
                <w:szCs w:val="20"/>
                <w:lang w:eastAsia="sl-SI"/>
              </w:rPr>
            </w:pPr>
            <w:r w:rsidRPr="00A52F41">
              <w:rPr>
                <w:rFonts w:ascii="Arial" w:hAnsi="Arial" w:cs="Arial"/>
                <w:b/>
                <w:color w:val="000000"/>
                <w:sz w:val="20"/>
                <w:szCs w:val="20"/>
                <w:lang w:eastAsia="sl-SI"/>
              </w:rPr>
              <w:t>1</w:t>
            </w:r>
            <w:r w:rsidR="00867E94">
              <w:rPr>
                <w:rFonts w:ascii="Arial" w:hAnsi="Arial" w:cs="Arial"/>
                <w:b/>
                <w:color w:val="000000"/>
                <w:sz w:val="20"/>
                <w:szCs w:val="20"/>
                <w:lang w:eastAsia="sl-SI"/>
              </w:rPr>
              <w:t>.</w:t>
            </w:r>
            <w:r w:rsidRPr="00A52F41">
              <w:rPr>
                <w:rFonts w:ascii="Arial" w:hAnsi="Arial" w:cs="Arial"/>
                <w:b/>
                <w:color w:val="000000"/>
                <w:sz w:val="20"/>
                <w:szCs w:val="20"/>
                <w:lang w:eastAsia="sl-SI"/>
              </w:rPr>
              <w:t>118</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5EC2AB3" w14:textId="15682294" w:rsidR="009E0216" w:rsidRPr="00A52F41" w:rsidRDefault="009E0216" w:rsidP="00867E94">
            <w:pPr>
              <w:keepNext/>
              <w:keepLines/>
              <w:spacing w:before="60" w:after="0" w:line="312" w:lineRule="auto"/>
              <w:jc w:val="right"/>
              <w:rPr>
                <w:rFonts w:ascii="Arial" w:hAnsi="Arial" w:cs="Arial"/>
                <w:b/>
                <w:color w:val="000000"/>
                <w:sz w:val="20"/>
                <w:szCs w:val="20"/>
                <w:lang w:eastAsia="sl-SI"/>
              </w:rPr>
            </w:pPr>
            <w:r w:rsidRPr="00A52F41">
              <w:rPr>
                <w:rFonts w:ascii="Arial" w:hAnsi="Arial" w:cs="Arial"/>
                <w:b/>
                <w:color w:val="000000"/>
                <w:sz w:val="20"/>
                <w:szCs w:val="20"/>
                <w:lang w:eastAsia="sl-SI"/>
              </w:rPr>
              <w:t>13</w:t>
            </w:r>
            <w:r w:rsidR="00867E94">
              <w:rPr>
                <w:rFonts w:ascii="Arial" w:hAnsi="Arial" w:cs="Arial"/>
                <w:b/>
                <w:color w:val="000000"/>
                <w:sz w:val="20"/>
                <w:szCs w:val="20"/>
                <w:lang w:eastAsia="sl-SI"/>
              </w:rPr>
              <w:t>.</w:t>
            </w:r>
            <w:r w:rsidRPr="00A52F41">
              <w:rPr>
                <w:rFonts w:ascii="Arial" w:hAnsi="Arial" w:cs="Arial"/>
                <w:b/>
                <w:color w:val="000000"/>
                <w:sz w:val="20"/>
                <w:szCs w:val="20"/>
                <w:lang w:eastAsia="sl-SI"/>
              </w:rPr>
              <w:t>065</w:t>
            </w:r>
          </w:p>
        </w:tc>
        <w:tc>
          <w:tcPr>
            <w:tcW w:w="2113" w:type="dxa"/>
            <w:tcBorders>
              <w:top w:val="single" w:sz="4" w:space="0" w:color="auto"/>
              <w:left w:val="nil"/>
              <w:bottom w:val="single" w:sz="4" w:space="0" w:color="auto"/>
              <w:right w:val="single" w:sz="4" w:space="0" w:color="auto"/>
            </w:tcBorders>
            <w:shd w:val="clear" w:color="auto" w:fill="auto"/>
            <w:noWrap/>
            <w:vAlign w:val="bottom"/>
          </w:tcPr>
          <w:p w14:paraId="702EED5D" w14:textId="77777777" w:rsidR="009E0216" w:rsidRPr="00A52F41" w:rsidRDefault="009E0216" w:rsidP="00867E94">
            <w:pPr>
              <w:keepNext/>
              <w:keepLines/>
              <w:spacing w:before="60" w:after="0" w:line="312" w:lineRule="auto"/>
              <w:jc w:val="right"/>
              <w:rPr>
                <w:rFonts w:ascii="Arial" w:hAnsi="Arial" w:cs="Arial"/>
                <w:b/>
                <w:color w:val="000000"/>
                <w:sz w:val="20"/>
                <w:szCs w:val="20"/>
                <w:lang w:eastAsia="sl-SI"/>
              </w:rPr>
            </w:pPr>
            <w:r w:rsidRPr="00A52F41">
              <w:rPr>
                <w:rFonts w:ascii="Arial" w:hAnsi="Arial" w:cs="Arial"/>
                <w:b/>
                <w:color w:val="000000"/>
                <w:sz w:val="20"/>
                <w:szCs w:val="20"/>
                <w:lang w:eastAsia="sl-SI"/>
              </w:rPr>
              <w:t>935</w:t>
            </w:r>
          </w:p>
        </w:tc>
      </w:tr>
      <w:tr w:rsidR="009E0216" w:rsidRPr="00A52F41" w14:paraId="2228943E" w14:textId="77777777" w:rsidTr="00F25C63">
        <w:trPr>
          <w:trHeight w:val="302"/>
        </w:trPr>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9B985" w14:textId="77777777" w:rsidR="009E0216" w:rsidRPr="00A52F41" w:rsidRDefault="009E0216" w:rsidP="00867E94">
            <w:pPr>
              <w:keepNext/>
              <w:keepLines/>
              <w:spacing w:before="60" w:after="0" w:line="312" w:lineRule="auto"/>
              <w:jc w:val="both"/>
              <w:rPr>
                <w:rFonts w:ascii="Arial" w:hAnsi="Arial" w:cs="Arial"/>
                <w:b/>
                <w:color w:val="000000"/>
                <w:sz w:val="20"/>
                <w:szCs w:val="20"/>
                <w:lang w:eastAsia="sl-SI"/>
              </w:rPr>
            </w:pPr>
            <w:r w:rsidRPr="00A52F41">
              <w:rPr>
                <w:rFonts w:ascii="Arial" w:hAnsi="Arial" w:cs="Arial"/>
                <w:b/>
                <w:color w:val="000000"/>
                <w:sz w:val="20"/>
                <w:szCs w:val="20"/>
                <w:lang w:eastAsia="sl-SI"/>
              </w:rPr>
              <w:t>%</w:t>
            </w:r>
          </w:p>
        </w:tc>
        <w:tc>
          <w:tcPr>
            <w:tcW w:w="1521" w:type="dxa"/>
            <w:tcBorders>
              <w:top w:val="single" w:sz="4" w:space="0" w:color="auto"/>
              <w:left w:val="nil"/>
              <w:bottom w:val="single" w:sz="4" w:space="0" w:color="auto"/>
              <w:right w:val="single" w:sz="4" w:space="0" w:color="auto"/>
            </w:tcBorders>
            <w:shd w:val="clear" w:color="auto" w:fill="auto"/>
            <w:noWrap/>
            <w:vAlign w:val="bottom"/>
          </w:tcPr>
          <w:p w14:paraId="38BED19F" w14:textId="30486F72" w:rsidR="009E0216" w:rsidRPr="00A52F41" w:rsidRDefault="009E0216" w:rsidP="00867E94">
            <w:pPr>
              <w:keepNext/>
              <w:keepLines/>
              <w:spacing w:before="60" w:after="0" w:line="312" w:lineRule="auto"/>
              <w:jc w:val="right"/>
              <w:rPr>
                <w:rFonts w:ascii="Arial" w:hAnsi="Arial" w:cs="Arial"/>
                <w:b/>
                <w:color w:val="000000"/>
                <w:sz w:val="20"/>
                <w:szCs w:val="20"/>
                <w:lang w:eastAsia="sl-SI"/>
              </w:rPr>
            </w:pPr>
            <w:r w:rsidRPr="00A52F41">
              <w:rPr>
                <w:rFonts w:ascii="Arial" w:hAnsi="Arial" w:cs="Arial"/>
                <w:b/>
                <w:color w:val="000000"/>
                <w:sz w:val="20"/>
                <w:szCs w:val="20"/>
                <w:lang w:eastAsia="sl-SI"/>
              </w:rPr>
              <w:t>78</w:t>
            </w:r>
            <w:r w:rsidR="00867E94">
              <w:rPr>
                <w:rFonts w:ascii="Arial" w:hAnsi="Arial" w:cs="Arial"/>
                <w:b/>
                <w:color w:val="000000"/>
                <w:sz w:val="20"/>
                <w:szCs w:val="20"/>
                <w:lang w:eastAsia="sl-SI"/>
              </w:rPr>
              <w:t xml:space="preserve"> </w:t>
            </w:r>
            <w:r w:rsidRPr="00A52F41">
              <w:rPr>
                <w:rFonts w:ascii="Arial" w:hAnsi="Arial" w:cs="Arial"/>
                <w:b/>
                <w:color w:val="000000"/>
                <w:sz w:val="20"/>
                <w:szCs w:val="20"/>
                <w:lang w:eastAsia="sl-SI"/>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B7CA459" w14:textId="05D728F4" w:rsidR="009E0216" w:rsidRPr="00A52F41" w:rsidRDefault="009E0216" w:rsidP="00867E94">
            <w:pPr>
              <w:keepNext/>
              <w:keepLines/>
              <w:spacing w:before="60" w:after="0" w:line="312" w:lineRule="auto"/>
              <w:jc w:val="right"/>
              <w:rPr>
                <w:rFonts w:ascii="Arial" w:hAnsi="Arial" w:cs="Arial"/>
                <w:b/>
                <w:color w:val="000000"/>
                <w:sz w:val="20"/>
                <w:szCs w:val="20"/>
                <w:lang w:eastAsia="sl-SI"/>
              </w:rPr>
            </w:pPr>
            <w:r w:rsidRPr="00A52F41">
              <w:rPr>
                <w:rFonts w:ascii="Arial" w:hAnsi="Arial" w:cs="Arial"/>
                <w:b/>
                <w:color w:val="000000"/>
                <w:sz w:val="20"/>
                <w:szCs w:val="20"/>
                <w:lang w:eastAsia="sl-SI"/>
              </w:rPr>
              <w:t>84</w:t>
            </w:r>
            <w:r w:rsidR="00867E94">
              <w:rPr>
                <w:rFonts w:ascii="Arial" w:hAnsi="Arial" w:cs="Arial"/>
                <w:b/>
                <w:color w:val="000000"/>
                <w:sz w:val="20"/>
                <w:szCs w:val="20"/>
                <w:lang w:eastAsia="sl-SI"/>
              </w:rPr>
              <w:t xml:space="preserve"> </w:t>
            </w:r>
            <w:r w:rsidRPr="00A52F41">
              <w:rPr>
                <w:rFonts w:ascii="Arial" w:hAnsi="Arial" w:cs="Arial"/>
                <w:b/>
                <w:color w:val="000000"/>
                <w:sz w:val="20"/>
                <w:szCs w:val="20"/>
                <w:lang w:eastAsia="sl-SI"/>
              </w:rPr>
              <w:t>%</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7B99245" w14:textId="25B5D552" w:rsidR="009E0216" w:rsidRPr="00A52F41" w:rsidRDefault="009E0216" w:rsidP="00867E94">
            <w:pPr>
              <w:keepNext/>
              <w:keepLines/>
              <w:spacing w:before="60" w:after="0" w:line="312" w:lineRule="auto"/>
              <w:jc w:val="right"/>
              <w:rPr>
                <w:rFonts w:ascii="Arial" w:hAnsi="Arial" w:cs="Arial"/>
                <w:b/>
                <w:color w:val="000000"/>
                <w:sz w:val="20"/>
                <w:szCs w:val="20"/>
                <w:lang w:eastAsia="sl-SI"/>
              </w:rPr>
            </w:pPr>
            <w:r w:rsidRPr="00A52F41">
              <w:rPr>
                <w:rFonts w:ascii="Arial" w:hAnsi="Arial" w:cs="Arial"/>
                <w:b/>
                <w:color w:val="000000"/>
                <w:sz w:val="20"/>
                <w:szCs w:val="20"/>
                <w:lang w:eastAsia="sl-SI"/>
              </w:rPr>
              <w:t>87</w:t>
            </w:r>
            <w:r w:rsidR="00867E94">
              <w:rPr>
                <w:rFonts w:ascii="Arial" w:hAnsi="Arial" w:cs="Arial"/>
                <w:b/>
                <w:color w:val="000000"/>
                <w:sz w:val="20"/>
                <w:szCs w:val="20"/>
                <w:lang w:eastAsia="sl-SI"/>
              </w:rPr>
              <w:t xml:space="preserve"> </w:t>
            </w:r>
            <w:r w:rsidRPr="00A52F41">
              <w:rPr>
                <w:rFonts w:ascii="Arial" w:hAnsi="Arial" w:cs="Arial"/>
                <w:b/>
                <w:color w:val="000000"/>
                <w:sz w:val="20"/>
                <w:szCs w:val="20"/>
                <w:lang w:eastAsia="sl-SI"/>
              </w:rPr>
              <w:t>%</w:t>
            </w:r>
          </w:p>
        </w:tc>
        <w:tc>
          <w:tcPr>
            <w:tcW w:w="2113" w:type="dxa"/>
            <w:tcBorders>
              <w:top w:val="single" w:sz="4" w:space="0" w:color="auto"/>
              <w:left w:val="nil"/>
              <w:bottom w:val="single" w:sz="4" w:space="0" w:color="auto"/>
              <w:right w:val="single" w:sz="4" w:space="0" w:color="auto"/>
            </w:tcBorders>
            <w:shd w:val="clear" w:color="auto" w:fill="auto"/>
            <w:noWrap/>
            <w:vAlign w:val="bottom"/>
          </w:tcPr>
          <w:p w14:paraId="352D33CA" w14:textId="4B2B4AD9" w:rsidR="009E0216" w:rsidRPr="00A52F41" w:rsidRDefault="009E0216" w:rsidP="00867E94">
            <w:pPr>
              <w:keepNext/>
              <w:keepLines/>
              <w:spacing w:before="60" w:after="0" w:line="312" w:lineRule="auto"/>
              <w:jc w:val="right"/>
              <w:rPr>
                <w:rFonts w:ascii="Arial" w:hAnsi="Arial" w:cs="Arial"/>
                <w:b/>
                <w:color w:val="000000"/>
                <w:sz w:val="20"/>
                <w:szCs w:val="20"/>
                <w:lang w:eastAsia="sl-SI"/>
              </w:rPr>
            </w:pPr>
            <w:r w:rsidRPr="00A52F41">
              <w:rPr>
                <w:rFonts w:ascii="Arial" w:hAnsi="Arial" w:cs="Arial"/>
                <w:b/>
                <w:color w:val="000000"/>
                <w:sz w:val="20"/>
                <w:szCs w:val="20"/>
                <w:lang w:eastAsia="sl-SI"/>
              </w:rPr>
              <w:t>87</w:t>
            </w:r>
            <w:r w:rsidR="00867E94">
              <w:rPr>
                <w:rFonts w:ascii="Arial" w:hAnsi="Arial" w:cs="Arial"/>
                <w:b/>
                <w:color w:val="000000"/>
                <w:sz w:val="20"/>
                <w:szCs w:val="20"/>
                <w:lang w:eastAsia="sl-SI"/>
              </w:rPr>
              <w:t xml:space="preserve"> </w:t>
            </w:r>
            <w:r w:rsidRPr="00A52F41">
              <w:rPr>
                <w:rFonts w:ascii="Arial" w:hAnsi="Arial" w:cs="Arial"/>
                <w:b/>
                <w:color w:val="000000"/>
                <w:sz w:val="20"/>
                <w:szCs w:val="20"/>
                <w:lang w:eastAsia="sl-SI"/>
              </w:rPr>
              <w:t>%</w:t>
            </w:r>
          </w:p>
        </w:tc>
      </w:tr>
    </w:tbl>
    <w:p w14:paraId="09CBC96C" w14:textId="77777777" w:rsidR="009E0216" w:rsidRPr="00026AF3" w:rsidRDefault="009E0216" w:rsidP="00EA2E4C">
      <w:pPr>
        <w:spacing w:line="360" w:lineRule="auto"/>
        <w:jc w:val="both"/>
        <w:rPr>
          <w:rFonts w:ascii="Arial" w:eastAsia="Arial" w:hAnsi="Arial" w:cs="Arial"/>
          <w:color w:val="000000" w:themeColor="text1"/>
          <w:sz w:val="16"/>
          <w:szCs w:val="16"/>
        </w:rPr>
      </w:pPr>
      <w:r w:rsidRPr="00026AF3">
        <w:rPr>
          <w:rFonts w:ascii="Arial" w:eastAsia="Arial" w:hAnsi="Arial" w:cs="Arial"/>
          <w:color w:val="000000" w:themeColor="text1"/>
          <w:sz w:val="16"/>
          <w:szCs w:val="16"/>
        </w:rPr>
        <w:t>Vir: Ministrstvo za kulturo, 2020</w:t>
      </w:r>
    </w:p>
    <w:p w14:paraId="69FADEDE" w14:textId="1B0AF5A5" w:rsidR="009E0216" w:rsidRPr="00A52F41" w:rsidRDefault="009E0216" w:rsidP="00BE756C">
      <w:pPr>
        <w:spacing w:before="200" w:line="360" w:lineRule="auto"/>
        <w:jc w:val="both"/>
        <w:rPr>
          <w:rFonts w:ascii="Arial" w:hAnsi="Arial" w:cs="Arial"/>
          <w:sz w:val="20"/>
          <w:szCs w:val="20"/>
        </w:rPr>
      </w:pPr>
      <w:r w:rsidRPr="00A52F41">
        <w:rPr>
          <w:rFonts w:ascii="Arial" w:eastAsia="Arial" w:hAnsi="Arial" w:cs="Arial"/>
          <w:color w:val="000000" w:themeColor="text1"/>
          <w:sz w:val="20"/>
          <w:szCs w:val="20"/>
        </w:rPr>
        <w:t>Glede na način vpisovanja v register, število dediščine na podeželju še najbolj odraža etnološka dediščina (t. j. dediščina, ki ima med strokovnimi področji navedeno področje etnologija), ki na podeželju predstavlja 87 % vse etnološke dediščine v</w:t>
      </w:r>
      <w:r w:rsidR="00614692">
        <w:rPr>
          <w:rFonts w:ascii="Arial" w:eastAsia="Arial" w:hAnsi="Arial" w:cs="Arial"/>
          <w:color w:val="000000" w:themeColor="text1"/>
          <w:sz w:val="20"/>
          <w:szCs w:val="20"/>
        </w:rPr>
        <w:t xml:space="preserve"> Sloveniji. Trenutno (na dan 2. 9. </w:t>
      </w:r>
      <w:r w:rsidRPr="00A52F41">
        <w:rPr>
          <w:rFonts w:ascii="Arial" w:eastAsia="Arial" w:hAnsi="Arial" w:cs="Arial"/>
          <w:color w:val="000000" w:themeColor="text1"/>
          <w:sz w:val="20"/>
          <w:szCs w:val="20"/>
        </w:rPr>
        <w:t>2020) je v register nepremične kulturne dediščine vpisanih 15.056 enot etnološke dediščine. Etnološka dediščina izginja bistveno hitreje oz. v večji meri kot druga dediščina. Veliko ogroženost etnološke dediščine potrjuje tudi število izbrisov (Ministrstvo za kulturo, 2020).</w:t>
      </w:r>
    </w:p>
    <w:p w14:paraId="5844D20C"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Kulturne krajine podeželja so skozi čas nakopičile izjemno zakladnico snovne in nesnovne dediščine, ki je vseskozi odražala prilagajanje človeka naravnim danostim, kulturnim, družbenim političnim in gospodarskim razmeram. To pa ima na podeželsko krajino dvojni učinek, saj se nekatera območja na podeželju opuščajo in zaraščajo, medtem ko druga trpijo zaradi pretiranega poseljevanja. Ključna za ohranjanje raznovrstnosti podeželskih krajin je njihova uravnotežena, skladna raba in ohranjanje vseh tradicionalnih dejavnosti, ki so odraz večstoletnega skladnega sobivanja človeka z naravo (Priložnosti dediščine slovenskega podeželja, 2019).</w:t>
      </w:r>
    </w:p>
    <w:p w14:paraId="633B09AC"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Celostno ohranjanje dediščine ni samo dejavnost kulture, vzvodi zanj so medsektorski. Rezultati in učinki ohranjanja kulturne dediščine so odvisni tudi od uspešnosti in učinkovitosti, načrtovanja in urejanja prostora, kmetijstva in razvoja podeželja, turizma ter infrastrukture in prometa. Varstvo dediščine je neločljivo povezano tudi z varstvom okolja in ohranjanjem narave.</w:t>
      </w:r>
    </w:p>
    <w:p w14:paraId="6AEEFA3A"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Zaključki projekta HISTCAPE kažejo, da je potenciale ohranjanja in vrednotenja dediščine in krajine na podeželju mogoče najbolj razviti s celostnim načinom upravljanja. Celosten način upravljanja sloni na principih trajnostnega upravljanja, upravljanja s sodelovanjem skupnosti in na povezovanju ohranjanja kulture in naravne dediščine, ki se v nepretrganem procesu prilagajanja povezujejo z ekonomskimi, strukturnimi in infrastrukturnimi pospeševalci razvoja in značilnostmi vsakega posameznega področja. (Kulturna dediščina, krajina in razvoj podeželja, Rezultati projekta, 2014).</w:t>
      </w:r>
    </w:p>
    <w:p w14:paraId="6D026EBD" w14:textId="77777777" w:rsidR="009E0216" w:rsidRPr="00A52F41" w:rsidRDefault="009E0216" w:rsidP="00BE756C">
      <w:pPr>
        <w:pStyle w:val="Navadensplet"/>
        <w:spacing w:before="200" w:after="200" w:line="360" w:lineRule="auto"/>
        <w:rPr>
          <w:rFonts w:ascii="Arial" w:hAnsi="Arial" w:cs="Arial"/>
        </w:rPr>
      </w:pPr>
    </w:p>
    <w:p w14:paraId="115F499D" w14:textId="77777777" w:rsidR="009E0216" w:rsidRPr="00BE756C" w:rsidRDefault="009E0216" w:rsidP="00A05198">
      <w:pPr>
        <w:pStyle w:val="tevilnatoka11Nova"/>
        <w:numPr>
          <w:ilvl w:val="1"/>
          <w:numId w:val="35"/>
        </w:numPr>
        <w:tabs>
          <w:tab w:val="clear" w:pos="4297"/>
        </w:tabs>
        <w:spacing w:before="200" w:after="200" w:line="360" w:lineRule="auto"/>
        <w:outlineLvl w:val="1"/>
        <w:rPr>
          <w:b/>
          <w:sz w:val="24"/>
          <w:szCs w:val="24"/>
        </w:rPr>
      </w:pPr>
      <w:bookmarkStart w:id="64" w:name="_Toc55999331"/>
      <w:r w:rsidRPr="00BE756C">
        <w:rPr>
          <w:b/>
          <w:sz w:val="24"/>
          <w:szCs w:val="24"/>
        </w:rPr>
        <w:lastRenderedPageBreak/>
        <w:t>PAMETNE VASI</w:t>
      </w:r>
      <w:bookmarkEnd w:id="64"/>
    </w:p>
    <w:p w14:paraId="4F15EE2C"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Pametne vasi so podeželska območja in skupnosti, ki gradijo na svojih obstoječih prednostih in pridobitvah, razvijajo pa tudi nove priložnosti«, kjer se »tradicionalna in nova omrežja krepijo preko digitalnih, telekomunikacijskih tehnologij, inovacij in boljše uporabe znanja«. (Blejska deklaracija, 2018).</w:t>
      </w:r>
    </w:p>
    <w:p w14:paraId="175EDBD6"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Koncept Pametnih vasi predstavlja nov koncept na področju oblikovanja politik EU, ki lahko krepi podeželje z uporabo digitalnih tehnologij in inovacij. Podeželske skupnosti z uporabo novih tehnologij in digitalizacije ohranjajo in razvijajo podeželje, in sicer z ohranjanjem in odpiranjem novih delovnih mest, s samooskrbo v prehrani in energiji, z ekološko osveščenostjo, s kvalitetnimi javnimi storitvami, pa tudi preko zdravstvenih, socialnih, izobraževalnih in kulturno-družabnih storitev. Nenazadnje pa skrbijo tudi za svetlejšo perspektivo mladih in njihovo vračanje na podeželje. Pri konceptu Pametnih vasi gre za lokalne pobude in mobiliziranje lokalnih potencialov ter povezovanje z drugimi skupnostmi in akterji. </w:t>
      </w:r>
    </w:p>
    <w:p w14:paraId="2D247005" w14:textId="4EB63CAD"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Koncept Pametnih vasi se v Sloveniji je med letoma 1991 in 2004 delno izvajal preko projektov Celostnega razvoja podeželja in obnove vasi (program CRPOV), Razvojnih  programov podeželja, v prejšnjih programskih obdobjih pa delno preko ukrepa LEADER v programskem obdobju 2007-2013 in 2014–2020. Poseben ukrep za koncept Pame</w:t>
      </w:r>
      <w:r w:rsidR="0080599C">
        <w:rPr>
          <w:rFonts w:ascii="Arial" w:hAnsi="Arial" w:cs="Arial"/>
          <w:sz w:val="20"/>
          <w:szCs w:val="20"/>
        </w:rPr>
        <w:t>t</w:t>
      </w:r>
      <w:r w:rsidRPr="00A52F41">
        <w:rPr>
          <w:rFonts w:ascii="Arial" w:hAnsi="Arial" w:cs="Arial"/>
          <w:sz w:val="20"/>
          <w:szCs w:val="20"/>
        </w:rPr>
        <w:t>nih vasi v programskem obdobju 2014-2020 ni bil programiran. Kljub temu pa se obstoječe »pametne rešitve« izvajajo v okviru ukrepa LEADER (podukrep M19.2 - Podpora za izvajanje operacij v okviru strategije lokalnega razvoja, ki ga vodi skupnost, podukrep M19.3 - Priprava in izvajanje dejavnosti sodelovanja lokalne akcijske skupine), v okviru Ukrepa M16 - Sodelovanje (podukrep M16.4 – Vzpostavitev in razvoj kratkih dobavnih verig in lokalnih trgov, M16.9 – Diverzifikacija dejavnosti na kmetiji) ter preko Mreže za podeželje, ki je vzpostavila platformo https://www.program-podezelja.si/sl/podezelje-prihodnosti-pametne-vasi.</w:t>
      </w:r>
    </w:p>
    <w:p w14:paraId="69EA2A09" w14:textId="77777777" w:rsidR="009E0216" w:rsidRPr="00A52F41" w:rsidRDefault="009E0216" w:rsidP="00BE756C">
      <w:pPr>
        <w:spacing w:before="200" w:after="0" w:line="360" w:lineRule="auto"/>
        <w:jc w:val="both"/>
        <w:rPr>
          <w:rFonts w:ascii="Arial" w:hAnsi="Arial" w:cs="Arial"/>
          <w:sz w:val="20"/>
          <w:szCs w:val="20"/>
        </w:rPr>
      </w:pPr>
      <w:r w:rsidRPr="00A52F41">
        <w:rPr>
          <w:rFonts w:ascii="Arial" w:hAnsi="Arial" w:cs="Arial"/>
          <w:sz w:val="20"/>
          <w:szCs w:val="20"/>
        </w:rPr>
        <w:t xml:space="preserve">Na podlagi narejene raziskave o konceptu Pametnih vasi v Sloveniji med deležniki na podeželju (Anketa o konceptu pametnih vasi, 2020), je bilo ugotovljeno, da je po konceptu Pametnih vasi smiselno razvijati območja v razvoju, ki že imajo razvito določeno infrastrukturo, na katerih se lahko gradi nadaljnji razvoj. Koncept pametnih vasi se lahko uporabi pri reševanju številnih potreb na naslednjih področjih:  </w:t>
      </w:r>
    </w:p>
    <w:p w14:paraId="575B7A47" w14:textId="77777777" w:rsidR="009E0216" w:rsidRPr="00A52F41" w:rsidRDefault="009E0216" w:rsidP="00BE756C">
      <w:pPr>
        <w:widowControl w:val="0"/>
        <w:autoSpaceDE w:val="0"/>
        <w:autoSpaceDN w:val="0"/>
        <w:adjustRightInd w:val="0"/>
        <w:spacing w:after="0" w:line="360" w:lineRule="auto"/>
        <w:jc w:val="both"/>
        <w:rPr>
          <w:rFonts w:ascii="Arial" w:hAnsi="Arial" w:cs="Arial"/>
          <w:sz w:val="20"/>
          <w:szCs w:val="20"/>
        </w:rPr>
      </w:pPr>
      <w:r w:rsidRPr="00A52F41">
        <w:rPr>
          <w:rFonts w:ascii="Arial" w:hAnsi="Arial" w:cs="Arial"/>
          <w:sz w:val="20"/>
          <w:szCs w:val="20"/>
        </w:rPr>
        <w:tab/>
        <w:t xml:space="preserve">- kratke dobavne verige, oskrba lokalnega okolja in bližnjih mest s kmetijskimi pridelki in proizvodi; oskrba javnih, zasebnih ustanov (javno naročanje), oskrba v turizmu, </w:t>
      </w:r>
    </w:p>
    <w:p w14:paraId="6B6EDBEB" w14:textId="77777777" w:rsidR="009E0216" w:rsidRPr="00A52F41" w:rsidRDefault="009E0216" w:rsidP="00BE756C">
      <w:pPr>
        <w:widowControl w:val="0"/>
        <w:autoSpaceDE w:val="0"/>
        <w:autoSpaceDN w:val="0"/>
        <w:adjustRightInd w:val="0"/>
        <w:spacing w:after="0" w:line="360" w:lineRule="auto"/>
        <w:jc w:val="both"/>
        <w:rPr>
          <w:rFonts w:ascii="Arial" w:hAnsi="Arial" w:cs="Arial"/>
          <w:sz w:val="20"/>
          <w:szCs w:val="20"/>
        </w:rPr>
      </w:pPr>
      <w:r w:rsidRPr="00A52F41">
        <w:rPr>
          <w:rFonts w:ascii="Arial" w:hAnsi="Arial" w:cs="Arial"/>
          <w:sz w:val="20"/>
          <w:szCs w:val="20"/>
        </w:rPr>
        <w:tab/>
        <w:t xml:space="preserve">- socialne inovacije, </w:t>
      </w:r>
    </w:p>
    <w:p w14:paraId="16F7B651" w14:textId="77777777" w:rsidR="009E0216" w:rsidRPr="00A52F41" w:rsidRDefault="009E0216" w:rsidP="00BE756C">
      <w:pPr>
        <w:widowControl w:val="0"/>
        <w:autoSpaceDE w:val="0"/>
        <w:autoSpaceDN w:val="0"/>
        <w:adjustRightInd w:val="0"/>
        <w:spacing w:after="0" w:line="360" w:lineRule="auto"/>
        <w:jc w:val="both"/>
        <w:rPr>
          <w:rFonts w:ascii="Arial" w:hAnsi="Arial" w:cs="Arial"/>
          <w:sz w:val="20"/>
          <w:szCs w:val="20"/>
        </w:rPr>
      </w:pPr>
      <w:r w:rsidRPr="00A52F41">
        <w:rPr>
          <w:rFonts w:ascii="Arial" w:hAnsi="Arial" w:cs="Arial"/>
          <w:sz w:val="20"/>
          <w:szCs w:val="20"/>
        </w:rPr>
        <w:tab/>
        <w:t xml:space="preserve">- povezovanje kmetov, skupine in organizacije proizvajalcev z enotnim nastopom na trgu, </w:t>
      </w:r>
    </w:p>
    <w:p w14:paraId="381A034A" w14:textId="77777777" w:rsidR="009E0216" w:rsidRPr="00A52F41" w:rsidRDefault="009E0216" w:rsidP="00BE756C">
      <w:pPr>
        <w:widowControl w:val="0"/>
        <w:autoSpaceDE w:val="0"/>
        <w:autoSpaceDN w:val="0"/>
        <w:adjustRightInd w:val="0"/>
        <w:spacing w:after="0" w:line="360" w:lineRule="auto"/>
        <w:jc w:val="both"/>
        <w:rPr>
          <w:rFonts w:ascii="Arial" w:hAnsi="Arial" w:cs="Arial"/>
          <w:sz w:val="20"/>
          <w:szCs w:val="20"/>
        </w:rPr>
      </w:pPr>
      <w:r w:rsidRPr="00A52F41">
        <w:rPr>
          <w:rFonts w:ascii="Arial" w:hAnsi="Arial" w:cs="Arial"/>
          <w:sz w:val="20"/>
          <w:szCs w:val="20"/>
        </w:rPr>
        <w:tab/>
        <w:t xml:space="preserve">- rekreacija, turizem, </w:t>
      </w:r>
    </w:p>
    <w:p w14:paraId="58FCFAC2" w14:textId="77777777" w:rsidR="009E0216" w:rsidRPr="00A52F41" w:rsidRDefault="009E0216" w:rsidP="00BE756C">
      <w:pPr>
        <w:widowControl w:val="0"/>
        <w:autoSpaceDE w:val="0"/>
        <w:autoSpaceDN w:val="0"/>
        <w:adjustRightInd w:val="0"/>
        <w:spacing w:after="0" w:line="360" w:lineRule="auto"/>
        <w:jc w:val="both"/>
        <w:rPr>
          <w:rFonts w:ascii="Arial" w:hAnsi="Arial" w:cs="Arial"/>
          <w:sz w:val="20"/>
          <w:szCs w:val="20"/>
        </w:rPr>
      </w:pPr>
      <w:r w:rsidRPr="00A52F41">
        <w:rPr>
          <w:rFonts w:ascii="Arial" w:hAnsi="Arial" w:cs="Arial"/>
          <w:sz w:val="20"/>
          <w:szCs w:val="20"/>
        </w:rPr>
        <w:tab/>
        <w:t xml:space="preserve">- izgradnja infrastrukture, obnova in razvoj vasi, </w:t>
      </w:r>
    </w:p>
    <w:p w14:paraId="7C2CCC40" w14:textId="77777777" w:rsidR="009E0216" w:rsidRPr="00A52F41" w:rsidRDefault="009E0216" w:rsidP="00BE756C">
      <w:pPr>
        <w:widowControl w:val="0"/>
        <w:autoSpaceDE w:val="0"/>
        <w:autoSpaceDN w:val="0"/>
        <w:adjustRightInd w:val="0"/>
        <w:spacing w:after="0" w:line="360" w:lineRule="auto"/>
        <w:jc w:val="both"/>
        <w:rPr>
          <w:rFonts w:ascii="Arial" w:hAnsi="Arial" w:cs="Arial"/>
          <w:sz w:val="20"/>
          <w:szCs w:val="20"/>
        </w:rPr>
      </w:pPr>
      <w:r w:rsidRPr="00A52F41">
        <w:rPr>
          <w:rFonts w:ascii="Arial" w:hAnsi="Arial" w:cs="Arial"/>
          <w:sz w:val="20"/>
          <w:szCs w:val="20"/>
        </w:rPr>
        <w:tab/>
        <w:t>- ohranjanje kulturne dediščine na podeželju ter običajev (MKGP, 2020).</w:t>
      </w:r>
    </w:p>
    <w:p w14:paraId="5DA4A30B" w14:textId="77777777" w:rsidR="009E0216" w:rsidRPr="00A52F41" w:rsidRDefault="009E0216" w:rsidP="00EA2E4C">
      <w:pPr>
        <w:widowControl w:val="0"/>
        <w:autoSpaceDE w:val="0"/>
        <w:autoSpaceDN w:val="0"/>
        <w:adjustRightInd w:val="0"/>
        <w:spacing w:line="360" w:lineRule="auto"/>
        <w:jc w:val="both"/>
        <w:rPr>
          <w:rFonts w:ascii="Arial" w:hAnsi="Arial" w:cs="Arial"/>
          <w:sz w:val="20"/>
          <w:szCs w:val="20"/>
        </w:rPr>
      </w:pPr>
    </w:p>
    <w:p w14:paraId="100FB723" w14:textId="77777777" w:rsidR="009E0216" w:rsidRPr="00BE756C" w:rsidRDefault="009E0216" w:rsidP="00B63AD2">
      <w:pPr>
        <w:pStyle w:val="Naslov2"/>
        <w:spacing w:after="200" w:line="360" w:lineRule="auto"/>
        <w:jc w:val="both"/>
        <w:rPr>
          <w:rFonts w:ascii="Arial" w:hAnsi="Arial" w:cs="Arial"/>
          <w:color w:val="auto"/>
          <w:sz w:val="24"/>
          <w:szCs w:val="24"/>
        </w:rPr>
      </w:pPr>
      <w:bookmarkStart w:id="65" w:name="_Toc55999332"/>
      <w:r w:rsidRPr="00BE756C">
        <w:rPr>
          <w:rFonts w:ascii="Arial" w:hAnsi="Arial" w:cs="Arial"/>
          <w:color w:val="auto"/>
          <w:sz w:val="24"/>
          <w:szCs w:val="24"/>
        </w:rPr>
        <w:lastRenderedPageBreak/>
        <w:t>2.5 KLJUČNE UGOTOVITVE</w:t>
      </w:r>
      <w:bookmarkEnd w:id="65"/>
    </w:p>
    <w:p w14:paraId="5CEAC075" w14:textId="422037D0" w:rsidR="009E0216" w:rsidRPr="00A52F41" w:rsidRDefault="009E0216" w:rsidP="00B63AD2">
      <w:pPr>
        <w:pStyle w:val="Odstavekseznama"/>
        <w:keepNext/>
        <w:keepLines/>
        <w:numPr>
          <w:ilvl w:val="0"/>
          <w:numId w:val="32"/>
        </w:numPr>
        <w:spacing w:before="200" w:line="360" w:lineRule="auto"/>
        <w:ind w:left="426" w:hanging="426"/>
        <w:contextualSpacing w:val="0"/>
        <w:jc w:val="both"/>
        <w:rPr>
          <w:rFonts w:ascii="Arial" w:hAnsi="Arial" w:cs="Arial"/>
          <w:sz w:val="20"/>
          <w:szCs w:val="20"/>
        </w:rPr>
      </w:pPr>
      <w:r w:rsidRPr="00A52F41">
        <w:rPr>
          <w:rFonts w:ascii="Arial" w:hAnsi="Arial" w:cs="Arial"/>
          <w:b/>
          <w:sz w:val="20"/>
          <w:szCs w:val="20"/>
        </w:rPr>
        <w:t>Kazalniki kakovosti življenja in socialne vključenosti v Sloveniji se z leti na splošno izboljšujejo.</w:t>
      </w:r>
      <w:r w:rsidRPr="00A52F41">
        <w:rPr>
          <w:rFonts w:ascii="Arial" w:hAnsi="Arial" w:cs="Arial"/>
          <w:sz w:val="20"/>
          <w:szCs w:val="20"/>
        </w:rPr>
        <w:t xml:space="preserve"> Leta 2019</w:t>
      </w:r>
      <w:r w:rsidR="00C9225D">
        <w:rPr>
          <w:rFonts w:ascii="Arial" w:hAnsi="Arial" w:cs="Arial"/>
          <w:sz w:val="20"/>
          <w:szCs w:val="20"/>
        </w:rPr>
        <w:t xml:space="preserve"> bila</w:t>
      </w:r>
      <w:r w:rsidR="00422936">
        <w:rPr>
          <w:rFonts w:ascii="Arial" w:hAnsi="Arial" w:cs="Arial"/>
          <w:sz w:val="20"/>
          <w:szCs w:val="20"/>
        </w:rPr>
        <w:t xml:space="preserve"> je stopnja tveganja revščine le 12 </w:t>
      </w:r>
      <w:r w:rsidRPr="00A52F41">
        <w:rPr>
          <w:rFonts w:ascii="Arial" w:hAnsi="Arial" w:cs="Arial"/>
          <w:sz w:val="20"/>
          <w:szCs w:val="20"/>
        </w:rPr>
        <w:t>%, stopnja tveganja socialne izključenosti 14,4 %, delež gospodinjstev z dostopom do internet</w:t>
      </w:r>
      <w:r w:rsidR="00422936">
        <w:rPr>
          <w:rFonts w:ascii="Arial" w:hAnsi="Arial" w:cs="Arial"/>
          <w:sz w:val="20"/>
          <w:szCs w:val="20"/>
        </w:rPr>
        <w:t>a je bil velik, in sicer kar 89 </w:t>
      </w:r>
      <w:r w:rsidRPr="00A52F41">
        <w:rPr>
          <w:rFonts w:ascii="Arial" w:hAnsi="Arial" w:cs="Arial"/>
          <w:sz w:val="20"/>
          <w:szCs w:val="20"/>
        </w:rPr>
        <w:t>%. Prebivalstvo je bilo načeloma splošno zadovoljno z življenjem (7,5), stopnja resne materialne prikrajšanosti pa je bila precej nizka, le 2,6 % oseb. Po podatkih Eurostat je bila stopnja revščine leta 2018 nižja kot v obdobju pred krizo (Slo: leta 2018 16,60</w:t>
      </w:r>
      <w:r w:rsidR="00C9225D">
        <w:rPr>
          <w:rFonts w:ascii="Arial" w:hAnsi="Arial" w:cs="Arial"/>
          <w:sz w:val="20"/>
          <w:szCs w:val="20"/>
        </w:rPr>
        <w:t xml:space="preserve"> </w:t>
      </w:r>
      <w:r w:rsidRPr="00A52F41">
        <w:rPr>
          <w:rFonts w:ascii="Arial" w:hAnsi="Arial" w:cs="Arial"/>
          <w:sz w:val="20"/>
          <w:szCs w:val="20"/>
        </w:rPr>
        <w:t xml:space="preserve">%, EU 23,50 %) in celo nižja od evropskega povprečja.  </w:t>
      </w:r>
    </w:p>
    <w:p w14:paraId="34E63E98" w14:textId="77777777" w:rsidR="009E0216" w:rsidRPr="00A52F41" w:rsidRDefault="009E0216" w:rsidP="00A05198">
      <w:pPr>
        <w:pStyle w:val="Odstavekseznama"/>
        <w:numPr>
          <w:ilvl w:val="0"/>
          <w:numId w:val="32"/>
        </w:numPr>
        <w:spacing w:before="200" w:line="360" w:lineRule="auto"/>
        <w:ind w:left="426" w:hanging="426"/>
        <w:contextualSpacing w:val="0"/>
        <w:jc w:val="both"/>
        <w:rPr>
          <w:rFonts w:ascii="Arial" w:hAnsi="Arial" w:cs="Arial"/>
          <w:sz w:val="20"/>
          <w:szCs w:val="20"/>
        </w:rPr>
      </w:pPr>
      <w:r w:rsidRPr="00A52F41">
        <w:rPr>
          <w:rFonts w:ascii="Arial" w:hAnsi="Arial" w:cs="Arial"/>
          <w:b/>
          <w:sz w:val="20"/>
          <w:szCs w:val="20"/>
        </w:rPr>
        <w:t>Finančni položaj gospodinjstev se na splošno izboljšuje</w:t>
      </w:r>
      <w:r w:rsidRPr="00A52F41">
        <w:rPr>
          <w:rFonts w:ascii="Arial" w:hAnsi="Arial" w:cs="Arial"/>
          <w:sz w:val="20"/>
          <w:szCs w:val="20"/>
        </w:rPr>
        <w:t>. Letni prag tveganja revščine za enočl</w:t>
      </w:r>
      <w:r w:rsidR="00026AF3">
        <w:rPr>
          <w:rFonts w:ascii="Arial" w:hAnsi="Arial" w:cs="Arial"/>
          <w:sz w:val="20"/>
          <w:szCs w:val="20"/>
        </w:rPr>
        <w:t>ansko gospodinjstvo (8.440 EUR)</w:t>
      </w:r>
      <w:r w:rsidRPr="00A52F41">
        <w:rPr>
          <w:rFonts w:ascii="Arial" w:hAnsi="Arial" w:cs="Arial"/>
          <w:sz w:val="20"/>
          <w:szCs w:val="20"/>
        </w:rPr>
        <w:t xml:space="preserve">. </w:t>
      </w:r>
      <w:r w:rsidRPr="00A52F41">
        <w:rPr>
          <w:rFonts w:ascii="Arial" w:hAnsi="Arial" w:cs="Arial"/>
          <w:color w:val="000000"/>
          <w:sz w:val="20"/>
          <w:szCs w:val="20"/>
        </w:rPr>
        <w:t>Vendar pa se je po razglasitvi epidemije koronavirusne bolezni v marcu 2020 poslabšuje tudi socialni položaj nekaterih skupin ljudi (</w:t>
      </w:r>
      <w:r w:rsidRPr="00A52F41">
        <w:rPr>
          <w:rFonts w:ascii="Arial" w:hAnsi="Arial" w:cs="Arial"/>
          <w:sz w:val="20"/>
          <w:szCs w:val="20"/>
        </w:rPr>
        <w:t>otrok in mladostnikov, žensk, starejših ter brezposelni ter prekarnih delavcev)</w:t>
      </w:r>
      <w:r w:rsidRPr="00A52F41">
        <w:rPr>
          <w:rFonts w:ascii="Arial" w:hAnsi="Arial" w:cs="Arial"/>
          <w:color w:val="000000"/>
          <w:sz w:val="20"/>
          <w:szCs w:val="20"/>
        </w:rPr>
        <w:t>.</w:t>
      </w:r>
    </w:p>
    <w:p w14:paraId="7FFC0AE2" w14:textId="02106A3D" w:rsidR="00026AF3" w:rsidRPr="00026AF3" w:rsidRDefault="009E0216"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rPr>
      </w:pPr>
      <w:r w:rsidRPr="00026AF3">
        <w:rPr>
          <w:rFonts w:ascii="Arial" w:hAnsi="Arial" w:cs="Arial"/>
          <w:b/>
          <w:sz w:val="20"/>
          <w:szCs w:val="20"/>
        </w:rPr>
        <w:t>Glede na indeks regionalne ogroženosti (IRO) obstajajo velike regionalne razlike glede na razvojno ogroženost.</w:t>
      </w:r>
      <w:r w:rsidRPr="00026AF3">
        <w:rPr>
          <w:rFonts w:ascii="Arial" w:hAnsi="Arial" w:cs="Arial"/>
          <w:sz w:val="20"/>
          <w:szCs w:val="20"/>
        </w:rPr>
        <w:t xml:space="preserve"> IRO je višji v vzhodni kohezijski regiji, najbolj razvite regije so osrednjeslovenska, gorenjska regija in JV Slovenija. V najmanj razvitih regijah, kot so  pomurska, zasavska, podravska, koroška ter primorsko-notranjska regija so najbolj pro</w:t>
      </w:r>
      <w:r w:rsidR="0080599C">
        <w:rPr>
          <w:rFonts w:ascii="Arial" w:hAnsi="Arial" w:cs="Arial"/>
          <w:sz w:val="20"/>
          <w:szCs w:val="20"/>
        </w:rPr>
        <w:t>b</w:t>
      </w:r>
      <w:r w:rsidRPr="00026AF3">
        <w:rPr>
          <w:rFonts w:ascii="Arial" w:hAnsi="Arial" w:cs="Arial"/>
          <w:sz w:val="20"/>
          <w:szCs w:val="20"/>
        </w:rPr>
        <w:t>lematični produktivnost, razpoložljivi dohodek, zaposlenost, visoka brezposelnost, še posebej med mladimi, slaba izobrazba, staro prebivalstvo, najnižji BDP na prebivalca, zelo nizek delež bruto investicij v osnovna sredstva in sredstev za raziskav, nizke investicije, redka poseljenost. Pozitivno je, da so se na splošno kazalniki v zadnjih letih izboljšali v vseh regijah, najbolj v JV Sloveniji in posavski regiji.</w:t>
      </w:r>
    </w:p>
    <w:p w14:paraId="033A6CC0" w14:textId="48E4BC0E" w:rsidR="009E0216" w:rsidRPr="00026AF3" w:rsidRDefault="009E0216"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sz w:val="20"/>
          <w:szCs w:val="20"/>
        </w:rPr>
      </w:pPr>
      <w:r w:rsidRPr="00026AF3">
        <w:rPr>
          <w:rFonts w:ascii="Arial" w:hAnsi="Arial" w:cs="Arial"/>
          <w:b/>
          <w:sz w:val="20"/>
          <w:szCs w:val="20"/>
        </w:rPr>
        <w:t>Stopnja tveganja socialne izključenosti</w:t>
      </w:r>
      <w:r w:rsidRPr="00026AF3">
        <w:rPr>
          <w:rFonts w:ascii="Arial" w:hAnsi="Arial" w:cs="Arial"/>
          <w:sz w:val="20"/>
          <w:szCs w:val="20"/>
        </w:rPr>
        <w:t xml:space="preserve"> v Sloveniji se sicer znižuje, vendar so velike razlike med regijami (najvišja stopnja socialne izključenosti je v zasavski, koroški, podravski). Stopnja</w:t>
      </w:r>
      <w:r w:rsidR="00C9225D">
        <w:rPr>
          <w:rFonts w:ascii="Arial" w:hAnsi="Arial" w:cs="Arial"/>
          <w:sz w:val="20"/>
          <w:szCs w:val="20"/>
        </w:rPr>
        <w:t xml:space="preserve"> tveganja socialne izključenosti</w:t>
      </w:r>
      <w:r w:rsidRPr="00026AF3">
        <w:rPr>
          <w:rFonts w:ascii="Arial" w:hAnsi="Arial" w:cs="Arial"/>
          <w:sz w:val="20"/>
          <w:szCs w:val="20"/>
        </w:rPr>
        <w:t xml:space="preserve"> za ženske je nad povprečjem EU. Pod pragom revščine po podatkih SURS živi vsak osmi Slovenec oziroma 243.000 oseb, od tega je najvišji delež upokojencev (37 %), še posebej upokojenih žensk; sledijo pa mladoletni otroci (17 %); pa tudi 16 % delovno aktivnih, 16,5 % brezposelnih ter ostali (nezmožni za delo, gospodinje, študenti). </w:t>
      </w:r>
    </w:p>
    <w:p w14:paraId="736AC3E9" w14:textId="77777777" w:rsidR="00026AF3" w:rsidRPr="00026AF3" w:rsidRDefault="009E0216"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rPr>
      </w:pPr>
      <w:r w:rsidRPr="00026AF3">
        <w:rPr>
          <w:rFonts w:ascii="Arial" w:hAnsi="Arial" w:cs="Arial"/>
          <w:b/>
          <w:sz w:val="20"/>
          <w:szCs w:val="20"/>
        </w:rPr>
        <w:t>Na podlagi analize stanja so prepoznane naslednje najbolj ranljive skupine</w:t>
      </w:r>
      <w:r w:rsidRPr="00026AF3">
        <w:rPr>
          <w:rFonts w:ascii="Arial" w:hAnsi="Arial" w:cs="Arial"/>
          <w:sz w:val="20"/>
          <w:szCs w:val="20"/>
        </w:rPr>
        <w:t xml:space="preserve">: brezposelne osebe, samozaposlene osebe, gospodinjstva z vzdrževanimi otroki, enočlanska in enostarševska gospodinjstva, upokojene ženske, še posebej ženske na podeželju stare nad 59 let; osebe brez izobrazbe, drugi neaktivni oz. nezmožni za delo. </w:t>
      </w:r>
    </w:p>
    <w:p w14:paraId="61EAAA65" w14:textId="038B0F3D" w:rsidR="009E0216" w:rsidRPr="002E44D3" w:rsidRDefault="009E0216"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sz w:val="20"/>
          <w:szCs w:val="20"/>
        </w:rPr>
      </w:pPr>
      <w:r w:rsidRPr="002E44D3">
        <w:rPr>
          <w:rFonts w:ascii="Arial" w:hAnsi="Arial" w:cs="Arial"/>
          <w:sz w:val="20"/>
          <w:szCs w:val="20"/>
        </w:rPr>
        <w:t xml:space="preserve">. Stanovanjske razmere se sicer z leti izboljšujejo. Delež lastniških stanovanj je visok; visok je tudi delež oseb, ki živijo v individualnih hišah na podeželju in na kmetijah. </w:t>
      </w:r>
    </w:p>
    <w:p w14:paraId="4C34C4AE" w14:textId="77777777" w:rsidR="00D04CAC" w:rsidRPr="002E44D3" w:rsidRDefault="009E0216" w:rsidP="00A05198">
      <w:pPr>
        <w:pStyle w:val="Navadensplet"/>
        <w:numPr>
          <w:ilvl w:val="0"/>
          <w:numId w:val="32"/>
        </w:numPr>
        <w:shd w:val="clear" w:color="auto" w:fill="FFFFFF"/>
        <w:spacing w:before="200" w:after="200" w:line="360" w:lineRule="auto"/>
        <w:ind w:left="426" w:hanging="426"/>
        <w:rPr>
          <w:rFonts w:ascii="Arial" w:hAnsi="Arial" w:cs="Arial"/>
          <w:b/>
        </w:rPr>
      </w:pPr>
      <w:r w:rsidRPr="00A52F41">
        <w:rPr>
          <w:rFonts w:ascii="Arial" w:hAnsi="Arial" w:cs="Arial"/>
          <w:b/>
        </w:rPr>
        <w:t>Dostop do interneta se zadnja leta zvišuje</w:t>
      </w:r>
      <w:r w:rsidRPr="00A52F41">
        <w:rPr>
          <w:rFonts w:ascii="Arial" w:hAnsi="Arial" w:cs="Arial"/>
        </w:rPr>
        <w:t xml:space="preserve">, v letu 2019 je dostop do interneta imela 89 % prebivalcev. </w:t>
      </w:r>
    </w:p>
    <w:p w14:paraId="0297D311" w14:textId="77BAE4EB"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b/>
        </w:rPr>
      </w:pPr>
      <w:r w:rsidRPr="00A52F41">
        <w:rPr>
          <w:rFonts w:ascii="Arial" w:hAnsi="Arial" w:cs="Arial"/>
        </w:rPr>
        <w:lastRenderedPageBreak/>
        <w:t>Na podeželju, še posebej na redko poseljenih območjih, je</w:t>
      </w:r>
      <w:r w:rsidRPr="00A52F41">
        <w:rPr>
          <w:rFonts w:ascii="Arial" w:hAnsi="Arial" w:cs="Arial"/>
          <w:b/>
        </w:rPr>
        <w:t xml:space="preserve"> visok delež bivanja v čistem okolju, </w:t>
      </w:r>
      <w:r w:rsidRPr="00A52F41">
        <w:rPr>
          <w:rFonts w:ascii="Arial" w:hAnsi="Arial" w:cs="Arial"/>
        </w:rPr>
        <w:t xml:space="preserve">visok </w:t>
      </w:r>
      <w:r w:rsidR="00D04CAC">
        <w:rPr>
          <w:rFonts w:ascii="Arial" w:hAnsi="Arial" w:cs="Arial"/>
        </w:rPr>
        <w:t xml:space="preserve">je </w:t>
      </w:r>
      <w:r w:rsidRPr="00A52F41">
        <w:rPr>
          <w:rFonts w:ascii="Arial" w:hAnsi="Arial" w:cs="Arial"/>
        </w:rPr>
        <w:t xml:space="preserve">delež bivanja v </w:t>
      </w:r>
      <w:r w:rsidRPr="00A52F41">
        <w:rPr>
          <w:rFonts w:ascii="Arial" w:hAnsi="Arial" w:cs="Arial"/>
          <w:b/>
        </w:rPr>
        <w:t>okolju brez hrupa, nizka stopnja kriminala.</w:t>
      </w:r>
    </w:p>
    <w:p w14:paraId="1588D5A5" w14:textId="77777777"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A52F41">
        <w:rPr>
          <w:rFonts w:ascii="Arial" w:hAnsi="Arial" w:cs="Arial"/>
          <w:b/>
        </w:rPr>
        <w:t xml:space="preserve">Demografske spremembe so razvidne iz zmanjševanja generacij v formalnem </w:t>
      </w:r>
      <w:r w:rsidR="00326660" w:rsidRPr="00A52F41">
        <w:rPr>
          <w:rFonts w:ascii="Arial" w:hAnsi="Arial" w:cs="Arial"/>
          <w:b/>
        </w:rPr>
        <w:t>izobraževanju</w:t>
      </w:r>
      <w:r w:rsidRPr="00A52F41">
        <w:rPr>
          <w:rFonts w:ascii="Arial" w:hAnsi="Arial" w:cs="Arial"/>
          <w:b/>
        </w:rPr>
        <w:t>.</w:t>
      </w:r>
      <w:r w:rsidRPr="00A52F41">
        <w:rPr>
          <w:rFonts w:ascii="Arial" w:hAnsi="Arial" w:cs="Arial"/>
        </w:rPr>
        <w:t xml:space="preserve"> Trend vpisov v formalno obliko izobraževanja je do leta 2018 upadal, kar</w:t>
      </w:r>
      <w:r w:rsidR="00326660">
        <w:rPr>
          <w:rFonts w:ascii="Arial" w:hAnsi="Arial" w:cs="Arial"/>
        </w:rPr>
        <w:t xml:space="preserve"> </w:t>
      </w:r>
      <w:r w:rsidRPr="00A52F41">
        <w:rPr>
          <w:rFonts w:ascii="Arial" w:hAnsi="Arial" w:cs="Arial"/>
        </w:rPr>
        <w:t xml:space="preserve">je bilo posledica </w:t>
      </w:r>
      <w:r w:rsidR="00326660" w:rsidRPr="00A52F41">
        <w:rPr>
          <w:rFonts w:ascii="Arial" w:hAnsi="Arial" w:cs="Arial"/>
        </w:rPr>
        <w:t>predvsem</w:t>
      </w:r>
      <w:r w:rsidRPr="00A52F41">
        <w:rPr>
          <w:rFonts w:ascii="Arial" w:hAnsi="Arial" w:cs="Arial"/>
        </w:rPr>
        <w:t xml:space="preserve"> </w:t>
      </w:r>
      <w:r w:rsidRPr="00A52F41">
        <w:rPr>
          <w:rFonts w:ascii="Arial" w:hAnsi="Arial" w:cs="Arial"/>
          <w:b/>
        </w:rPr>
        <w:t>zmanjševanja generacij. Upad števila otrok je vidno v šolah in terciarnem izobraževanju (iz podeželja je nižji delež študentov) zaradi negativnih demografskih sprememb, kar zmanjšuje ponudbo mladih na trgu dela</w:t>
      </w:r>
      <w:r w:rsidRPr="00A52F41">
        <w:rPr>
          <w:rFonts w:ascii="Arial" w:hAnsi="Arial" w:cs="Arial"/>
        </w:rPr>
        <w:t xml:space="preserve">. Na podeželju so v povprečju nižje izobraženi ljudje. Povečuje se delež oseb s terciarno izobrazbo, jer prevladujejo ženske), vendar je delež terciarno izobraženih na podeželju nižji od slovenskega povprečja. Največji delež na podeželju predstavlja srednješolska izobrazba, vendar pa je še veliko oseb brez izobrazbe.  </w:t>
      </w:r>
    </w:p>
    <w:p w14:paraId="3D78E3B3" w14:textId="32871507"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A52F41">
        <w:rPr>
          <w:rFonts w:ascii="Arial" w:hAnsi="Arial" w:cs="Arial"/>
          <w:b/>
        </w:rPr>
        <w:t>Vključenost v vseživljenjsko izobraževanje se je v zadnjih letih znižala</w:t>
      </w:r>
      <w:r w:rsidRPr="00A52F41">
        <w:rPr>
          <w:rFonts w:ascii="Arial" w:hAnsi="Arial" w:cs="Arial"/>
        </w:rPr>
        <w:t>. Za to se najmanj odločajo nizko izobraženi, starejši, moški, osebe z nizkimi spretnostmi in tujci. Na kakovost življenja lahko vpliv</w:t>
      </w:r>
      <w:r w:rsidR="00D04CAC">
        <w:rPr>
          <w:rFonts w:ascii="Arial" w:hAnsi="Arial" w:cs="Arial"/>
        </w:rPr>
        <w:t>a</w:t>
      </w:r>
      <w:r w:rsidRPr="00A52F41">
        <w:rPr>
          <w:rFonts w:ascii="Arial" w:hAnsi="Arial" w:cs="Arial"/>
        </w:rPr>
        <w:t xml:space="preserve">jo tudi nizke spretnosti odraslih, tako besedilne, matematične kot digitalne. </w:t>
      </w:r>
    </w:p>
    <w:p w14:paraId="3C788F22" w14:textId="79B48501"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A52F41">
        <w:rPr>
          <w:rFonts w:ascii="Arial" w:hAnsi="Arial" w:cs="Arial"/>
        </w:rPr>
        <w:t xml:space="preserve">Opremljenost s storitvami splošnega pomena (npr. poštne storitve, bančne storitve, trgovina, javni promet, šolstvo, zdravstvo) je razmeroma ustrezna. </w:t>
      </w:r>
      <w:r w:rsidRPr="00A52F41">
        <w:rPr>
          <w:rFonts w:ascii="Arial" w:hAnsi="Arial" w:cs="Arial"/>
          <w:b/>
        </w:rPr>
        <w:t>Struktura in opremljenost centralnih naselij nad 10.000 prebivalci je razmeroma stabilna, večje spremembe v opremljenosti naselij so vidne v centralnih naseljih pod 10.000 prebivalci</w:t>
      </w:r>
      <w:r w:rsidRPr="00A52F41">
        <w:rPr>
          <w:rFonts w:ascii="Arial" w:hAnsi="Arial" w:cs="Arial"/>
        </w:rPr>
        <w:t xml:space="preserve"> (medobčinska, središča lokalnega in središča podeželskega pomena). Oskrba s </w:t>
      </w:r>
      <w:r w:rsidR="00F7076B">
        <w:rPr>
          <w:rFonts w:ascii="Arial" w:hAnsi="Arial" w:cs="Arial"/>
        </w:rPr>
        <w:t xml:space="preserve">storitvenimi </w:t>
      </w:r>
      <w:r w:rsidRPr="00A52F41">
        <w:rPr>
          <w:rFonts w:ascii="Arial" w:hAnsi="Arial" w:cs="Arial"/>
        </w:rPr>
        <w:t xml:space="preserve">funkcijami je </w:t>
      </w:r>
      <w:r w:rsidR="00D04CAC">
        <w:rPr>
          <w:rFonts w:ascii="Arial" w:hAnsi="Arial" w:cs="Arial"/>
        </w:rPr>
        <w:t>slabša</w:t>
      </w:r>
      <w:r w:rsidR="00D04CAC" w:rsidRPr="00A52F41">
        <w:rPr>
          <w:rFonts w:ascii="Arial" w:hAnsi="Arial" w:cs="Arial"/>
        </w:rPr>
        <w:t xml:space="preserve"> </w:t>
      </w:r>
      <w:r w:rsidRPr="00A52F41">
        <w:rPr>
          <w:rFonts w:ascii="Arial" w:hAnsi="Arial" w:cs="Arial"/>
        </w:rPr>
        <w:t xml:space="preserve">v manjših naseljih; slabša npr. na območjih večjih selitev prebivalcev, kjer se ni dovolj hitro prilagajala.  </w:t>
      </w:r>
      <w:r w:rsidRPr="00A52F41">
        <w:rPr>
          <w:rFonts w:ascii="Arial" w:hAnsi="Arial" w:cs="Arial"/>
          <w:b/>
        </w:rPr>
        <w:t xml:space="preserve">Za življenje na podeželju </w:t>
      </w:r>
      <w:r w:rsidRPr="00A52F41">
        <w:rPr>
          <w:rFonts w:ascii="Arial" w:hAnsi="Arial" w:cs="Arial"/>
        </w:rPr>
        <w:t>so z vidika kvalitete bivanja pomembni</w:t>
      </w:r>
      <w:r w:rsidRPr="00A52F41">
        <w:rPr>
          <w:rFonts w:ascii="Arial" w:hAnsi="Arial" w:cs="Arial"/>
          <w:b/>
        </w:rPr>
        <w:t xml:space="preserve"> naravno okolje</w:t>
      </w:r>
      <w:r w:rsidRPr="00A52F41">
        <w:rPr>
          <w:rFonts w:ascii="Arial" w:hAnsi="Arial" w:cs="Arial"/>
        </w:rPr>
        <w:t xml:space="preserve"> in </w:t>
      </w:r>
      <w:r w:rsidRPr="00A52F41">
        <w:rPr>
          <w:rFonts w:ascii="Arial" w:hAnsi="Arial" w:cs="Arial"/>
          <w:b/>
        </w:rPr>
        <w:t>bližina narave</w:t>
      </w:r>
      <w:r w:rsidRPr="00A52F41">
        <w:rPr>
          <w:rFonts w:ascii="Arial" w:hAnsi="Arial" w:cs="Arial"/>
        </w:rPr>
        <w:t>, mir, dostop do šole, urejenost naselij, varnost, dostopnost do storitev z avtomobilom in javnim prevozom, pa tudi medgeneracijsko sožitje, socialni stiki (aktivnosti, prireditve, društva, ohranjanje običajev, kulturne znamenitosti, igrišča, idr</w:t>
      </w:r>
      <w:r w:rsidR="00E6498E">
        <w:rPr>
          <w:rFonts w:ascii="Arial" w:hAnsi="Arial" w:cs="Arial"/>
        </w:rPr>
        <w:t>.</w:t>
      </w:r>
      <w:r w:rsidRPr="00A52F41">
        <w:rPr>
          <w:rFonts w:ascii="Arial" w:hAnsi="Arial" w:cs="Arial"/>
        </w:rPr>
        <w:t>).</w:t>
      </w:r>
    </w:p>
    <w:p w14:paraId="7817D1B5" w14:textId="638D0B1A"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A52F41">
        <w:rPr>
          <w:rFonts w:ascii="Arial" w:hAnsi="Arial" w:cs="Arial"/>
          <w:b/>
        </w:rPr>
        <w:t>Na podeželju je že vzpostavljena dokaj dobra prostorsko razporejena mreža institucij in dejavnosti ter deležnikov, ki delujejo kot vmesnik, stičišče med starostniki in njihovim okoljem</w:t>
      </w:r>
      <w:r w:rsidRPr="00A52F41">
        <w:rPr>
          <w:rFonts w:ascii="Arial" w:hAnsi="Arial" w:cs="Arial"/>
        </w:rPr>
        <w:t xml:space="preserve">. Vzpostavljena je mreža večgeneracijskih centrov. Obstoječe oblike storitev za boljšo mobilnost iz težje dostopnih območij, medgeneracijsko pomoč. V storitve dolgotrajne oskrbe je vključenih 11,4 % prebivalstva nad 65 let (123 domov v 91 občinah (od 212)). Oblika pomoči na domu v okviru javne službe se izvaja v 210 občinah, število uporabnikov raste. </w:t>
      </w:r>
      <w:r w:rsidRPr="00A52F41">
        <w:rPr>
          <w:rFonts w:ascii="Arial" w:hAnsi="Arial" w:cs="Arial"/>
          <w:b/>
        </w:rPr>
        <w:t>Višina stroškov doplačil za storitve dolgotrajne oskrbe na domu v povprečju presega dohodkovne zmožnosti upokojencev</w:t>
      </w:r>
      <w:r w:rsidRPr="00A52F41">
        <w:rPr>
          <w:rFonts w:ascii="Arial" w:hAnsi="Arial" w:cs="Arial"/>
        </w:rPr>
        <w:t xml:space="preserve">. Okoli 40 % upokojencev ima namreč pokojnino nižjo od 600 EUR, kar je nižje od cenejših javnih domov (najcenejši je npr. 568 </w:t>
      </w:r>
      <w:r w:rsidR="00FF2A8E">
        <w:rPr>
          <w:rFonts w:ascii="Arial" w:hAnsi="Arial" w:cs="Arial"/>
        </w:rPr>
        <w:t>EUR</w:t>
      </w:r>
      <w:r w:rsidRPr="00A52F41">
        <w:rPr>
          <w:rFonts w:ascii="Arial" w:hAnsi="Arial" w:cs="Arial"/>
        </w:rPr>
        <w:t>, dražji pa 1</w:t>
      </w:r>
      <w:r w:rsidR="00422936">
        <w:rPr>
          <w:rFonts w:ascii="Arial" w:hAnsi="Arial" w:cs="Arial"/>
        </w:rPr>
        <w:t>.</w:t>
      </w:r>
      <w:r w:rsidRPr="00A52F41">
        <w:rPr>
          <w:rFonts w:ascii="Arial" w:hAnsi="Arial" w:cs="Arial"/>
        </w:rPr>
        <w:t xml:space="preserve">065 </w:t>
      </w:r>
      <w:r w:rsidR="00FF2A8E">
        <w:rPr>
          <w:rFonts w:ascii="Arial" w:hAnsi="Arial" w:cs="Arial"/>
        </w:rPr>
        <w:t>EUR</w:t>
      </w:r>
      <w:r w:rsidRPr="00A52F41">
        <w:rPr>
          <w:rFonts w:ascii="Arial" w:hAnsi="Arial" w:cs="Arial"/>
        </w:rPr>
        <w:t xml:space="preserve"> mesečno). </w:t>
      </w:r>
    </w:p>
    <w:p w14:paraId="44D4FC19" w14:textId="77777777"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A52F41">
        <w:rPr>
          <w:rFonts w:ascii="Arial" w:hAnsi="Arial" w:cs="Arial"/>
          <w:b/>
        </w:rPr>
        <w:t>Opazen je zaostanek pri uvajanju in zagotavljanju podpornih tehnologij v storitve dolgotrajne oskrbe</w:t>
      </w:r>
      <w:r w:rsidRPr="00A52F41">
        <w:rPr>
          <w:rFonts w:ascii="Arial" w:hAnsi="Arial" w:cs="Arial"/>
        </w:rPr>
        <w:t xml:space="preserve"> kot so oskrba na daljavo, e-medicina, pametni dom. </w:t>
      </w:r>
    </w:p>
    <w:p w14:paraId="39D821ED" w14:textId="7D95384B"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A52F41">
        <w:rPr>
          <w:rFonts w:ascii="Arial" w:hAnsi="Arial" w:cs="Arial"/>
          <w:b/>
        </w:rPr>
        <w:t xml:space="preserve">Na podeželju je zelo razvito delovanje nepridobitnih organizacij in društev, </w:t>
      </w:r>
      <w:r w:rsidRPr="00A52F41">
        <w:rPr>
          <w:rFonts w:ascii="Arial" w:hAnsi="Arial" w:cs="Arial"/>
        </w:rPr>
        <w:t>kar je pomembno z vidika socialne vključenosti prebivalcev na podeželju. Število nepridobitnih organizacij</w:t>
      </w:r>
      <w:r w:rsidR="00F7076B">
        <w:rPr>
          <w:rFonts w:ascii="Arial" w:hAnsi="Arial" w:cs="Arial"/>
        </w:rPr>
        <w:t xml:space="preserve"> </w:t>
      </w:r>
      <w:r w:rsidRPr="00A52F41">
        <w:rPr>
          <w:rFonts w:ascii="Arial" w:hAnsi="Arial" w:cs="Arial"/>
        </w:rPr>
        <w:t xml:space="preserve">v Sloveniji zadnja leta raste. Leta 2019 jih je bilo na podeželju 3.812, kar je 43 % vseh tovrstnih organizacij v </w:t>
      </w:r>
      <w:r w:rsidRPr="00A52F41">
        <w:rPr>
          <w:rFonts w:ascii="Arial" w:hAnsi="Arial" w:cs="Arial"/>
        </w:rPr>
        <w:lastRenderedPageBreak/>
        <w:t>Sloveniji. Prav tako se na podeželju povečuje število društev: leta 2019 jih je bilo 14.110, kar predstavlja 58 % vseh slovenskih društev. Največ društev je športnih rekreativnih, kulturnih, umetniških društev ter društev za pomoč ljudem. V nepridobitnih organizacijah in društvih se od leta 2008 povečuje tudi število zaposlenih, in sicer največji delež na področju izobraževanja, sledijo strokovne, znanstvene in tehnične dejavnosti.</w:t>
      </w:r>
    </w:p>
    <w:p w14:paraId="339A4895" w14:textId="77777777"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A52F41">
        <w:rPr>
          <w:rFonts w:ascii="Arial" w:hAnsi="Arial" w:cs="Arial"/>
          <w:b/>
        </w:rPr>
        <w:t>Dostopnost do prostočasnih dejavnosti se je sicer povečala, kljub temu pa je nizka med starejšimi in osebami z nizkimi dohodki. Delovno aktivni prebivalci pa prostočasne dejavnosti težje koristijo zaradi pomanjkanja prostega časa</w:t>
      </w:r>
      <w:r w:rsidRPr="00A52F41">
        <w:rPr>
          <w:rFonts w:ascii="Arial" w:hAnsi="Arial" w:cs="Arial"/>
        </w:rPr>
        <w:t xml:space="preserve">. Na podeželju so manjše možnosti za interesne dejavnosti, športne aktivnosti, manj prostega časa. </w:t>
      </w:r>
    </w:p>
    <w:p w14:paraId="40DF3A8B" w14:textId="77777777"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A52F41">
        <w:rPr>
          <w:rFonts w:ascii="Arial" w:hAnsi="Arial" w:cs="Arial"/>
          <w:b/>
        </w:rPr>
        <w:t xml:space="preserve">Dediščina na podeželju je pomembna, saj ustvarja kulturno pestrost </w:t>
      </w:r>
      <w:r w:rsidRPr="00A52F41">
        <w:rPr>
          <w:rFonts w:ascii="Arial" w:hAnsi="Arial" w:cs="Arial"/>
        </w:rPr>
        <w:t>Slovenije, ki se prepleta z izjemno krajinsko in biotsko raznovrstnostjo, privlačnostjo države za življenje državljanov, za izobraževanje, za razvoj, za umetniško ustvarjanje, za turizem in druge gospodarske dejavnosti. Še posebej e</w:t>
      </w:r>
      <w:r w:rsidRPr="00A52F41">
        <w:rPr>
          <w:rFonts w:ascii="Arial" w:eastAsia="Arial" w:hAnsi="Arial" w:cs="Arial"/>
          <w:color w:val="000000" w:themeColor="text1"/>
        </w:rPr>
        <w:t>tnološka dediščina izginja bistveno hitreje oz. v večji meri kot druga dediščina.</w:t>
      </w:r>
    </w:p>
    <w:p w14:paraId="4ED5CC19" w14:textId="1523E1A6"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A52F41">
        <w:rPr>
          <w:rFonts w:ascii="Arial" w:hAnsi="Arial" w:cs="Arial"/>
          <w:b/>
        </w:rPr>
        <w:t>Za koncept Pametnih vasi kot reševanje izzivov na podeželju obstajajo oblike in priložnosti v okviru z digitalnih storitev, socialnih in tehnoloških vsebin ter drugih inovacij na podeželju, skozi</w:t>
      </w:r>
      <w:r w:rsidRPr="00A52F41">
        <w:rPr>
          <w:rFonts w:ascii="Arial" w:hAnsi="Arial" w:cs="Arial"/>
        </w:rPr>
        <w:t xml:space="preserve"> ukrepe PRP 2014-2020, kot so LEADER, sodelovanje, investicije na podeželju, na področju kratkih dobavnih verig, povezovanja podeželja in mest (npr. z lokalnimi pridelki), socialnih inovacij, različnih oblik sodelovanja, rekreacije in turizma, obnove in razvoja vasi, varovanja naravne in kulturne dediščine.</w:t>
      </w:r>
    </w:p>
    <w:p w14:paraId="5A00FF3B" w14:textId="77777777" w:rsidR="005E3745" w:rsidRDefault="005E3745">
      <w:pPr>
        <w:rPr>
          <w:rFonts w:ascii="Arial" w:eastAsia="Times New Roman" w:hAnsi="Arial" w:cs="Arial"/>
          <w:sz w:val="20"/>
          <w:szCs w:val="20"/>
          <w:lang w:eastAsia="en-GB"/>
        </w:rPr>
      </w:pPr>
      <w:r>
        <w:rPr>
          <w:rFonts w:ascii="Arial" w:hAnsi="Arial" w:cs="Arial"/>
        </w:rPr>
        <w:br w:type="page"/>
      </w:r>
    </w:p>
    <w:p w14:paraId="734C5D43" w14:textId="1FCF8026" w:rsidR="009E0216" w:rsidRPr="008D32AC" w:rsidRDefault="005070F3" w:rsidP="008D32AC">
      <w:pPr>
        <w:pStyle w:val="Naslov2"/>
        <w:keepLines w:val="0"/>
        <w:tabs>
          <w:tab w:val="left" w:pos="0"/>
          <w:tab w:val="left" w:pos="480"/>
          <w:tab w:val="left" w:pos="1276"/>
          <w:tab w:val="left" w:pos="4537"/>
        </w:tabs>
        <w:spacing w:after="200" w:line="360" w:lineRule="auto"/>
        <w:ind w:left="360"/>
        <w:jc w:val="both"/>
        <w:rPr>
          <w:rFonts w:ascii="Arial" w:hAnsi="Arial" w:cs="Arial"/>
          <w:b w:val="0"/>
          <w:sz w:val="24"/>
          <w:szCs w:val="24"/>
        </w:rPr>
      </w:pPr>
      <w:bookmarkStart w:id="66" w:name="_Toc55999333"/>
      <w:r>
        <w:rPr>
          <w:rFonts w:ascii="Arial" w:hAnsi="Arial" w:cs="Arial"/>
          <w:color w:val="auto"/>
          <w:sz w:val="24"/>
          <w:szCs w:val="24"/>
        </w:rPr>
        <w:lastRenderedPageBreak/>
        <w:t xml:space="preserve">3 </w:t>
      </w:r>
      <w:r w:rsidR="009E0216" w:rsidRPr="008D32AC">
        <w:rPr>
          <w:rFonts w:ascii="Arial" w:hAnsi="Arial" w:cs="Arial"/>
          <w:color w:val="auto"/>
          <w:sz w:val="24"/>
          <w:szCs w:val="24"/>
        </w:rPr>
        <w:t>GOSPODARSTVO</w:t>
      </w:r>
      <w:bookmarkEnd w:id="66"/>
    </w:p>
    <w:p w14:paraId="53A2C395" w14:textId="6E1A2C63" w:rsidR="009E0216" w:rsidRPr="00A52F41" w:rsidRDefault="009E0216" w:rsidP="005E3745">
      <w:pPr>
        <w:pStyle w:val="Default"/>
        <w:spacing w:before="200" w:after="200" w:line="360" w:lineRule="auto"/>
        <w:jc w:val="both"/>
        <w:rPr>
          <w:rFonts w:ascii="Arial" w:hAnsi="Arial" w:cs="Arial"/>
          <w:color w:val="auto"/>
          <w:sz w:val="20"/>
          <w:szCs w:val="20"/>
          <w:lang w:val="sl-SI"/>
        </w:rPr>
      </w:pPr>
      <w:r w:rsidRPr="00A52F41">
        <w:rPr>
          <w:rFonts w:ascii="Arial" w:hAnsi="Arial" w:cs="Arial"/>
          <w:color w:val="auto"/>
          <w:sz w:val="20"/>
          <w:szCs w:val="20"/>
          <w:lang w:val="sl-SI"/>
        </w:rPr>
        <w:t>Po podatkih UMAR</w:t>
      </w:r>
      <w:r w:rsidR="00EC4FBC">
        <w:rPr>
          <w:rFonts w:ascii="Arial" w:hAnsi="Arial" w:cs="Arial"/>
          <w:color w:val="auto"/>
          <w:sz w:val="20"/>
          <w:szCs w:val="20"/>
          <w:lang w:val="sl-SI"/>
        </w:rPr>
        <w:t xml:space="preserve"> (2020) </w:t>
      </w:r>
      <w:r w:rsidRPr="00A52F41">
        <w:rPr>
          <w:rFonts w:ascii="Arial" w:hAnsi="Arial" w:cs="Arial"/>
          <w:color w:val="auto"/>
          <w:sz w:val="20"/>
          <w:szCs w:val="20"/>
          <w:lang w:val="sl-SI"/>
        </w:rPr>
        <w:t>se je bruto domači proizvod (BDP) v Sloveniji leta 2019 šesto leto zapored povečal (znašal je 45.755 mio. EUR</w:t>
      </w:r>
      <w:r w:rsidRPr="00A52F41">
        <w:rPr>
          <w:rFonts w:ascii="Arial" w:hAnsi="Arial" w:cs="Arial"/>
          <w:b/>
          <w:bCs/>
          <w:sz w:val="20"/>
          <w:szCs w:val="20"/>
          <w:lang w:val="sl-SI"/>
        </w:rPr>
        <w:t>)</w:t>
      </w:r>
      <w:r w:rsidRPr="00A52F41">
        <w:rPr>
          <w:rFonts w:ascii="Arial" w:hAnsi="Arial" w:cs="Arial"/>
          <w:color w:val="auto"/>
          <w:sz w:val="20"/>
          <w:szCs w:val="20"/>
          <w:lang w:val="sl-SI"/>
        </w:rPr>
        <w:t xml:space="preserve">, njegova rast, ki se je začela umirjati leta 2018, pa se je opazno upočasnila. Po recesiji se realni BDP v Sloveniji od leta 2014 povečuje in se je zato v obdobju 2016–2018 zmanjševal zaostanek v gospodarski razvitosti za EU (še vedno pa se Slovenija uvršča v spodnjo polovico držav članic EU). BDP na prebivalca po kupni moči je v letu 2018 dosegel 87 % povprečja EU, kar je višja vrednost kot leto prej in pod najvišjo vrednostjo, doseženo pred nastankom gospodarske krize v letu 2008. </w:t>
      </w:r>
    </w:p>
    <w:p w14:paraId="263608DE" w14:textId="780B4F44" w:rsidR="009E0216" w:rsidRDefault="00910940" w:rsidP="00A417A4">
      <w:pPr>
        <w:pStyle w:val="SCslika"/>
        <w:keepNext/>
        <w:keepLines/>
      </w:pPr>
      <w:r w:rsidRPr="00A417A4">
        <w:t>Tabela</w:t>
      </w:r>
      <w:r w:rsidR="009E0216" w:rsidRPr="00A417A4">
        <w:t xml:space="preserve"> </w:t>
      </w:r>
      <w:r w:rsidR="00026AF3" w:rsidRPr="00A417A4">
        <w:t>1</w:t>
      </w:r>
      <w:r w:rsidRPr="00A417A4">
        <w:t>9</w:t>
      </w:r>
      <w:r w:rsidR="009E0216" w:rsidRPr="00A417A4">
        <w:t>: Bruto domači proizvod na prebivalca glede na posamezno regijo</w:t>
      </w:r>
      <w:r w:rsidR="00026AF3" w:rsidRPr="00A417A4">
        <w:t xml:space="preserve"> </w:t>
      </w:r>
      <w:r w:rsidR="009E0216" w:rsidRPr="00A417A4">
        <w:t>v letih 2008, 2013 in 2018</w:t>
      </w:r>
    </w:p>
    <w:tbl>
      <w:tblPr>
        <w:tblW w:w="9072" w:type="dxa"/>
        <w:tblInd w:w="70" w:type="dxa"/>
        <w:tblLayout w:type="fixed"/>
        <w:tblCellMar>
          <w:left w:w="70" w:type="dxa"/>
          <w:right w:w="70" w:type="dxa"/>
        </w:tblCellMar>
        <w:tblLook w:val="04A0" w:firstRow="1" w:lastRow="0" w:firstColumn="1" w:lastColumn="0" w:noHBand="0" w:noVBand="1"/>
      </w:tblPr>
      <w:tblGrid>
        <w:gridCol w:w="2410"/>
        <w:gridCol w:w="1332"/>
        <w:gridCol w:w="1332"/>
        <w:gridCol w:w="1333"/>
        <w:gridCol w:w="1332"/>
        <w:gridCol w:w="1333"/>
      </w:tblGrid>
      <w:tr w:rsidR="000E047D" w:rsidRPr="000E047D" w14:paraId="624F3A35" w14:textId="77777777" w:rsidTr="000E047D">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36D94" w14:textId="427EF7D1" w:rsidR="000E047D" w:rsidRPr="00EC09B5" w:rsidRDefault="000E047D" w:rsidP="00EC09B5">
            <w:pPr>
              <w:spacing w:before="60" w:after="0" w:line="312" w:lineRule="auto"/>
              <w:jc w:val="center"/>
              <w:rPr>
                <w:rFonts w:ascii="Arial" w:eastAsia="Times New Roman" w:hAnsi="Arial" w:cs="Arial"/>
                <w:b/>
                <w:color w:val="000000"/>
                <w:sz w:val="20"/>
                <w:szCs w:val="20"/>
                <w:lang w:eastAsia="sl-SI"/>
              </w:rPr>
            </w:pPr>
            <w:r w:rsidRPr="00EC09B5">
              <w:rPr>
                <w:rFonts w:ascii="Arial" w:eastAsia="Times New Roman" w:hAnsi="Arial" w:cs="Arial"/>
                <w:b/>
                <w:color w:val="000000"/>
                <w:sz w:val="20"/>
                <w:szCs w:val="20"/>
                <w:lang w:eastAsia="sl-SI"/>
              </w:rPr>
              <w:t>Regija / Leto</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290F6CAE" w14:textId="77777777" w:rsidR="000E047D" w:rsidRPr="000E047D" w:rsidRDefault="000E047D" w:rsidP="00EC09B5">
            <w:pPr>
              <w:spacing w:before="60" w:after="0" w:line="312" w:lineRule="auto"/>
              <w:jc w:val="center"/>
              <w:rPr>
                <w:rFonts w:ascii="Arial" w:eastAsia="Times New Roman" w:hAnsi="Arial" w:cs="Arial"/>
                <w:b/>
                <w:color w:val="000000"/>
                <w:sz w:val="20"/>
                <w:szCs w:val="20"/>
                <w:lang w:eastAsia="sl-SI"/>
              </w:rPr>
            </w:pPr>
            <w:r w:rsidRPr="000E047D">
              <w:rPr>
                <w:rFonts w:ascii="Arial" w:eastAsia="Times New Roman" w:hAnsi="Arial" w:cs="Arial"/>
                <w:b/>
                <w:color w:val="000000"/>
                <w:sz w:val="20"/>
                <w:szCs w:val="20"/>
                <w:lang w:eastAsia="sl-SI"/>
              </w:rPr>
              <w:t>2008</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4FC9259A" w14:textId="77777777" w:rsidR="000E047D" w:rsidRPr="000E047D" w:rsidRDefault="000E047D" w:rsidP="00EC09B5">
            <w:pPr>
              <w:spacing w:before="60" w:after="0" w:line="312" w:lineRule="auto"/>
              <w:jc w:val="center"/>
              <w:rPr>
                <w:rFonts w:ascii="Arial" w:eastAsia="Times New Roman" w:hAnsi="Arial" w:cs="Arial"/>
                <w:b/>
                <w:color w:val="000000"/>
                <w:sz w:val="20"/>
                <w:szCs w:val="20"/>
                <w:lang w:eastAsia="sl-SI"/>
              </w:rPr>
            </w:pPr>
            <w:r w:rsidRPr="000E047D">
              <w:rPr>
                <w:rFonts w:ascii="Arial" w:eastAsia="Times New Roman" w:hAnsi="Arial" w:cs="Arial"/>
                <w:b/>
                <w:color w:val="000000"/>
                <w:sz w:val="20"/>
                <w:szCs w:val="20"/>
                <w:lang w:eastAsia="sl-SI"/>
              </w:rPr>
              <w:t>2013</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14:paraId="72B46F57" w14:textId="77777777" w:rsidR="000E047D" w:rsidRPr="000E047D" w:rsidRDefault="000E047D" w:rsidP="00EC09B5">
            <w:pPr>
              <w:spacing w:before="60" w:after="0" w:line="312" w:lineRule="auto"/>
              <w:jc w:val="center"/>
              <w:rPr>
                <w:rFonts w:ascii="Arial" w:eastAsia="Times New Roman" w:hAnsi="Arial" w:cs="Arial"/>
                <w:b/>
                <w:color w:val="000000"/>
                <w:sz w:val="20"/>
                <w:szCs w:val="20"/>
                <w:lang w:eastAsia="sl-SI"/>
              </w:rPr>
            </w:pPr>
            <w:r w:rsidRPr="000E047D">
              <w:rPr>
                <w:rFonts w:ascii="Arial" w:eastAsia="Times New Roman" w:hAnsi="Arial" w:cs="Arial"/>
                <w:b/>
                <w:color w:val="000000"/>
                <w:sz w:val="20"/>
                <w:szCs w:val="20"/>
                <w:lang w:eastAsia="sl-SI"/>
              </w:rPr>
              <w:t>Indeks_13</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0F205A1D" w14:textId="77777777" w:rsidR="000E047D" w:rsidRPr="000E047D" w:rsidRDefault="000E047D" w:rsidP="00EC09B5">
            <w:pPr>
              <w:spacing w:before="60" w:after="0" w:line="312" w:lineRule="auto"/>
              <w:jc w:val="center"/>
              <w:rPr>
                <w:rFonts w:ascii="Arial" w:eastAsia="Times New Roman" w:hAnsi="Arial" w:cs="Arial"/>
                <w:b/>
                <w:color w:val="000000"/>
                <w:sz w:val="20"/>
                <w:szCs w:val="20"/>
                <w:lang w:eastAsia="sl-SI"/>
              </w:rPr>
            </w:pPr>
            <w:r w:rsidRPr="000E047D">
              <w:rPr>
                <w:rFonts w:ascii="Arial" w:eastAsia="Times New Roman" w:hAnsi="Arial" w:cs="Arial"/>
                <w:b/>
                <w:color w:val="000000"/>
                <w:sz w:val="20"/>
                <w:szCs w:val="20"/>
                <w:lang w:eastAsia="sl-SI"/>
              </w:rPr>
              <w:t>2018</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14:paraId="672DC79A" w14:textId="77777777" w:rsidR="000E047D" w:rsidRPr="000E047D" w:rsidRDefault="000E047D" w:rsidP="00EC09B5">
            <w:pPr>
              <w:spacing w:before="60" w:after="0" w:line="312" w:lineRule="auto"/>
              <w:jc w:val="center"/>
              <w:rPr>
                <w:rFonts w:ascii="Arial" w:eastAsia="Times New Roman" w:hAnsi="Arial" w:cs="Arial"/>
                <w:b/>
                <w:color w:val="000000"/>
                <w:sz w:val="20"/>
                <w:szCs w:val="20"/>
                <w:lang w:eastAsia="sl-SI"/>
              </w:rPr>
            </w:pPr>
            <w:r w:rsidRPr="000E047D">
              <w:rPr>
                <w:rFonts w:ascii="Arial" w:eastAsia="Times New Roman" w:hAnsi="Arial" w:cs="Arial"/>
                <w:b/>
                <w:color w:val="000000"/>
                <w:sz w:val="20"/>
                <w:szCs w:val="20"/>
                <w:lang w:eastAsia="sl-SI"/>
              </w:rPr>
              <w:t>Indeks_18</w:t>
            </w:r>
          </w:p>
        </w:tc>
      </w:tr>
      <w:tr w:rsidR="000E047D" w:rsidRPr="000E047D" w14:paraId="07EC02A4" w14:textId="77777777" w:rsidTr="000E047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478E63D" w14:textId="77777777" w:rsidR="000E047D" w:rsidRPr="000E047D" w:rsidRDefault="000E047D" w:rsidP="00EC09B5">
            <w:pPr>
              <w:spacing w:before="60" w:after="0" w:line="312" w:lineRule="auto"/>
              <w:jc w:val="both"/>
              <w:rPr>
                <w:rFonts w:ascii="Arial" w:eastAsia="Times New Roman" w:hAnsi="Arial" w:cs="Arial"/>
                <w:b/>
                <w:color w:val="000000"/>
                <w:sz w:val="20"/>
                <w:szCs w:val="20"/>
                <w:lang w:eastAsia="sl-SI"/>
              </w:rPr>
            </w:pPr>
            <w:r w:rsidRPr="000E047D">
              <w:rPr>
                <w:rFonts w:ascii="Arial" w:eastAsia="Times New Roman" w:hAnsi="Arial" w:cs="Arial"/>
                <w:b/>
                <w:color w:val="000000"/>
                <w:sz w:val="20"/>
                <w:szCs w:val="20"/>
                <w:lang w:eastAsia="sl-SI"/>
              </w:rPr>
              <w:t>Pomurska</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7D25639C"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11.875</w:t>
            </w:r>
          </w:p>
        </w:tc>
        <w:tc>
          <w:tcPr>
            <w:tcW w:w="1332" w:type="dxa"/>
            <w:tcBorders>
              <w:top w:val="nil"/>
              <w:left w:val="nil"/>
              <w:bottom w:val="single" w:sz="4" w:space="0" w:color="auto"/>
              <w:right w:val="single" w:sz="4" w:space="0" w:color="auto"/>
            </w:tcBorders>
            <w:shd w:val="clear" w:color="auto" w:fill="auto"/>
            <w:noWrap/>
            <w:vAlign w:val="center"/>
            <w:hideMark/>
          </w:tcPr>
          <w:p w14:paraId="1E6B5362"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12.191</w:t>
            </w:r>
          </w:p>
        </w:tc>
        <w:tc>
          <w:tcPr>
            <w:tcW w:w="1333" w:type="dxa"/>
            <w:tcBorders>
              <w:top w:val="nil"/>
              <w:left w:val="nil"/>
              <w:bottom w:val="single" w:sz="4" w:space="0" w:color="auto"/>
              <w:right w:val="single" w:sz="4" w:space="0" w:color="auto"/>
            </w:tcBorders>
            <w:shd w:val="clear" w:color="auto" w:fill="auto"/>
            <w:noWrap/>
            <w:vAlign w:val="center"/>
            <w:hideMark/>
          </w:tcPr>
          <w:p w14:paraId="166A85E2"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69,5</w:t>
            </w:r>
          </w:p>
        </w:tc>
        <w:tc>
          <w:tcPr>
            <w:tcW w:w="1332" w:type="dxa"/>
            <w:tcBorders>
              <w:top w:val="nil"/>
              <w:left w:val="nil"/>
              <w:bottom w:val="single" w:sz="4" w:space="0" w:color="auto"/>
              <w:right w:val="single" w:sz="4" w:space="0" w:color="auto"/>
            </w:tcBorders>
            <w:shd w:val="clear" w:color="auto" w:fill="auto"/>
            <w:noWrap/>
            <w:vAlign w:val="center"/>
            <w:hideMark/>
          </w:tcPr>
          <w:p w14:paraId="0F9EFA2F"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14.937</w:t>
            </w:r>
          </w:p>
        </w:tc>
        <w:tc>
          <w:tcPr>
            <w:tcW w:w="1333" w:type="dxa"/>
            <w:tcBorders>
              <w:top w:val="nil"/>
              <w:left w:val="nil"/>
              <w:bottom w:val="single" w:sz="4" w:space="0" w:color="auto"/>
              <w:right w:val="single" w:sz="4" w:space="0" w:color="auto"/>
            </w:tcBorders>
            <w:shd w:val="clear" w:color="auto" w:fill="auto"/>
            <w:noWrap/>
            <w:vAlign w:val="center"/>
            <w:hideMark/>
          </w:tcPr>
          <w:p w14:paraId="60F090B3"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67,6</w:t>
            </w:r>
          </w:p>
        </w:tc>
      </w:tr>
      <w:tr w:rsidR="000E047D" w:rsidRPr="000E047D" w14:paraId="6757C0E5" w14:textId="77777777" w:rsidTr="000E047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42DF85E" w14:textId="77777777" w:rsidR="000E047D" w:rsidRPr="000E047D" w:rsidRDefault="000E047D" w:rsidP="00EC09B5">
            <w:pPr>
              <w:spacing w:before="60" w:after="0" w:line="312" w:lineRule="auto"/>
              <w:jc w:val="both"/>
              <w:rPr>
                <w:rFonts w:ascii="Arial" w:eastAsia="Times New Roman" w:hAnsi="Arial" w:cs="Arial"/>
                <w:b/>
                <w:color w:val="000000"/>
                <w:sz w:val="20"/>
                <w:szCs w:val="20"/>
                <w:lang w:eastAsia="sl-SI"/>
              </w:rPr>
            </w:pPr>
            <w:r w:rsidRPr="000E047D">
              <w:rPr>
                <w:rFonts w:ascii="Arial" w:eastAsia="Times New Roman" w:hAnsi="Arial" w:cs="Arial"/>
                <w:b/>
                <w:color w:val="000000"/>
                <w:sz w:val="20"/>
                <w:szCs w:val="20"/>
                <w:lang w:eastAsia="sl-SI"/>
              </w:rPr>
              <w:t>Podravska</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729DD6C2"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15.697</w:t>
            </w:r>
          </w:p>
        </w:tc>
        <w:tc>
          <w:tcPr>
            <w:tcW w:w="1332" w:type="dxa"/>
            <w:tcBorders>
              <w:top w:val="nil"/>
              <w:left w:val="nil"/>
              <w:bottom w:val="single" w:sz="4" w:space="0" w:color="auto"/>
              <w:right w:val="single" w:sz="4" w:space="0" w:color="auto"/>
            </w:tcBorders>
            <w:shd w:val="clear" w:color="auto" w:fill="auto"/>
            <w:noWrap/>
            <w:vAlign w:val="center"/>
            <w:hideMark/>
          </w:tcPr>
          <w:p w14:paraId="2C44BB8D"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14.465</w:t>
            </w:r>
          </w:p>
        </w:tc>
        <w:tc>
          <w:tcPr>
            <w:tcW w:w="1333" w:type="dxa"/>
            <w:tcBorders>
              <w:top w:val="nil"/>
              <w:left w:val="nil"/>
              <w:bottom w:val="single" w:sz="4" w:space="0" w:color="auto"/>
              <w:right w:val="single" w:sz="4" w:space="0" w:color="auto"/>
            </w:tcBorders>
            <w:shd w:val="clear" w:color="auto" w:fill="auto"/>
            <w:noWrap/>
            <w:vAlign w:val="center"/>
            <w:hideMark/>
          </w:tcPr>
          <w:p w14:paraId="63DBD96D"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82,4</w:t>
            </w:r>
          </w:p>
        </w:tc>
        <w:tc>
          <w:tcPr>
            <w:tcW w:w="1332" w:type="dxa"/>
            <w:tcBorders>
              <w:top w:val="nil"/>
              <w:left w:val="nil"/>
              <w:bottom w:val="single" w:sz="4" w:space="0" w:color="auto"/>
              <w:right w:val="single" w:sz="4" w:space="0" w:color="auto"/>
            </w:tcBorders>
            <w:shd w:val="clear" w:color="auto" w:fill="auto"/>
            <w:noWrap/>
            <w:vAlign w:val="center"/>
            <w:hideMark/>
          </w:tcPr>
          <w:p w14:paraId="04311633"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17.838</w:t>
            </w:r>
          </w:p>
        </w:tc>
        <w:tc>
          <w:tcPr>
            <w:tcW w:w="1333" w:type="dxa"/>
            <w:tcBorders>
              <w:top w:val="nil"/>
              <w:left w:val="nil"/>
              <w:bottom w:val="single" w:sz="4" w:space="0" w:color="auto"/>
              <w:right w:val="single" w:sz="4" w:space="0" w:color="auto"/>
            </w:tcBorders>
            <w:shd w:val="clear" w:color="auto" w:fill="auto"/>
            <w:noWrap/>
            <w:vAlign w:val="center"/>
            <w:hideMark/>
          </w:tcPr>
          <w:p w14:paraId="6A2D4FB5"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80,8</w:t>
            </w:r>
          </w:p>
        </w:tc>
      </w:tr>
      <w:tr w:rsidR="000E047D" w:rsidRPr="000E047D" w14:paraId="7BFC4C08" w14:textId="77777777" w:rsidTr="000E047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C9011D8" w14:textId="77777777" w:rsidR="000E047D" w:rsidRPr="000E047D" w:rsidRDefault="000E047D" w:rsidP="00EC09B5">
            <w:pPr>
              <w:spacing w:before="60" w:after="0" w:line="312" w:lineRule="auto"/>
              <w:jc w:val="both"/>
              <w:rPr>
                <w:rFonts w:ascii="Arial" w:eastAsia="Times New Roman" w:hAnsi="Arial" w:cs="Arial"/>
                <w:b/>
                <w:color w:val="000000"/>
                <w:sz w:val="20"/>
                <w:szCs w:val="20"/>
                <w:lang w:eastAsia="sl-SI"/>
              </w:rPr>
            </w:pPr>
            <w:r w:rsidRPr="000E047D">
              <w:rPr>
                <w:rFonts w:ascii="Arial" w:eastAsia="Times New Roman" w:hAnsi="Arial" w:cs="Arial"/>
                <w:b/>
                <w:color w:val="000000"/>
                <w:sz w:val="20"/>
                <w:szCs w:val="20"/>
                <w:lang w:eastAsia="sl-SI"/>
              </w:rPr>
              <w:t>Koroška</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2E096097"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14.451</w:t>
            </w:r>
          </w:p>
        </w:tc>
        <w:tc>
          <w:tcPr>
            <w:tcW w:w="1332" w:type="dxa"/>
            <w:tcBorders>
              <w:top w:val="nil"/>
              <w:left w:val="nil"/>
              <w:bottom w:val="single" w:sz="4" w:space="0" w:color="auto"/>
              <w:right w:val="single" w:sz="4" w:space="0" w:color="auto"/>
            </w:tcBorders>
            <w:shd w:val="clear" w:color="auto" w:fill="auto"/>
            <w:noWrap/>
            <w:vAlign w:val="center"/>
            <w:hideMark/>
          </w:tcPr>
          <w:p w14:paraId="38CB4185"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13.886</w:t>
            </w:r>
          </w:p>
        </w:tc>
        <w:tc>
          <w:tcPr>
            <w:tcW w:w="1333" w:type="dxa"/>
            <w:tcBorders>
              <w:top w:val="nil"/>
              <w:left w:val="nil"/>
              <w:bottom w:val="single" w:sz="4" w:space="0" w:color="auto"/>
              <w:right w:val="single" w:sz="4" w:space="0" w:color="auto"/>
            </w:tcBorders>
            <w:shd w:val="clear" w:color="auto" w:fill="auto"/>
            <w:noWrap/>
            <w:vAlign w:val="center"/>
            <w:hideMark/>
          </w:tcPr>
          <w:p w14:paraId="689D5BCA"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79,1</w:t>
            </w:r>
          </w:p>
        </w:tc>
        <w:tc>
          <w:tcPr>
            <w:tcW w:w="1332" w:type="dxa"/>
            <w:tcBorders>
              <w:top w:val="nil"/>
              <w:left w:val="nil"/>
              <w:bottom w:val="single" w:sz="4" w:space="0" w:color="auto"/>
              <w:right w:val="single" w:sz="4" w:space="0" w:color="auto"/>
            </w:tcBorders>
            <w:shd w:val="clear" w:color="auto" w:fill="auto"/>
            <w:noWrap/>
            <w:vAlign w:val="center"/>
            <w:hideMark/>
          </w:tcPr>
          <w:p w14:paraId="77D7315E"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17.885</w:t>
            </w:r>
          </w:p>
        </w:tc>
        <w:tc>
          <w:tcPr>
            <w:tcW w:w="1333" w:type="dxa"/>
            <w:tcBorders>
              <w:top w:val="nil"/>
              <w:left w:val="nil"/>
              <w:bottom w:val="single" w:sz="4" w:space="0" w:color="auto"/>
              <w:right w:val="single" w:sz="4" w:space="0" w:color="auto"/>
            </w:tcBorders>
            <w:shd w:val="clear" w:color="auto" w:fill="auto"/>
            <w:noWrap/>
            <w:vAlign w:val="center"/>
            <w:hideMark/>
          </w:tcPr>
          <w:p w14:paraId="158DCCF3" w14:textId="35333841"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81</w:t>
            </w:r>
            <w:r w:rsidR="00EC09B5" w:rsidRPr="00EC09B5">
              <w:rPr>
                <w:rFonts w:ascii="Arial" w:eastAsia="Times New Roman" w:hAnsi="Arial" w:cs="Arial"/>
                <w:color w:val="000000"/>
                <w:sz w:val="20"/>
                <w:szCs w:val="20"/>
                <w:lang w:eastAsia="sl-SI"/>
              </w:rPr>
              <w:t>,0</w:t>
            </w:r>
          </w:p>
        </w:tc>
      </w:tr>
      <w:tr w:rsidR="000E047D" w:rsidRPr="000E047D" w14:paraId="40B0D04A" w14:textId="77777777" w:rsidTr="000E047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8FDD33B" w14:textId="77777777" w:rsidR="000E047D" w:rsidRPr="000E047D" w:rsidRDefault="000E047D" w:rsidP="00EC09B5">
            <w:pPr>
              <w:spacing w:before="60" w:after="0" w:line="312" w:lineRule="auto"/>
              <w:jc w:val="both"/>
              <w:rPr>
                <w:rFonts w:ascii="Arial" w:eastAsia="Times New Roman" w:hAnsi="Arial" w:cs="Arial"/>
                <w:b/>
                <w:color w:val="000000"/>
                <w:sz w:val="20"/>
                <w:szCs w:val="20"/>
                <w:lang w:eastAsia="sl-SI"/>
              </w:rPr>
            </w:pPr>
            <w:r w:rsidRPr="000E047D">
              <w:rPr>
                <w:rFonts w:ascii="Arial" w:eastAsia="Times New Roman" w:hAnsi="Arial" w:cs="Arial"/>
                <w:b/>
                <w:color w:val="000000"/>
                <w:sz w:val="20"/>
                <w:szCs w:val="20"/>
                <w:lang w:eastAsia="sl-SI"/>
              </w:rPr>
              <w:t>Savinjska</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5C9D4FE1"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16.778</w:t>
            </w:r>
          </w:p>
        </w:tc>
        <w:tc>
          <w:tcPr>
            <w:tcW w:w="1332" w:type="dxa"/>
            <w:tcBorders>
              <w:top w:val="nil"/>
              <w:left w:val="nil"/>
              <w:bottom w:val="single" w:sz="4" w:space="0" w:color="auto"/>
              <w:right w:val="single" w:sz="4" w:space="0" w:color="auto"/>
            </w:tcBorders>
            <w:shd w:val="clear" w:color="auto" w:fill="auto"/>
            <w:noWrap/>
            <w:vAlign w:val="center"/>
            <w:hideMark/>
          </w:tcPr>
          <w:p w14:paraId="1A0E5597"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15.837</w:t>
            </w:r>
          </w:p>
        </w:tc>
        <w:tc>
          <w:tcPr>
            <w:tcW w:w="1333" w:type="dxa"/>
            <w:tcBorders>
              <w:top w:val="nil"/>
              <w:left w:val="nil"/>
              <w:bottom w:val="single" w:sz="4" w:space="0" w:color="auto"/>
              <w:right w:val="single" w:sz="4" w:space="0" w:color="auto"/>
            </w:tcBorders>
            <w:shd w:val="clear" w:color="auto" w:fill="auto"/>
            <w:noWrap/>
            <w:vAlign w:val="center"/>
            <w:hideMark/>
          </w:tcPr>
          <w:p w14:paraId="32F63615"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90,2</w:t>
            </w:r>
          </w:p>
        </w:tc>
        <w:tc>
          <w:tcPr>
            <w:tcW w:w="1332" w:type="dxa"/>
            <w:tcBorders>
              <w:top w:val="nil"/>
              <w:left w:val="nil"/>
              <w:bottom w:val="single" w:sz="4" w:space="0" w:color="auto"/>
              <w:right w:val="single" w:sz="4" w:space="0" w:color="auto"/>
            </w:tcBorders>
            <w:shd w:val="clear" w:color="auto" w:fill="auto"/>
            <w:noWrap/>
            <w:vAlign w:val="center"/>
            <w:hideMark/>
          </w:tcPr>
          <w:p w14:paraId="2A858E42"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19.987</w:t>
            </w:r>
          </w:p>
        </w:tc>
        <w:tc>
          <w:tcPr>
            <w:tcW w:w="1333" w:type="dxa"/>
            <w:tcBorders>
              <w:top w:val="nil"/>
              <w:left w:val="nil"/>
              <w:bottom w:val="single" w:sz="4" w:space="0" w:color="auto"/>
              <w:right w:val="single" w:sz="4" w:space="0" w:color="auto"/>
            </w:tcBorders>
            <w:shd w:val="clear" w:color="auto" w:fill="auto"/>
            <w:noWrap/>
            <w:vAlign w:val="center"/>
            <w:hideMark/>
          </w:tcPr>
          <w:p w14:paraId="60AF5084"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90,5</w:t>
            </w:r>
          </w:p>
        </w:tc>
      </w:tr>
      <w:tr w:rsidR="000E047D" w:rsidRPr="000E047D" w14:paraId="1A6FBA17" w14:textId="77777777" w:rsidTr="000E047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A3375C8" w14:textId="77777777" w:rsidR="000E047D" w:rsidRPr="000E047D" w:rsidRDefault="000E047D" w:rsidP="00EC09B5">
            <w:pPr>
              <w:spacing w:before="60" w:after="0" w:line="312" w:lineRule="auto"/>
              <w:jc w:val="both"/>
              <w:rPr>
                <w:rFonts w:ascii="Arial" w:eastAsia="Times New Roman" w:hAnsi="Arial" w:cs="Arial"/>
                <w:b/>
                <w:color w:val="000000"/>
                <w:sz w:val="20"/>
                <w:szCs w:val="20"/>
                <w:lang w:eastAsia="sl-SI"/>
              </w:rPr>
            </w:pPr>
            <w:r w:rsidRPr="000E047D">
              <w:rPr>
                <w:rFonts w:ascii="Arial" w:eastAsia="Times New Roman" w:hAnsi="Arial" w:cs="Arial"/>
                <w:b/>
                <w:color w:val="000000"/>
                <w:sz w:val="20"/>
                <w:szCs w:val="20"/>
                <w:lang w:eastAsia="sl-SI"/>
              </w:rPr>
              <w:t>Zasavska</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033A5DC4"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11.377</w:t>
            </w:r>
          </w:p>
        </w:tc>
        <w:tc>
          <w:tcPr>
            <w:tcW w:w="1332" w:type="dxa"/>
            <w:tcBorders>
              <w:top w:val="nil"/>
              <w:left w:val="nil"/>
              <w:bottom w:val="single" w:sz="4" w:space="0" w:color="auto"/>
              <w:right w:val="single" w:sz="4" w:space="0" w:color="auto"/>
            </w:tcBorders>
            <w:shd w:val="clear" w:color="auto" w:fill="auto"/>
            <w:noWrap/>
            <w:vAlign w:val="center"/>
            <w:hideMark/>
          </w:tcPr>
          <w:p w14:paraId="712BCF17"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10.972</w:t>
            </w:r>
          </w:p>
        </w:tc>
        <w:tc>
          <w:tcPr>
            <w:tcW w:w="1333" w:type="dxa"/>
            <w:tcBorders>
              <w:top w:val="nil"/>
              <w:left w:val="nil"/>
              <w:bottom w:val="single" w:sz="4" w:space="0" w:color="auto"/>
              <w:right w:val="single" w:sz="4" w:space="0" w:color="auto"/>
            </w:tcBorders>
            <w:shd w:val="clear" w:color="auto" w:fill="auto"/>
            <w:noWrap/>
            <w:vAlign w:val="center"/>
            <w:hideMark/>
          </w:tcPr>
          <w:p w14:paraId="38B4899D"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62,5</w:t>
            </w:r>
          </w:p>
        </w:tc>
        <w:tc>
          <w:tcPr>
            <w:tcW w:w="1332" w:type="dxa"/>
            <w:tcBorders>
              <w:top w:val="nil"/>
              <w:left w:val="nil"/>
              <w:bottom w:val="single" w:sz="4" w:space="0" w:color="auto"/>
              <w:right w:val="single" w:sz="4" w:space="0" w:color="auto"/>
            </w:tcBorders>
            <w:shd w:val="clear" w:color="auto" w:fill="auto"/>
            <w:noWrap/>
            <w:vAlign w:val="center"/>
            <w:hideMark/>
          </w:tcPr>
          <w:p w14:paraId="011017F1"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11.574</w:t>
            </w:r>
          </w:p>
        </w:tc>
        <w:tc>
          <w:tcPr>
            <w:tcW w:w="1333" w:type="dxa"/>
            <w:tcBorders>
              <w:top w:val="nil"/>
              <w:left w:val="nil"/>
              <w:bottom w:val="single" w:sz="4" w:space="0" w:color="auto"/>
              <w:right w:val="single" w:sz="4" w:space="0" w:color="auto"/>
            </w:tcBorders>
            <w:shd w:val="clear" w:color="auto" w:fill="auto"/>
            <w:noWrap/>
            <w:vAlign w:val="center"/>
            <w:hideMark/>
          </w:tcPr>
          <w:p w14:paraId="61732C1A"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52,4</w:t>
            </w:r>
          </w:p>
        </w:tc>
      </w:tr>
      <w:tr w:rsidR="000E047D" w:rsidRPr="000E047D" w14:paraId="33D21A42" w14:textId="77777777" w:rsidTr="000E047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B42BEB9" w14:textId="77777777" w:rsidR="000E047D" w:rsidRPr="000E047D" w:rsidRDefault="000E047D" w:rsidP="00EC09B5">
            <w:pPr>
              <w:spacing w:before="60" w:after="0" w:line="312" w:lineRule="auto"/>
              <w:jc w:val="both"/>
              <w:rPr>
                <w:rFonts w:ascii="Arial" w:eastAsia="Times New Roman" w:hAnsi="Arial" w:cs="Arial"/>
                <w:b/>
                <w:color w:val="000000"/>
                <w:sz w:val="20"/>
                <w:szCs w:val="20"/>
                <w:lang w:eastAsia="sl-SI"/>
              </w:rPr>
            </w:pPr>
            <w:r w:rsidRPr="000E047D">
              <w:rPr>
                <w:rFonts w:ascii="Arial" w:eastAsia="Times New Roman" w:hAnsi="Arial" w:cs="Arial"/>
                <w:b/>
                <w:color w:val="000000"/>
                <w:sz w:val="20"/>
                <w:szCs w:val="20"/>
                <w:lang w:eastAsia="sl-SI"/>
              </w:rPr>
              <w:t>Posavska</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5A9BAC27"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14.964</w:t>
            </w:r>
          </w:p>
        </w:tc>
        <w:tc>
          <w:tcPr>
            <w:tcW w:w="1332" w:type="dxa"/>
            <w:tcBorders>
              <w:top w:val="nil"/>
              <w:left w:val="nil"/>
              <w:bottom w:val="single" w:sz="4" w:space="0" w:color="auto"/>
              <w:right w:val="single" w:sz="4" w:space="0" w:color="auto"/>
            </w:tcBorders>
            <w:shd w:val="clear" w:color="auto" w:fill="auto"/>
            <w:noWrap/>
            <w:vAlign w:val="center"/>
            <w:hideMark/>
          </w:tcPr>
          <w:p w14:paraId="2128320E"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15.147</w:t>
            </w:r>
          </w:p>
        </w:tc>
        <w:tc>
          <w:tcPr>
            <w:tcW w:w="1333" w:type="dxa"/>
            <w:tcBorders>
              <w:top w:val="nil"/>
              <w:left w:val="nil"/>
              <w:bottom w:val="single" w:sz="4" w:space="0" w:color="auto"/>
              <w:right w:val="single" w:sz="4" w:space="0" w:color="auto"/>
            </w:tcBorders>
            <w:shd w:val="clear" w:color="auto" w:fill="auto"/>
            <w:noWrap/>
            <w:vAlign w:val="center"/>
            <w:hideMark/>
          </w:tcPr>
          <w:p w14:paraId="1E150D6B"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86,3</w:t>
            </w:r>
          </w:p>
        </w:tc>
        <w:tc>
          <w:tcPr>
            <w:tcW w:w="1332" w:type="dxa"/>
            <w:tcBorders>
              <w:top w:val="nil"/>
              <w:left w:val="nil"/>
              <w:bottom w:val="single" w:sz="4" w:space="0" w:color="auto"/>
              <w:right w:val="single" w:sz="4" w:space="0" w:color="auto"/>
            </w:tcBorders>
            <w:shd w:val="clear" w:color="auto" w:fill="auto"/>
            <w:noWrap/>
            <w:vAlign w:val="center"/>
            <w:hideMark/>
          </w:tcPr>
          <w:p w14:paraId="28B07C8B"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18.314</w:t>
            </w:r>
          </w:p>
        </w:tc>
        <w:tc>
          <w:tcPr>
            <w:tcW w:w="1333" w:type="dxa"/>
            <w:tcBorders>
              <w:top w:val="nil"/>
              <w:left w:val="nil"/>
              <w:bottom w:val="single" w:sz="4" w:space="0" w:color="auto"/>
              <w:right w:val="single" w:sz="4" w:space="0" w:color="auto"/>
            </w:tcBorders>
            <w:shd w:val="clear" w:color="auto" w:fill="auto"/>
            <w:noWrap/>
            <w:vAlign w:val="center"/>
            <w:hideMark/>
          </w:tcPr>
          <w:p w14:paraId="15A69C97"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82,9</w:t>
            </w:r>
          </w:p>
        </w:tc>
      </w:tr>
      <w:tr w:rsidR="000E047D" w:rsidRPr="000E047D" w14:paraId="22F426C6" w14:textId="77777777" w:rsidTr="000E047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E4621CE" w14:textId="77777777" w:rsidR="000E047D" w:rsidRPr="000E047D" w:rsidRDefault="000E047D" w:rsidP="00EC09B5">
            <w:pPr>
              <w:spacing w:before="60" w:after="0" w:line="312" w:lineRule="auto"/>
              <w:jc w:val="both"/>
              <w:rPr>
                <w:rFonts w:ascii="Arial" w:eastAsia="Times New Roman" w:hAnsi="Arial" w:cs="Arial"/>
                <w:b/>
                <w:color w:val="000000"/>
                <w:sz w:val="20"/>
                <w:szCs w:val="20"/>
                <w:lang w:eastAsia="sl-SI"/>
              </w:rPr>
            </w:pPr>
            <w:r w:rsidRPr="000E047D">
              <w:rPr>
                <w:rFonts w:ascii="Arial" w:eastAsia="Times New Roman" w:hAnsi="Arial" w:cs="Arial"/>
                <w:b/>
                <w:color w:val="000000"/>
                <w:sz w:val="20"/>
                <w:szCs w:val="20"/>
                <w:lang w:eastAsia="sl-SI"/>
              </w:rPr>
              <w:t>JV Slovenija</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038BAEC9"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18.202</w:t>
            </w:r>
          </w:p>
        </w:tc>
        <w:tc>
          <w:tcPr>
            <w:tcW w:w="1332" w:type="dxa"/>
            <w:tcBorders>
              <w:top w:val="nil"/>
              <w:left w:val="nil"/>
              <w:bottom w:val="single" w:sz="4" w:space="0" w:color="auto"/>
              <w:right w:val="single" w:sz="4" w:space="0" w:color="auto"/>
            </w:tcBorders>
            <w:shd w:val="clear" w:color="auto" w:fill="auto"/>
            <w:noWrap/>
            <w:vAlign w:val="center"/>
            <w:hideMark/>
          </w:tcPr>
          <w:p w14:paraId="20BD0B6B"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16.672</w:t>
            </w:r>
          </w:p>
        </w:tc>
        <w:tc>
          <w:tcPr>
            <w:tcW w:w="1333" w:type="dxa"/>
            <w:tcBorders>
              <w:top w:val="nil"/>
              <w:left w:val="nil"/>
              <w:bottom w:val="single" w:sz="4" w:space="0" w:color="auto"/>
              <w:right w:val="single" w:sz="4" w:space="0" w:color="auto"/>
            </w:tcBorders>
            <w:shd w:val="clear" w:color="auto" w:fill="auto"/>
            <w:noWrap/>
            <w:vAlign w:val="center"/>
            <w:hideMark/>
          </w:tcPr>
          <w:p w14:paraId="0F6BDCC5" w14:textId="3552753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95</w:t>
            </w:r>
            <w:r w:rsidR="00EC09B5" w:rsidRPr="00EC09B5">
              <w:rPr>
                <w:rFonts w:ascii="Arial" w:eastAsia="Times New Roman" w:hAnsi="Arial" w:cs="Arial"/>
                <w:color w:val="000000"/>
                <w:sz w:val="20"/>
                <w:szCs w:val="20"/>
                <w:lang w:eastAsia="sl-SI"/>
              </w:rPr>
              <w:t>,0</w:t>
            </w:r>
          </w:p>
        </w:tc>
        <w:tc>
          <w:tcPr>
            <w:tcW w:w="1332" w:type="dxa"/>
            <w:tcBorders>
              <w:top w:val="nil"/>
              <w:left w:val="nil"/>
              <w:bottom w:val="single" w:sz="4" w:space="0" w:color="auto"/>
              <w:right w:val="single" w:sz="4" w:space="0" w:color="auto"/>
            </w:tcBorders>
            <w:shd w:val="clear" w:color="auto" w:fill="auto"/>
            <w:noWrap/>
            <w:vAlign w:val="center"/>
            <w:hideMark/>
          </w:tcPr>
          <w:p w14:paraId="38011D53"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21.630</w:t>
            </w:r>
          </w:p>
        </w:tc>
        <w:tc>
          <w:tcPr>
            <w:tcW w:w="1333" w:type="dxa"/>
            <w:tcBorders>
              <w:top w:val="nil"/>
              <w:left w:val="nil"/>
              <w:bottom w:val="single" w:sz="4" w:space="0" w:color="auto"/>
              <w:right w:val="single" w:sz="4" w:space="0" w:color="auto"/>
            </w:tcBorders>
            <w:shd w:val="clear" w:color="auto" w:fill="auto"/>
            <w:noWrap/>
            <w:vAlign w:val="center"/>
            <w:hideMark/>
          </w:tcPr>
          <w:p w14:paraId="1DCED5FE"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97,9</w:t>
            </w:r>
          </w:p>
        </w:tc>
      </w:tr>
      <w:tr w:rsidR="000E047D" w:rsidRPr="000E047D" w14:paraId="19F5AE15" w14:textId="77777777" w:rsidTr="00EC09B5">
        <w:trPr>
          <w:trHeight w:val="384"/>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B8047EF" w14:textId="77777777" w:rsidR="000E047D" w:rsidRPr="000E047D" w:rsidRDefault="000E047D" w:rsidP="00EC09B5">
            <w:pPr>
              <w:spacing w:before="60" w:after="0" w:line="312" w:lineRule="auto"/>
              <w:jc w:val="both"/>
              <w:rPr>
                <w:rFonts w:ascii="Arial" w:eastAsia="Times New Roman" w:hAnsi="Arial" w:cs="Arial"/>
                <w:b/>
                <w:color w:val="000000"/>
                <w:sz w:val="20"/>
                <w:szCs w:val="20"/>
                <w:lang w:eastAsia="sl-SI"/>
              </w:rPr>
            </w:pPr>
            <w:r w:rsidRPr="000E047D">
              <w:rPr>
                <w:rFonts w:ascii="Arial" w:eastAsia="Times New Roman" w:hAnsi="Arial" w:cs="Arial"/>
                <w:b/>
                <w:color w:val="000000"/>
                <w:sz w:val="20"/>
                <w:szCs w:val="20"/>
                <w:lang w:eastAsia="sl-SI"/>
              </w:rPr>
              <w:t>Osrednje-slovenska</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535452AC"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27.172</w:t>
            </w:r>
          </w:p>
        </w:tc>
        <w:tc>
          <w:tcPr>
            <w:tcW w:w="1332" w:type="dxa"/>
            <w:tcBorders>
              <w:top w:val="nil"/>
              <w:left w:val="nil"/>
              <w:bottom w:val="single" w:sz="4" w:space="0" w:color="auto"/>
              <w:right w:val="single" w:sz="4" w:space="0" w:color="auto"/>
            </w:tcBorders>
            <w:shd w:val="clear" w:color="auto" w:fill="auto"/>
            <w:noWrap/>
            <w:vAlign w:val="center"/>
            <w:hideMark/>
          </w:tcPr>
          <w:p w14:paraId="64F468D3"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24.845</w:t>
            </w:r>
          </w:p>
        </w:tc>
        <w:tc>
          <w:tcPr>
            <w:tcW w:w="1333" w:type="dxa"/>
            <w:tcBorders>
              <w:top w:val="nil"/>
              <w:left w:val="nil"/>
              <w:bottom w:val="single" w:sz="4" w:space="0" w:color="auto"/>
              <w:right w:val="single" w:sz="4" w:space="0" w:color="auto"/>
            </w:tcBorders>
            <w:shd w:val="clear" w:color="auto" w:fill="auto"/>
            <w:noWrap/>
            <w:vAlign w:val="center"/>
            <w:hideMark/>
          </w:tcPr>
          <w:p w14:paraId="0F66466A"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141,6</w:t>
            </w:r>
          </w:p>
        </w:tc>
        <w:tc>
          <w:tcPr>
            <w:tcW w:w="1332" w:type="dxa"/>
            <w:tcBorders>
              <w:top w:val="nil"/>
              <w:left w:val="nil"/>
              <w:bottom w:val="single" w:sz="4" w:space="0" w:color="auto"/>
              <w:right w:val="single" w:sz="4" w:space="0" w:color="auto"/>
            </w:tcBorders>
            <w:shd w:val="clear" w:color="auto" w:fill="auto"/>
            <w:noWrap/>
            <w:vAlign w:val="center"/>
            <w:hideMark/>
          </w:tcPr>
          <w:p w14:paraId="61A8093A"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31.169</w:t>
            </w:r>
          </w:p>
        </w:tc>
        <w:tc>
          <w:tcPr>
            <w:tcW w:w="1333" w:type="dxa"/>
            <w:tcBorders>
              <w:top w:val="nil"/>
              <w:left w:val="nil"/>
              <w:bottom w:val="single" w:sz="4" w:space="0" w:color="auto"/>
              <w:right w:val="single" w:sz="4" w:space="0" w:color="auto"/>
            </w:tcBorders>
            <w:shd w:val="clear" w:color="auto" w:fill="auto"/>
            <w:noWrap/>
            <w:vAlign w:val="center"/>
            <w:hideMark/>
          </w:tcPr>
          <w:p w14:paraId="0676E32B"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141,1</w:t>
            </w:r>
          </w:p>
        </w:tc>
      </w:tr>
      <w:tr w:rsidR="000E047D" w:rsidRPr="000E047D" w14:paraId="2B0FBF07" w14:textId="77777777" w:rsidTr="000E047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1241DB8" w14:textId="77777777" w:rsidR="000E047D" w:rsidRPr="000E047D" w:rsidRDefault="000E047D" w:rsidP="00EC09B5">
            <w:pPr>
              <w:spacing w:before="60" w:after="0" w:line="312" w:lineRule="auto"/>
              <w:jc w:val="both"/>
              <w:rPr>
                <w:rFonts w:ascii="Arial" w:eastAsia="Times New Roman" w:hAnsi="Arial" w:cs="Arial"/>
                <w:b/>
                <w:color w:val="000000"/>
                <w:sz w:val="20"/>
                <w:szCs w:val="20"/>
                <w:lang w:eastAsia="sl-SI"/>
              </w:rPr>
            </w:pPr>
            <w:r w:rsidRPr="000E047D">
              <w:rPr>
                <w:rFonts w:ascii="Arial" w:eastAsia="Times New Roman" w:hAnsi="Arial" w:cs="Arial"/>
                <w:b/>
                <w:color w:val="000000"/>
                <w:sz w:val="20"/>
                <w:szCs w:val="20"/>
                <w:lang w:eastAsia="sl-SI"/>
              </w:rPr>
              <w:t>Gorenjska</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6194D743"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15.883</w:t>
            </w:r>
          </w:p>
        </w:tc>
        <w:tc>
          <w:tcPr>
            <w:tcW w:w="1332" w:type="dxa"/>
            <w:tcBorders>
              <w:top w:val="nil"/>
              <w:left w:val="nil"/>
              <w:bottom w:val="single" w:sz="4" w:space="0" w:color="auto"/>
              <w:right w:val="single" w:sz="4" w:space="0" w:color="auto"/>
            </w:tcBorders>
            <w:shd w:val="clear" w:color="auto" w:fill="auto"/>
            <w:noWrap/>
            <w:vAlign w:val="center"/>
            <w:hideMark/>
          </w:tcPr>
          <w:p w14:paraId="261300C1"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14.958</w:t>
            </w:r>
          </w:p>
        </w:tc>
        <w:tc>
          <w:tcPr>
            <w:tcW w:w="1333" w:type="dxa"/>
            <w:tcBorders>
              <w:top w:val="nil"/>
              <w:left w:val="nil"/>
              <w:bottom w:val="single" w:sz="4" w:space="0" w:color="auto"/>
              <w:right w:val="single" w:sz="4" w:space="0" w:color="auto"/>
            </w:tcBorders>
            <w:shd w:val="clear" w:color="auto" w:fill="auto"/>
            <w:noWrap/>
            <w:vAlign w:val="center"/>
            <w:hideMark/>
          </w:tcPr>
          <w:p w14:paraId="4210C222"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85,2</w:t>
            </w:r>
          </w:p>
        </w:tc>
        <w:tc>
          <w:tcPr>
            <w:tcW w:w="1332" w:type="dxa"/>
            <w:tcBorders>
              <w:top w:val="nil"/>
              <w:left w:val="nil"/>
              <w:bottom w:val="single" w:sz="4" w:space="0" w:color="auto"/>
              <w:right w:val="single" w:sz="4" w:space="0" w:color="auto"/>
            </w:tcBorders>
            <w:shd w:val="clear" w:color="auto" w:fill="auto"/>
            <w:noWrap/>
            <w:vAlign w:val="center"/>
            <w:hideMark/>
          </w:tcPr>
          <w:p w14:paraId="17F459E9"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19.833</w:t>
            </w:r>
          </w:p>
        </w:tc>
        <w:tc>
          <w:tcPr>
            <w:tcW w:w="1333" w:type="dxa"/>
            <w:tcBorders>
              <w:top w:val="nil"/>
              <w:left w:val="nil"/>
              <w:bottom w:val="single" w:sz="4" w:space="0" w:color="auto"/>
              <w:right w:val="single" w:sz="4" w:space="0" w:color="auto"/>
            </w:tcBorders>
            <w:shd w:val="clear" w:color="auto" w:fill="auto"/>
            <w:noWrap/>
            <w:vAlign w:val="center"/>
            <w:hideMark/>
          </w:tcPr>
          <w:p w14:paraId="142A0508"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89,9</w:t>
            </w:r>
          </w:p>
        </w:tc>
      </w:tr>
      <w:tr w:rsidR="000E047D" w:rsidRPr="000E047D" w14:paraId="111B1955" w14:textId="77777777" w:rsidTr="00EC09B5">
        <w:trPr>
          <w:trHeight w:val="40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6202F16" w14:textId="77777777" w:rsidR="000E047D" w:rsidRPr="000E047D" w:rsidRDefault="000E047D" w:rsidP="00EC09B5">
            <w:pPr>
              <w:spacing w:before="60" w:after="0" w:line="312" w:lineRule="auto"/>
              <w:jc w:val="both"/>
              <w:rPr>
                <w:rFonts w:ascii="Arial" w:eastAsia="Times New Roman" w:hAnsi="Arial" w:cs="Arial"/>
                <w:b/>
                <w:color w:val="000000"/>
                <w:sz w:val="20"/>
                <w:szCs w:val="20"/>
                <w:lang w:eastAsia="sl-SI"/>
              </w:rPr>
            </w:pPr>
            <w:r w:rsidRPr="000E047D">
              <w:rPr>
                <w:rFonts w:ascii="Arial" w:eastAsia="Times New Roman" w:hAnsi="Arial" w:cs="Arial"/>
                <w:b/>
                <w:color w:val="000000"/>
                <w:sz w:val="20"/>
                <w:szCs w:val="20"/>
                <w:lang w:eastAsia="sl-SI"/>
              </w:rPr>
              <w:t>Primorsko-notranjska</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6BBB13AA"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13.686</w:t>
            </w:r>
          </w:p>
        </w:tc>
        <w:tc>
          <w:tcPr>
            <w:tcW w:w="1332" w:type="dxa"/>
            <w:tcBorders>
              <w:top w:val="nil"/>
              <w:left w:val="nil"/>
              <w:bottom w:val="single" w:sz="4" w:space="0" w:color="auto"/>
              <w:right w:val="single" w:sz="4" w:space="0" w:color="auto"/>
            </w:tcBorders>
            <w:shd w:val="clear" w:color="auto" w:fill="auto"/>
            <w:noWrap/>
            <w:vAlign w:val="center"/>
            <w:hideMark/>
          </w:tcPr>
          <w:p w14:paraId="02EE5533"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12.240</w:t>
            </w:r>
          </w:p>
        </w:tc>
        <w:tc>
          <w:tcPr>
            <w:tcW w:w="1333" w:type="dxa"/>
            <w:tcBorders>
              <w:top w:val="nil"/>
              <w:left w:val="nil"/>
              <w:bottom w:val="single" w:sz="4" w:space="0" w:color="auto"/>
              <w:right w:val="single" w:sz="4" w:space="0" w:color="auto"/>
            </w:tcBorders>
            <w:shd w:val="clear" w:color="auto" w:fill="auto"/>
            <w:noWrap/>
            <w:vAlign w:val="center"/>
            <w:hideMark/>
          </w:tcPr>
          <w:p w14:paraId="0C47437F"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69,7</w:t>
            </w:r>
          </w:p>
        </w:tc>
        <w:tc>
          <w:tcPr>
            <w:tcW w:w="1332" w:type="dxa"/>
            <w:tcBorders>
              <w:top w:val="nil"/>
              <w:left w:val="nil"/>
              <w:bottom w:val="single" w:sz="4" w:space="0" w:color="auto"/>
              <w:right w:val="single" w:sz="4" w:space="0" w:color="auto"/>
            </w:tcBorders>
            <w:shd w:val="clear" w:color="auto" w:fill="auto"/>
            <w:noWrap/>
            <w:vAlign w:val="center"/>
            <w:hideMark/>
          </w:tcPr>
          <w:p w14:paraId="24F51AEF"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15.837</w:t>
            </w:r>
          </w:p>
        </w:tc>
        <w:tc>
          <w:tcPr>
            <w:tcW w:w="1333" w:type="dxa"/>
            <w:tcBorders>
              <w:top w:val="nil"/>
              <w:left w:val="nil"/>
              <w:bottom w:val="single" w:sz="4" w:space="0" w:color="auto"/>
              <w:right w:val="single" w:sz="4" w:space="0" w:color="auto"/>
            </w:tcBorders>
            <w:shd w:val="clear" w:color="auto" w:fill="auto"/>
            <w:noWrap/>
            <w:vAlign w:val="center"/>
            <w:hideMark/>
          </w:tcPr>
          <w:p w14:paraId="6A170B58"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71,7</w:t>
            </w:r>
          </w:p>
        </w:tc>
      </w:tr>
      <w:tr w:rsidR="000E047D" w:rsidRPr="000E047D" w14:paraId="50D5D8ED" w14:textId="77777777" w:rsidTr="000E047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7A79251" w14:textId="77777777" w:rsidR="000E047D" w:rsidRPr="000E047D" w:rsidRDefault="000E047D" w:rsidP="00EC09B5">
            <w:pPr>
              <w:spacing w:before="60" w:after="0" w:line="312" w:lineRule="auto"/>
              <w:jc w:val="both"/>
              <w:rPr>
                <w:rFonts w:ascii="Arial" w:eastAsia="Times New Roman" w:hAnsi="Arial" w:cs="Arial"/>
                <w:b/>
                <w:color w:val="000000"/>
                <w:sz w:val="20"/>
                <w:szCs w:val="20"/>
                <w:lang w:eastAsia="sl-SI"/>
              </w:rPr>
            </w:pPr>
            <w:r w:rsidRPr="000E047D">
              <w:rPr>
                <w:rFonts w:ascii="Arial" w:eastAsia="Times New Roman" w:hAnsi="Arial" w:cs="Arial"/>
                <w:b/>
                <w:color w:val="000000"/>
                <w:sz w:val="20"/>
                <w:szCs w:val="20"/>
                <w:lang w:eastAsia="sl-SI"/>
              </w:rPr>
              <w:t>Goriška</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52A50F5B"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17.915</w:t>
            </w:r>
          </w:p>
        </w:tc>
        <w:tc>
          <w:tcPr>
            <w:tcW w:w="1332" w:type="dxa"/>
            <w:tcBorders>
              <w:top w:val="nil"/>
              <w:left w:val="nil"/>
              <w:bottom w:val="single" w:sz="4" w:space="0" w:color="auto"/>
              <w:right w:val="single" w:sz="4" w:space="0" w:color="auto"/>
            </w:tcBorders>
            <w:shd w:val="clear" w:color="auto" w:fill="auto"/>
            <w:noWrap/>
            <w:vAlign w:val="center"/>
            <w:hideMark/>
          </w:tcPr>
          <w:p w14:paraId="214AFF69"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15.865</w:t>
            </w:r>
          </w:p>
        </w:tc>
        <w:tc>
          <w:tcPr>
            <w:tcW w:w="1333" w:type="dxa"/>
            <w:tcBorders>
              <w:top w:val="nil"/>
              <w:left w:val="nil"/>
              <w:bottom w:val="single" w:sz="4" w:space="0" w:color="auto"/>
              <w:right w:val="single" w:sz="4" w:space="0" w:color="auto"/>
            </w:tcBorders>
            <w:shd w:val="clear" w:color="auto" w:fill="auto"/>
            <w:noWrap/>
            <w:vAlign w:val="center"/>
            <w:hideMark/>
          </w:tcPr>
          <w:p w14:paraId="55352175"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90,4</w:t>
            </w:r>
          </w:p>
        </w:tc>
        <w:tc>
          <w:tcPr>
            <w:tcW w:w="1332" w:type="dxa"/>
            <w:tcBorders>
              <w:top w:val="nil"/>
              <w:left w:val="nil"/>
              <w:bottom w:val="single" w:sz="4" w:space="0" w:color="auto"/>
              <w:right w:val="single" w:sz="4" w:space="0" w:color="auto"/>
            </w:tcBorders>
            <w:shd w:val="clear" w:color="auto" w:fill="auto"/>
            <w:noWrap/>
            <w:vAlign w:val="center"/>
            <w:hideMark/>
          </w:tcPr>
          <w:p w14:paraId="725155D3"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19.930</w:t>
            </w:r>
          </w:p>
        </w:tc>
        <w:tc>
          <w:tcPr>
            <w:tcW w:w="1333" w:type="dxa"/>
            <w:tcBorders>
              <w:top w:val="nil"/>
              <w:left w:val="nil"/>
              <w:bottom w:val="single" w:sz="4" w:space="0" w:color="auto"/>
              <w:right w:val="single" w:sz="4" w:space="0" w:color="auto"/>
            </w:tcBorders>
            <w:shd w:val="clear" w:color="auto" w:fill="auto"/>
            <w:noWrap/>
            <w:vAlign w:val="center"/>
            <w:hideMark/>
          </w:tcPr>
          <w:p w14:paraId="35567511"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90,2</w:t>
            </w:r>
          </w:p>
        </w:tc>
      </w:tr>
      <w:tr w:rsidR="000E047D" w:rsidRPr="000E047D" w14:paraId="04435F32" w14:textId="77777777" w:rsidTr="000E047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6EFEE70" w14:textId="77777777" w:rsidR="000E047D" w:rsidRPr="000E047D" w:rsidRDefault="000E047D" w:rsidP="00EC09B5">
            <w:pPr>
              <w:spacing w:before="60" w:after="0" w:line="312" w:lineRule="auto"/>
              <w:jc w:val="both"/>
              <w:rPr>
                <w:rFonts w:ascii="Arial" w:eastAsia="Times New Roman" w:hAnsi="Arial" w:cs="Arial"/>
                <w:b/>
                <w:color w:val="000000"/>
                <w:sz w:val="20"/>
                <w:szCs w:val="20"/>
                <w:lang w:eastAsia="sl-SI"/>
              </w:rPr>
            </w:pPr>
            <w:r w:rsidRPr="000E047D">
              <w:rPr>
                <w:rFonts w:ascii="Arial" w:eastAsia="Times New Roman" w:hAnsi="Arial" w:cs="Arial"/>
                <w:b/>
                <w:color w:val="000000"/>
                <w:sz w:val="20"/>
                <w:szCs w:val="20"/>
                <w:lang w:eastAsia="sl-SI"/>
              </w:rPr>
              <w:t>Obalno-kraška</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2D9B1F92"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20.086</w:t>
            </w:r>
          </w:p>
        </w:tc>
        <w:tc>
          <w:tcPr>
            <w:tcW w:w="1332" w:type="dxa"/>
            <w:tcBorders>
              <w:top w:val="nil"/>
              <w:left w:val="nil"/>
              <w:bottom w:val="single" w:sz="4" w:space="0" w:color="auto"/>
              <w:right w:val="single" w:sz="4" w:space="0" w:color="auto"/>
            </w:tcBorders>
            <w:shd w:val="clear" w:color="auto" w:fill="auto"/>
            <w:noWrap/>
            <w:vAlign w:val="center"/>
            <w:hideMark/>
          </w:tcPr>
          <w:p w14:paraId="3316F88F"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17.238</w:t>
            </w:r>
          </w:p>
        </w:tc>
        <w:tc>
          <w:tcPr>
            <w:tcW w:w="1333" w:type="dxa"/>
            <w:tcBorders>
              <w:top w:val="nil"/>
              <w:left w:val="nil"/>
              <w:bottom w:val="single" w:sz="4" w:space="0" w:color="auto"/>
              <w:right w:val="single" w:sz="4" w:space="0" w:color="auto"/>
            </w:tcBorders>
            <w:shd w:val="clear" w:color="auto" w:fill="auto"/>
            <w:noWrap/>
            <w:vAlign w:val="center"/>
            <w:hideMark/>
          </w:tcPr>
          <w:p w14:paraId="134A5B98"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98,2</w:t>
            </w:r>
          </w:p>
        </w:tc>
        <w:tc>
          <w:tcPr>
            <w:tcW w:w="1332" w:type="dxa"/>
            <w:tcBorders>
              <w:top w:val="nil"/>
              <w:left w:val="nil"/>
              <w:bottom w:val="single" w:sz="4" w:space="0" w:color="auto"/>
              <w:right w:val="single" w:sz="4" w:space="0" w:color="auto"/>
            </w:tcBorders>
            <w:shd w:val="clear" w:color="auto" w:fill="auto"/>
            <w:noWrap/>
            <w:vAlign w:val="center"/>
            <w:hideMark/>
          </w:tcPr>
          <w:p w14:paraId="26A8A14C"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22.627</w:t>
            </w:r>
          </w:p>
        </w:tc>
        <w:tc>
          <w:tcPr>
            <w:tcW w:w="1333" w:type="dxa"/>
            <w:tcBorders>
              <w:top w:val="nil"/>
              <w:left w:val="nil"/>
              <w:bottom w:val="single" w:sz="4" w:space="0" w:color="auto"/>
              <w:right w:val="single" w:sz="4" w:space="0" w:color="auto"/>
            </w:tcBorders>
            <w:shd w:val="clear" w:color="auto" w:fill="auto"/>
            <w:noWrap/>
            <w:vAlign w:val="center"/>
            <w:hideMark/>
          </w:tcPr>
          <w:p w14:paraId="2E40BA9A" w14:textId="77777777" w:rsidR="000E047D" w:rsidRPr="000E047D" w:rsidRDefault="000E047D" w:rsidP="00EC09B5">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102,5</w:t>
            </w:r>
          </w:p>
        </w:tc>
      </w:tr>
      <w:tr w:rsidR="000E047D" w:rsidRPr="000E047D" w14:paraId="11C5DA59" w14:textId="77777777" w:rsidTr="000E047D">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7A7ABF3" w14:textId="77777777" w:rsidR="000E047D" w:rsidRPr="000E047D" w:rsidRDefault="000E047D" w:rsidP="00EC09B5">
            <w:pPr>
              <w:spacing w:before="60" w:after="0" w:line="312" w:lineRule="auto"/>
              <w:jc w:val="both"/>
              <w:rPr>
                <w:rFonts w:ascii="Arial" w:eastAsia="Times New Roman" w:hAnsi="Arial" w:cs="Arial"/>
                <w:b/>
                <w:color w:val="000000"/>
                <w:sz w:val="20"/>
                <w:szCs w:val="20"/>
                <w:lang w:eastAsia="sl-SI"/>
              </w:rPr>
            </w:pPr>
            <w:r w:rsidRPr="000E047D">
              <w:rPr>
                <w:rFonts w:ascii="Arial" w:eastAsia="Times New Roman" w:hAnsi="Arial" w:cs="Arial"/>
                <w:b/>
                <w:color w:val="000000"/>
                <w:sz w:val="20"/>
                <w:szCs w:val="20"/>
                <w:lang w:eastAsia="sl-SI"/>
              </w:rPr>
              <w:t>Slovenija</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14:paraId="667C5840" w14:textId="7D2033E6" w:rsidR="000E047D" w:rsidRPr="000E047D" w:rsidRDefault="00E6498E" w:rsidP="00E6498E">
            <w:pPr>
              <w:spacing w:before="60" w:after="0" w:line="312"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18.757</w:t>
            </w:r>
          </w:p>
        </w:tc>
        <w:tc>
          <w:tcPr>
            <w:tcW w:w="1332" w:type="dxa"/>
            <w:tcBorders>
              <w:top w:val="nil"/>
              <w:left w:val="nil"/>
              <w:bottom w:val="single" w:sz="4" w:space="0" w:color="auto"/>
              <w:right w:val="single" w:sz="4" w:space="0" w:color="auto"/>
            </w:tcBorders>
            <w:shd w:val="clear" w:color="auto" w:fill="auto"/>
            <w:vAlign w:val="center"/>
            <w:hideMark/>
          </w:tcPr>
          <w:p w14:paraId="4B527A52" w14:textId="5773FCA8" w:rsidR="000E047D" w:rsidRPr="000E047D" w:rsidRDefault="000E047D" w:rsidP="00E6498E">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17</w:t>
            </w:r>
            <w:r w:rsidRPr="00EC09B5">
              <w:rPr>
                <w:rFonts w:ascii="Arial" w:eastAsia="Times New Roman" w:hAnsi="Arial" w:cs="Arial"/>
                <w:color w:val="000000"/>
                <w:sz w:val="20"/>
                <w:szCs w:val="20"/>
                <w:lang w:eastAsia="sl-SI"/>
              </w:rPr>
              <w:t>.</w:t>
            </w:r>
            <w:r w:rsidR="00E6498E">
              <w:rPr>
                <w:rFonts w:ascii="Arial" w:eastAsia="Times New Roman" w:hAnsi="Arial" w:cs="Arial"/>
                <w:color w:val="000000"/>
                <w:sz w:val="20"/>
                <w:szCs w:val="20"/>
                <w:lang w:eastAsia="sl-SI"/>
              </w:rPr>
              <w:t>700</w:t>
            </w:r>
          </w:p>
        </w:tc>
        <w:tc>
          <w:tcPr>
            <w:tcW w:w="1333" w:type="dxa"/>
            <w:tcBorders>
              <w:top w:val="nil"/>
              <w:left w:val="nil"/>
              <w:bottom w:val="single" w:sz="4" w:space="0" w:color="auto"/>
              <w:right w:val="single" w:sz="4" w:space="0" w:color="auto"/>
            </w:tcBorders>
            <w:shd w:val="clear" w:color="auto" w:fill="auto"/>
            <w:vAlign w:val="center"/>
            <w:hideMark/>
          </w:tcPr>
          <w:p w14:paraId="362B8B49" w14:textId="17B0ADD9" w:rsidR="000E047D" w:rsidRPr="000E047D" w:rsidRDefault="000E047D" w:rsidP="00E6498E">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Sl =100</w:t>
            </w:r>
          </w:p>
        </w:tc>
        <w:tc>
          <w:tcPr>
            <w:tcW w:w="1332" w:type="dxa"/>
            <w:tcBorders>
              <w:top w:val="nil"/>
              <w:left w:val="nil"/>
              <w:bottom w:val="single" w:sz="4" w:space="0" w:color="auto"/>
              <w:right w:val="single" w:sz="4" w:space="0" w:color="auto"/>
            </w:tcBorders>
            <w:shd w:val="clear" w:color="auto" w:fill="auto"/>
            <w:vAlign w:val="center"/>
            <w:hideMark/>
          </w:tcPr>
          <w:p w14:paraId="3F8B2DC9" w14:textId="700A1820" w:rsidR="000E047D" w:rsidRPr="000E047D" w:rsidRDefault="000E047D" w:rsidP="00E6498E">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22.</w:t>
            </w:r>
            <w:r w:rsidR="00E6498E">
              <w:rPr>
                <w:rFonts w:ascii="Arial" w:eastAsia="Times New Roman" w:hAnsi="Arial" w:cs="Arial"/>
                <w:color w:val="000000"/>
                <w:sz w:val="20"/>
                <w:szCs w:val="20"/>
                <w:lang w:eastAsia="sl-SI"/>
              </w:rPr>
              <w:t>135</w:t>
            </w:r>
          </w:p>
        </w:tc>
        <w:tc>
          <w:tcPr>
            <w:tcW w:w="1333" w:type="dxa"/>
            <w:tcBorders>
              <w:top w:val="nil"/>
              <w:left w:val="nil"/>
              <w:bottom w:val="single" w:sz="4" w:space="0" w:color="auto"/>
              <w:right w:val="single" w:sz="4" w:space="0" w:color="auto"/>
            </w:tcBorders>
            <w:shd w:val="clear" w:color="auto" w:fill="auto"/>
            <w:vAlign w:val="center"/>
            <w:hideMark/>
          </w:tcPr>
          <w:p w14:paraId="59684FAF" w14:textId="4E4C699A" w:rsidR="000E047D" w:rsidRPr="000E047D" w:rsidRDefault="000E047D" w:rsidP="00E6498E">
            <w:pPr>
              <w:spacing w:before="60" w:after="0" w:line="312" w:lineRule="auto"/>
              <w:jc w:val="right"/>
              <w:rPr>
                <w:rFonts w:ascii="Arial" w:eastAsia="Times New Roman" w:hAnsi="Arial" w:cs="Arial"/>
                <w:color w:val="000000"/>
                <w:sz w:val="20"/>
                <w:szCs w:val="20"/>
                <w:lang w:eastAsia="sl-SI"/>
              </w:rPr>
            </w:pPr>
            <w:r w:rsidRPr="000E047D">
              <w:rPr>
                <w:rFonts w:ascii="Arial" w:eastAsia="Times New Roman" w:hAnsi="Arial" w:cs="Arial"/>
                <w:color w:val="000000"/>
                <w:sz w:val="20"/>
                <w:szCs w:val="20"/>
                <w:lang w:eastAsia="sl-SI"/>
              </w:rPr>
              <w:t>Sl=100</w:t>
            </w:r>
          </w:p>
        </w:tc>
      </w:tr>
    </w:tbl>
    <w:p w14:paraId="1318263E" w14:textId="26660345" w:rsidR="009E0216" w:rsidRPr="00026AF3" w:rsidRDefault="009E0216" w:rsidP="00EA2E4C">
      <w:pPr>
        <w:pStyle w:val="Default"/>
        <w:spacing w:line="360" w:lineRule="auto"/>
        <w:jc w:val="both"/>
        <w:rPr>
          <w:rFonts w:ascii="Arial" w:hAnsi="Arial" w:cs="Arial"/>
          <w:color w:val="auto"/>
          <w:sz w:val="16"/>
          <w:szCs w:val="16"/>
          <w:lang w:val="sl-SI"/>
        </w:rPr>
      </w:pPr>
      <w:r w:rsidRPr="00026AF3">
        <w:rPr>
          <w:rFonts w:ascii="Arial" w:hAnsi="Arial" w:cs="Arial"/>
          <w:color w:val="auto"/>
          <w:sz w:val="16"/>
          <w:szCs w:val="16"/>
          <w:lang w:val="sl-SI"/>
        </w:rPr>
        <w:t>Vir: SURS</w:t>
      </w:r>
      <w:r w:rsidR="007E2079">
        <w:rPr>
          <w:rFonts w:ascii="Arial" w:hAnsi="Arial" w:cs="Arial"/>
          <w:color w:val="auto"/>
          <w:sz w:val="16"/>
          <w:szCs w:val="16"/>
          <w:lang w:val="sl-SI"/>
        </w:rPr>
        <w:t>, 2020 in</w:t>
      </w:r>
      <w:r w:rsidRPr="00026AF3">
        <w:rPr>
          <w:rFonts w:ascii="Arial" w:hAnsi="Arial" w:cs="Arial"/>
          <w:color w:val="auto"/>
          <w:sz w:val="16"/>
          <w:szCs w:val="16"/>
          <w:lang w:val="sl-SI"/>
        </w:rPr>
        <w:t xml:space="preserve"> lastni preračuni</w:t>
      </w:r>
    </w:p>
    <w:p w14:paraId="207FC748" w14:textId="77777777" w:rsidR="00026AF3" w:rsidRDefault="00026AF3" w:rsidP="00026AF3">
      <w:pPr>
        <w:spacing w:line="360" w:lineRule="auto"/>
        <w:jc w:val="both"/>
        <w:rPr>
          <w:rFonts w:ascii="Arial" w:hAnsi="Arial" w:cs="Arial"/>
          <w:sz w:val="20"/>
          <w:szCs w:val="20"/>
        </w:rPr>
      </w:pPr>
    </w:p>
    <w:p w14:paraId="610CD5D1" w14:textId="77777777" w:rsidR="009E0216" w:rsidRPr="00A417A4" w:rsidRDefault="00026AF3" w:rsidP="00A417A4">
      <w:pPr>
        <w:pStyle w:val="SCslika"/>
        <w:keepNext/>
        <w:keepLines/>
      </w:pPr>
      <w:r w:rsidRPr="00A417A4">
        <w:lastRenderedPageBreak/>
        <w:t>Slika 2</w:t>
      </w:r>
      <w:r w:rsidR="00A53A3F" w:rsidRPr="00A417A4">
        <w:t>2</w:t>
      </w:r>
      <w:r w:rsidRPr="00A417A4">
        <w:t>: BDP na prebivalca glede na posamezno regijo, 2018</w:t>
      </w:r>
    </w:p>
    <w:p w14:paraId="1802E98A" w14:textId="56715280" w:rsidR="00993A99" w:rsidRDefault="00993A99" w:rsidP="00993A99">
      <w:pPr>
        <w:pStyle w:val="Napis"/>
        <w:spacing w:before="0" w:line="240" w:lineRule="auto"/>
        <w:jc w:val="both"/>
      </w:pPr>
      <w:r>
        <w:rPr>
          <w:noProof/>
          <w:lang w:eastAsia="sl-SI"/>
        </w:rPr>
        <w:drawing>
          <wp:inline distT="0" distB="0" distL="0" distR="0" wp14:anchorId="5476DB08" wp14:editId="327A7675">
            <wp:extent cx="5760720" cy="3261360"/>
            <wp:effectExtent l="0" t="0" r="11430" b="1524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447AD4" w14:textId="057942C3" w:rsidR="009E0216" w:rsidRDefault="009E0216" w:rsidP="005E3745">
      <w:pPr>
        <w:pStyle w:val="Napis"/>
        <w:spacing w:before="0" w:line="360" w:lineRule="auto"/>
        <w:jc w:val="both"/>
      </w:pPr>
      <w:r w:rsidRPr="00026AF3">
        <w:t>Vir: SURS</w:t>
      </w:r>
      <w:r w:rsidR="007E2079">
        <w:t>, 2020</w:t>
      </w:r>
    </w:p>
    <w:p w14:paraId="7228DA73" w14:textId="2E79A0CE" w:rsidR="009E0216" w:rsidRPr="00A52F41" w:rsidRDefault="009E0216" w:rsidP="005E3745">
      <w:pPr>
        <w:pStyle w:val="Default"/>
        <w:spacing w:before="200" w:after="200" w:line="360" w:lineRule="auto"/>
        <w:jc w:val="both"/>
        <w:rPr>
          <w:rFonts w:ascii="Arial" w:hAnsi="Arial" w:cs="Arial"/>
          <w:color w:val="auto"/>
          <w:sz w:val="20"/>
          <w:szCs w:val="20"/>
          <w:lang w:val="sl-SI"/>
        </w:rPr>
      </w:pPr>
      <w:r w:rsidRPr="00A52F41">
        <w:rPr>
          <w:rFonts w:ascii="Arial" w:hAnsi="Arial" w:cs="Arial"/>
          <w:color w:val="auto"/>
          <w:sz w:val="20"/>
          <w:szCs w:val="20"/>
          <w:lang w:val="sl-SI"/>
        </w:rPr>
        <w:t>Najvišji BDP na prebivalca ima osrednjeslovenska regija</w:t>
      </w:r>
      <w:r w:rsidR="0036277E">
        <w:rPr>
          <w:rFonts w:ascii="Arial" w:hAnsi="Arial" w:cs="Arial"/>
          <w:color w:val="auto"/>
          <w:sz w:val="20"/>
          <w:szCs w:val="20"/>
          <w:lang w:val="sl-SI"/>
        </w:rPr>
        <w:t xml:space="preserve"> (Slika 22)</w:t>
      </w:r>
      <w:r w:rsidRPr="00A52F41">
        <w:rPr>
          <w:rFonts w:ascii="Arial" w:hAnsi="Arial" w:cs="Arial"/>
          <w:color w:val="auto"/>
          <w:sz w:val="20"/>
          <w:szCs w:val="20"/>
          <w:lang w:val="sl-SI"/>
        </w:rPr>
        <w:t>, ki je leta 2018 za več kot 40 % presegala slovensko povprečje. Regija ima največ delovnih mest in posledično veliko delovnih migracij, kar ji viša BDP na prebivalca. Slovensko povprečje po BDP na prebivalca presega le še obalno-kraška regija, ena bolj prizadetih regij v krizi 2009–2013, kjer pa je bila gospodarska rast v obdobju 2014–2018 najvišja v Sloveniji. Povprečju BDP na prebivalca se vse bolj približuje jugovzhodna Slovenija, ki je imela v letu 2018 ponovno visoko rast BDP, takoj za osrednjeslovensko z najvišjo rastjo. Na repu regij je že vrsto let zasavska, ki ob podpovprečni gospodarski rasti postopno povečuje zaostanek za slovenskim povprečjem v BDP na prebivalca. Regionalne razlike, ki so se med gospodarsko in finančno krizo nekoliko znižale, so bile zadnja leta stabilne, vendar nekoliko višje od najnižje ravni v letu 2000. Največje regionalne razlike so bile v letu 2009</w:t>
      </w:r>
      <w:r w:rsidR="000C775F">
        <w:rPr>
          <w:rFonts w:ascii="Arial" w:hAnsi="Arial" w:cs="Arial"/>
          <w:color w:val="auto"/>
          <w:sz w:val="20"/>
          <w:szCs w:val="20"/>
          <w:lang w:val="sl-SI"/>
        </w:rPr>
        <w:t xml:space="preserve"> (UMAR, 2020)</w:t>
      </w:r>
      <w:r w:rsidRPr="00A52F41">
        <w:rPr>
          <w:rFonts w:ascii="Arial" w:hAnsi="Arial" w:cs="Arial"/>
          <w:color w:val="auto"/>
          <w:sz w:val="20"/>
          <w:szCs w:val="20"/>
          <w:lang w:val="sl-SI"/>
        </w:rPr>
        <w:t>.</w:t>
      </w:r>
    </w:p>
    <w:p w14:paraId="5FF2AA97" w14:textId="77777777" w:rsidR="00026AF3" w:rsidRPr="00A417A4" w:rsidRDefault="00026AF3" w:rsidP="00A417A4">
      <w:pPr>
        <w:pStyle w:val="SCslika"/>
        <w:keepNext/>
        <w:keepLines/>
      </w:pPr>
      <w:r w:rsidRPr="00A417A4">
        <w:lastRenderedPageBreak/>
        <w:t>Slika 2</w:t>
      </w:r>
      <w:r w:rsidR="00A53A3F" w:rsidRPr="00A417A4">
        <w:t>3</w:t>
      </w:r>
      <w:r w:rsidRPr="00A417A4">
        <w:t>: Razčlenitev bruto domačega proizvoda na prebivalca na stopnjo zaposlenosti in produktivnosti dela</w:t>
      </w:r>
    </w:p>
    <w:p w14:paraId="7B873B1E" w14:textId="77777777" w:rsidR="009E0216" w:rsidRPr="00A52F41" w:rsidRDefault="009E0216" w:rsidP="00B63AD2">
      <w:pPr>
        <w:spacing w:after="0" w:line="24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1EA186C2" wp14:editId="6C7D8959">
            <wp:extent cx="3925019" cy="3348603"/>
            <wp:effectExtent l="19050" t="19050" r="18415" b="23495"/>
            <wp:docPr id="1631865546" name="Slika 163186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b="1583"/>
                    <a:stretch/>
                  </pic:blipFill>
                  <pic:spPr bwMode="auto">
                    <a:xfrm>
                      <a:off x="0" y="0"/>
                      <a:ext cx="3939780" cy="3361196"/>
                    </a:xfrm>
                    <a:prstGeom prst="rect">
                      <a:avLst/>
                    </a:prstGeom>
                    <a:noFill/>
                    <a:ln w="6350">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0DF3ED0E" w14:textId="77777777" w:rsidR="009E0216" w:rsidRPr="00026AF3" w:rsidRDefault="009E0216" w:rsidP="00EA2E4C">
      <w:pPr>
        <w:spacing w:line="360" w:lineRule="auto"/>
        <w:jc w:val="both"/>
        <w:rPr>
          <w:rFonts w:ascii="Arial" w:hAnsi="Arial" w:cs="Arial"/>
          <w:sz w:val="16"/>
          <w:szCs w:val="16"/>
        </w:rPr>
      </w:pPr>
      <w:r w:rsidRPr="00026AF3">
        <w:rPr>
          <w:rFonts w:ascii="Arial" w:hAnsi="Arial" w:cs="Arial"/>
          <w:sz w:val="16"/>
          <w:szCs w:val="16"/>
        </w:rPr>
        <w:t>Vir: UMAR (2020): Poročilo o razvoju 2020</w:t>
      </w:r>
    </w:p>
    <w:p w14:paraId="00B2C6B2" w14:textId="2A1EE55A" w:rsidR="009E0216" w:rsidRPr="00A52F41" w:rsidRDefault="009E0216" w:rsidP="00BE756C">
      <w:pPr>
        <w:pStyle w:val="Default"/>
        <w:spacing w:before="200" w:after="200" w:line="360" w:lineRule="auto"/>
        <w:jc w:val="both"/>
        <w:rPr>
          <w:rFonts w:ascii="Arial" w:hAnsi="Arial" w:cs="Arial"/>
          <w:color w:val="auto"/>
          <w:sz w:val="20"/>
          <w:szCs w:val="20"/>
          <w:lang w:val="sl-SI"/>
        </w:rPr>
      </w:pPr>
      <w:r w:rsidRPr="00A52F41">
        <w:rPr>
          <w:rFonts w:ascii="Arial" w:hAnsi="Arial" w:cs="Arial"/>
          <w:color w:val="auto"/>
          <w:sz w:val="20"/>
          <w:szCs w:val="20"/>
          <w:lang w:val="sl-SI"/>
        </w:rPr>
        <w:t>Po podatkih UMAR</w:t>
      </w:r>
      <w:r w:rsidR="000C775F">
        <w:rPr>
          <w:rFonts w:ascii="Arial" w:hAnsi="Arial" w:cs="Arial"/>
          <w:color w:val="auto"/>
          <w:sz w:val="20"/>
          <w:szCs w:val="20"/>
          <w:lang w:val="sl-SI"/>
        </w:rPr>
        <w:t xml:space="preserve"> (2020)</w:t>
      </w:r>
      <w:r w:rsidRPr="00BE756C">
        <w:rPr>
          <w:rFonts w:ascii="Arial" w:hAnsi="Arial" w:cs="Arial"/>
          <w:color w:val="auto"/>
          <w:sz w:val="20"/>
          <w:szCs w:val="20"/>
          <w:lang w:val="sl-SI"/>
        </w:rPr>
        <w:t xml:space="preserve"> </w:t>
      </w:r>
      <w:r w:rsidRPr="00A52F41">
        <w:rPr>
          <w:rFonts w:ascii="Arial" w:hAnsi="Arial" w:cs="Arial"/>
          <w:color w:val="auto"/>
          <w:sz w:val="20"/>
          <w:szCs w:val="20"/>
          <w:lang w:val="sl-SI"/>
        </w:rPr>
        <w:t>je bila stopnja zaposlenosti v Sloveniji vsa leta nad povprečjem EU, medtem ko je produktivnost dela ostala nizka (leta 2018: 82 % povprečja EU)</w:t>
      </w:r>
      <w:r w:rsidR="0036277E">
        <w:rPr>
          <w:rFonts w:ascii="Arial" w:hAnsi="Arial" w:cs="Arial"/>
          <w:color w:val="auto"/>
          <w:sz w:val="20"/>
          <w:szCs w:val="20"/>
          <w:lang w:val="sl-SI"/>
        </w:rPr>
        <w:t xml:space="preserve"> (Slika 23)</w:t>
      </w:r>
      <w:r w:rsidRPr="00A52F41">
        <w:rPr>
          <w:rFonts w:ascii="Arial" w:hAnsi="Arial" w:cs="Arial"/>
          <w:color w:val="auto"/>
          <w:sz w:val="20"/>
          <w:szCs w:val="20"/>
          <w:lang w:val="sl-SI"/>
        </w:rPr>
        <w:t xml:space="preserve">. Zaostanek na tem področju v celoti pojasnjuje relativno nizko raven gospodarske razvitosti Slovenije, merjeno s kazalnikom BDP na prebivalca. </w:t>
      </w:r>
    </w:p>
    <w:p w14:paraId="6BBFB537" w14:textId="77777777" w:rsidR="00026AF3" w:rsidRPr="00A417A4" w:rsidRDefault="00026AF3" w:rsidP="00A417A4">
      <w:pPr>
        <w:pStyle w:val="SCslika"/>
        <w:keepNext/>
        <w:keepLines/>
      </w:pPr>
      <w:r w:rsidRPr="00A417A4">
        <w:t>Slika 2</w:t>
      </w:r>
      <w:r w:rsidR="00A53A3F" w:rsidRPr="00A417A4">
        <w:t>4</w:t>
      </w:r>
      <w:r w:rsidRPr="00A417A4">
        <w:t>: Bruto dodana vrednost na zaposlenega v gospodarskih družbah, zadrugah in samostojnih podjetnikih posamezniki</w:t>
      </w:r>
      <w:r w:rsidRPr="00422936">
        <w:rPr>
          <w:szCs w:val="20"/>
          <w:vertAlign w:val="superscript"/>
        </w:rPr>
        <w:footnoteReference w:id="2"/>
      </w:r>
      <w:r w:rsidRPr="00A417A4">
        <w:t>.</w:t>
      </w:r>
    </w:p>
    <w:p w14:paraId="3497F5BE" w14:textId="3F310F5D" w:rsidR="009E0216" w:rsidRDefault="009E0216" w:rsidP="00422936">
      <w:pPr>
        <w:pStyle w:val="Default"/>
        <w:jc w:val="both"/>
        <w:rPr>
          <w:rFonts w:ascii="Arial" w:hAnsi="Arial" w:cs="Arial"/>
          <w:sz w:val="20"/>
          <w:szCs w:val="20"/>
          <w:lang w:val="sl-SI"/>
        </w:rPr>
      </w:pPr>
      <w:r w:rsidRPr="00A52F41">
        <w:rPr>
          <w:rFonts w:ascii="Arial" w:hAnsi="Arial" w:cs="Arial"/>
          <w:noProof/>
          <w:sz w:val="20"/>
          <w:szCs w:val="20"/>
          <w:lang w:val="sl-SI" w:eastAsia="sl-SI"/>
        </w:rPr>
        <w:drawing>
          <wp:inline distT="0" distB="0" distL="0" distR="0" wp14:anchorId="754A9311" wp14:editId="0DC27A97">
            <wp:extent cx="5507990" cy="2735885"/>
            <wp:effectExtent l="0" t="0" r="16510" b="762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4BB501E" w14:textId="77777777" w:rsidR="00026AF3" w:rsidRPr="005E3745" w:rsidRDefault="00026AF3" w:rsidP="00422936">
      <w:pPr>
        <w:spacing w:line="240" w:lineRule="auto"/>
        <w:jc w:val="both"/>
        <w:rPr>
          <w:rFonts w:ascii="Arial" w:hAnsi="Arial" w:cs="Arial"/>
          <w:color w:val="000000"/>
          <w:sz w:val="16"/>
          <w:szCs w:val="16"/>
        </w:rPr>
      </w:pPr>
      <w:r w:rsidRPr="005E3745">
        <w:rPr>
          <w:rFonts w:ascii="Arial" w:hAnsi="Arial" w:cs="Arial"/>
          <w:sz w:val="16"/>
          <w:szCs w:val="16"/>
        </w:rPr>
        <w:t>Vir: SURS</w:t>
      </w:r>
      <w:r w:rsidR="007E2079">
        <w:rPr>
          <w:rFonts w:ascii="Arial" w:hAnsi="Arial" w:cs="Arial"/>
          <w:sz w:val="16"/>
          <w:szCs w:val="16"/>
        </w:rPr>
        <w:t>,</w:t>
      </w:r>
      <w:r w:rsidRPr="005E3745">
        <w:rPr>
          <w:rFonts w:ascii="Arial" w:hAnsi="Arial" w:cs="Arial"/>
          <w:color w:val="000000"/>
          <w:sz w:val="16"/>
          <w:szCs w:val="16"/>
        </w:rPr>
        <w:t xml:space="preserve"> </w:t>
      </w:r>
      <w:r w:rsidR="000C775F" w:rsidRPr="005E3745">
        <w:rPr>
          <w:rFonts w:ascii="Arial" w:hAnsi="Arial" w:cs="Arial"/>
          <w:color w:val="000000"/>
          <w:sz w:val="16"/>
          <w:szCs w:val="16"/>
        </w:rPr>
        <w:t>2020</w:t>
      </w:r>
    </w:p>
    <w:p w14:paraId="60FD5D6C" w14:textId="77777777" w:rsidR="009E0216" w:rsidRPr="004B612B" w:rsidRDefault="009E0216" w:rsidP="00BE756C">
      <w:pPr>
        <w:pStyle w:val="Default"/>
        <w:spacing w:before="200" w:after="200" w:line="360" w:lineRule="auto"/>
        <w:jc w:val="both"/>
        <w:rPr>
          <w:rFonts w:ascii="Arial" w:hAnsi="Arial" w:cs="Arial"/>
          <w:color w:val="auto"/>
          <w:sz w:val="20"/>
          <w:szCs w:val="20"/>
          <w:lang w:val="sl-SI"/>
        </w:rPr>
      </w:pPr>
      <w:r w:rsidRPr="00BE756C">
        <w:rPr>
          <w:rFonts w:ascii="Arial" w:hAnsi="Arial" w:cs="Arial"/>
          <w:color w:val="auto"/>
          <w:sz w:val="20"/>
          <w:szCs w:val="20"/>
          <w:lang w:val="sl-SI"/>
        </w:rPr>
        <w:lastRenderedPageBreak/>
        <w:t>Skupna bruto dodana vrednost (BDV), ustvarjena v letu 2015, se je najbolj približala vrednosti iz »predkriznega« leta 2008, a je bila še vedno za več kot 61 milijonov EUR nižja; znašala je 19,7 milijarde EUR</w:t>
      </w:r>
      <w:r w:rsidR="00B3003E" w:rsidRPr="00BE756C">
        <w:rPr>
          <w:rFonts w:ascii="Arial" w:hAnsi="Arial" w:cs="Arial"/>
          <w:color w:val="auto"/>
          <w:sz w:val="20"/>
          <w:szCs w:val="20"/>
          <w:lang w:val="sl-SI"/>
        </w:rPr>
        <w:t xml:space="preserve"> (Slika 24)</w:t>
      </w:r>
      <w:r w:rsidRPr="00BE756C">
        <w:rPr>
          <w:rFonts w:ascii="Arial" w:hAnsi="Arial" w:cs="Arial"/>
          <w:color w:val="auto"/>
          <w:sz w:val="20"/>
          <w:szCs w:val="20"/>
          <w:lang w:val="sl-SI"/>
        </w:rPr>
        <w:t xml:space="preserve">. Višja od tiste iz leta 2008 je bila v industriji (za 6,2 %) in drugih storitvah (za 8,1 %), občutno nižja pa zlasti v gradbeništvu (kar za 36,9 %) in tudi v trgovini (za 8,6 %). Skupna BDV, dosežena v 2015, je bila za več kot 845.000 EUR višja kot v letu 2014 . </w:t>
      </w:r>
    </w:p>
    <w:p w14:paraId="72F5DFDB" w14:textId="0B1AC5A6" w:rsidR="009E0216" w:rsidRPr="004B612B" w:rsidRDefault="009E0216" w:rsidP="00BE756C">
      <w:pPr>
        <w:pStyle w:val="Default"/>
        <w:spacing w:before="200" w:after="200" w:line="360" w:lineRule="auto"/>
        <w:jc w:val="both"/>
        <w:rPr>
          <w:rFonts w:ascii="Arial" w:hAnsi="Arial" w:cs="Arial"/>
          <w:color w:val="auto"/>
          <w:sz w:val="20"/>
          <w:szCs w:val="20"/>
          <w:lang w:val="sl-SI"/>
        </w:rPr>
      </w:pPr>
      <w:r w:rsidRPr="00BE756C">
        <w:rPr>
          <w:rFonts w:ascii="Arial" w:hAnsi="Arial" w:cs="Arial"/>
          <w:color w:val="auto"/>
          <w:sz w:val="20"/>
          <w:szCs w:val="20"/>
          <w:lang w:val="sl-SI"/>
        </w:rPr>
        <w:t>Gospodarske družbe, zadruge in samostojni podjetniki posamezniki so v 2015 ustvarili 40.263 EUR bruto dodane vrednosti na zaposlenega, to je za 2 % več kot v 2014. Vrednost tega kazalnika se v zadnjih letih postopno povečuje.</w:t>
      </w:r>
    </w:p>
    <w:p w14:paraId="1692150A" w14:textId="14F8106A" w:rsidR="005E3745" w:rsidRPr="004B612B" w:rsidRDefault="009E0216" w:rsidP="00BE756C">
      <w:pPr>
        <w:pStyle w:val="Default"/>
        <w:spacing w:before="200" w:after="200" w:line="360" w:lineRule="auto"/>
        <w:jc w:val="both"/>
        <w:rPr>
          <w:rFonts w:ascii="Arial" w:hAnsi="Arial" w:cs="Arial"/>
          <w:sz w:val="20"/>
          <w:szCs w:val="20"/>
          <w:lang w:val="sl-SI"/>
        </w:rPr>
      </w:pPr>
      <w:r w:rsidRPr="00BE756C">
        <w:rPr>
          <w:rFonts w:ascii="Arial" w:hAnsi="Arial" w:cs="Arial"/>
          <w:color w:val="auto"/>
          <w:sz w:val="20"/>
          <w:szCs w:val="20"/>
          <w:lang w:val="sl-SI"/>
        </w:rPr>
        <w:t>V marcu 2020 je bila v Sloveniji razglašena epidemija koronavirusne bolezni, ki je prinesla negativne učinke na gospodarski in socialni položaj. Razmere bodo kot posledica nujnih zaščitnih ukrepov močno vplivale na zmanjšanje gospodarske aktivnosti, hkrati pa so tudi pokazale, da je Slovenija na nekaterih področjih, kjer v preteklih letih ni sprejela ustreznih ukrepov ali je napredovala prepočasi, v času epidemije še ranljivejša (med njimi velik delež prekarnih zaposlitev, sistemska neurejenost dolgotrajne oskrbe, čakalne dobe v zdravstvu, pomanjkanje digitalnih spretnosti prebivalstva, administrativne ovire in dolgotrajnost nekaterih postopkov)</w:t>
      </w:r>
      <w:r w:rsidR="000C775F" w:rsidRPr="00BE756C">
        <w:rPr>
          <w:rFonts w:ascii="Arial" w:hAnsi="Arial" w:cs="Arial"/>
          <w:color w:val="auto"/>
          <w:sz w:val="20"/>
          <w:szCs w:val="20"/>
          <w:lang w:val="sl-SI"/>
        </w:rPr>
        <w:t xml:space="preserve"> (UMAR, 2020)</w:t>
      </w:r>
      <w:r w:rsidRPr="00BE756C">
        <w:rPr>
          <w:rFonts w:ascii="Arial" w:hAnsi="Arial" w:cs="Arial"/>
          <w:color w:val="auto"/>
          <w:sz w:val="20"/>
          <w:szCs w:val="20"/>
          <w:lang w:val="sl-SI"/>
        </w:rPr>
        <w:t xml:space="preserve">. </w:t>
      </w:r>
    </w:p>
    <w:p w14:paraId="7D3DDB86" w14:textId="0B9A79C5" w:rsidR="009E0216" w:rsidRPr="00BE756C" w:rsidRDefault="00AE0A93" w:rsidP="00BE756C">
      <w:pPr>
        <w:rPr>
          <w:rFonts w:ascii="Arial" w:hAnsi="Arial" w:cs="Arial"/>
          <w:sz w:val="20"/>
          <w:szCs w:val="20"/>
        </w:rPr>
      </w:pPr>
      <w:r>
        <w:rPr>
          <w:rFonts w:ascii="Arial" w:hAnsi="Arial" w:cs="Arial"/>
          <w:sz w:val="20"/>
          <w:szCs w:val="20"/>
        </w:rPr>
        <w:br w:type="page"/>
      </w:r>
    </w:p>
    <w:p w14:paraId="4317B61C" w14:textId="5865459C" w:rsidR="009E0216" w:rsidRPr="00D73340" w:rsidRDefault="00CE0B15" w:rsidP="00CE0B15">
      <w:pPr>
        <w:pStyle w:val="Naslov2"/>
        <w:keepLines w:val="0"/>
        <w:tabs>
          <w:tab w:val="left" w:pos="0"/>
          <w:tab w:val="left" w:pos="567"/>
          <w:tab w:val="left" w:pos="1276"/>
        </w:tabs>
        <w:spacing w:after="200" w:line="360" w:lineRule="auto"/>
        <w:jc w:val="both"/>
        <w:rPr>
          <w:rFonts w:ascii="Arial" w:hAnsi="Arial" w:cs="Arial"/>
          <w:color w:val="000000" w:themeColor="text1"/>
          <w:sz w:val="24"/>
          <w:szCs w:val="24"/>
        </w:rPr>
      </w:pPr>
      <w:bookmarkStart w:id="67" w:name="_Toc45016619"/>
      <w:bookmarkStart w:id="68" w:name="_Toc55999334"/>
      <w:r w:rsidRPr="00D73340">
        <w:rPr>
          <w:rFonts w:ascii="Arial" w:hAnsi="Arial" w:cs="Arial"/>
          <w:color w:val="000000" w:themeColor="text1"/>
          <w:sz w:val="24"/>
          <w:szCs w:val="24"/>
        </w:rPr>
        <w:lastRenderedPageBreak/>
        <w:t xml:space="preserve">3.1 </w:t>
      </w:r>
      <w:r w:rsidR="00BA2D0E" w:rsidRPr="00D73340">
        <w:rPr>
          <w:rFonts w:ascii="Arial" w:hAnsi="Arial" w:cs="Arial"/>
          <w:color w:val="000000" w:themeColor="text1"/>
          <w:sz w:val="24"/>
          <w:szCs w:val="24"/>
        </w:rPr>
        <w:t xml:space="preserve">ZNAČILNOSTI </w:t>
      </w:r>
      <w:bookmarkEnd w:id="67"/>
      <w:r w:rsidR="00BA2D0E" w:rsidRPr="00D73340">
        <w:rPr>
          <w:rFonts w:ascii="Arial" w:hAnsi="Arial" w:cs="Arial"/>
          <w:color w:val="000000" w:themeColor="text1"/>
          <w:sz w:val="24"/>
          <w:szCs w:val="24"/>
        </w:rPr>
        <w:t>PODJETNIŠTVA</w:t>
      </w:r>
      <w:bookmarkEnd w:id="68"/>
      <w:r w:rsidR="00BA2D0E" w:rsidRPr="00D73340">
        <w:rPr>
          <w:rFonts w:ascii="Arial" w:hAnsi="Arial" w:cs="Arial"/>
          <w:color w:val="000000" w:themeColor="text1"/>
          <w:sz w:val="24"/>
          <w:szCs w:val="24"/>
        </w:rPr>
        <w:t xml:space="preserve"> </w:t>
      </w:r>
    </w:p>
    <w:p w14:paraId="23264702" w14:textId="0CA8DCD6" w:rsidR="003E5C8E" w:rsidRPr="007F5F99" w:rsidRDefault="003E5C8E" w:rsidP="005E7C38">
      <w:pPr>
        <w:spacing w:before="200" w:afterLines="200" w:after="480" w:line="360" w:lineRule="auto"/>
        <w:jc w:val="both"/>
        <w:rPr>
          <w:rFonts w:ascii="Arial" w:hAnsi="Arial" w:cs="Arial"/>
          <w:sz w:val="20"/>
          <w:szCs w:val="20"/>
        </w:rPr>
      </w:pPr>
      <w:r w:rsidRPr="00424FA1">
        <w:rPr>
          <w:rFonts w:ascii="Arial" w:hAnsi="Arial" w:cs="Arial"/>
          <w:sz w:val="20"/>
          <w:szCs w:val="20"/>
        </w:rPr>
        <w:t>Svetovna raziskava Globalni podjetniški monitor</w:t>
      </w:r>
      <w:r w:rsidR="00CE0B15">
        <w:rPr>
          <w:rFonts w:ascii="Arial" w:hAnsi="Arial" w:cs="Arial"/>
          <w:sz w:val="20"/>
          <w:szCs w:val="20"/>
        </w:rPr>
        <w:t xml:space="preserve"> (GEM Slovenija) </w:t>
      </w:r>
      <w:r w:rsidRPr="00424FA1">
        <w:rPr>
          <w:rFonts w:ascii="Arial" w:hAnsi="Arial" w:cs="Arial"/>
          <w:sz w:val="20"/>
          <w:szCs w:val="20"/>
        </w:rPr>
        <w:t>je za leto 201</w:t>
      </w:r>
      <w:r>
        <w:rPr>
          <w:rFonts w:ascii="Arial" w:hAnsi="Arial" w:cs="Arial"/>
          <w:sz w:val="20"/>
          <w:szCs w:val="20"/>
        </w:rPr>
        <w:t>9</w:t>
      </w:r>
      <w:r w:rsidRPr="00424FA1">
        <w:rPr>
          <w:rFonts w:ascii="Arial" w:hAnsi="Arial" w:cs="Arial"/>
          <w:sz w:val="20"/>
          <w:szCs w:val="20"/>
        </w:rPr>
        <w:t xml:space="preserve"> pokazala, da v Sloveniji kljub vse večji družbeni sprejetosti podjetništva ter samozaupanju posameznikov v podjetniške zmogljivosti ne zaznavamo rasti zgodnje podjetniške aktivnosti, posledica tega pa je neizkoriščen podjetniški potencial. </w:t>
      </w:r>
      <w:r>
        <w:rPr>
          <w:rFonts w:ascii="Arial" w:hAnsi="Arial" w:cs="Arial"/>
          <w:sz w:val="20"/>
          <w:szCs w:val="20"/>
        </w:rPr>
        <w:t>Po podatkih GEM Slovenija je leta 2019 v S</w:t>
      </w:r>
      <w:r w:rsidRPr="00190428">
        <w:rPr>
          <w:rFonts w:ascii="Arial" w:hAnsi="Arial" w:cs="Arial"/>
          <w:sz w:val="20"/>
          <w:szCs w:val="20"/>
        </w:rPr>
        <w:t>loveniji 47,59 % ljudi</w:t>
      </w:r>
      <w:r>
        <w:rPr>
          <w:rFonts w:ascii="Arial" w:hAnsi="Arial" w:cs="Arial"/>
          <w:sz w:val="20"/>
          <w:szCs w:val="20"/>
        </w:rPr>
        <w:t xml:space="preserve">, ki </w:t>
      </w:r>
      <w:r w:rsidRPr="00190428">
        <w:rPr>
          <w:rFonts w:ascii="Arial" w:hAnsi="Arial" w:cs="Arial"/>
          <w:sz w:val="20"/>
          <w:szCs w:val="20"/>
        </w:rPr>
        <w:t>v svojem okolju zaznava obetavne poslovne priložnosti. Zelo pozitiven rezultat za Slovenijo je, da se zadnja leta ta delež vztrajno veča: 20,5 % leta 2015, nato 25,3 % leta 2016 in 34,60 % leta 2017 ter 42,17 % leta 2018. Slovenija se je na lestvici 21 evropskih držav po tem kazalniku v letu 2019 uvrstila na sredino lestvice in pod evropsko povprečje, ki znaša 50,17 %.</w:t>
      </w:r>
    </w:p>
    <w:p w14:paraId="0E7ECF2D" w14:textId="32D87AC8" w:rsidR="003E5C8E" w:rsidRPr="007F5F99" w:rsidRDefault="003E5C8E" w:rsidP="005E7C38">
      <w:pPr>
        <w:spacing w:before="200" w:afterLines="200" w:after="480" w:line="360" w:lineRule="auto"/>
        <w:jc w:val="both"/>
        <w:rPr>
          <w:rFonts w:ascii="Arial" w:hAnsi="Arial" w:cs="Arial"/>
          <w:sz w:val="20"/>
          <w:szCs w:val="20"/>
        </w:rPr>
      </w:pPr>
      <w:r w:rsidRPr="007F5F99">
        <w:rPr>
          <w:rFonts w:ascii="Arial" w:hAnsi="Arial" w:cs="Arial"/>
          <w:sz w:val="20"/>
          <w:szCs w:val="20"/>
        </w:rPr>
        <w:t>V Sloveniji podjetniške namere ljudi (</w:t>
      </w:r>
      <w:r w:rsidR="00CE0B15">
        <w:rPr>
          <w:rFonts w:ascii="Arial" w:hAnsi="Arial" w:cs="Arial"/>
          <w:sz w:val="20"/>
          <w:szCs w:val="20"/>
        </w:rPr>
        <w:t xml:space="preserve">ljudje, ki </w:t>
      </w:r>
      <w:r w:rsidRPr="007F5F99">
        <w:rPr>
          <w:rFonts w:ascii="Arial" w:hAnsi="Arial" w:cs="Arial"/>
          <w:sz w:val="20"/>
          <w:szCs w:val="20"/>
        </w:rPr>
        <w:t>nameravajo v prihodnjih treh letih začeti nov posel) v zadnjih letih ostajajo na približno enaki ravni – leta 2019 je bilo takih 16,6 % odraslih prebivalcev. Po podatkih GEM Slovenija to Slovenijo uvršča na 6. mesto v Evropi, kjer so vrhu Latvija (23,2 %), Ciper (21,2 %) in Hrvaška (20,6 %), na drugem koncu lestvice pa so Italija (5,4 %), Norveška (5,7 %) in Poljska (6 %). Med podjetniškimi namerami in njihovo uresničitvijo je velik razkorak (med nastajajoče podjetnike se je lani uvrstilo 4,4 % odraslega prebivalstva). To opozarja, da je treba več pozornosti posvetiti spodbujanju podjetništva ob sočasnem lajšanju pogojev zanj, da bi se izgubilo čim manj podjetniškega potenciala. To bo postalo še posebej pomembno ob slabšanju gospodarskega položaja.</w:t>
      </w:r>
    </w:p>
    <w:p w14:paraId="31DEB4B6" w14:textId="452CB1D1" w:rsidR="003E5C8E" w:rsidRPr="00132505" w:rsidRDefault="003E5C8E" w:rsidP="005E7C38">
      <w:pPr>
        <w:spacing w:before="200" w:afterLines="200" w:after="480" w:line="360" w:lineRule="auto"/>
        <w:jc w:val="both"/>
        <w:rPr>
          <w:rFonts w:ascii="Arial" w:hAnsi="Arial" w:cs="Arial"/>
          <w:color w:val="000000"/>
          <w:sz w:val="20"/>
          <w:szCs w:val="20"/>
        </w:rPr>
      </w:pPr>
      <w:r w:rsidRPr="00132505">
        <w:rPr>
          <w:rFonts w:ascii="Arial" w:hAnsi="Arial" w:cs="Arial"/>
          <w:color w:val="000000"/>
          <w:sz w:val="20"/>
          <w:szCs w:val="20"/>
        </w:rPr>
        <w:t>V Sloveniji je tudi večji delež podjetnikov, ki niso zaposlovalci in tudi ne načrtujejo postati dejanski zaposlovalci. Delež takšnih odraslih prebivalcev je v Sloveniji leta 2019 znašal 5,77 %. S tem se je Slovenija v evropskem merilu uvrstila pod povprečje držav, vključenih v raziskavo GEM. Največji delež odraslih prebivalcev, ki že ustvarjajo delovna mesta ali verjamejo, da jih bodo ustvarjali v naslednjih petih letih, je v Latviji (12,37 %), na Cipru (10,59 %) in na Slovaškem (10,18 %), najmanjši delež (2,32 %)</w:t>
      </w:r>
      <w:r w:rsidR="00CE0B15">
        <w:rPr>
          <w:rFonts w:ascii="Arial" w:hAnsi="Arial" w:cs="Arial"/>
          <w:color w:val="000000"/>
          <w:sz w:val="20"/>
          <w:szCs w:val="20"/>
        </w:rPr>
        <w:t xml:space="preserve"> </w:t>
      </w:r>
      <w:r w:rsidRPr="00132505">
        <w:rPr>
          <w:rFonts w:ascii="Arial" w:hAnsi="Arial" w:cs="Arial"/>
          <w:color w:val="000000"/>
          <w:sz w:val="20"/>
          <w:szCs w:val="20"/>
        </w:rPr>
        <w:t xml:space="preserve">pa v Italiji </w:t>
      </w:r>
      <w:r>
        <w:rPr>
          <w:rFonts w:ascii="Arial" w:hAnsi="Arial" w:cs="Arial"/>
          <w:color w:val="000000"/>
          <w:sz w:val="20"/>
          <w:szCs w:val="20"/>
        </w:rPr>
        <w:t>(GEM Slovenija).</w:t>
      </w:r>
    </w:p>
    <w:p w14:paraId="701F70FA" w14:textId="40E817D3" w:rsidR="009E0216" w:rsidRPr="00A52F41" w:rsidRDefault="009E0216" w:rsidP="00BE756C">
      <w:pPr>
        <w:pStyle w:val="Default"/>
        <w:spacing w:before="200" w:after="200" w:line="360" w:lineRule="auto"/>
        <w:jc w:val="both"/>
        <w:rPr>
          <w:rFonts w:ascii="Arial" w:hAnsi="Arial" w:cs="Arial"/>
          <w:color w:val="auto"/>
          <w:sz w:val="20"/>
          <w:szCs w:val="20"/>
          <w:lang w:val="sl-SI"/>
        </w:rPr>
      </w:pPr>
      <w:r w:rsidRPr="00A52F41">
        <w:rPr>
          <w:rFonts w:ascii="Arial" w:hAnsi="Arial" w:cs="Arial"/>
          <w:color w:val="auto"/>
          <w:sz w:val="20"/>
          <w:szCs w:val="20"/>
          <w:lang w:val="sl-SI"/>
        </w:rPr>
        <w:t>Po podatkih SURS</w:t>
      </w:r>
      <w:r w:rsidR="000C775F">
        <w:rPr>
          <w:rFonts w:ascii="Arial" w:hAnsi="Arial" w:cs="Arial"/>
          <w:color w:val="auto"/>
          <w:sz w:val="20"/>
          <w:szCs w:val="20"/>
          <w:lang w:val="sl-SI"/>
        </w:rPr>
        <w:t xml:space="preserve"> (2020)</w:t>
      </w:r>
      <w:r w:rsidRPr="00A52F41">
        <w:rPr>
          <w:rFonts w:ascii="Arial" w:hAnsi="Arial" w:cs="Arial"/>
          <w:color w:val="auto"/>
          <w:sz w:val="20"/>
          <w:szCs w:val="20"/>
          <w:lang w:val="sl-SI"/>
        </w:rPr>
        <w:t xml:space="preserve"> je v Sloveniji leta 2018 poslovalo 200.174 podjetij, ki so v tem letu izkazale prihodek, zaposlene ali investicije in tako bila aktivne vsaj del tega leta (podjetja). Zaposlovala so 872.772 oseb in ustvarila 117.041 milijonov EUR prihodka. Število podjetij se je od leta 2008 do 2018 povečalo za 30 %. </w:t>
      </w:r>
    </w:p>
    <w:p w14:paraId="013E12F2" w14:textId="67BD58F7" w:rsidR="009E0216" w:rsidRPr="00A417A4" w:rsidRDefault="00C57228" w:rsidP="00A417A4">
      <w:pPr>
        <w:pStyle w:val="SCslika"/>
        <w:keepNext/>
        <w:keepLines/>
      </w:pPr>
      <w:r w:rsidRPr="00A417A4">
        <w:t xml:space="preserve">Tabela </w:t>
      </w:r>
      <w:r w:rsidR="00D73340">
        <w:t>20</w:t>
      </w:r>
      <w:r w:rsidRPr="00A417A4">
        <w:t>:</w:t>
      </w:r>
      <w:r w:rsidR="009E0216" w:rsidRPr="00A417A4">
        <w:t xml:space="preserve"> Število podjetij in prihodek po letih</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134"/>
        <w:gridCol w:w="1261"/>
        <w:gridCol w:w="1261"/>
        <w:gridCol w:w="1262"/>
        <w:gridCol w:w="1261"/>
        <w:gridCol w:w="1262"/>
      </w:tblGrid>
      <w:tr w:rsidR="009E0216" w:rsidRPr="00A52F41" w14:paraId="0E5325BB" w14:textId="77777777" w:rsidTr="00F76868">
        <w:trPr>
          <w:trHeight w:val="277"/>
        </w:trPr>
        <w:tc>
          <w:tcPr>
            <w:tcW w:w="1771" w:type="dxa"/>
            <w:shd w:val="clear" w:color="auto" w:fill="auto"/>
            <w:noWrap/>
            <w:vAlign w:val="bottom"/>
            <w:hideMark/>
          </w:tcPr>
          <w:p w14:paraId="45698596" w14:textId="49989601" w:rsidR="009E0216" w:rsidRPr="00A52F41" w:rsidRDefault="009E0216" w:rsidP="00F76868">
            <w:pPr>
              <w:keepNext/>
              <w:spacing w:before="60" w:after="0" w:line="312" w:lineRule="auto"/>
              <w:jc w:val="center"/>
              <w:rPr>
                <w:rFonts w:ascii="Arial" w:hAnsi="Arial" w:cs="Arial"/>
                <w:color w:val="000000"/>
                <w:sz w:val="20"/>
                <w:szCs w:val="20"/>
                <w:lang w:eastAsia="sl-SI"/>
              </w:rPr>
            </w:pPr>
            <w:r w:rsidRPr="00A52F41">
              <w:rPr>
                <w:rFonts w:ascii="Arial" w:hAnsi="Arial" w:cs="Arial"/>
                <w:color w:val="000000"/>
                <w:sz w:val="20"/>
                <w:szCs w:val="20"/>
                <w:lang w:eastAsia="sl-SI"/>
              </w:rPr>
              <w:t>Leto</w:t>
            </w:r>
          </w:p>
        </w:tc>
        <w:tc>
          <w:tcPr>
            <w:tcW w:w="1134" w:type="dxa"/>
            <w:shd w:val="clear" w:color="auto" w:fill="auto"/>
            <w:noWrap/>
            <w:vAlign w:val="bottom"/>
            <w:hideMark/>
          </w:tcPr>
          <w:p w14:paraId="7C36A3C1" w14:textId="7DBF7DE6" w:rsidR="009E0216" w:rsidRPr="00A52F41" w:rsidRDefault="009E0216" w:rsidP="00F76868">
            <w:pPr>
              <w:keepNext/>
              <w:spacing w:before="60" w:after="0" w:line="312" w:lineRule="auto"/>
              <w:jc w:val="center"/>
              <w:rPr>
                <w:rFonts w:ascii="Arial" w:hAnsi="Arial" w:cs="Arial"/>
                <w:color w:val="000000"/>
                <w:sz w:val="20"/>
                <w:szCs w:val="20"/>
                <w:lang w:eastAsia="sl-SI"/>
              </w:rPr>
            </w:pPr>
          </w:p>
        </w:tc>
        <w:tc>
          <w:tcPr>
            <w:tcW w:w="1261" w:type="dxa"/>
            <w:shd w:val="clear" w:color="auto" w:fill="auto"/>
            <w:noWrap/>
            <w:vAlign w:val="bottom"/>
            <w:hideMark/>
          </w:tcPr>
          <w:p w14:paraId="57352DBB" w14:textId="364DE315" w:rsidR="009E0216" w:rsidRPr="00A52F41" w:rsidRDefault="009E0216" w:rsidP="00F76868">
            <w:pPr>
              <w:keepNext/>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2008</w:t>
            </w:r>
          </w:p>
        </w:tc>
        <w:tc>
          <w:tcPr>
            <w:tcW w:w="1261" w:type="dxa"/>
            <w:shd w:val="clear" w:color="auto" w:fill="auto"/>
            <w:noWrap/>
            <w:vAlign w:val="bottom"/>
            <w:hideMark/>
          </w:tcPr>
          <w:p w14:paraId="2E283A46" w14:textId="650D604A" w:rsidR="009E0216" w:rsidRPr="00A52F41" w:rsidRDefault="009E0216" w:rsidP="00F76868">
            <w:pPr>
              <w:keepNext/>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2010</w:t>
            </w:r>
          </w:p>
        </w:tc>
        <w:tc>
          <w:tcPr>
            <w:tcW w:w="1262" w:type="dxa"/>
            <w:shd w:val="clear" w:color="auto" w:fill="auto"/>
            <w:noWrap/>
            <w:vAlign w:val="bottom"/>
            <w:hideMark/>
          </w:tcPr>
          <w:p w14:paraId="58505304" w14:textId="4D33D18C" w:rsidR="009E0216" w:rsidRPr="00A52F41" w:rsidRDefault="009E0216" w:rsidP="00F76868">
            <w:pPr>
              <w:keepNext/>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2013</w:t>
            </w:r>
          </w:p>
        </w:tc>
        <w:tc>
          <w:tcPr>
            <w:tcW w:w="1261" w:type="dxa"/>
            <w:shd w:val="clear" w:color="auto" w:fill="auto"/>
            <w:noWrap/>
            <w:vAlign w:val="bottom"/>
            <w:hideMark/>
          </w:tcPr>
          <w:p w14:paraId="1C8D9427" w14:textId="48A98FED" w:rsidR="009E0216" w:rsidRPr="00A52F41" w:rsidRDefault="009E0216" w:rsidP="00F76868">
            <w:pPr>
              <w:keepNext/>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2015</w:t>
            </w:r>
          </w:p>
        </w:tc>
        <w:tc>
          <w:tcPr>
            <w:tcW w:w="1262" w:type="dxa"/>
            <w:shd w:val="clear" w:color="auto" w:fill="auto"/>
            <w:noWrap/>
            <w:vAlign w:val="bottom"/>
            <w:hideMark/>
          </w:tcPr>
          <w:p w14:paraId="7E794B85" w14:textId="2C034972" w:rsidR="009E0216" w:rsidRPr="00A52F41" w:rsidRDefault="009E0216" w:rsidP="00F76868">
            <w:pPr>
              <w:keepNext/>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2018</w:t>
            </w:r>
          </w:p>
        </w:tc>
      </w:tr>
      <w:tr w:rsidR="00F76868" w:rsidRPr="00A52F41" w14:paraId="7251EF04" w14:textId="77777777" w:rsidTr="007400DC">
        <w:trPr>
          <w:trHeight w:val="277"/>
        </w:trPr>
        <w:tc>
          <w:tcPr>
            <w:tcW w:w="1771" w:type="dxa"/>
            <w:vMerge w:val="restart"/>
            <w:shd w:val="clear" w:color="auto" w:fill="auto"/>
            <w:noWrap/>
            <w:vAlign w:val="center"/>
            <w:hideMark/>
          </w:tcPr>
          <w:p w14:paraId="26DB2684" w14:textId="56BEEC3E" w:rsidR="00F76868" w:rsidRPr="00A52F41" w:rsidRDefault="00F76868" w:rsidP="00F76868">
            <w:pPr>
              <w:spacing w:before="60" w:after="0" w:line="312" w:lineRule="auto"/>
              <w:rPr>
                <w:rFonts w:ascii="Arial" w:hAnsi="Arial" w:cs="Arial"/>
                <w:b/>
                <w:bCs/>
                <w:color w:val="000000"/>
                <w:sz w:val="20"/>
                <w:szCs w:val="20"/>
                <w:lang w:eastAsia="sl-SI"/>
              </w:rPr>
            </w:pPr>
            <w:r w:rsidRPr="00A52F41">
              <w:rPr>
                <w:rFonts w:ascii="Arial" w:hAnsi="Arial" w:cs="Arial"/>
                <w:b/>
                <w:bCs/>
                <w:color w:val="000000"/>
                <w:sz w:val="20"/>
                <w:szCs w:val="20"/>
                <w:lang w:eastAsia="sl-SI"/>
              </w:rPr>
              <w:t>Število podjetij</w:t>
            </w:r>
          </w:p>
        </w:tc>
        <w:tc>
          <w:tcPr>
            <w:tcW w:w="1134" w:type="dxa"/>
            <w:shd w:val="clear" w:color="auto" w:fill="auto"/>
            <w:noWrap/>
            <w:vAlign w:val="bottom"/>
            <w:hideMark/>
          </w:tcPr>
          <w:p w14:paraId="4061568B" w14:textId="7579FC02" w:rsidR="00F76868" w:rsidRPr="00CE0B15" w:rsidRDefault="00F76868" w:rsidP="00F76868">
            <w:pPr>
              <w:spacing w:before="60" w:after="0" w:line="312" w:lineRule="auto"/>
              <w:jc w:val="both"/>
              <w:rPr>
                <w:rFonts w:ascii="Arial" w:hAnsi="Arial" w:cs="Arial"/>
                <w:bCs/>
                <w:color w:val="000000"/>
                <w:sz w:val="20"/>
                <w:szCs w:val="20"/>
                <w:lang w:eastAsia="sl-SI"/>
              </w:rPr>
            </w:pPr>
            <w:r w:rsidRPr="00CE0B15">
              <w:rPr>
                <w:rFonts w:ascii="Arial" w:hAnsi="Arial" w:cs="Arial"/>
                <w:bCs/>
                <w:color w:val="000000"/>
                <w:sz w:val="20"/>
                <w:szCs w:val="20"/>
                <w:lang w:eastAsia="sl-SI"/>
              </w:rPr>
              <w:t>Slovenija</w:t>
            </w:r>
          </w:p>
        </w:tc>
        <w:tc>
          <w:tcPr>
            <w:tcW w:w="1261" w:type="dxa"/>
            <w:shd w:val="clear" w:color="auto" w:fill="auto"/>
            <w:noWrap/>
            <w:vAlign w:val="bottom"/>
            <w:hideMark/>
          </w:tcPr>
          <w:p w14:paraId="7141DC00" w14:textId="63C5D1BC"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152.541</w:t>
            </w:r>
          </w:p>
        </w:tc>
        <w:tc>
          <w:tcPr>
            <w:tcW w:w="1261" w:type="dxa"/>
            <w:shd w:val="clear" w:color="auto" w:fill="auto"/>
            <w:noWrap/>
            <w:vAlign w:val="bottom"/>
            <w:hideMark/>
          </w:tcPr>
          <w:p w14:paraId="06A1CD1C" w14:textId="370C00A0"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165.595</w:t>
            </w:r>
          </w:p>
        </w:tc>
        <w:tc>
          <w:tcPr>
            <w:tcW w:w="1262" w:type="dxa"/>
            <w:shd w:val="clear" w:color="auto" w:fill="auto"/>
            <w:noWrap/>
            <w:vAlign w:val="bottom"/>
            <w:hideMark/>
          </w:tcPr>
          <w:p w14:paraId="08466E3D" w14:textId="6280C01B"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182.089</w:t>
            </w:r>
          </w:p>
        </w:tc>
        <w:tc>
          <w:tcPr>
            <w:tcW w:w="1261" w:type="dxa"/>
            <w:shd w:val="clear" w:color="auto" w:fill="auto"/>
            <w:noWrap/>
            <w:vAlign w:val="bottom"/>
            <w:hideMark/>
          </w:tcPr>
          <w:p w14:paraId="10FFBD14" w14:textId="0056BEAE"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191.863</w:t>
            </w:r>
          </w:p>
        </w:tc>
        <w:tc>
          <w:tcPr>
            <w:tcW w:w="1262" w:type="dxa"/>
            <w:shd w:val="clear" w:color="auto" w:fill="auto"/>
            <w:noWrap/>
            <w:vAlign w:val="bottom"/>
            <w:hideMark/>
          </w:tcPr>
          <w:p w14:paraId="3E057478" w14:textId="1ADDB7C9"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200.174</w:t>
            </w:r>
          </w:p>
        </w:tc>
      </w:tr>
      <w:tr w:rsidR="00F76868" w:rsidRPr="00A52F41" w14:paraId="5BCD73BD" w14:textId="77777777" w:rsidTr="00F76868">
        <w:trPr>
          <w:trHeight w:val="291"/>
        </w:trPr>
        <w:tc>
          <w:tcPr>
            <w:tcW w:w="1771" w:type="dxa"/>
            <w:vMerge/>
            <w:shd w:val="clear" w:color="auto" w:fill="auto"/>
            <w:noWrap/>
            <w:vAlign w:val="bottom"/>
            <w:hideMark/>
          </w:tcPr>
          <w:p w14:paraId="4C4B5AF9" w14:textId="26AAD9F4" w:rsidR="00F76868" w:rsidRPr="00A52F41" w:rsidRDefault="00F76868" w:rsidP="00F76868">
            <w:pPr>
              <w:spacing w:before="60" w:after="0" w:line="312" w:lineRule="auto"/>
              <w:rPr>
                <w:rFonts w:ascii="Arial" w:hAnsi="Arial" w:cs="Arial"/>
                <w:b/>
                <w:bCs/>
                <w:color w:val="000000"/>
                <w:sz w:val="20"/>
                <w:szCs w:val="20"/>
                <w:lang w:eastAsia="sl-SI"/>
              </w:rPr>
            </w:pPr>
          </w:p>
        </w:tc>
        <w:tc>
          <w:tcPr>
            <w:tcW w:w="1134" w:type="dxa"/>
            <w:shd w:val="clear" w:color="auto" w:fill="auto"/>
            <w:noWrap/>
            <w:vAlign w:val="bottom"/>
            <w:hideMark/>
          </w:tcPr>
          <w:p w14:paraId="01EDD94E" w14:textId="660AF350" w:rsidR="00F76868" w:rsidRPr="00CE0B15" w:rsidRDefault="00CE0B15" w:rsidP="00CE0B15">
            <w:pPr>
              <w:spacing w:before="60" w:after="0" w:line="312" w:lineRule="auto"/>
              <w:jc w:val="both"/>
              <w:rPr>
                <w:rFonts w:ascii="Arial" w:hAnsi="Arial" w:cs="Arial"/>
                <w:bCs/>
                <w:color w:val="000000"/>
                <w:sz w:val="20"/>
                <w:szCs w:val="20"/>
                <w:lang w:eastAsia="sl-SI"/>
              </w:rPr>
            </w:pPr>
            <w:r w:rsidRPr="00CE0B15">
              <w:rPr>
                <w:rFonts w:ascii="Arial" w:hAnsi="Arial" w:cs="Arial"/>
                <w:bCs/>
                <w:color w:val="000000"/>
                <w:sz w:val="20"/>
                <w:szCs w:val="20"/>
                <w:lang w:eastAsia="sl-SI"/>
              </w:rPr>
              <w:t>p</w:t>
            </w:r>
            <w:r w:rsidR="00F76868" w:rsidRPr="00CE0B15">
              <w:rPr>
                <w:rFonts w:ascii="Arial" w:hAnsi="Arial" w:cs="Arial"/>
                <w:bCs/>
                <w:color w:val="000000"/>
                <w:sz w:val="20"/>
                <w:szCs w:val="20"/>
                <w:lang w:eastAsia="sl-SI"/>
              </w:rPr>
              <w:t>odeželje</w:t>
            </w:r>
          </w:p>
        </w:tc>
        <w:tc>
          <w:tcPr>
            <w:tcW w:w="1261" w:type="dxa"/>
            <w:shd w:val="clear" w:color="auto" w:fill="auto"/>
            <w:noWrap/>
            <w:vAlign w:val="bottom"/>
            <w:hideMark/>
          </w:tcPr>
          <w:p w14:paraId="1CB62675" w14:textId="3647ED72"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77.173</w:t>
            </w:r>
          </w:p>
        </w:tc>
        <w:tc>
          <w:tcPr>
            <w:tcW w:w="1261" w:type="dxa"/>
            <w:shd w:val="clear" w:color="auto" w:fill="auto"/>
            <w:noWrap/>
            <w:vAlign w:val="bottom"/>
            <w:hideMark/>
          </w:tcPr>
          <w:p w14:paraId="12EE14ED" w14:textId="006CEFFB"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84.162</w:t>
            </w:r>
          </w:p>
        </w:tc>
        <w:tc>
          <w:tcPr>
            <w:tcW w:w="1262" w:type="dxa"/>
            <w:shd w:val="clear" w:color="auto" w:fill="auto"/>
            <w:noWrap/>
            <w:vAlign w:val="bottom"/>
            <w:hideMark/>
          </w:tcPr>
          <w:p w14:paraId="52A577FA" w14:textId="6E3F212F"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93.496</w:t>
            </w:r>
          </w:p>
        </w:tc>
        <w:tc>
          <w:tcPr>
            <w:tcW w:w="1261" w:type="dxa"/>
            <w:shd w:val="clear" w:color="auto" w:fill="auto"/>
            <w:noWrap/>
            <w:vAlign w:val="bottom"/>
            <w:hideMark/>
          </w:tcPr>
          <w:p w14:paraId="30F88E48" w14:textId="06E90057"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98.228</w:t>
            </w:r>
          </w:p>
        </w:tc>
        <w:tc>
          <w:tcPr>
            <w:tcW w:w="1262" w:type="dxa"/>
            <w:shd w:val="clear" w:color="auto" w:fill="auto"/>
            <w:noWrap/>
            <w:vAlign w:val="bottom"/>
            <w:hideMark/>
          </w:tcPr>
          <w:p w14:paraId="4A773F8A" w14:textId="33BEB6CA"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102.205</w:t>
            </w:r>
          </w:p>
        </w:tc>
      </w:tr>
      <w:tr w:rsidR="00F76868" w:rsidRPr="00A52F41" w14:paraId="7C2EB979" w14:textId="77777777" w:rsidTr="00F76868">
        <w:trPr>
          <w:trHeight w:val="277"/>
        </w:trPr>
        <w:tc>
          <w:tcPr>
            <w:tcW w:w="1771" w:type="dxa"/>
            <w:vMerge w:val="restart"/>
            <w:shd w:val="clear" w:color="auto" w:fill="auto"/>
            <w:noWrap/>
            <w:vAlign w:val="bottom"/>
            <w:hideMark/>
          </w:tcPr>
          <w:p w14:paraId="73DDF4FF" w14:textId="157974DA" w:rsidR="00F76868" w:rsidRPr="00A52F41" w:rsidRDefault="00F76868" w:rsidP="00F76868">
            <w:pPr>
              <w:spacing w:before="60" w:after="0" w:line="312" w:lineRule="auto"/>
              <w:rPr>
                <w:rFonts w:ascii="Arial" w:hAnsi="Arial" w:cs="Arial"/>
                <w:b/>
                <w:bCs/>
                <w:color w:val="000000"/>
                <w:sz w:val="20"/>
                <w:szCs w:val="20"/>
                <w:lang w:eastAsia="sl-SI"/>
              </w:rPr>
            </w:pPr>
            <w:r w:rsidRPr="00A52F41">
              <w:rPr>
                <w:rFonts w:ascii="Arial" w:hAnsi="Arial" w:cs="Arial"/>
                <w:b/>
                <w:bCs/>
                <w:color w:val="000000"/>
                <w:sz w:val="20"/>
                <w:szCs w:val="20"/>
                <w:lang w:eastAsia="sl-SI"/>
              </w:rPr>
              <w:t>Prihodek podjetij (</w:t>
            </w:r>
            <w:r w:rsidR="007400DC">
              <w:rPr>
                <w:rFonts w:ascii="Arial" w:hAnsi="Arial" w:cs="Arial"/>
                <w:b/>
                <w:bCs/>
                <w:color w:val="000000"/>
                <w:sz w:val="20"/>
                <w:szCs w:val="20"/>
                <w:lang w:eastAsia="sl-SI"/>
              </w:rPr>
              <w:t xml:space="preserve">v </w:t>
            </w:r>
            <w:r w:rsidRPr="00A52F41">
              <w:rPr>
                <w:rFonts w:ascii="Arial" w:hAnsi="Arial" w:cs="Arial"/>
                <w:b/>
                <w:bCs/>
                <w:color w:val="000000"/>
                <w:sz w:val="20"/>
                <w:szCs w:val="20"/>
                <w:lang w:eastAsia="sl-SI"/>
              </w:rPr>
              <w:t>1.000 EUR)</w:t>
            </w:r>
          </w:p>
        </w:tc>
        <w:tc>
          <w:tcPr>
            <w:tcW w:w="1134" w:type="dxa"/>
            <w:shd w:val="clear" w:color="auto" w:fill="auto"/>
            <w:noWrap/>
            <w:vAlign w:val="bottom"/>
            <w:hideMark/>
          </w:tcPr>
          <w:p w14:paraId="250CC496" w14:textId="6F84794D" w:rsidR="00F76868" w:rsidRPr="00CE0B15" w:rsidRDefault="00F76868" w:rsidP="00F76868">
            <w:pPr>
              <w:spacing w:before="60" w:after="0" w:line="312" w:lineRule="auto"/>
              <w:jc w:val="both"/>
              <w:rPr>
                <w:rFonts w:ascii="Arial" w:hAnsi="Arial" w:cs="Arial"/>
                <w:bCs/>
                <w:color w:val="000000"/>
                <w:sz w:val="20"/>
                <w:szCs w:val="20"/>
                <w:lang w:eastAsia="sl-SI"/>
              </w:rPr>
            </w:pPr>
            <w:r w:rsidRPr="00CE0B15">
              <w:rPr>
                <w:rFonts w:ascii="Arial" w:hAnsi="Arial" w:cs="Arial"/>
                <w:bCs/>
                <w:color w:val="000000"/>
                <w:sz w:val="20"/>
                <w:szCs w:val="20"/>
                <w:lang w:eastAsia="sl-SI"/>
              </w:rPr>
              <w:t>Slovenija</w:t>
            </w:r>
          </w:p>
        </w:tc>
        <w:tc>
          <w:tcPr>
            <w:tcW w:w="1261" w:type="dxa"/>
            <w:shd w:val="clear" w:color="auto" w:fill="auto"/>
            <w:noWrap/>
            <w:vAlign w:val="bottom"/>
            <w:hideMark/>
          </w:tcPr>
          <w:p w14:paraId="75DE8256" w14:textId="482E8252"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95.786.283</w:t>
            </w:r>
          </w:p>
        </w:tc>
        <w:tc>
          <w:tcPr>
            <w:tcW w:w="1261" w:type="dxa"/>
            <w:shd w:val="clear" w:color="auto" w:fill="auto"/>
            <w:noWrap/>
            <w:vAlign w:val="bottom"/>
            <w:hideMark/>
          </w:tcPr>
          <w:p w14:paraId="743B00E5" w14:textId="3B4A6DAA"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86.705.208</w:t>
            </w:r>
          </w:p>
        </w:tc>
        <w:tc>
          <w:tcPr>
            <w:tcW w:w="1262" w:type="dxa"/>
            <w:shd w:val="clear" w:color="auto" w:fill="auto"/>
            <w:noWrap/>
            <w:vAlign w:val="bottom"/>
            <w:hideMark/>
          </w:tcPr>
          <w:p w14:paraId="169E4183" w14:textId="315DDF7C"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90.625.516</w:t>
            </w:r>
          </w:p>
        </w:tc>
        <w:tc>
          <w:tcPr>
            <w:tcW w:w="1261" w:type="dxa"/>
            <w:shd w:val="clear" w:color="auto" w:fill="auto"/>
            <w:noWrap/>
            <w:vAlign w:val="bottom"/>
            <w:hideMark/>
          </w:tcPr>
          <w:p w14:paraId="5043FCDB" w14:textId="795371E2"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95.298.760</w:t>
            </w:r>
          </w:p>
        </w:tc>
        <w:tc>
          <w:tcPr>
            <w:tcW w:w="1262" w:type="dxa"/>
            <w:shd w:val="clear" w:color="auto" w:fill="auto"/>
            <w:noWrap/>
            <w:vAlign w:val="bottom"/>
            <w:hideMark/>
          </w:tcPr>
          <w:p w14:paraId="5B483539" w14:textId="1144E324"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117.040.613</w:t>
            </w:r>
          </w:p>
        </w:tc>
      </w:tr>
      <w:tr w:rsidR="00F76868" w:rsidRPr="00A52F41" w14:paraId="3541C7B2" w14:textId="77777777" w:rsidTr="00F76868">
        <w:trPr>
          <w:trHeight w:val="291"/>
        </w:trPr>
        <w:tc>
          <w:tcPr>
            <w:tcW w:w="1771" w:type="dxa"/>
            <w:vMerge/>
            <w:shd w:val="clear" w:color="auto" w:fill="auto"/>
            <w:noWrap/>
            <w:vAlign w:val="bottom"/>
            <w:hideMark/>
          </w:tcPr>
          <w:p w14:paraId="278E5B22" w14:textId="67E68CC6" w:rsidR="00F76868" w:rsidRPr="00A52F41" w:rsidRDefault="00F76868" w:rsidP="00F76868">
            <w:pPr>
              <w:spacing w:before="60" w:after="0" w:line="312" w:lineRule="auto"/>
              <w:jc w:val="both"/>
              <w:rPr>
                <w:rFonts w:ascii="Arial" w:hAnsi="Arial" w:cs="Arial"/>
                <w:b/>
                <w:bCs/>
                <w:color w:val="000000"/>
                <w:sz w:val="20"/>
                <w:szCs w:val="20"/>
                <w:lang w:eastAsia="sl-SI"/>
              </w:rPr>
            </w:pPr>
          </w:p>
        </w:tc>
        <w:tc>
          <w:tcPr>
            <w:tcW w:w="1134" w:type="dxa"/>
            <w:shd w:val="clear" w:color="auto" w:fill="auto"/>
            <w:noWrap/>
            <w:vAlign w:val="bottom"/>
            <w:hideMark/>
          </w:tcPr>
          <w:p w14:paraId="1B4AEAB7" w14:textId="4D25405E" w:rsidR="00F76868" w:rsidRPr="00CE0B15" w:rsidRDefault="00CE0B15" w:rsidP="00CE0B15">
            <w:pPr>
              <w:spacing w:before="60" w:after="0" w:line="312" w:lineRule="auto"/>
              <w:jc w:val="both"/>
              <w:rPr>
                <w:rFonts w:ascii="Arial" w:hAnsi="Arial" w:cs="Arial"/>
                <w:bCs/>
                <w:color w:val="000000"/>
                <w:sz w:val="20"/>
                <w:szCs w:val="20"/>
                <w:lang w:eastAsia="sl-SI"/>
              </w:rPr>
            </w:pPr>
            <w:r w:rsidRPr="00CE0B15">
              <w:rPr>
                <w:rFonts w:ascii="Arial" w:hAnsi="Arial" w:cs="Arial"/>
                <w:bCs/>
                <w:color w:val="000000"/>
                <w:sz w:val="20"/>
                <w:szCs w:val="20"/>
                <w:lang w:eastAsia="sl-SI"/>
              </w:rPr>
              <w:t>p</w:t>
            </w:r>
            <w:r w:rsidR="00F76868" w:rsidRPr="00CE0B15">
              <w:rPr>
                <w:rFonts w:ascii="Arial" w:hAnsi="Arial" w:cs="Arial"/>
                <w:bCs/>
                <w:color w:val="000000"/>
                <w:sz w:val="20"/>
                <w:szCs w:val="20"/>
                <w:lang w:eastAsia="sl-SI"/>
              </w:rPr>
              <w:t>odeželje</w:t>
            </w:r>
          </w:p>
        </w:tc>
        <w:tc>
          <w:tcPr>
            <w:tcW w:w="1261" w:type="dxa"/>
            <w:shd w:val="clear" w:color="auto" w:fill="auto"/>
            <w:noWrap/>
            <w:vAlign w:val="bottom"/>
            <w:hideMark/>
          </w:tcPr>
          <w:p w14:paraId="241B2D46" w14:textId="0921B891"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31.409.116</w:t>
            </w:r>
          </w:p>
        </w:tc>
        <w:tc>
          <w:tcPr>
            <w:tcW w:w="1261" w:type="dxa"/>
            <w:shd w:val="clear" w:color="auto" w:fill="auto"/>
            <w:noWrap/>
            <w:vAlign w:val="bottom"/>
            <w:hideMark/>
          </w:tcPr>
          <w:p w14:paraId="41A49226" w14:textId="6B3A17D6"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28.023.511</w:t>
            </w:r>
          </w:p>
        </w:tc>
        <w:tc>
          <w:tcPr>
            <w:tcW w:w="1262" w:type="dxa"/>
            <w:shd w:val="clear" w:color="auto" w:fill="auto"/>
            <w:noWrap/>
            <w:vAlign w:val="bottom"/>
            <w:hideMark/>
          </w:tcPr>
          <w:p w14:paraId="61878CBA" w14:textId="2EB16CA5"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29.993.978</w:t>
            </w:r>
          </w:p>
        </w:tc>
        <w:tc>
          <w:tcPr>
            <w:tcW w:w="1261" w:type="dxa"/>
            <w:shd w:val="clear" w:color="auto" w:fill="auto"/>
            <w:noWrap/>
            <w:vAlign w:val="bottom"/>
            <w:hideMark/>
          </w:tcPr>
          <w:p w14:paraId="282E9C01" w14:textId="67A1D22D"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32.597.798</w:t>
            </w:r>
          </w:p>
        </w:tc>
        <w:tc>
          <w:tcPr>
            <w:tcW w:w="1262" w:type="dxa"/>
            <w:shd w:val="clear" w:color="auto" w:fill="auto"/>
            <w:noWrap/>
            <w:vAlign w:val="bottom"/>
            <w:hideMark/>
          </w:tcPr>
          <w:p w14:paraId="1F23A370" w14:textId="4608F931" w:rsidR="00F76868" w:rsidRPr="00A52F41" w:rsidRDefault="00F76868" w:rsidP="00F76868">
            <w:pPr>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40.773.495</w:t>
            </w:r>
          </w:p>
        </w:tc>
      </w:tr>
    </w:tbl>
    <w:p w14:paraId="3796C07F" w14:textId="31788E2B" w:rsidR="009E0216" w:rsidRPr="00BE756C" w:rsidRDefault="009E0216" w:rsidP="00EA2E4C">
      <w:pPr>
        <w:pStyle w:val="Default"/>
        <w:spacing w:line="360" w:lineRule="auto"/>
        <w:jc w:val="both"/>
        <w:rPr>
          <w:rFonts w:ascii="Arial" w:hAnsi="Arial" w:cs="Arial"/>
          <w:sz w:val="16"/>
          <w:szCs w:val="16"/>
          <w:lang w:val="sl-SI"/>
        </w:rPr>
      </w:pPr>
      <w:r w:rsidRPr="00BE756C">
        <w:rPr>
          <w:rFonts w:ascii="Arial" w:hAnsi="Arial" w:cs="Arial"/>
          <w:sz w:val="16"/>
          <w:szCs w:val="16"/>
          <w:lang w:val="sl-SI"/>
        </w:rPr>
        <w:t>Vir: SURS</w:t>
      </w:r>
      <w:r w:rsidR="000C775F" w:rsidRPr="00BE756C">
        <w:rPr>
          <w:rFonts w:ascii="Arial" w:hAnsi="Arial" w:cs="Arial"/>
          <w:sz w:val="16"/>
          <w:szCs w:val="16"/>
          <w:lang w:val="sl-SI"/>
        </w:rPr>
        <w:t>, 2020</w:t>
      </w:r>
    </w:p>
    <w:p w14:paraId="2464EAC9" w14:textId="74E0A2FB" w:rsidR="009E0216" w:rsidRPr="007E2079" w:rsidRDefault="009E0216" w:rsidP="00BE756C">
      <w:pPr>
        <w:pStyle w:val="Default"/>
        <w:spacing w:before="200" w:after="200" w:line="360" w:lineRule="auto"/>
        <w:jc w:val="both"/>
        <w:rPr>
          <w:rFonts w:ascii="Arial" w:hAnsi="Arial" w:cs="Arial"/>
          <w:color w:val="auto"/>
          <w:sz w:val="20"/>
          <w:szCs w:val="20"/>
          <w:lang w:val="sl-SI"/>
        </w:rPr>
      </w:pPr>
      <w:r w:rsidRPr="004B612B">
        <w:rPr>
          <w:rFonts w:ascii="Arial" w:hAnsi="Arial" w:cs="Arial"/>
          <w:sz w:val="20"/>
          <w:szCs w:val="20"/>
          <w:lang w:val="sl-SI"/>
        </w:rPr>
        <w:lastRenderedPageBreak/>
        <w:t>Na podeželju se je število podjetji od leta 2008 obdobju povečalo za 32 % V povprečju je bilo leta 2018 v Sloveniji 944 podjetij v posamezni občini. V občinah na podeželju je bilo 521 podjetij na občino, v ostalih pa 6.123 podjetij na občino. V letu 2018 je bilo povprečno v Sloveniji 97 podjetij na 1.000 prebivalcev, na podeželju pa le 83 podjetij. Prihodki podjetij na podeželju predstavljajo 35 % prihodkov vseh slovenskih podjetij.</w:t>
      </w:r>
      <w:r w:rsidR="007E2079">
        <w:rPr>
          <w:rFonts w:ascii="Arial" w:hAnsi="Arial" w:cs="Arial"/>
          <w:color w:val="auto"/>
          <w:sz w:val="20"/>
          <w:szCs w:val="20"/>
          <w:lang w:val="sl-SI"/>
        </w:rPr>
        <w:t xml:space="preserve"> </w:t>
      </w:r>
      <w:r w:rsidRPr="007E2079">
        <w:rPr>
          <w:rFonts w:ascii="Arial" w:hAnsi="Arial" w:cs="Arial"/>
          <w:color w:val="auto"/>
          <w:sz w:val="20"/>
          <w:szCs w:val="20"/>
          <w:lang w:val="sl-SI"/>
        </w:rPr>
        <w:t xml:space="preserve">Povprečna mesečna bruto plača na zaposlenega leta 2019 je bila v Sloveniji 1.754 </w:t>
      </w:r>
      <w:r w:rsidR="00FF2A8E">
        <w:rPr>
          <w:rFonts w:ascii="Arial" w:hAnsi="Arial" w:cs="Arial"/>
          <w:color w:val="auto"/>
          <w:sz w:val="20"/>
          <w:szCs w:val="20"/>
          <w:lang w:val="sl-SI"/>
        </w:rPr>
        <w:t>EUR</w:t>
      </w:r>
      <w:r w:rsidRPr="007E2079">
        <w:rPr>
          <w:rFonts w:ascii="Arial" w:hAnsi="Arial" w:cs="Arial"/>
          <w:color w:val="auto"/>
          <w:sz w:val="20"/>
          <w:szCs w:val="20"/>
          <w:lang w:val="sl-SI"/>
        </w:rPr>
        <w:t xml:space="preserve">, na podeželju pa za približno 12 odstotkov nižja (1.534 </w:t>
      </w:r>
      <w:r w:rsidR="00FF2A8E">
        <w:rPr>
          <w:rFonts w:ascii="Arial" w:hAnsi="Arial" w:cs="Arial"/>
          <w:color w:val="auto"/>
          <w:sz w:val="20"/>
          <w:szCs w:val="20"/>
          <w:lang w:val="sl-SI"/>
        </w:rPr>
        <w:t>EUR</w:t>
      </w:r>
      <w:r w:rsidRPr="007E2079">
        <w:rPr>
          <w:rFonts w:ascii="Arial" w:hAnsi="Arial" w:cs="Arial"/>
          <w:color w:val="auto"/>
          <w:sz w:val="20"/>
          <w:szCs w:val="20"/>
          <w:lang w:val="sl-SI"/>
        </w:rPr>
        <w:t xml:space="preserve">). </w:t>
      </w:r>
      <w:r w:rsidRPr="00A51AC6">
        <w:rPr>
          <w:rFonts w:ascii="Arial" w:hAnsi="Arial" w:cs="Arial"/>
          <w:color w:val="auto"/>
          <w:sz w:val="20"/>
          <w:szCs w:val="20"/>
          <w:lang w:val="sl-SI"/>
        </w:rPr>
        <w:t>Po podatkih SURS</w:t>
      </w:r>
      <w:r w:rsidR="007E2079" w:rsidRPr="007E2079">
        <w:rPr>
          <w:rFonts w:ascii="Arial" w:hAnsi="Arial" w:cs="Arial"/>
          <w:color w:val="auto"/>
          <w:sz w:val="20"/>
          <w:szCs w:val="20"/>
          <w:lang w:val="sl-SI"/>
        </w:rPr>
        <w:t xml:space="preserve"> (2020)</w:t>
      </w:r>
      <w:r w:rsidRPr="00A51AC6">
        <w:rPr>
          <w:rFonts w:ascii="Arial" w:hAnsi="Arial" w:cs="Arial"/>
          <w:color w:val="auto"/>
          <w:sz w:val="20"/>
          <w:szCs w:val="20"/>
          <w:lang w:val="sl-SI"/>
        </w:rPr>
        <w:t xml:space="preserve"> se je </w:t>
      </w:r>
      <w:r w:rsidR="00CE0B15">
        <w:rPr>
          <w:rFonts w:ascii="Arial" w:hAnsi="Arial" w:cs="Arial"/>
          <w:color w:val="auto"/>
          <w:sz w:val="20"/>
          <w:szCs w:val="20"/>
          <w:lang w:val="sl-SI"/>
        </w:rPr>
        <w:t xml:space="preserve">v </w:t>
      </w:r>
      <w:r w:rsidR="00CE0B15" w:rsidRPr="00A51AC6">
        <w:rPr>
          <w:rFonts w:ascii="Arial" w:hAnsi="Arial" w:cs="Arial"/>
          <w:color w:val="auto"/>
          <w:sz w:val="20"/>
          <w:szCs w:val="20"/>
          <w:lang w:val="sl-SI"/>
        </w:rPr>
        <w:t>l</w:t>
      </w:r>
      <w:r w:rsidR="00CE0B15" w:rsidRPr="007E2079">
        <w:rPr>
          <w:rFonts w:ascii="Arial" w:hAnsi="Arial" w:cs="Arial"/>
          <w:color w:val="auto"/>
          <w:sz w:val="20"/>
          <w:szCs w:val="20"/>
          <w:lang w:val="sl-SI"/>
        </w:rPr>
        <w:t>etu</w:t>
      </w:r>
      <w:r w:rsidRPr="007E2079">
        <w:rPr>
          <w:rFonts w:ascii="Arial" w:hAnsi="Arial" w:cs="Arial"/>
          <w:color w:val="auto"/>
          <w:sz w:val="20"/>
          <w:szCs w:val="20"/>
          <w:lang w:val="sl-SI"/>
        </w:rPr>
        <w:t xml:space="preserve"> 2018 največ podjetij uvrščalo med mikropodjetja (94,9 %). Kljub temu so največji del prihodka ustvarila sicer manj številna srednje velika in velika podjetja, tj. podjetja, ki zaposlujejo najmanj 50 oseb. Srednje velika podjetja so ustvarila 23,7 % prihodka, velika pa 35,5 % prihodka. Srednje velika in velika podjetja so zaposlovala več kot polovico vseh zaposlenih oseb (54,3</w:t>
      </w:r>
      <w:r w:rsidR="007E2079" w:rsidRPr="007E2079">
        <w:rPr>
          <w:rFonts w:ascii="Arial" w:hAnsi="Arial" w:cs="Arial"/>
          <w:color w:val="auto"/>
          <w:sz w:val="20"/>
          <w:szCs w:val="20"/>
          <w:lang w:val="sl-SI"/>
        </w:rPr>
        <w:t> </w:t>
      </w:r>
      <w:r w:rsidRPr="007E2079">
        <w:rPr>
          <w:rFonts w:ascii="Arial" w:hAnsi="Arial" w:cs="Arial"/>
          <w:color w:val="auto"/>
          <w:sz w:val="20"/>
          <w:szCs w:val="20"/>
          <w:lang w:val="sl-SI"/>
        </w:rPr>
        <w:t>%).</w:t>
      </w:r>
    </w:p>
    <w:p w14:paraId="521C5709" w14:textId="77777777" w:rsidR="00A53A3F" w:rsidRPr="00A417A4" w:rsidRDefault="00A53A3F" w:rsidP="00A417A4">
      <w:pPr>
        <w:pStyle w:val="SCslika"/>
        <w:keepNext/>
        <w:keepLines/>
      </w:pPr>
      <w:r w:rsidRPr="00A417A4">
        <w:t>Slika 25: Podatki za podjetja po velikostnih razredih, glede na število oseb in prihodek</w:t>
      </w:r>
    </w:p>
    <w:p w14:paraId="2443C592" w14:textId="77777777" w:rsidR="009E0216" w:rsidRPr="00A52F41" w:rsidRDefault="009E0216" w:rsidP="007400DC">
      <w:pPr>
        <w:pStyle w:val="Default"/>
        <w:jc w:val="both"/>
        <w:rPr>
          <w:rFonts w:ascii="Arial" w:hAnsi="Arial" w:cs="Arial"/>
          <w:sz w:val="20"/>
          <w:szCs w:val="20"/>
          <w:lang w:val="sl-SI"/>
        </w:rPr>
      </w:pPr>
      <w:r w:rsidRPr="00A52F41">
        <w:rPr>
          <w:rFonts w:ascii="Arial" w:hAnsi="Arial" w:cs="Arial"/>
          <w:noProof/>
          <w:sz w:val="20"/>
          <w:szCs w:val="20"/>
          <w:lang w:val="sl-SI" w:eastAsia="sl-SI"/>
        </w:rPr>
        <w:drawing>
          <wp:inline distT="0" distB="0" distL="0" distR="0" wp14:anchorId="0ECF0252" wp14:editId="3698B83D">
            <wp:extent cx="5645150" cy="2889885"/>
            <wp:effectExtent l="19050" t="19050" r="12700" b="24765"/>
            <wp:docPr id="1631865547" name="Slika 163186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5150" cy="2889885"/>
                    </a:xfrm>
                    <a:prstGeom prst="rect">
                      <a:avLst/>
                    </a:prstGeom>
                    <a:noFill/>
                    <a:ln w="6350">
                      <a:solidFill>
                        <a:schemeClr val="tx1">
                          <a:lumMod val="50000"/>
                          <a:lumOff val="50000"/>
                        </a:schemeClr>
                      </a:solidFill>
                    </a:ln>
                  </pic:spPr>
                </pic:pic>
              </a:graphicData>
            </a:graphic>
          </wp:inline>
        </w:drawing>
      </w:r>
    </w:p>
    <w:p w14:paraId="56FF2896" w14:textId="312FC867" w:rsidR="009E0216" w:rsidRPr="00A53A3F" w:rsidRDefault="009E0216" w:rsidP="00EA2E4C">
      <w:pPr>
        <w:spacing w:line="360" w:lineRule="auto"/>
        <w:jc w:val="both"/>
        <w:rPr>
          <w:rFonts w:ascii="Arial" w:hAnsi="Arial" w:cs="Arial"/>
          <w:sz w:val="16"/>
          <w:szCs w:val="16"/>
        </w:rPr>
      </w:pPr>
      <w:r w:rsidRPr="00A53A3F">
        <w:rPr>
          <w:rFonts w:ascii="Arial" w:hAnsi="Arial" w:cs="Arial"/>
          <w:sz w:val="16"/>
          <w:szCs w:val="16"/>
        </w:rPr>
        <w:t>Vir: SURS</w:t>
      </w:r>
      <w:r w:rsidR="007E2079">
        <w:rPr>
          <w:rFonts w:ascii="Arial" w:hAnsi="Arial" w:cs="Arial"/>
          <w:sz w:val="16"/>
          <w:szCs w:val="16"/>
        </w:rPr>
        <w:t>, 2020</w:t>
      </w:r>
      <w:r w:rsidRPr="00A53A3F">
        <w:rPr>
          <w:rFonts w:ascii="Arial" w:hAnsi="Arial" w:cs="Arial"/>
          <w:sz w:val="16"/>
          <w:szCs w:val="16"/>
        </w:rPr>
        <w:t xml:space="preserve"> </w:t>
      </w:r>
    </w:p>
    <w:p w14:paraId="30FC8998" w14:textId="77777777" w:rsidR="00A53A3F" w:rsidRPr="00A417A4" w:rsidRDefault="00A53A3F" w:rsidP="00A417A4">
      <w:pPr>
        <w:pStyle w:val="SCslika"/>
        <w:keepNext/>
        <w:keepLines/>
      </w:pPr>
      <w:r w:rsidRPr="00A417A4">
        <w:t>Slika 26: Število podjetij po statističnih regijah leta 2018</w:t>
      </w:r>
    </w:p>
    <w:p w14:paraId="6337575F" w14:textId="2CE2C694" w:rsidR="00A53A3F" w:rsidRDefault="009E0216" w:rsidP="007400DC">
      <w:pPr>
        <w:pStyle w:val="Default"/>
        <w:jc w:val="both"/>
        <w:rPr>
          <w:rFonts w:ascii="Arial" w:hAnsi="Arial" w:cs="Arial"/>
          <w:sz w:val="20"/>
          <w:szCs w:val="20"/>
        </w:rPr>
      </w:pPr>
      <w:r w:rsidRPr="00A52F41">
        <w:rPr>
          <w:rFonts w:ascii="Arial" w:hAnsi="Arial" w:cs="Arial"/>
          <w:noProof/>
          <w:color w:val="auto"/>
          <w:sz w:val="20"/>
          <w:szCs w:val="20"/>
          <w:lang w:val="sl-SI" w:eastAsia="sl-SI"/>
        </w:rPr>
        <w:drawing>
          <wp:inline distT="0" distB="0" distL="0" distR="0" wp14:anchorId="1BE0DBB2" wp14:editId="2453B3D1">
            <wp:extent cx="5675037" cy="2648310"/>
            <wp:effectExtent l="19050" t="19050" r="20955" b="19050"/>
            <wp:docPr id="1631865548" name="Slika 163186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8544" cy="2677946"/>
                    </a:xfrm>
                    <a:prstGeom prst="rect">
                      <a:avLst/>
                    </a:prstGeom>
                    <a:noFill/>
                    <a:ln w="6350">
                      <a:solidFill>
                        <a:schemeClr val="tx1">
                          <a:lumMod val="50000"/>
                          <a:lumOff val="50000"/>
                        </a:schemeClr>
                      </a:solidFill>
                    </a:ln>
                  </pic:spPr>
                </pic:pic>
              </a:graphicData>
            </a:graphic>
          </wp:inline>
        </w:drawing>
      </w:r>
    </w:p>
    <w:p w14:paraId="5D1FC3F8" w14:textId="4381EC9B" w:rsidR="009E0216" w:rsidRPr="00A53A3F" w:rsidRDefault="009E0216" w:rsidP="00A53A3F">
      <w:pPr>
        <w:pStyle w:val="Default"/>
        <w:spacing w:line="360" w:lineRule="auto"/>
        <w:jc w:val="both"/>
        <w:rPr>
          <w:rFonts w:ascii="Arial" w:hAnsi="Arial" w:cs="Arial"/>
          <w:color w:val="auto"/>
          <w:sz w:val="16"/>
          <w:szCs w:val="16"/>
          <w:lang w:val="sl-SI"/>
        </w:rPr>
      </w:pPr>
      <w:r w:rsidRPr="00A53A3F">
        <w:rPr>
          <w:rFonts w:ascii="Arial" w:hAnsi="Arial" w:cs="Arial"/>
          <w:sz w:val="16"/>
          <w:szCs w:val="16"/>
        </w:rPr>
        <w:t>Vir: SURS</w:t>
      </w:r>
      <w:r w:rsidR="007E2079">
        <w:rPr>
          <w:rFonts w:ascii="Arial" w:hAnsi="Arial" w:cs="Arial"/>
          <w:sz w:val="16"/>
          <w:szCs w:val="16"/>
        </w:rPr>
        <w:t>, 2020</w:t>
      </w:r>
    </w:p>
    <w:p w14:paraId="7924986E" w14:textId="5C5CDFC6" w:rsidR="009E0216" w:rsidRPr="00A52F41" w:rsidRDefault="009E0216" w:rsidP="00BE756C">
      <w:pPr>
        <w:pStyle w:val="Default"/>
        <w:spacing w:before="200" w:after="200" w:line="360" w:lineRule="auto"/>
        <w:jc w:val="both"/>
        <w:rPr>
          <w:rFonts w:ascii="Arial" w:hAnsi="Arial" w:cs="Arial"/>
          <w:color w:val="auto"/>
          <w:sz w:val="20"/>
          <w:szCs w:val="20"/>
          <w:lang w:val="sl-SI"/>
        </w:rPr>
      </w:pPr>
      <w:r w:rsidRPr="00A52F41">
        <w:rPr>
          <w:rFonts w:ascii="Arial" w:hAnsi="Arial" w:cs="Arial"/>
          <w:color w:val="auto"/>
          <w:sz w:val="20"/>
          <w:szCs w:val="20"/>
          <w:lang w:val="sl-SI"/>
        </w:rPr>
        <w:lastRenderedPageBreak/>
        <w:t>Največ podjetij je leta 2018 delovalo v osrednjeslovenski regiji (33,7 %)</w:t>
      </w:r>
      <w:r w:rsidR="00B3003E">
        <w:rPr>
          <w:rFonts w:ascii="Arial" w:hAnsi="Arial" w:cs="Arial"/>
          <w:color w:val="auto"/>
          <w:sz w:val="20"/>
          <w:szCs w:val="20"/>
          <w:lang w:val="sl-SI"/>
        </w:rPr>
        <w:t xml:space="preserve"> (Slika 26)</w:t>
      </w:r>
      <w:r w:rsidRPr="00A52F41">
        <w:rPr>
          <w:rFonts w:ascii="Arial" w:hAnsi="Arial" w:cs="Arial"/>
          <w:color w:val="auto"/>
          <w:sz w:val="20"/>
          <w:szCs w:val="20"/>
          <w:lang w:val="sl-SI"/>
        </w:rPr>
        <w:t>, najmanj pa v zasavski statistični regiji (1,9 %)</w:t>
      </w:r>
      <w:r w:rsidR="007E2079">
        <w:rPr>
          <w:rFonts w:ascii="Arial" w:hAnsi="Arial" w:cs="Arial"/>
          <w:color w:val="auto"/>
          <w:sz w:val="20"/>
          <w:szCs w:val="20"/>
          <w:lang w:val="sl-SI"/>
        </w:rPr>
        <w:t xml:space="preserve"> (SURS, 2020)</w:t>
      </w:r>
      <w:r w:rsidRPr="00A52F41">
        <w:rPr>
          <w:rFonts w:ascii="Arial" w:hAnsi="Arial" w:cs="Arial"/>
          <w:color w:val="auto"/>
          <w:sz w:val="20"/>
          <w:szCs w:val="20"/>
          <w:lang w:val="sl-SI"/>
        </w:rPr>
        <w:t>. Povprečna velikost podjetja leta 2018 je bila v Sloveniji 4,6 zaposlenega na podjetje. Največja povprečna velikost podjetja je v jugovzhodni Sloveniji (5,3 zaposlenega na podjetje), najmanjša pa v obalno-kraški statistični regiji (2,8 zaposlenega na podjetje)</w:t>
      </w:r>
      <w:r w:rsidR="00966269">
        <w:rPr>
          <w:rFonts w:ascii="Arial" w:hAnsi="Arial" w:cs="Arial"/>
          <w:color w:val="auto"/>
          <w:sz w:val="20"/>
          <w:szCs w:val="20"/>
          <w:lang w:val="sl-SI"/>
        </w:rPr>
        <w:t xml:space="preserve"> (UM EPF, 2019)</w:t>
      </w:r>
      <w:r w:rsidRPr="00A52F41">
        <w:rPr>
          <w:rFonts w:ascii="Arial" w:hAnsi="Arial" w:cs="Arial"/>
          <w:color w:val="auto"/>
          <w:sz w:val="20"/>
          <w:szCs w:val="20"/>
          <w:lang w:val="sl-SI"/>
        </w:rPr>
        <w:t xml:space="preserve">. </w:t>
      </w:r>
    </w:p>
    <w:p w14:paraId="5551B49D" w14:textId="09A14414" w:rsidR="009E0216" w:rsidRPr="00A52F41" w:rsidRDefault="009E0216" w:rsidP="00BE756C">
      <w:pPr>
        <w:pStyle w:val="Default"/>
        <w:spacing w:before="200" w:after="200" w:line="360" w:lineRule="auto"/>
        <w:jc w:val="both"/>
        <w:rPr>
          <w:rFonts w:ascii="Arial" w:hAnsi="Arial" w:cs="Arial"/>
          <w:color w:val="auto"/>
          <w:sz w:val="20"/>
          <w:szCs w:val="20"/>
          <w:lang w:val="sl-SI"/>
        </w:rPr>
      </w:pPr>
      <w:r w:rsidRPr="00A52F41">
        <w:rPr>
          <w:rFonts w:ascii="Arial" w:hAnsi="Arial" w:cs="Arial"/>
          <w:color w:val="auto"/>
          <w:sz w:val="20"/>
          <w:szCs w:val="20"/>
          <w:lang w:val="sl-SI"/>
        </w:rPr>
        <w:t>Podjetja so v letu 2018 v Slovenji skupaj ustvarila 117.041 milijonov EUR prihodka. Prihodek podjetij se je od padca v letu 2009 zviševal in šele v letu 2016 dosegel raven iz leta 2008. Tudi prihodek na podjetje se je leta 2009 zniža in po tem letu rastel</w:t>
      </w:r>
      <w:r w:rsidR="00E64CF3">
        <w:rPr>
          <w:rFonts w:ascii="Arial" w:hAnsi="Arial" w:cs="Arial"/>
          <w:color w:val="auto"/>
          <w:sz w:val="20"/>
          <w:szCs w:val="20"/>
          <w:lang w:val="sl-SI"/>
        </w:rPr>
        <w:t xml:space="preserve"> (SURS, 2020)</w:t>
      </w:r>
      <w:r w:rsidRPr="00A52F41">
        <w:rPr>
          <w:rFonts w:ascii="Arial" w:hAnsi="Arial" w:cs="Arial"/>
          <w:color w:val="auto"/>
          <w:sz w:val="20"/>
          <w:szCs w:val="20"/>
          <w:lang w:val="sl-SI"/>
        </w:rPr>
        <w:t xml:space="preserve">. </w:t>
      </w:r>
    </w:p>
    <w:p w14:paraId="10A5016B" w14:textId="4769AB55" w:rsidR="009E0216" w:rsidRDefault="009E0216" w:rsidP="00BE756C">
      <w:pPr>
        <w:pStyle w:val="Default"/>
        <w:spacing w:before="200" w:after="200" w:line="360" w:lineRule="auto"/>
        <w:jc w:val="both"/>
        <w:rPr>
          <w:rFonts w:ascii="Arial" w:hAnsi="Arial" w:cs="Arial"/>
          <w:color w:val="auto"/>
          <w:sz w:val="20"/>
          <w:szCs w:val="20"/>
          <w:lang w:val="sl-SI"/>
        </w:rPr>
      </w:pPr>
      <w:r w:rsidRPr="00A52F41">
        <w:rPr>
          <w:rFonts w:ascii="Arial" w:hAnsi="Arial" w:cs="Arial"/>
          <w:color w:val="auto"/>
          <w:sz w:val="20"/>
          <w:szCs w:val="20"/>
          <w:lang w:val="sl-SI"/>
        </w:rPr>
        <w:t>Po podatkih SURS je bilo na ravni statističnih regij leta 2018 bila največja vrednost s 43 % vrednosti vseh investicij ustvarjenih v osrednjeslovenski regiji (v 2017: 41 %)</w:t>
      </w:r>
      <w:r w:rsidR="00E64CF3">
        <w:rPr>
          <w:rFonts w:ascii="Arial" w:hAnsi="Arial" w:cs="Arial"/>
          <w:color w:val="auto"/>
          <w:sz w:val="20"/>
          <w:szCs w:val="20"/>
          <w:lang w:val="sl-SI"/>
        </w:rPr>
        <w:t xml:space="preserve"> (UM EPF, 2019)</w:t>
      </w:r>
      <w:r w:rsidRPr="00A52F41">
        <w:rPr>
          <w:rFonts w:ascii="Arial" w:hAnsi="Arial" w:cs="Arial"/>
          <w:color w:val="auto"/>
          <w:sz w:val="20"/>
          <w:szCs w:val="20"/>
          <w:lang w:val="sl-SI"/>
        </w:rPr>
        <w:t>, najmanj investicij pa v zasavski in primors</w:t>
      </w:r>
      <w:r w:rsidR="00083AB5">
        <w:rPr>
          <w:rFonts w:ascii="Arial" w:hAnsi="Arial" w:cs="Arial"/>
          <w:color w:val="auto"/>
          <w:sz w:val="20"/>
          <w:szCs w:val="20"/>
          <w:lang w:val="sl-SI"/>
        </w:rPr>
        <w:t>ko-notranjski regiji (</w:t>
      </w:r>
      <w:r w:rsidR="00B3003E">
        <w:rPr>
          <w:rFonts w:ascii="Arial" w:hAnsi="Arial" w:cs="Arial"/>
          <w:color w:val="auto"/>
          <w:sz w:val="20"/>
          <w:szCs w:val="20"/>
          <w:lang w:val="sl-SI"/>
        </w:rPr>
        <w:t>S</w:t>
      </w:r>
      <w:r w:rsidR="00083AB5">
        <w:rPr>
          <w:rFonts w:ascii="Arial" w:hAnsi="Arial" w:cs="Arial"/>
          <w:color w:val="auto"/>
          <w:sz w:val="20"/>
          <w:szCs w:val="20"/>
          <w:lang w:val="sl-SI"/>
        </w:rPr>
        <w:t>lika 2</w:t>
      </w:r>
      <w:r w:rsidR="00803D81">
        <w:rPr>
          <w:rFonts w:ascii="Arial" w:hAnsi="Arial" w:cs="Arial"/>
          <w:color w:val="auto"/>
          <w:sz w:val="20"/>
          <w:szCs w:val="20"/>
          <w:lang w:val="sl-SI"/>
        </w:rPr>
        <w:t>7</w:t>
      </w:r>
      <w:r w:rsidR="00083AB5">
        <w:rPr>
          <w:rFonts w:ascii="Arial" w:hAnsi="Arial" w:cs="Arial"/>
          <w:color w:val="auto"/>
          <w:sz w:val="20"/>
          <w:szCs w:val="20"/>
          <w:lang w:val="sl-SI"/>
        </w:rPr>
        <w:t>).</w:t>
      </w:r>
    </w:p>
    <w:p w14:paraId="03350394" w14:textId="152E0239" w:rsidR="00A53A3F" w:rsidRPr="00A417A4" w:rsidRDefault="00A53A3F" w:rsidP="00A417A4">
      <w:pPr>
        <w:pStyle w:val="SCslika"/>
        <w:keepNext/>
        <w:keepLines/>
        <w:spacing w:before="200"/>
      </w:pPr>
      <w:r w:rsidRPr="00A417A4">
        <w:t>Slika 2</w:t>
      </w:r>
      <w:r w:rsidR="00803D81">
        <w:t>7</w:t>
      </w:r>
      <w:r w:rsidRPr="00A417A4">
        <w:t>: Investicije po statističnih regijah leta 2018</w:t>
      </w:r>
    </w:p>
    <w:p w14:paraId="23D6E6DC" w14:textId="77777777" w:rsidR="009E0216" w:rsidRPr="00A52F41" w:rsidRDefault="009E0216" w:rsidP="00EA2E4C">
      <w:pPr>
        <w:pStyle w:val="Default"/>
        <w:spacing w:line="360" w:lineRule="auto"/>
        <w:jc w:val="both"/>
        <w:rPr>
          <w:rFonts w:ascii="Arial" w:hAnsi="Arial" w:cs="Arial"/>
          <w:b/>
          <w:color w:val="auto"/>
          <w:sz w:val="20"/>
          <w:szCs w:val="20"/>
          <w:lang w:val="sl-SI"/>
        </w:rPr>
      </w:pPr>
      <w:r w:rsidRPr="00A52F41">
        <w:rPr>
          <w:rFonts w:ascii="Arial" w:hAnsi="Arial" w:cs="Arial"/>
          <w:b/>
          <w:noProof/>
          <w:color w:val="auto"/>
          <w:sz w:val="20"/>
          <w:szCs w:val="20"/>
          <w:lang w:val="sl-SI" w:eastAsia="sl-SI"/>
        </w:rPr>
        <w:drawing>
          <wp:inline distT="0" distB="0" distL="0" distR="0" wp14:anchorId="10BCF4BF" wp14:editId="14CC9682">
            <wp:extent cx="5751830" cy="3621024"/>
            <wp:effectExtent l="19050" t="19050" r="20320" b="17780"/>
            <wp:docPr id="1631865550" name="Slika 163186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931" b="7217"/>
                    <a:stretch/>
                  </pic:blipFill>
                  <pic:spPr bwMode="auto">
                    <a:xfrm>
                      <a:off x="0" y="0"/>
                      <a:ext cx="5760210" cy="3626300"/>
                    </a:xfrm>
                    <a:prstGeom prst="rect">
                      <a:avLst/>
                    </a:prstGeom>
                    <a:noFill/>
                    <a:ln w="63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635234" w14:textId="10219436" w:rsidR="009E0216" w:rsidRPr="00083AB5" w:rsidRDefault="009E0216" w:rsidP="00EA2E4C">
      <w:pPr>
        <w:spacing w:line="360" w:lineRule="auto"/>
        <w:jc w:val="both"/>
        <w:rPr>
          <w:rFonts w:ascii="Arial" w:hAnsi="Arial" w:cs="Arial"/>
          <w:sz w:val="16"/>
          <w:szCs w:val="16"/>
        </w:rPr>
      </w:pPr>
      <w:r w:rsidRPr="00083AB5">
        <w:rPr>
          <w:rFonts w:ascii="Arial" w:hAnsi="Arial" w:cs="Arial"/>
          <w:sz w:val="16"/>
          <w:szCs w:val="16"/>
        </w:rPr>
        <w:t>Vir: SURS</w:t>
      </w:r>
      <w:r w:rsidR="00E64CF3">
        <w:rPr>
          <w:rFonts w:ascii="Arial" w:hAnsi="Arial" w:cs="Arial"/>
          <w:sz w:val="16"/>
          <w:szCs w:val="16"/>
        </w:rPr>
        <w:t>, 2020</w:t>
      </w:r>
    </w:p>
    <w:p w14:paraId="2B555BED" w14:textId="77777777" w:rsidR="009E0216" w:rsidRPr="00202F34" w:rsidRDefault="00AE0A93" w:rsidP="00BE756C">
      <w:pPr>
        <w:rPr>
          <w:rFonts w:ascii="Arial" w:hAnsi="Arial" w:cs="Arial"/>
          <w:sz w:val="20"/>
          <w:szCs w:val="20"/>
        </w:rPr>
      </w:pPr>
      <w:r>
        <w:rPr>
          <w:rFonts w:ascii="Arial" w:hAnsi="Arial" w:cs="Arial"/>
          <w:sz w:val="20"/>
          <w:szCs w:val="20"/>
        </w:rPr>
        <w:br w:type="page"/>
      </w:r>
    </w:p>
    <w:p w14:paraId="04B44E12" w14:textId="43853328" w:rsidR="009E0216" w:rsidRPr="00BE756C" w:rsidRDefault="00CE0B15" w:rsidP="00CE0B15">
      <w:pPr>
        <w:pStyle w:val="Naslov2"/>
        <w:keepLines w:val="0"/>
        <w:tabs>
          <w:tab w:val="left" w:pos="0"/>
          <w:tab w:val="left" w:pos="567"/>
          <w:tab w:val="left" w:pos="1276"/>
        </w:tabs>
        <w:spacing w:before="0" w:line="360" w:lineRule="auto"/>
        <w:jc w:val="both"/>
        <w:rPr>
          <w:rFonts w:ascii="Arial" w:hAnsi="Arial" w:cs="Arial"/>
          <w:color w:val="000000" w:themeColor="text1"/>
          <w:sz w:val="24"/>
          <w:szCs w:val="24"/>
        </w:rPr>
      </w:pPr>
      <w:bookmarkStart w:id="69" w:name="_Toc55999335"/>
      <w:r>
        <w:rPr>
          <w:rFonts w:ascii="Arial" w:hAnsi="Arial" w:cs="Arial"/>
          <w:color w:val="000000" w:themeColor="text1"/>
          <w:sz w:val="24"/>
          <w:szCs w:val="24"/>
        </w:rPr>
        <w:lastRenderedPageBreak/>
        <w:t xml:space="preserve">3.2 </w:t>
      </w:r>
      <w:r w:rsidR="009E0216" w:rsidRPr="00BE756C">
        <w:rPr>
          <w:rFonts w:ascii="Arial" w:hAnsi="Arial" w:cs="Arial"/>
          <w:color w:val="000000" w:themeColor="text1"/>
          <w:sz w:val="24"/>
          <w:szCs w:val="24"/>
        </w:rPr>
        <w:t>ZAPOSLENOST</w:t>
      </w:r>
      <w:bookmarkEnd w:id="69"/>
    </w:p>
    <w:p w14:paraId="39A8DA5C" w14:textId="5FEC0730" w:rsidR="009E0216" w:rsidRDefault="009E0216" w:rsidP="00BE756C">
      <w:pPr>
        <w:pStyle w:val="Default"/>
        <w:spacing w:before="200" w:after="200" w:line="360" w:lineRule="auto"/>
        <w:jc w:val="both"/>
        <w:rPr>
          <w:rFonts w:ascii="Arial" w:hAnsi="Arial" w:cs="Arial"/>
          <w:color w:val="auto"/>
          <w:sz w:val="20"/>
          <w:szCs w:val="20"/>
          <w:lang w:val="sl-SI"/>
        </w:rPr>
      </w:pPr>
      <w:r w:rsidRPr="00A52F41">
        <w:rPr>
          <w:rFonts w:ascii="Arial" w:hAnsi="Arial" w:cs="Arial"/>
          <w:color w:val="auto"/>
          <w:sz w:val="20"/>
          <w:szCs w:val="20"/>
          <w:lang w:val="sl-SI"/>
        </w:rPr>
        <w:t>V Sloveniji se po padcu v obdobju krize v letih 2008-2013 stopnja zaposlenosti od leta 2014 ponovno povečuje. V Sloveniji je bila po podatkih Eurostata leta 2019 evidentirana najvišja stopnja zaposlenosti v zadnjih letih (71,8), med moškimi celo 74 % in je bila višja glede na povprečje članic EU-27, kjer je bila 68,4 %</w:t>
      </w:r>
      <w:r w:rsidR="00A27639">
        <w:rPr>
          <w:rFonts w:ascii="Arial" w:hAnsi="Arial" w:cs="Arial"/>
          <w:color w:val="auto"/>
          <w:sz w:val="20"/>
          <w:szCs w:val="20"/>
          <w:lang w:val="sl-SI"/>
        </w:rPr>
        <w:t xml:space="preserve"> (Tabela </w:t>
      </w:r>
      <w:r w:rsidR="00803D81">
        <w:rPr>
          <w:rFonts w:ascii="Arial" w:hAnsi="Arial" w:cs="Arial"/>
          <w:color w:val="auto"/>
          <w:sz w:val="20"/>
          <w:szCs w:val="20"/>
          <w:lang w:val="sl-SI"/>
        </w:rPr>
        <w:t>21</w:t>
      </w:r>
      <w:r w:rsidR="00A27639">
        <w:rPr>
          <w:rFonts w:ascii="Arial" w:hAnsi="Arial" w:cs="Arial"/>
          <w:color w:val="auto"/>
          <w:sz w:val="20"/>
          <w:szCs w:val="20"/>
          <w:lang w:val="sl-SI"/>
        </w:rPr>
        <w:t>)</w:t>
      </w:r>
      <w:r w:rsidR="00E64CF3" w:rsidRPr="00E64CF3">
        <w:rPr>
          <w:rFonts w:ascii="Arial" w:hAnsi="Arial" w:cs="Arial"/>
          <w:color w:val="auto"/>
          <w:sz w:val="20"/>
          <w:szCs w:val="20"/>
          <w:lang w:val="sl-SI"/>
        </w:rPr>
        <w:t xml:space="preserve"> </w:t>
      </w:r>
      <w:r w:rsidR="00E64CF3">
        <w:rPr>
          <w:rFonts w:ascii="Arial" w:hAnsi="Arial" w:cs="Arial"/>
          <w:color w:val="auto"/>
          <w:sz w:val="20"/>
          <w:szCs w:val="20"/>
          <w:lang w:val="sl-SI"/>
        </w:rPr>
        <w:t>(EUROSTAT, 2020)</w:t>
      </w:r>
      <w:r w:rsidRPr="00A52F41">
        <w:rPr>
          <w:rFonts w:ascii="Arial" w:hAnsi="Arial" w:cs="Arial"/>
          <w:color w:val="auto"/>
          <w:sz w:val="20"/>
          <w:szCs w:val="20"/>
          <w:lang w:val="sl-SI"/>
        </w:rPr>
        <w:t>. Po podatkih SURS</w:t>
      </w:r>
      <w:r w:rsidR="00E64CF3">
        <w:rPr>
          <w:rFonts w:ascii="Arial" w:hAnsi="Arial" w:cs="Arial"/>
          <w:color w:val="auto"/>
          <w:sz w:val="20"/>
          <w:szCs w:val="20"/>
          <w:lang w:val="sl-SI"/>
        </w:rPr>
        <w:t xml:space="preserve"> (2020)</w:t>
      </w:r>
      <w:r w:rsidRPr="00A52F41">
        <w:rPr>
          <w:rFonts w:ascii="Arial" w:hAnsi="Arial" w:cs="Arial"/>
          <w:color w:val="auto"/>
          <w:sz w:val="20"/>
          <w:szCs w:val="20"/>
          <w:lang w:val="sl-SI"/>
        </w:rPr>
        <w:t xml:space="preserve"> se je število aktivnih oseb med prebivalci Slovenije po letu 2015 povečevalo in je v letu 2018 štelo 981.000 oseb</w:t>
      </w:r>
      <w:r w:rsidR="00A27639">
        <w:rPr>
          <w:rFonts w:ascii="Arial" w:hAnsi="Arial" w:cs="Arial"/>
          <w:color w:val="auto"/>
          <w:sz w:val="20"/>
          <w:szCs w:val="20"/>
          <w:lang w:val="sl-SI"/>
        </w:rPr>
        <w:t xml:space="preserve"> (Slika 2</w:t>
      </w:r>
      <w:r w:rsidR="00803D81">
        <w:rPr>
          <w:rFonts w:ascii="Arial" w:hAnsi="Arial" w:cs="Arial"/>
          <w:color w:val="auto"/>
          <w:sz w:val="20"/>
          <w:szCs w:val="20"/>
          <w:lang w:val="sl-SI"/>
        </w:rPr>
        <w:t>8</w:t>
      </w:r>
      <w:r w:rsidR="00A27639">
        <w:rPr>
          <w:rFonts w:ascii="Arial" w:hAnsi="Arial" w:cs="Arial"/>
          <w:color w:val="auto"/>
          <w:sz w:val="20"/>
          <w:szCs w:val="20"/>
          <w:lang w:val="sl-SI"/>
        </w:rPr>
        <w:t>)</w:t>
      </w:r>
      <w:r w:rsidR="00B3003E">
        <w:rPr>
          <w:rFonts w:ascii="Arial" w:hAnsi="Arial" w:cs="Arial"/>
          <w:color w:val="auto"/>
          <w:sz w:val="20"/>
          <w:szCs w:val="20"/>
          <w:lang w:val="sl-SI"/>
        </w:rPr>
        <w:t>.</w:t>
      </w:r>
      <w:r w:rsidRPr="00A52F41">
        <w:rPr>
          <w:rFonts w:ascii="Arial" w:hAnsi="Arial" w:cs="Arial"/>
          <w:color w:val="auto"/>
          <w:sz w:val="20"/>
          <w:szCs w:val="20"/>
          <w:lang w:val="sl-SI"/>
        </w:rPr>
        <w:t xml:space="preserve"> </w:t>
      </w:r>
    </w:p>
    <w:p w14:paraId="44A9EEF4" w14:textId="7CDCB3A5" w:rsidR="00083AB5" w:rsidRPr="004B612B" w:rsidRDefault="00083AB5" w:rsidP="004738DA">
      <w:pPr>
        <w:pStyle w:val="Default"/>
        <w:keepNext/>
        <w:spacing w:before="200" w:line="360" w:lineRule="auto"/>
        <w:jc w:val="both"/>
        <w:rPr>
          <w:rFonts w:ascii="Arial" w:hAnsi="Arial" w:cs="Arial"/>
          <w:sz w:val="20"/>
          <w:szCs w:val="20"/>
          <w:lang w:val="de-DE"/>
        </w:rPr>
      </w:pPr>
      <w:r w:rsidRPr="00BE756C">
        <w:rPr>
          <w:rFonts w:ascii="Arial" w:hAnsi="Arial" w:cs="Arial"/>
          <w:color w:val="auto"/>
          <w:sz w:val="20"/>
          <w:szCs w:val="20"/>
          <w:lang w:val="sl-SI"/>
        </w:rPr>
        <w:t>Slika 2</w:t>
      </w:r>
      <w:r w:rsidR="00803D81">
        <w:rPr>
          <w:rFonts w:ascii="Arial" w:hAnsi="Arial" w:cs="Arial"/>
          <w:color w:val="auto"/>
          <w:sz w:val="20"/>
          <w:szCs w:val="20"/>
          <w:lang w:val="sl-SI"/>
        </w:rPr>
        <w:t>8</w:t>
      </w:r>
      <w:r w:rsidRPr="00BE756C">
        <w:rPr>
          <w:rFonts w:ascii="Arial" w:hAnsi="Arial" w:cs="Arial"/>
          <w:color w:val="auto"/>
          <w:sz w:val="20"/>
          <w:szCs w:val="20"/>
          <w:lang w:val="sl-SI"/>
        </w:rPr>
        <w:t>: Aktivno in neaktivno prebivalstvo, Slovenija, 2018</w:t>
      </w:r>
    </w:p>
    <w:p w14:paraId="44BC6027" w14:textId="77777777" w:rsidR="009E0216" w:rsidRPr="00A52F41" w:rsidRDefault="009E0216" w:rsidP="004738DA">
      <w:pPr>
        <w:pStyle w:val="Default"/>
        <w:jc w:val="both"/>
        <w:rPr>
          <w:rFonts w:ascii="Arial" w:hAnsi="Arial" w:cs="Arial"/>
          <w:color w:val="auto"/>
          <w:sz w:val="20"/>
          <w:szCs w:val="20"/>
          <w:lang w:val="sl-SI"/>
        </w:rPr>
      </w:pPr>
      <w:r w:rsidRPr="00A52F41">
        <w:rPr>
          <w:rFonts w:ascii="Arial" w:hAnsi="Arial" w:cs="Arial"/>
          <w:noProof/>
          <w:sz w:val="20"/>
          <w:szCs w:val="20"/>
          <w:lang w:val="sl-SI" w:eastAsia="sl-SI"/>
        </w:rPr>
        <w:drawing>
          <wp:inline distT="0" distB="0" distL="0" distR="0" wp14:anchorId="4AD0F9FC" wp14:editId="4E131190">
            <wp:extent cx="5446643" cy="2734749"/>
            <wp:effectExtent l="19050" t="19050" r="20955" b="27940"/>
            <wp:docPr id="1631865551" name="Slika 1631865551" descr="http://www.stat.si/StatWeb/File/NewsImage/2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si/StatWeb/File/NewsImage/20874"/>
                    <pic:cNvPicPr>
                      <a:picLocks noChangeAspect="1" noChangeArrowheads="1"/>
                    </pic:cNvPicPr>
                  </pic:nvPicPr>
                  <pic:blipFill rotWithShape="1">
                    <a:blip r:embed="rId42">
                      <a:extLst>
                        <a:ext uri="{28A0092B-C50C-407E-A947-70E740481C1C}">
                          <a14:useLocalDpi xmlns:a14="http://schemas.microsoft.com/office/drawing/2010/main" val="0"/>
                        </a:ext>
                      </a:extLst>
                    </a:blip>
                    <a:srcRect t="5541"/>
                    <a:stretch/>
                  </pic:blipFill>
                  <pic:spPr bwMode="auto">
                    <a:xfrm>
                      <a:off x="0" y="0"/>
                      <a:ext cx="5508679" cy="2765897"/>
                    </a:xfrm>
                    <a:prstGeom prst="rect">
                      <a:avLst/>
                    </a:prstGeom>
                    <a:noFill/>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9C19B3A" w14:textId="7D8FE371" w:rsidR="009E0216" w:rsidRPr="00083AB5" w:rsidRDefault="009E0216" w:rsidP="004738DA">
      <w:pPr>
        <w:spacing w:line="360" w:lineRule="auto"/>
        <w:jc w:val="both"/>
        <w:rPr>
          <w:rFonts w:ascii="Arial" w:hAnsi="Arial" w:cs="Arial"/>
          <w:sz w:val="16"/>
          <w:szCs w:val="16"/>
        </w:rPr>
      </w:pPr>
      <w:r w:rsidRPr="00083AB5">
        <w:rPr>
          <w:rFonts w:ascii="Arial" w:hAnsi="Arial" w:cs="Arial"/>
          <w:sz w:val="16"/>
          <w:szCs w:val="16"/>
        </w:rPr>
        <w:t>Vir: SURS</w:t>
      </w:r>
      <w:r w:rsidR="00E64CF3">
        <w:rPr>
          <w:rFonts w:ascii="Arial" w:hAnsi="Arial" w:cs="Arial"/>
          <w:sz w:val="16"/>
          <w:szCs w:val="16"/>
        </w:rPr>
        <w:t>, 2020</w:t>
      </w:r>
    </w:p>
    <w:p w14:paraId="1547BE5A" w14:textId="209A1D52" w:rsidR="009E0216" w:rsidRDefault="009E0216" w:rsidP="00BE756C">
      <w:pPr>
        <w:pStyle w:val="Default"/>
        <w:spacing w:before="200" w:after="200" w:line="360" w:lineRule="auto"/>
        <w:jc w:val="both"/>
        <w:rPr>
          <w:rFonts w:ascii="Arial" w:hAnsi="Arial" w:cs="Arial"/>
          <w:color w:val="auto"/>
          <w:sz w:val="20"/>
          <w:szCs w:val="20"/>
          <w:lang w:val="sl-SI"/>
        </w:rPr>
      </w:pPr>
      <w:r w:rsidRPr="00A52F41">
        <w:rPr>
          <w:rFonts w:ascii="Arial" w:hAnsi="Arial" w:cs="Arial"/>
          <w:color w:val="auto"/>
          <w:sz w:val="20"/>
          <w:szCs w:val="20"/>
          <w:lang w:val="sl-SI"/>
        </w:rPr>
        <w:t>Stopnja samozaposlenosti je po letu</w:t>
      </w:r>
      <w:r w:rsidR="00A27639">
        <w:rPr>
          <w:rFonts w:ascii="Arial" w:hAnsi="Arial" w:cs="Arial"/>
          <w:color w:val="auto"/>
          <w:sz w:val="20"/>
          <w:szCs w:val="20"/>
          <w:lang w:val="sl-SI"/>
        </w:rPr>
        <w:t xml:space="preserve"> 2010</w:t>
      </w:r>
      <w:r w:rsidRPr="00A52F41">
        <w:rPr>
          <w:rFonts w:ascii="Arial" w:hAnsi="Arial" w:cs="Arial"/>
          <w:color w:val="auto"/>
          <w:sz w:val="20"/>
          <w:szCs w:val="20"/>
          <w:lang w:val="sl-SI"/>
        </w:rPr>
        <w:t xml:space="preserve"> okoli 12 % in torej višja kot leta 2008 (Eurostat, 2020). </w:t>
      </w:r>
    </w:p>
    <w:p w14:paraId="5487EDFF" w14:textId="53638F41" w:rsidR="009E0216" w:rsidRPr="00A52F41" w:rsidRDefault="00C57228" w:rsidP="004738DA">
      <w:pPr>
        <w:pStyle w:val="Default"/>
        <w:keepNext/>
        <w:spacing w:before="200" w:line="360" w:lineRule="auto"/>
        <w:jc w:val="both"/>
        <w:rPr>
          <w:rFonts w:ascii="Arial" w:hAnsi="Arial" w:cs="Arial"/>
          <w:color w:val="auto"/>
          <w:sz w:val="20"/>
          <w:szCs w:val="20"/>
          <w:lang w:val="sl-SI"/>
        </w:rPr>
      </w:pPr>
      <w:r>
        <w:rPr>
          <w:rFonts w:ascii="Arial" w:hAnsi="Arial" w:cs="Arial"/>
          <w:color w:val="auto"/>
          <w:sz w:val="20"/>
          <w:szCs w:val="20"/>
          <w:lang w:val="sl-SI"/>
        </w:rPr>
        <w:t xml:space="preserve">Tabela </w:t>
      </w:r>
      <w:r w:rsidR="00803D81">
        <w:rPr>
          <w:rFonts w:ascii="Arial" w:hAnsi="Arial" w:cs="Arial"/>
          <w:color w:val="auto"/>
          <w:sz w:val="20"/>
          <w:szCs w:val="20"/>
          <w:lang w:val="sl-SI"/>
        </w:rPr>
        <w:t>21</w:t>
      </w:r>
      <w:r>
        <w:rPr>
          <w:rFonts w:ascii="Arial" w:hAnsi="Arial" w:cs="Arial"/>
          <w:color w:val="auto"/>
          <w:sz w:val="20"/>
          <w:szCs w:val="20"/>
          <w:lang w:val="sl-SI"/>
        </w:rPr>
        <w:t>: Stopnja zaposlenosti, stopnja samozaposlenosti, stopnja brezposelnosti</w:t>
      </w:r>
    </w:p>
    <w:tbl>
      <w:tblPr>
        <w:tblW w:w="8866" w:type="dxa"/>
        <w:tblInd w:w="55" w:type="dxa"/>
        <w:tblLayout w:type="fixed"/>
        <w:tblCellMar>
          <w:left w:w="70" w:type="dxa"/>
          <w:right w:w="70" w:type="dxa"/>
        </w:tblCellMar>
        <w:tblLook w:val="04A0" w:firstRow="1" w:lastRow="0" w:firstColumn="1" w:lastColumn="0" w:noHBand="0" w:noVBand="1"/>
      </w:tblPr>
      <w:tblGrid>
        <w:gridCol w:w="2000"/>
        <w:gridCol w:w="1134"/>
        <w:gridCol w:w="992"/>
        <w:gridCol w:w="948"/>
        <w:gridCol w:w="948"/>
        <w:gridCol w:w="948"/>
        <w:gridCol w:w="948"/>
        <w:gridCol w:w="948"/>
      </w:tblGrid>
      <w:tr w:rsidR="009E0216" w:rsidRPr="00A52F41" w14:paraId="5DA7C626" w14:textId="77777777" w:rsidTr="00422936">
        <w:trPr>
          <w:trHeight w:val="560"/>
        </w:trPr>
        <w:tc>
          <w:tcPr>
            <w:tcW w:w="4126" w:type="dxa"/>
            <w:gridSpan w:val="3"/>
            <w:tcBorders>
              <w:top w:val="single" w:sz="8" w:space="0" w:color="auto"/>
              <w:left w:val="single" w:sz="8" w:space="0" w:color="auto"/>
              <w:bottom w:val="single" w:sz="4" w:space="0" w:color="auto"/>
              <w:right w:val="single" w:sz="4" w:space="0" w:color="auto"/>
            </w:tcBorders>
            <w:shd w:val="clear" w:color="auto" w:fill="auto"/>
            <w:vAlign w:val="center"/>
            <w:hideMark/>
          </w:tcPr>
          <w:p w14:paraId="7DC2414D" w14:textId="77777777" w:rsidR="009E0216" w:rsidRPr="00A52F41" w:rsidRDefault="009E0216" w:rsidP="004738DA">
            <w:pPr>
              <w:spacing w:after="0" w:line="240"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Kazalniki / leta</w:t>
            </w:r>
          </w:p>
        </w:tc>
        <w:tc>
          <w:tcPr>
            <w:tcW w:w="948" w:type="dxa"/>
            <w:tcBorders>
              <w:top w:val="single" w:sz="8" w:space="0" w:color="auto"/>
              <w:left w:val="nil"/>
              <w:bottom w:val="single" w:sz="4" w:space="0" w:color="auto"/>
              <w:right w:val="single" w:sz="4" w:space="0" w:color="auto"/>
            </w:tcBorders>
            <w:shd w:val="clear" w:color="auto" w:fill="auto"/>
            <w:noWrap/>
            <w:vAlign w:val="center"/>
            <w:hideMark/>
          </w:tcPr>
          <w:p w14:paraId="205015DE" w14:textId="77777777" w:rsidR="009E0216" w:rsidRPr="00A52F41" w:rsidRDefault="009E0216" w:rsidP="004738DA">
            <w:pPr>
              <w:spacing w:after="0" w:line="240"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2008</w:t>
            </w:r>
          </w:p>
        </w:tc>
        <w:tc>
          <w:tcPr>
            <w:tcW w:w="948" w:type="dxa"/>
            <w:tcBorders>
              <w:top w:val="single" w:sz="8" w:space="0" w:color="auto"/>
              <w:left w:val="nil"/>
              <w:bottom w:val="single" w:sz="4" w:space="0" w:color="auto"/>
              <w:right w:val="single" w:sz="4" w:space="0" w:color="auto"/>
            </w:tcBorders>
            <w:shd w:val="clear" w:color="auto" w:fill="auto"/>
            <w:noWrap/>
            <w:vAlign w:val="center"/>
            <w:hideMark/>
          </w:tcPr>
          <w:p w14:paraId="3B63B8E5" w14:textId="77777777" w:rsidR="009E0216" w:rsidRPr="00A52F41" w:rsidRDefault="009E0216" w:rsidP="004738DA">
            <w:pPr>
              <w:spacing w:after="0" w:line="240"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2010</w:t>
            </w:r>
          </w:p>
        </w:tc>
        <w:tc>
          <w:tcPr>
            <w:tcW w:w="948" w:type="dxa"/>
            <w:tcBorders>
              <w:top w:val="single" w:sz="8" w:space="0" w:color="auto"/>
              <w:left w:val="nil"/>
              <w:bottom w:val="single" w:sz="4" w:space="0" w:color="auto"/>
              <w:right w:val="single" w:sz="4" w:space="0" w:color="auto"/>
            </w:tcBorders>
            <w:shd w:val="clear" w:color="auto" w:fill="auto"/>
            <w:noWrap/>
            <w:vAlign w:val="center"/>
            <w:hideMark/>
          </w:tcPr>
          <w:p w14:paraId="7BB8FB76" w14:textId="77777777" w:rsidR="009E0216" w:rsidRPr="00A52F41" w:rsidRDefault="009E0216" w:rsidP="004738DA">
            <w:pPr>
              <w:spacing w:after="0" w:line="240"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2013</w:t>
            </w:r>
          </w:p>
        </w:tc>
        <w:tc>
          <w:tcPr>
            <w:tcW w:w="948" w:type="dxa"/>
            <w:tcBorders>
              <w:top w:val="single" w:sz="8" w:space="0" w:color="auto"/>
              <w:left w:val="nil"/>
              <w:bottom w:val="single" w:sz="4" w:space="0" w:color="auto"/>
              <w:right w:val="single" w:sz="4" w:space="0" w:color="auto"/>
            </w:tcBorders>
            <w:shd w:val="clear" w:color="auto" w:fill="auto"/>
            <w:noWrap/>
            <w:vAlign w:val="center"/>
            <w:hideMark/>
          </w:tcPr>
          <w:p w14:paraId="0293C8A5" w14:textId="77777777" w:rsidR="009E0216" w:rsidRPr="00A52F41" w:rsidRDefault="009E0216" w:rsidP="004738DA">
            <w:pPr>
              <w:spacing w:after="0" w:line="240"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2015</w:t>
            </w:r>
          </w:p>
        </w:tc>
        <w:tc>
          <w:tcPr>
            <w:tcW w:w="948" w:type="dxa"/>
            <w:tcBorders>
              <w:top w:val="single" w:sz="8" w:space="0" w:color="auto"/>
              <w:left w:val="nil"/>
              <w:bottom w:val="single" w:sz="4" w:space="0" w:color="auto"/>
              <w:right w:val="single" w:sz="8" w:space="0" w:color="auto"/>
            </w:tcBorders>
            <w:shd w:val="clear" w:color="auto" w:fill="auto"/>
            <w:noWrap/>
            <w:vAlign w:val="center"/>
            <w:hideMark/>
          </w:tcPr>
          <w:p w14:paraId="7A850F45" w14:textId="77777777" w:rsidR="009E0216" w:rsidRPr="00A52F41" w:rsidRDefault="009E0216" w:rsidP="004738DA">
            <w:pPr>
              <w:spacing w:after="0" w:line="240"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2019</w:t>
            </w:r>
          </w:p>
        </w:tc>
      </w:tr>
      <w:tr w:rsidR="009E0216" w:rsidRPr="00A52F41" w14:paraId="66679BF3" w14:textId="77777777" w:rsidTr="00422936">
        <w:trPr>
          <w:trHeight w:val="288"/>
        </w:trPr>
        <w:tc>
          <w:tcPr>
            <w:tcW w:w="2000" w:type="dxa"/>
            <w:vMerge w:val="restart"/>
            <w:tcBorders>
              <w:top w:val="nil"/>
              <w:left w:val="single" w:sz="8" w:space="0" w:color="auto"/>
              <w:bottom w:val="nil"/>
              <w:right w:val="single" w:sz="4" w:space="0" w:color="auto"/>
            </w:tcBorders>
            <w:shd w:val="clear" w:color="auto" w:fill="auto"/>
            <w:vAlign w:val="center"/>
            <w:hideMark/>
          </w:tcPr>
          <w:p w14:paraId="086988EF" w14:textId="77777777" w:rsidR="009E0216" w:rsidRPr="00A52F41" w:rsidRDefault="009E0216" w:rsidP="004738DA">
            <w:pPr>
              <w:spacing w:after="0" w:line="240" w:lineRule="auto"/>
              <w:rPr>
                <w:rFonts w:ascii="Arial" w:hAnsi="Arial" w:cs="Arial"/>
                <w:b/>
                <w:bCs/>
                <w:color w:val="000000"/>
                <w:sz w:val="20"/>
                <w:szCs w:val="20"/>
                <w:lang w:eastAsia="sl-SI"/>
              </w:rPr>
            </w:pPr>
            <w:r w:rsidRPr="00A52F41">
              <w:rPr>
                <w:rFonts w:ascii="Arial" w:hAnsi="Arial" w:cs="Arial"/>
                <w:b/>
                <w:bCs/>
                <w:color w:val="000000"/>
                <w:sz w:val="20"/>
                <w:szCs w:val="20"/>
                <w:lang w:eastAsia="sl-SI"/>
              </w:rPr>
              <w:t>C.05 Stopnja zaposlenosti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3B6E63B" w14:textId="77777777" w:rsidR="009E0216" w:rsidRPr="00A52F41" w:rsidRDefault="009E0216" w:rsidP="004738DA">
            <w:pPr>
              <w:spacing w:after="0" w:line="240" w:lineRule="auto"/>
              <w:rPr>
                <w:rFonts w:ascii="Arial" w:hAnsi="Arial" w:cs="Arial"/>
                <w:color w:val="000000"/>
                <w:sz w:val="20"/>
                <w:szCs w:val="20"/>
                <w:lang w:eastAsia="sl-SI"/>
              </w:rPr>
            </w:pPr>
            <w:r w:rsidRPr="00A52F41">
              <w:rPr>
                <w:rFonts w:ascii="Arial" w:hAnsi="Arial" w:cs="Arial"/>
                <w:color w:val="000000"/>
                <w:sz w:val="20"/>
                <w:szCs w:val="20"/>
                <w:lang w:eastAsia="sl-SI"/>
              </w:rPr>
              <w:t>15-64 let</w:t>
            </w:r>
          </w:p>
        </w:tc>
        <w:tc>
          <w:tcPr>
            <w:tcW w:w="992" w:type="dxa"/>
            <w:tcBorders>
              <w:top w:val="nil"/>
              <w:left w:val="nil"/>
              <w:bottom w:val="single" w:sz="4" w:space="0" w:color="auto"/>
              <w:right w:val="single" w:sz="4" w:space="0" w:color="auto"/>
            </w:tcBorders>
            <w:shd w:val="clear" w:color="auto" w:fill="auto"/>
            <w:vAlign w:val="bottom"/>
            <w:hideMark/>
          </w:tcPr>
          <w:p w14:paraId="2AAB421F" w14:textId="77777777" w:rsidR="009E0216" w:rsidRPr="00A52F41" w:rsidRDefault="009E0216" w:rsidP="004738DA">
            <w:pPr>
              <w:spacing w:after="0" w:line="24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xml:space="preserve">ženske </w:t>
            </w:r>
          </w:p>
        </w:tc>
        <w:tc>
          <w:tcPr>
            <w:tcW w:w="948" w:type="dxa"/>
            <w:tcBorders>
              <w:top w:val="nil"/>
              <w:left w:val="nil"/>
              <w:bottom w:val="single" w:sz="4" w:space="0" w:color="auto"/>
              <w:right w:val="single" w:sz="4" w:space="0" w:color="auto"/>
            </w:tcBorders>
            <w:shd w:val="clear" w:color="auto" w:fill="auto"/>
            <w:noWrap/>
            <w:vAlign w:val="bottom"/>
            <w:hideMark/>
          </w:tcPr>
          <w:p w14:paraId="07146D31"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64,20</w:t>
            </w:r>
          </w:p>
        </w:tc>
        <w:tc>
          <w:tcPr>
            <w:tcW w:w="948" w:type="dxa"/>
            <w:tcBorders>
              <w:top w:val="nil"/>
              <w:left w:val="nil"/>
              <w:bottom w:val="single" w:sz="4" w:space="0" w:color="auto"/>
              <w:right w:val="single" w:sz="4" w:space="0" w:color="auto"/>
            </w:tcBorders>
            <w:shd w:val="clear" w:color="auto" w:fill="auto"/>
            <w:noWrap/>
            <w:vAlign w:val="bottom"/>
            <w:hideMark/>
          </w:tcPr>
          <w:p w14:paraId="35ADA0AE"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62,60</w:t>
            </w:r>
          </w:p>
        </w:tc>
        <w:tc>
          <w:tcPr>
            <w:tcW w:w="948" w:type="dxa"/>
            <w:tcBorders>
              <w:top w:val="nil"/>
              <w:left w:val="nil"/>
              <w:bottom w:val="single" w:sz="4" w:space="0" w:color="auto"/>
              <w:right w:val="single" w:sz="4" w:space="0" w:color="auto"/>
            </w:tcBorders>
            <w:shd w:val="clear" w:color="auto" w:fill="auto"/>
            <w:noWrap/>
            <w:vAlign w:val="bottom"/>
            <w:hideMark/>
          </w:tcPr>
          <w:p w14:paraId="60FA0FAC"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59,20</w:t>
            </w:r>
          </w:p>
        </w:tc>
        <w:tc>
          <w:tcPr>
            <w:tcW w:w="948" w:type="dxa"/>
            <w:tcBorders>
              <w:top w:val="nil"/>
              <w:left w:val="nil"/>
              <w:bottom w:val="single" w:sz="4" w:space="0" w:color="auto"/>
              <w:right w:val="single" w:sz="4" w:space="0" w:color="auto"/>
            </w:tcBorders>
            <w:shd w:val="clear" w:color="auto" w:fill="auto"/>
            <w:noWrap/>
            <w:vAlign w:val="bottom"/>
            <w:hideMark/>
          </w:tcPr>
          <w:p w14:paraId="743818DD"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61,00</w:t>
            </w:r>
          </w:p>
        </w:tc>
        <w:tc>
          <w:tcPr>
            <w:tcW w:w="948" w:type="dxa"/>
            <w:tcBorders>
              <w:top w:val="nil"/>
              <w:left w:val="nil"/>
              <w:bottom w:val="single" w:sz="4" w:space="0" w:color="auto"/>
              <w:right w:val="single" w:sz="8" w:space="0" w:color="auto"/>
            </w:tcBorders>
            <w:shd w:val="clear" w:color="auto" w:fill="auto"/>
            <w:noWrap/>
            <w:vAlign w:val="bottom"/>
            <w:hideMark/>
          </w:tcPr>
          <w:p w14:paraId="271EDF42"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68,60</w:t>
            </w:r>
          </w:p>
        </w:tc>
      </w:tr>
      <w:tr w:rsidR="009E0216" w:rsidRPr="00A52F41" w14:paraId="4D9198D3" w14:textId="77777777" w:rsidTr="00422936">
        <w:trPr>
          <w:trHeight w:val="288"/>
        </w:trPr>
        <w:tc>
          <w:tcPr>
            <w:tcW w:w="2000" w:type="dxa"/>
            <w:vMerge/>
            <w:tcBorders>
              <w:top w:val="nil"/>
              <w:left w:val="single" w:sz="8" w:space="0" w:color="auto"/>
              <w:bottom w:val="nil"/>
              <w:right w:val="single" w:sz="4" w:space="0" w:color="auto"/>
            </w:tcBorders>
            <w:vAlign w:val="center"/>
            <w:hideMark/>
          </w:tcPr>
          <w:p w14:paraId="2FD6A33A" w14:textId="77777777" w:rsidR="009E0216" w:rsidRPr="00A52F41" w:rsidRDefault="009E0216" w:rsidP="004738DA">
            <w:pPr>
              <w:spacing w:after="0" w:line="240" w:lineRule="auto"/>
              <w:rPr>
                <w:rFonts w:ascii="Arial" w:hAnsi="Arial" w:cs="Arial"/>
                <w:b/>
                <w:bCs/>
                <w:color w:val="000000"/>
                <w:sz w:val="20"/>
                <w:szCs w:val="20"/>
                <w:lang w:eastAsia="sl-SI"/>
              </w:rPr>
            </w:pPr>
          </w:p>
        </w:tc>
        <w:tc>
          <w:tcPr>
            <w:tcW w:w="1134" w:type="dxa"/>
            <w:vMerge/>
            <w:tcBorders>
              <w:top w:val="nil"/>
              <w:left w:val="single" w:sz="4" w:space="0" w:color="auto"/>
              <w:bottom w:val="single" w:sz="4" w:space="0" w:color="auto"/>
              <w:right w:val="single" w:sz="4" w:space="0" w:color="auto"/>
            </w:tcBorders>
            <w:vAlign w:val="center"/>
            <w:hideMark/>
          </w:tcPr>
          <w:p w14:paraId="5840BBC4" w14:textId="77777777" w:rsidR="009E0216" w:rsidRPr="00A52F41" w:rsidRDefault="009E0216" w:rsidP="004738DA">
            <w:pPr>
              <w:spacing w:after="0" w:line="240" w:lineRule="auto"/>
              <w:rPr>
                <w:rFonts w:ascii="Arial" w:hAnsi="Arial" w:cs="Arial"/>
                <w:color w:val="000000"/>
                <w:sz w:val="20"/>
                <w:szCs w:val="20"/>
                <w:lang w:eastAsia="sl-SI"/>
              </w:rPr>
            </w:pPr>
          </w:p>
        </w:tc>
        <w:tc>
          <w:tcPr>
            <w:tcW w:w="992" w:type="dxa"/>
            <w:tcBorders>
              <w:top w:val="nil"/>
              <w:left w:val="nil"/>
              <w:bottom w:val="single" w:sz="4" w:space="0" w:color="auto"/>
              <w:right w:val="single" w:sz="4" w:space="0" w:color="auto"/>
            </w:tcBorders>
            <w:shd w:val="clear" w:color="auto" w:fill="auto"/>
            <w:vAlign w:val="bottom"/>
            <w:hideMark/>
          </w:tcPr>
          <w:p w14:paraId="467023EC" w14:textId="77777777" w:rsidR="009E0216" w:rsidRPr="00A52F41" w:rsidRDefault="009E0216" w:rsidP="004738DA">
            <w:pPr>
              <w:spacing w:after="0" w:line="24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moški</w:t>
            </w:r>
          </w:p>
        </w:tc>
        <w:tc>
          <w:tcPr>
            <w:tcW w:w="948" w:type="dxa"/>
            <w:tcBorders>
              <w:top w:val="nil"/>
              <w:left w:val="nil"/>
              <w:bottom w:val="single" w:sz="4" w:space="0" w:color="auto"/>
              <w:right w:val="single" w:sz="4" w:space="0" w:color="auto"/>
            </w:tcBorders>
            <w:shd w:val="clear" w:color="auto" w:fill="auto"/>
            <w:noWrap/>
            <w:vAlign w:val="bottom"/>
            <w:hideMark/>
          </w:tcPr>
          <w:p w14:paraId="571EE6C8"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72,70</w:t>
            </w:r>
          </w:p>
        </w:tc>
        <w:tc>
          <w:tcPr>
            <w:tcW w:w="948" w:type="dxa"/>
            <w:tcBorders>
              <w:top w:val="nil"/>
              <w:left w:val="nil"/>
              <w:bottom w:val="single" w:sz="4" w:space="0" w:color="auto"/>
              <w:right w:val="single" w:sz="4" w:space="0" w:color="auto"/>
            </w:tcBorders>
            <w:shd w:val="clear" w:color="auto" w:fill="auto"/>
            <w:noWrap/>
            <w:vAlign w:val="bottom"/>
            <w:hideMark/>
          </w:tcPr>
          <w:p w14:paraId="57885C86"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69,60</w:t>
            </w:r>
          </w:p>
        </w:tc>
        <w:tc>
          <w:tcPr>
            <w:tcW w:w="948" w:type="dxa"/>
            <w:tcBorders>
              <w:top w:val="nil"/>
              <w:left w:val="nil"/>
              <w:bottom w:val="single" w:sz="4" w:space="0" w:color="auto"/>
              <w:right w:val="single" w:sz="4" w:space="0" w:color="auto"/>
            </w:tcBorders>
            <w:shd w:val="clear" w:color="auto" w:fill="auto"/>
            <w:noWrap/>
            <w:vAlign w:val="bottom"/>
            <w:hideMark/>
          </w:tcPr>
          <w:p w14:paraId="255260AA"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67,10</w:t>
            </w:r>
          </w:p>
        </w:tc>
        <w:tc>
          <w:tcPr>
            <w:tcW w:w="948" w:type="dxa"/>
            <w:tcBorders>
              <w:top w:val="nil"/>
              <w:left w:val="nil"/>
              <w:bottom w:val="single" w:sz="4" w:space="0" w:color="auto"/>
              <w:right w:val="single" w:sz="4" w:space="0" w:color="auto"/>
            </w:tcBorders>
            <w:shd w:val="clear" w:color="auto" w:fill="auto"/>
            <w:noWrap/>
            <w:vAlign w:val="bottom"/>
            <w:hideMark/>
          </w:tcPr>
          <w:p w14:paraId="64532762"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69,20</w:t>
            </w:r>
          </w:p>
        </w:tc>
        <w:tc>
          <w:tcPr>
            <w:tcW w:w="948" w:type="dxa"/>
            <w:tcBorders>
              <w:top w:val="nil"/>
              <w:left w:val="nil"/>
              <w:bottom w:val="single" w:sz="4" w:space="0" w:color="auto"/>
              <w:right w:val="single" w:sz="8" w:space="0" w:color="auto"/>
            </w:tcBorders>
            <w:shd w:val="clear" w:color="auto" w:fill="auto"/>
            <w:noWrap/>
            <w:vAlign w:val="bottom"/>
            <w:hideMark/>
          </w:tcPr>
          <w:p w14:paraId="651ABB55"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74,80</w:t>
            </w:r>
          </w:p>
        </w:tc>
      </w:tr>
      <w:tr w:rsidR="009E0216" w:rsidRPr="00A52F41" w14:paraId="31B6DCF4" w14:textId="77777777" w:rsidTr="00422936">
        <w:trPr>
          <w:trHeight w:val="288"/>
        </w:trPr>
        <w:tc>
          <w:tcPr>
            <w:tcW w:w="2000" w:type="dxa"/>
            <w:vMerge/>
            <w:tcBorders>
              <w:top w:val="nil"/>
              <w:left w:val="single" w:sz="8" w:space="0" w:color="auto"/>
              <w:bottom w:val="nil"/>
              <w:right w:val="single" w:sz="4" w:space="0" w:color="auto"/>
            </w:tcBorders>
            <w:vAlign w:val="center"/>
            <w:hideMark/>
          </w:tcPr>
          <w:p w14:paraId="65A0B489" w14:textId="77777777" w:rsidR="009E0216" w:rsidRPr="00A52F41" w:rsidRDefault="009E0216" w:rsidP="004738DA">
            <w:pPr>
              <w:spacing w:after="0" w:line="240" w:lineRule="auto"/>
              <w:rPr>
                <w:rFonts w:ascii="Arial" w:hAnsi="Arial" w:cs="Arial"/>
                <w:b/>
                <w:bCs/>
                <w:color w:val="000000"/>
                <w:sz w:val="20"/>
                <w:szCs w:val="20"/>
                <w:lang w:eastAsia="sl-SI"/>
              </w:rPr>
            </w:pPr>
          </w:p>
        </w:tc>
        <w:tc>
          <w:tcPr>
            <w:tcW w:w="1134" w:type="dxa"/>
            <w:vMerge/>
            <w:tcBorders>
              <w:top w:val="nil"/>
              <w:left w:val="single" w:sz="4" w:space="0" w:color="auto"/>
              <w:bottom w:val="single" w:sz="4" w:space="0" w:color="auto"/>
              <w:right w:val="single" w:sz="4" w:space="0" w:color="auto"/>
            </w:tcBorders>
            <w:vAlign w:val="center"/>
            <w:hideMark/>
          </w:tcPr>
          <w:p w14:paraId="613ADC76" w14:textId="77777777" w:rsidR="009E0216" w:rsidRPr="00A52F41" w:rsidRDefault="009E0216" w:rsidP="004738DA">
            <w:pPr>
              <w:spacing w:after="0" w:line="240" w:lineRule="auto"/>
              <w:rPr>
                <w:rFonts w:ascii="Arial" w:hAnsi="Arial" w:cs="Arial"/>
                <w:color w:val="000000"/>
                <w:sz w:val="20"/>
                <w:szCs w:val="20"/>
                <w:lang w:eastAsia="sl-SI"/>
              </w:rPr>
            </w:pPr>
          </w:p>
        </w:tc>
        <w:tc>
          <w:tcPr>
            <w:tcW w:w="992" w:type="dxa"/>
            <w:tcBorders>
              <w:top w:val="nil"/>
              <w:left w:val="nil"/>
              <w:bottom w:val="single" w:sz="4" w:space="0" w:color="auto"/>
              <w:right w:val="single" w:sz="4" w:space="0" w:color="auto"/>
            </w:tcBorders>
            <w:shd w:val="clear" w:color="auto" w:fill="auto"/>
            <w:vAlign w:val="bottom"/>
            <w:hideMark/>
          </w:tcPr>
          <w:p w14:paraId="2A287BE7" w14:textId="77777777" w:rsidR="009E0216" w:rsidRPr="00BE756C" w:rsidRDefault="009E0216" w:rsidP="004738DA">
            <w:pPr>
              <w:spacing w:after="0" w:line="240" w:lineRule="auto"/>
              <w:jc w:val="both"/>
              <w:rPr>
                <w:rFonts w:ascii="Arial" w:hAnsi="Arial" w:cs="Arial"/>
                <w:b/>
                <w:color w:val="000000"/>
                <w:sz w:val="20"/>
                <w:szCs w:val="20"/>
                <w:lang w:eastAsia="sl-SI"/>
              </w:rPr>
            </w:pPr>
            <w:r w:rsidRPr="00BE756C">
              <w:rPr>
                <w:rFonts w:ascii="Arial" w:hAnsi="Arial" w:cs="Arial"/>
                <w:b/>
                <w:color w:val="000000"/>
                <w:sz w:val="20"/>
                <w:szCs w:val="20"/>
                <w:lang w:eastAsia="sl-SI"/>
              </w:rPr>
              <w:t>skupaj</w:t>
            </w:r>
          </w:p>
        </w:tc>
        <w:tc>
          <w:tcPr>
            <w:tcW w:w="948" w:type="dxa"/>
            <w:tcBorders>
              <w:top w:val="nil"/>
              <w:left w:val="nil"/>
              <w:bottom w:val="single" w:sz="4" w:space="0" w:color="auto"/>
              <w:right w:val="single" w:sz="4" w:space="0" w:color="auto"/>
            </w:tcBorders>
            <w:shd w:val="clear" w:color="auto" w:fill="auto"/>
            <w:noWrap/>
            <w:vAlign w:val="bottom"/>
            <w:hideMark/>
          </w:tcPr>
          <w:p w14:paraId="6E260902" w14:textId="77777777" w:rsidR="009E0216" w:rsidRPr="00BE756C" w:rsidRDefault="009E0216" w:rsidP="004738DA">
            <w:pPr>
              <w:spacing w:after="0" w:line="240" w:lineRule="auto"/>
              <w:jc w:val="right"/>
              <w:rPr>
                <w:rFonts w:ascii="Arial" w:hAnsi="Arial" w:cs="Arial"/>
                <w:b/>
                <w:color w:val="000000"/>
                <w:sz w:val="20"/>
                <w:szCs w:val="20"/>
                <w:lang w:eastAsia="sl-SI"/>
              </w:rPr>
            </w:pPr>
            <w:r w:rsidRPr="00BE756C">
              <w:rPr>
                <w:rFonts w:ascii="Arial" w:hAnsi="Arial" w:cs="Arial"/>
                <w:b/>
                <w:color w:val="000000"/>
                <w:sz w:val="20"/>
                <w:szCs w:val="20"/>
                <w:lang w:eastAsia="sl-SI"/>
              </w:rPr>
              <w:t>68,60</w:t>
            </w:r>
          </w:p>
        </w:tc>
        <w:tc>
          <w:tcPr>
            <w:tcW w:w="948" w:type="dxa"/>
            <w:tcBorders>
              <w:top w:val="nil"/>
              <w:left w:val="nil"/>
              <w:bottom w:val="single" w:sz="4" w:space="0" w:color="auto"/>
              <w:right w:val="single" w:sz="4" w:space="0" w:color="auto"/>
            </w:tcBorders>
            <w:shd w:val="clear" w:color="auto" w:fill="auto"/>
            <w:noWrap/>
            <w:vAlign w:val="bottom"/>
            <w:hideMark/>
          </w:tcPr>
          <w:p w14:paraId="4434857E" w14:textId="77777777" w:rsidR="009E0216" w:rsidRPr="00BE756C" w:rsidRDefault="009E0216" w:rsidP="004738DA">
            <w:pPr>
              <w:spacing w:after="0" w:line="240" w:lineRule="auto"/>
              <w:jc w:val="right"/>
              <w:rPr>
                <w:rFonts w:ascii="Arial" w:hAnsi="Arial" w:cs="Arial"/>
                <w:b/>
                <w:color w:val="000000"/>
                <w:sz w:val="20"/>
                <w:szCs w:val="20"/>
                <w:lang w:eastAsia="sl-SI"/>
              </w:rPr>
            </w:pPr>
            <w:r w:rsidRPr="00BE756C">
              <w:rPr>
                <w:rFonts w:ascii="Arial" w:hAnsi="Arial" w:cs="Arial"/>
                <w:b/>
                <w:color w:val="000000"/>
                <w:sz w:val="20"/>
                <w:szCs w:val="20"/>
                <w:lang w:eastAsia="sl-SI"/>
              </w:rPr>
              <w:t>66,20</w:t>
            </w:r>
          </w:p>
        </w:tc>
        <w:tc>
          <w:tcPr>
            <w:tcW w:w="948" w:type="dxa"/>
            <w:tcBorders>
              <w:top w:val="nil"/>
              <w:left w:val="nil"/>
              <w:bottom w:val="single" w:sz="4" w:space="0" w:color="auto"/>
              <w:right w:val="single" w:sz="4" w:space="0" w:color="auto"/>
            </w:tcBorders>
            <w:shd w:val="clear" w:color="auto" w:fill="auto"/>
            <w:noWrap/>
            <w:vAlign w:val="bottom"/>
            <w:hideMark/>
          </w:tcPr>
          <w:p w14:paraId="2DF1FEAD" w14:textId="77777777" w:rsidR="009E0216" w:rsidRPr="00BE756C" w:rsidRDefault="009E0216" w:rsidP="004738DA">
            <w:pPr>
              <w:spacing w:after="0" w:line="240" w:lineRule="auto"/>
              <w:jc w:val="right"/>
              <w:rPr>
                <w:rFonts w:ascii="Arial" w:hAnsi="Arial" w:cs="Arial"/>
                <w:b/>
                <w:color w:val="000000"/>
                <w:sz w:val="20"/>
                <w:szCs w:val="20"/>
                <w:lang w:eastAsia="sl-SI"/>
              </w:rPr>
            </w:pPr>
            <w:r w:rsidRPr="00BE756C">
              <w:rPr>
                <w:rFonts w:ascii="Arial" w:hAnsi="Arial" w:cs="Arial"/>
                <w:b/>
                <w:color w:val="000000"/>
                <w:sz w:val="20"/>
                <w:szCs w:val="20"/>
                <w:lang w:eastAsia="sl-SI"/>
              </w:rPr>
              <w:t>63,30</w:t>
            </w:r>
          </w:p>
        </w:tc>
        <w:tc>
          <w:tcPr>
            <w:tcW w:w="948" w:type="dxa"/>
            <w:tcBorders>
              <w:top w:val="nil"/>
              <w:left w:val="nil"/>
              <w:bottom w:val="single" w:sz="4" w:space="0" w:color="auto"/>
              <w:right w:val="single" w:sz="4" w:space="0" w:color="auto"/>
            </w:tcBorders>
            <w:shd w:val="clear" w:color="auto" w:fill="auto"/>
            <w:noWrap/>
            <w:vAlign w:val="bottom"/>
            <w:hideMark/>
          </w:tcPr>
          <w:p w14:paraId="37C40CC3" w14:textId="77777777" w:rsidR="009E0216" w:rsidRPr="00BE756C" w:rsidRDefault="009E0216" w:rsidP="004738DA">
            <w:pPr>
              <w:spacing w:after="0" w:line="240" w:lineRule="auto"/>
              <w:jc w:val="right"/>
              <w:rPr>
                <w:rFonts w:ascii="Arial" w:hAnsi="Arial" w:cs="Arial"/>
                <w:b/>
                <w:color w:val="000000"/>
                <w:sz w:val="20"/>
                <w:szCs w:val="20"/>
                <w:lang w:eastAsia="sl-SI"/>
              </w:rPr>
            </w:pPr>
            <w:r w:rsidRPr="00BE756C">
              <w:rPr>
                <w:rFonts w:ascii="Arial" w:hAnsi="Arial" w:cs="Arial"/>
                <w:b/>
                <w:color w:val="000000"/>
                <w:sz w:val="20"/>
                <w:szCs w:val="20"/>
                <w:lang w:eastAsia="sl-SI"/>
              </w:rPr>
              <w:t>65,20</w:t>
            </w:r>
          </w:p>
        </w:tc>
        <w:tc>
          <w:tcPr>
            <w:tcW w:w="948" w:type="dxa"/>
            <w:tcBorders>
              <w:top w:val="nil"/>
              <w:left w:val="nil"/>
              <w:bottom w:val="single" w:sz="4" w:space="0" w:color="auto"/>
              <w:right w:val="single" w:sz="8" w:space="0" w:color="auto"/>
            </w:tcBorders>
            <w:shd w:val="clear" w:color="auto" w:fill="auto"/>
            <w:noWrap/>
            <w:vAlign w:val="bottom"/>
            <w:hideMark/>
          </w:tcPr>
          <w:p w14:paraId="772A6D7A" w14:textId="77777777" w:rsidR="009E0216" w:rsidRPr="00BE756C" w:rsidRDefault="009E0216" w:rsidP="004738DA">
            <w:pPr>
              <w:spacing w:after="0" w:line="240" w:lineRule="auto"/>
              <w:jc w:val="right"/>
              <w:rPr>
                <w:rFonts w:ascii="Arial" w:hAnsi="Arial" w:cs="Arial"/>
                <w:b/>
                <w:color w:val="000000"/>
                <w:sz w:val="20"/>
                <w:szCs w:val="20"/>
                <w:lang w:eastAsia="sl-SI"/>
              </w:rPr>
            </w:pPr>
            <w:r w:rsidRPr="00BE756C">
              <w:rPr>
                <w:rFonts w:ascii="Arial" w:hAnsi="Arial" w:cs="Arial"/>
                <w:b/>
                <w:color w:val="000000"/>
                <w:sz w:val="20"/>
                <w:szCs w:val="20"/>
                <w:lang w:eastAsia="sl-SI"/>
              </w:rPr>
              <w:t>71,80</w:t>
            </w:r>
          </w:p>
        </w:tc>
      </w:tr>
      <w:tr w:rsidR="009E0216" w:rsidRPr="00A52F41" w14:paraId="29F52FFA" w14:textId="77777777" w:rsidTr="00422936">
        <w:trPr>
          <w:trHeight w:val="574"/>
        </w:trPr>
        <w:tc>
          <w:tcPr>
            <w:tcW w:w="20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F474B64" w14:textId="77777777" w:rsidR="009E0216" w:rsidRPr="00A52F41" w:rsidRDefault="009E0216" w:rsidP="004738DA">
            <w:pPr>
              <w:spacing w:after="0" w:line="240" w:lineRule="auto"/>
              <w:rPr>
                <w:rFonts w:ascii="Arial" w:hAnsi="Arial" w:cs="Arial"/>
                <w:b/>
                <w:bCs/>
                <w:color w:val="000000"/>
                <w:sz w:val="20"/>
                <w:szCs w:val="20"/>
                <w:lang w:eastAsia="sl-SI"/>
              </w:rPr>
            </w:pPr>
            <w:r w:rsidRPr="00A52F41">
              <w:rPr>
                <w:rFonts w:ascii="Arial" w:hAnsi="Arial" w:cs="Arial"/>
                <w:b/>
                <w:bCs/>
                <w:color w:val="000000"/>
                <w:sz w:val="20"/>
                <w:szCs w:val="20"/>
                <w:lang w:eastAsia="sl-SI"/>
              </w:rPr>
              <w:t>C.06 Stopnja samozaposlenosti</w:t>
            </w:r>
          </w:p>
        </w:tc>
        <w:tc>
          <w:tcPr>
            <w:tcW w:w="1134" w:type="dxa"/>
            <w:tcBorders>
              <w:top w:val="nil"/>
              <w:left w:val="nil"/>
              <w:bottom w:val="single" w:sz="4" w:space="0" w:color="auto"/>
              <w:right w:val="single" w:sz="4" w:space="0" w:color="auto"/>
            </w:tcBorders>
            <w:shd w:val="clear" w:color="auto" w:fill="auto"/>
            <w:vAlign w:val="center"/>
            <w:hideMark/>
          </w:tcPr>
          <w:p w14:paraId="7D24117E" w14:textId="77777777" w:rsidR="009E0216" w:rsidRPr="00A52F41" w:rsidRDefault="009E0216" w:rsidP="004738DA">
            <w:pPr>
              <w:spacing w:after="0" w:line="240" w:lineRule="auto"/>
              <w:rPr>
                <w:rFonts w:ascii="Arial" w:hAnsi="Arial" w:cs="Arial"/>
                <w:color w:val="000000"/>
                <w:sz w:val="20"/>
                <w:szCs w:val="20"/>
                <w:lang w:eastAsia="sl-SI"/>
              </w:rPr>
            </w:pPr>
            <w:r w:rsidRPr="00A52F41">
              <w:rPr>
                <w:rFonts w:ascii="Arial" w:hAnsi="Arial" w:cs="Arial"/>
                <w:color w:val="000000"/>
                <w:sz w:val="20"/>
                <w:szCs w:val="20"/>
                <w:lang w:eastAsia="sl-SI"/>
              </w:rPr>
              <w:t>15-64 let</w:t>
            </w:r>
          </w:p>
        </w:tc>
        <w:tc>
          <w:tcPr>
            <w:tcW w:w="992" w:type="dxa"/>
            <w:tcBorders>
              <w:top w:val="nil"/>
              <w:left w:val="nil"/>
              <w:bottom w:val="single" w:sz="4" w:space="0" w:color="auto"/>
              <w:right w:val="single" w:sz="4" w:space="0" w:color="auto"/>
            </w:tcBorders>
            <w:shd w:val="clear" w:color="auto" w:fill="auto"/>
            <w:vAlign w:val="bottom"/>
            <w:hideMark/>
          </w:tcPr>
          <w:p w14:paraId="6BC00AA1" w14:textId="77777777" w:rsidR="009E0216" w:rsidRPr="00A52F41" w:rsidRDefault="009E0216" w:rsidP="004738DA">
            <w:pPr>
              <w:spacing w:after="0" w:line="24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skupaj</w:t>
            </w:r>
          </w:p>
        </w:tc>
        <w:tc>
          <w:tcPr>
            <w:tcW w:w="948" w:type="dxa"/>
            <w:tcBorders>
              <w:top w:val="nil"/>
              <w:left w:val="nil"/>
              <w:bottom w:val="single" w:sz="4" w:space="0" w:color="auto"/>
              <w:right w:val="single" w:sz="4" w:space="0" w:color="auto"/>
            </w:tcBorders>
            <w:shd w:val="clear" w:color="auto" w:fill="auto"/>
            <w:noWrap/>
            <w:vAlign w:val="bottom"/>
            <w:hideMark/>
          </w:tcPr>
          <w:p w14:paraId="4164A611"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9,30</w:t>
            </w:r>
          </w:p>
        </w:tc>
        <w:tc>
          <w:tcPr>
            <w:tcW w:w="948" w:type="dxa"/>
            <w:tcBorders>
              <w:top w:val="nil"/>
              <w:left w:val="nil"/>
              <w:bottom w:val="single" w:sz="4" w:space="0" w:color="auto"/>
              <w:right w:val="single" w:sz="4" w:space="0" w:color="auto"/>
            </w:tcBorders>
            <w:shd w:val="clear" w:color="auto" w:fill="auto"/>
            <w:noWrap/>
            <w:vAlign w:val="bottom"/>
            <w:hideMark/>
          </w:tcPr>
          <w:p w14:paraId="4D43C373"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11,62</w:t>
            </w:r>
          </w:p>
        </w:tc>
        <w:tc>
          <w:tcPr>
            <w:tcW w:w="948" w:type="dxa"/>
            <w:tcBorders>
              <w:top w:val="nil"/>
              <w:left w:val="nil"/>
              <w:bottom w:val="single" w:sz="4" w:space="0" w:color="auto"/>
              <w:right w:val="single" w:sz="4" w:space="0" w:color="auto"/>
            </w:tcBorders>
            <w:shd w:val="clear" w:color="auto" w:fill="auto"/>
            <w:noWrap/>
            <w:vAlign w:val="bottom"/>
            <w:hideMark/>
          </w:tcPr>
          <w:p w14:paraId="3BADF47C"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11,58</w:t>
            </w:r>
          </w:p>
        </w:tc>
        <w:tc>
          <w:tcPr>
            <w:tcW w:w="948" w:type="dxa"/>
            <w:tcBorders>
              <w:top w:val="nil"/>
              <w:left w:val="nil"/>
              <w:bottom w:val="single" w:sz="4" w:space="0" w:color="auto"/>
              <w:right w:val="single" w:sz="4" w:space="0" w:color="auto"/>
            </w:tcBorders>
            <w:shd w:val="clear" w:color="auto" w:fill="auto"/>
            <w:noWrap/>
            <w:vAlign w:val="bottom"/>
            <w:hideMark/>
          </w:tcPr>
          <w:p w14:paraId="1B890D7E"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12,15</w:t>
            </w:r>
          </w:p>
        </w:tc>
        <w:tc>
          <w:tcPr>
            <w:tcW w:w="948" w:type="dxa"/>
            <w:tcBorders>
              <w:top w:val="nil"/>
              <w:left w:val="nil"/>
              <w:bottom w:val="single" w:sz="4" w:space="0" w:color="auto"/>
              <w:right w:val="single" w:sz="8" w:space="0" w:color="auto"/>
            </w:tcBorders>
            <w:shd w:val="clear" w:color="auto" w:fill="auto"/>
            <w:noWrap/>
            <w:vAlign w:val="bottom"/>
            <w:hideMark/>
          </w:tcPr>
          <w:p w14:paraId="73D76972"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11,79</w:t>
            </w:r>
          </w:p>
        </w:tc>
      </w:tr>
      <w:tr w:rsidR="009E0216" w:rsidRPr="00A52F41" w14:paraId="6BCB8118" w14:textId="77777777" w:rsidTr="00422936">
        <w:trPr>
          <w:trHeight w:val="288"/>
        </w:trPr>
        <w:tc>
          <w:tcPr>
            <w:tcW w:w="2000" w:type="dxa"/>
            <w:vMerge w:val="restart"/>
            <w:tcBorders>
              <w:top w:val="nil"/>
              <w:left w:val="single" w:sz="8" w:space="0" w:color="auto"/>
              <w:bottom w:val="single" w:sz="8" w:space="0" w:color="000000"/>
              <w:right w:val="single" w:sz="4" w:space="0" w:color="auto"/>
            </w:tcBorders>
            <w:shd w:val="clear" w:color="auto" w:fill="auto"/>
            <w:vAlign w:val="center"/>
            <w:hideMark/>
          </w:tcPr>
          <w:p w14:paraId="3E3E6383" w14:textId="77777777" w:rsidR="009E0216" w:rsidRPr="00A52F41" w:rsidRDefault="009E0216" w:rsidP="004738DA">
            <w:pPr>
              <w:spacing w:after="0" w:line="240" w:lineRule="auto"/>
              <w:rPr>
                <w:rFonts w:ascii="Arial" w:hAnsi="Arial" w:cs="Arial"/>
                <w:b/>
                <w:bCs/>
                <w:color w:val="000000"/>
                <w:sz w:val="20"/>
                <w:szCs w:val="20"/>
                <w:lang w:eastAsia="sl-SI"/>
              </w:rPr>
            </w:pPr>
            <w:r w:rsidRPr="00A52F41">
              <w:rPr>
                <w:rFonts w:ascii="Arial" w:hAnsi="Arial" w:cs="Arial"/>
                <w:b/>
                <w:bCs/>
                <w:color w:val="000000"/>
                <w:sz w:val="20"/>
                <w:szCs w:val="20"/>
                <w:lang w:eastAsia="sl-SI"/>
              </w:rPr>
              <w:t>C.07 Stopnja brezposelnosti</w:t>
            </w:r>
          </w:p>
        </w:tc>
        <w:tc>
          <w:tcPr>
            <w:tcW w:w="1134" w:type="dxa"/>
            <w:tcBorders>
              <w:top w:val="nil"/>
              <w:left w:val="nil"/>
              <w:bottom w:val="single" w:sz="4" w:space="0" w:color="auto"/>
              <w:right w:val="single" w:sz="4" w:space="0" w:color="auto"/>
            </w:tcBorders>
            <w:shd w:val="clear" w:color="auto" w:fill="auto"/>
            <w:vAlign w:val="center"/>
            <w:hideMark/>
          </w:tcPr>
          <w:p w14:paraId="7A7C5C52" w14:textId="36F9792C" w:rsidR="009E0216" w:rsidRPr="00A52F41" w:rsidRDefault="009E0216" w:rsidP="004738DA">
            <w:pPr>
              <w:spacing w:after="0" w:line="240" w:lineRule="auto"/>
              <w:rPr>
                <w:rFonts w:ascii="Arial" w:hAnsi="Arial" w:cs="Arial"/>
                <w:color w:val="000000"/>
                <w:sz w:val="20"/>
                <w:szCs w:val="20"/>
                <w:lang w:eastAsia="sl-SI"/>
              </w:rPr>
            </w:pPr>
            <w:r w:rsidRPr="00A52F41">
              <w:rPr>
                <w:rFonts w:ascii="Arial" w:hAnsi="Arial" w:cs="Arial"/>
                <w:color w:val="000000"/>
                <w:sz w:val="20"/>
                <w:szCs w:val="20"/>
                <w:lang w:eastAsia="sl-SI"/>
              </w:rPr>
              <w:t>15-74 let</w:t>
            </w:r>
          </w:p>
        </w:tc>
        <w:tc>
          <w:tcPr>
            <w:tcW w:w="992" w:type="dxa"/>
            <w:tcBorders>
              <w:top w:val="nil"/>
              <w:left w:val="nil"/>
              <w:bottom w:val="single" w:sz="4" w:space="0" w:color="auto"/>
              <w:right w:val="single" w:sz="4" w:space="0" w:color="auto"/>
            </w:tcBorders>
            <w:shd w:val="clear" w:color="auto" w:fill="auto"/>
            <w:vAlign w:val="bottom"/>
            <w:hideMark/>
          </w:tcPr>
          <w:p w14:paraId="0FEEBDCA" w14:textId="77777777" w:rsidR="009E0216" w:rsidRPr="00A52F41" w:rsidRDefault="009E0216" w:rsidP="004738DA">
            <w:pPr>
              <w:spacing w:after="0" w:line="24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skupaj</w:t>
            </w:r>
          </w:p>
        </w:tc>
        <w:tc>
          <w:tcPr>
            <w:tcW w:w="948" w:type="dxa"/>
            <w:tcBorders>
              <w:top w:val="nil"/>
              <w:left w:val="nil"/>
              <w:bottom w:val="single" w:sz="4" w:space="0" w:color="auto"/>
              <w:right w:val="single" w:sz="4" w:space="0" w:color="auto"/>
            </w:tcBorders>
            <w:shd w:val="clear" w:color="auto" w:fill="auto"/>
            <w:noWrap/>
            <w:vAlign w:val="bottom"/>
            <w:hideMark/>
          </w:tcPr>
          <w:p w14:paraId="54F39592"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4,39</w:t>
            </w:r>
          </w:p>
        </w:tc>
        <w:tc>
          <w:tcPr>
            <w:tcW w:w="948" w:type="dxa"/>
            <w:tcBorders>
              <w:top w:val="nil"/>
              <w:left w:val="nil"/>
              <w:bottom w:val="single" w:sz="4" w:space="0" w:color="auto"/>
              <w:right w:val="single" w:sz="4" w:space="0" w:color="auto"/>
            </w:tcBorders>
            <w:shd w:val="clear" w:color="auto" w:fill="auto"/>
            <w:noWrap/>
            <w:vAlign w:val="bottom"/>
            <w:hideMark/>
          </w:tcPr>
          <w:p w14:paraId="1FBDDBCE"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7,28</w:t>
            </w:r>
          </w:p>
        </w:tc>
        <w:tc>
          <w:tcPr>
            <w:tcW w:w="948" w:type="dxa"/>
            <w:tcBorders>
              <w:top w:val="nil"/>
              <w:left w:val="nil"/>
              <w:bottom w:val="single" w:sz="4" w:space="0" w:color="auto"/>
              <w:right w:val="single" w:sz="4" w:space="0" w:color="auto"/>
            </w:tcBorders>
            <w:shd w:val="clear" w:color="auto" w:fill="auto"/>
            <w:noWrap/>
            <w:vAlign w:val="bottom"/>
            <w:hideMark/>
          </w:tcPr>
          <w:p w14:paraId="51A6388A"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10,14</w:t>
            </w:r>
          </w:p>
        </w:tc>
        <w:tc>
          <w:tcPr>
            <w:tcW w:w="948" w:type="dxa"/>
            <w:tcBorders>
              <w:top w:val="nil"/>
              <w:left w:val="nil"/>
              <w:bottom w:val="single" w:sz="4" w:space="0" w:color="auto"/>
              <w:right w:val="single" w:sz="4" w:space="0" w:color="auto"/>
            </w:tcBorders>
            <w:shd w:val="clear" w:color="auto" w:fill="auto"/>
            <w:noWrap/>
            <w:vAlign w:val="bottom"/>
            <w:hideMark/>
          </w:tcPr>
          <w:p w14:paraId="70D3E3A4"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9,00</w:t>
            </w:r>
          </w:p>
        </w:tc>
        <w:tc>
          <w:tcPr>
            <w:tcW w:w="948" w:type="dxa"/>
            <w:tcBorders>
              <w:top w:val="nil"/>
              <w:left w:val="nil"/>
              <w:bottom w:val="single" w:sz="4" w:space="0" w:color="auto"/>
              <w:right w:val="single" w:sz="8" w:space="0" w:color="auto"/>
            </w:tcBorders>
            <w:shd w:val="clear" w:color="auto" w:fill="auto"/>
            <w:noWrap/>
            <w:vAlign w:val="bottom"/>
            <w:hideMark/>
          </w:tcPr>
          <w:p w14:paraId="0BD0FECC" w14:textId="77777777" w:rsidR="009E0216" w:rsidRPr="00A52F41" w:rsidRDefault="009E0216" w:rsidP="004738DA">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4,45</w:t>
            </w:r>
          </w:p>
        </w:tc>
      </w:tr>
      <w:tr w:rsidR="009E0216" w:rsidRPr="00A52F41" w14:paraId="177D8489" w14:textId="77777777" w:rsidTr="00422936">
        <w:trPr>
          <w:trHeight w:val="288"/>
        </w:trPr>
        <w:tc>
          <w:tcPr>
            <w:tcW w:w="2000" w:type="dxa"/>
            <w:vMerge/>
            <w:tcBorders>
              <w:top w:val="nil"/>
              <w:left w:val="single" w:sz="8" w:space="0" w:color="auto"/>
              <w:bottom w:val="single" w:sz="8" w:space="0" w:color="000000"/>
              <w:right w:val="single" w:sz="4" w:space="0" w:color="auto"/>
            </w:tcBorders>
            <w:vAlign w:val="center"/>
            <w:hideMark/>
          </w:tcPr>
          <w:p w14:paraId="79245D44" w14:textId="77777777" w:rsidR="009E0216" w:rsidRPr="00A52F41" w:rsidRDefault="009E0216" w:rsidP="004738DA">
            <w:pPr>
              <w:spacing w:after="0" w:line="240" w:lineRule="auto"/>
              <w:jc w:val="both"/>
              <w:rPr>
                <w:rFonts w:ascii="Arial" w:hAnsi="Arial" w:cs="Arial"/>
                <w:b/>
                <w:bCs/>
                <w:color w:val="000000"/>
                <w:sz w:val="20"/>
                <w:szCs w:val="20"/>
                <w:lang w:eastAsia="sl-SI"/>
              </w:rPr>
            </w:pPr>
          </w:p>
        </w:tc>
        <w:tc>
          <w:tcPr>
            <w:tcW w:w="1134" w:type="dxa"/>
            <w:tcBorders>
              <w:top w:val="nil"/>
              <w:left w:val="nil"/>
              <w:bottom w:val="single" w:sz="8" w:space="0" w:color="auto"/>
              <w:right w:val="single" w:sz="4" w:space="0" w:color="auto"/>
            </w:tcBorders>
            <w:shd w:val="clear" w:color="auto" w:fill="auto"/>
            <w:vAlign w:val="center"/>
            <w:hideMark/>
          </w:tcPr>
          <w:p w14:paraId="031AFB1C" w14:textId="21D64F4B" w:rsidR="009E0216" w:rsidRPr="00A52F41" w:rsidRDefault="009E0216" w:rsidP="004738DA">
            <w:pPr>
              <w:spacing w:after="0" w:line="240" w:lineRule="auto"/>
              <w:rPr>
                <w:rFonts w:ascii="Arial" w:hAnsi="Arial" w:cs="Arial"/>
                <w:color w:val="000000"/>
                <w:sz w:val="20"/>
                <w:szCs w:val="20"/>
                <w:lang w:eastAsia="sl-SI"/>
              </w:rPr>
            </w:pPr>
            <w:r w:rsidRPr="00A52F41">
              <w:rPr>
                <w:rFonts w:ascii="Arial" w:hAnsi="Arial" w:cs="Arial"/>
                <w:color w:val="000000"/>
                <w:sz w:val="20"/>
                <w:szCs w:val="20"/>
                <w:lang w:eastAsia="sl-SI"/>
              </w:rPr>
              <w:t xml:space="preserve">Mladi </w:t>
            </w:r>
            <w:r w:rsidR="004738DA">
              <w:rPr>
                <w:rFonts w:ascii="Arial" w:hAnsi="Arial" w:cs="Arial"/>
                <w:color w:val="000000"/>
                <w:sz w:val="20"/>
                <w:szCs w:val="20"/>
                <w:lang w:eastAsia="sl-SI"/>
              </w:rPr>
              <w:br/>
            </w:r>
            <w:r w:rsidRPr="00A52F41">
              <w:rPr>
                <w:rFonts w:ascii="Arial" w:hAnsi="Arial" w:cs="Arial"/>
                <w:color w:val="000000"/>
                <w:sz w:val="20"/>
                <w:szCs w:val="20"/>
                <w:lang w:eastAsia="sl-SI"/>
              </w:rPr>
              <w:t>(15-24) let</w:t>
            </w:r>
          </w:p>
        </w:tc>
        <w:tc>
          <w:tcPr>
            <w:tcW w:w="992" w:type="dxa"/>
            <w:tcBorders>
              <w:top w:val="nil"/>
              <w:left w:val="nil"/>
              <w:bottom w:val="single" w:sz="8" w:space="0" w:color="auto"/>
              <w:right w:val="single" w:sz="4" w:space="0" w:color="auto"/>
            </w:tcBorders>
            <w:shd w:val="clear" w:color="auto" w:fill="auto"/>
            <w:vAlign w:val="bottom"/>
            <w:hideMark/>
          </w:tcPr>
          <w:p w14:paraId="3D2008F6" w14:textId="77777777" w:rsidR="009E0216" w:rsidRPr="00BE756C" w:rsidRDefault="009E0216" w:rsidP="004738DA">
            <w:pPr>
              <w:spacing w:after="0" w:line="240" w:lineRule="auto"/>
              <w:jc w:val="both"/>
              <w:rPr>
                <w:rFonts w:ascii="Arial" w:hAnsi="Arial" w:cs="Arial"/>
                <w:b/>
                <w:color w:val="000000"/>
                <w:sz w:val="20"/>
                <w:szCs w:val="20"/>
                <w:lang w:eastAsia="sl-SI"/>
              </w:rPr>
            </w:pPr>
            <w:r w:rsidRPr="00BE756C">
              <w:rPr>
                <w:rFonts w:ascii="Arial" w:hAnsi="Arial" w:cs="Arial"/>
                <w:b/>
                <w:color w:val="000000"/>
                <w:sz w:val="20"/>
                <w:szCs w:val="20"/>
                <w:lang w:eastAsia="sl-SI"/>
              </w:rPr>
              <w:t>skupaj</w:t>
            </w:r>
          </w:p>
        </w:tc>
        <w:tc>
          <w:tcPr>
            <w:tcW w:w="948" w:type="dxa"/>
            <w:tcBorders>
              <w:top w:val="nil"/>
              <w:left w:val="nil"/>
              <w:bottom w:val="single" w:sz="8" w:space="0" w:color="auto"/>
              <w:right w:val="single" w:sz="4" w:space="0" w:color="auto"/>
            </w:tcBorders>
            <w:shd w:val="clear" w:color="auto" w:fill="auto"/>
            <w:noWrap/>
            <w:vAlign w:val="bottom"/>
            <w:hideMark/>
          </w:tcPr>
          <w:p w14:paraId="11048A28" w14:textId="77777777" w:rsidR="009E0216" w:rsidRPr="00BE756C" w:rsidRDefault="009E0216" w:rsidP="004738DA">
            <w:pPr>
              <w:spacing w:after="0" w:line="240" w:lineRule="auto"/>
              <w:jc w:val="right"/>
              <w:rPr>
                <w:rFonts w:ascii="Arial" w:hAnsi="Arial" w:cs="Arial"/>
                <w:b/>
                <w:color w:val="000000"/>
                <w:sz w:val="20"/>
                <w:szCs w:val="20"/>
                <w:lang w:eastAsia="sl-SI"/>
              </w:rPr>
            </w:pPr>
            <w:r w:rsidRPr="00BE756C">
              <w:rPr>
                <w:rFonts w:ascii="Arial" w:hAnsi="Arial" w:cs="Arial"/>
                <w:b/>
                <w:color w:val="000000"/>
                <w:sz w:val="20"/>
                <w:szCs w:val="20"/>
                <w:lang w:eastAsia="sl-SI"/>
              </w:rPr>
              <w:t>10,43</w:t>
            </w:r>
          </w:p>
        </w:tc>
        <w:tc>
          <w:tcPr>
            <w:tcW w:w="948" w:type="dxa"/>
            <w:tcBorders>
              <w:top w:val="nil"/>
              <w:left w:val="nil"/>
              <w:bottom w:val="single" w:sz="8" w:space="0" w:color="auto"/>
              <w:right w:val="single" w:sz="4" w:space="0" w:color="auto"/>
            </w:tcBorders>
            <w:shd w:val="clear" w:color="auto" w:fill="auto"/>
            <w:noWrap/>
            <w:vAlign w:val="bottom"/>
            <w:hideMark/>
          </w:tcPr>
          <w:p w14:paraId="7634E144" w14:textId="77777777" w:rsidR="009E0216" w:rsidRPr="00BE756C" w:rsidRDefault="009E0216" w:rsidP="004738DA">
            <w:pPr>
              <w:spacing w:after="0" w:line="240" w:lineRule="auto"/>
              <w:jc w:val="right"/>
              <w:rPr>
                <w:rFonts w:ascii="Arial" w:hAnsi="Arial" w:cs="Arial"/>
                <w:b/>
                <w:color w:val="000000"/>
                <w:sz w:val="20"/>
                <w:szCs w:val="20"/>
                <w:lang w:eastAsia="sl-SI"/>
              </w:rPr>
            </w:pPr>
            <w:r w:rsidRPr="00BE756C">
              <w:rPr>
                <w:rFonts w:ascii="Arial" w:hAnsi="Arial" w:cs="Arial"/>
                <w:b/>
                <w:color w:val="000000"/>
                <w:sz w:val="20"/>
                <w:szCs w:val="20"/>
                <w:lang w:eastAsia="sl-SI"/>
              </w:rPr>
              <w:t>14,63</w:t>
            </w:r>
          </w:p>
        </w:tc>
        <w:tc>
          <w:tcPr>
            <w:tcW w:w="948" w:type="dxa"/>
            <w:tcBorders>
              <w:top w:val="nil"/>
              <w:left w:val="nil"/>
              <w:bottom w:val="single" w:sz="8" w:space="0" w:color="auto"/>
              <w:right w:val="single" w:sz="4" w:space="0" w:color="auto"/>
            </w:tcBorders>
            <w:shd w:val="clear" w:color="auto" w:fill="auto"/>
            <w:noWrap/>
            <w:vAlign w:val="bottom"/>
            <w:hideMark/>
          </w:tcPr>
          <w:p w14:paraId="65B2EB81" w14:textId="77777777" w:rsidR="009E0216" w:rsidRPr="00BE756C" w:rsidRDefault="009E0216" w:rsidP="004738DA">
            <w:pPr>
              <w:spacing w:after="0" w:line="240" w:lineRule="auto"/>
              <w:jc w:val="right"/>
              <w:rPr>
                <w:rFonts w:ascii="Arial" w:hAnsi="Arial" w:cs="Arial"/>
                <w:b/>
                <w:color w:val="000000"/>
                <w:sz w:val="20"/>
                <w:szCs w:val="20"/>
                <w:lang w:eastAsia="sl-SI"/>
              </w:rPr>
            </w:pPr>
            <w:r w:rsidRPr="00BE756C">
              <w:rPr>
                <w:rFonts w:ascii="Arial" w:hAnsi="Arial" w:cs="Arial"/>
                <w:b/>
                <w:color w:val="000000"/>
                <w:sz w:val="20"/>
                <w:szCs w:val="20"/>
                <w:lang w:eastAsia="sl-SI"/>
              </w:rPr>
              <w:t>21,60</w:t>
            </w:r>
          </w:p>
        </w:tc>
        <w:tc>
          <w:tcPr>
            <w:tcW w:w="948" w:type="dxa"/>
            <w:tcBorders>
              <w:top w:val="nil"/>
              <w:left w:val="nil"/>
              <w:bottom w:val="single" w:sz="8" w:space="0" w:color="auto"/>
              <w:right w:val="single" w:sz="4" w:space="0" w:color="auto"/>
            </w:tcBorders>
            <w:shd w:val="clear" w:color="auto" w:fill="auto"/>
            <w:noWrap/>
            <w:vAlign w:val="bottom"/>
            <w:hideMark/>
          </w:tcPr>
          <w:p w14:paraId="1C01B32B" w14:textId="77777777" w:rsidR="009E0216" w:rsidRPr="00BE756C" w:rsidRDefault="009E0216" w:rsidP="004738DA">
            <w:pPr>
              <w:spacing w:after="0" w:line="240" w:lineRule="auto"/>
              <w:jc w:val="right"/>
              <w:rPr>
                <w:rFonts w:ascii="Arial" w:hAnsi="Arial" w:cs="Arial"/>
                <w:b/>
                <w:color w:val="000000"/>
                <w:sz w:val="20"/>
                <w:szCs w:val="20"/>
                <w:lang w:eastAsia="sl-SI"/>
              </w:rPr>
            </w:pPr>
            <w:r w:rsidRPr="00BE756C">
              <w:rPr>
                <w:rFonts w:ascii="Arial" w:hAnsi="Arial" w:cs="Arial"/>
                <w:b/>
                <w:color w:val="000000"/>
                <w:sz w:val="20"/>
                <w:szCs w:val="20"/>
                <w:lang w:eastAsia="sl-SI"/>
              </w:rPr>
              <w:t>16,25</w:t>
            </w:r>
          </w:p>
        </w:tc>
        <w:tc>
          <w:tcPr>
            <w:tcW w:w="948" w:type="dxa"/>
            <w:tcBorders>
              <w:top w:val="nil"/>
              <w:left w:val="nil"/>
              <w:bottom w:val="single" w:sz="8" w:space="0" w:color="auto"/>
              <w:right w:val="single" w:sz="8" w:space="0" w:color="auto"/>
            </w:tcBorders>
            <w:shd w:val="clear" w:color="auto" w:fill="auto"/>
            <w:noWrap/>
            <w:vAlign w:val="bottom"/>
            <w:hideMark/>
          </w:tcPr>
          <w:p w14:paraId="08434367" w14:textId="77777777" w:rsidR="009E0216" w:rsidRPr="00BE756C" w:rsidRDefault="009E0216" w:rsidP="004738DA">
            <w:pPr>
              <w:spacing w:after="0" w:line="240" w:lineRule="auto"/>
              <w:jc w:val="right"/>
              <w:rPr>
                <w:rFonts w:ascii="Arial" w:hAnsi="Arial" w:cs="Arial"/>
                <w:b/>
                <w:color w:val="000000"/>
                <w:sz w:val="20"/>
                <w:szCs w:val="20"/>
                <w:lang w:eastAsia="sl-SI"/>
              </w:rPr>
            </w:pPr>
            <w:r w:rsidRPr="00BE756C">
              <w:rPr>
                <w:rFonts w:ascii="Arial" w:hAnsi="Arial" w:cs="Arial"/>
                <w:b/>
                <w:color w:val="000000"/>
                <w:sz w:val="20"/>
                <w:szCs w:val="20"/>
                <w:lang w:eastAsia="sl-SI"/>
              </w:rPr>
              <w:t>8,19</w:t>
            </w:r>
          </w:p>
        </w:tc>
      </w:tr>
    </w:tbl>
    <w:p w14:paraId="45524580" w14:textId="77777777" w:rsidR="009E0216" w:rsidRPr="00C57228" w:rsidRDefault="009E0216" w:rsidP="00EA2E4C">
      <w:pPr>
        <w:pStyle w:val="Default"/>
        <w:spacing w:line="360" w:lineRule="auto"/>
        <w:jc w:val="both"/>
        <w:rPr>
          <w:rFonts w:ascii="Arial" w:hAnsi="Arial" w:cs="Arial"/>
          <w:color w:val="auto"/>
          <w:sz w:val="16"/>
          <w:szCs w:val="16"/>
          <w:lang w:val="sl-SI"/>
        </w:rPr>
      </w:pPr>
      <w:r w:rsidRPr="00C57228">
        <w:rPr>
          <w:rFonts w:ascii="Arial" w:hAnsi="Arial" w:cs="Arial"/>
          <w:color w:val="auto"/>
          <w:sz w:val="16"/>
          <w:szCs w:val="16"/>
          <w:lang w:val="sl-SI"/>
        </w:rPr>
        <w:t>Vir: Eurostat, 2020</w:t>
      </w:r>
    </w:p>
    <w:p w14:paraId="00410F27" w14:textId="77777777" w:rsidR="009E0216" w:rsidRDefault="009E0216" w:rsidP="00EA2E4C">
      <w:pPr>
        <w:pStyle w:val="Default"/>
        <w:spacing w:line="360" w:lineRule="auto"/>
        <w:jc w:val="both"/>
        <w:rPr>
          <w:rFonts w:ascii="Arial" w:hAnsi="Arial" w:cs="Arial"/>
          <w:color w:val="auto"/>
          <w:sz w:val="20"/>
          <w:szCs w:val="20"/>
          <w:lang w:val="sl-SI"/>
        </w:rPr>
      </w:pPr>
    </w:p>
    <w:p w14:paraId="5AEF01DD" w14:textId="2D7BA0DB" w:rsidR="00083AB5" w:rsidRPr="00202F34" w:rsidRDefault="00083AB5" w:rsidP="00BE756C">
      <w:pPr>
        <w:pStyle w:val="Default"/>
        <w:keepNext/>
        <w:spacing w:line="360" w:lineRule="auto"/>
        <w:jc w:val="both"/>
        <w:rPr>
          <w:rFonts w:ascii="Arial" w:hAnsi="Arial" w:cs="Arial"/>
          <w:sz w:val="20"/>
          <w:szCs w:val="20"/>
        </w:rPr>
      </w:pPr>
      <w:r w:rsidRPr="00BE756C">
        <w:rPr>
          <w:rFonts w:ascii="Arial" w:hAnsi="Arial" w:cs="Arial"/>
          <w:color w:val="auto"/>
          <w:sz w:val="20"/>
          <w:szCs w:val="20"/>
          <w:lang w:val="sl-SI"/>
        </w:rPr>
        <w:lastRenderedPageBreak/>
        <w:t xml:space="preserve">Slika </w:t>
      </w:r>
      <w:r w:rsidR="00803D81">
        <w:rPr>
          <w:rFonts w:ascii="Arial" w:hAnsi="Arial" w:cs="Arial"/>
          <w:color w:val="auto"/>
          <w:sz w:val="20"/>
          <w:szCs w:val="20"/>
          <w:lang w:val="sl-SI"/>
        </w:rPr>
        <w:t>29</w:t>
      </w:r>
      <w:r w:rsidRPr="00BE756C">
        <w:rPr>
          <w:rFonts w:ascii="Arial" w:hAnsi="Arial" w:cs="Arial"/>
          <w:color w:val="auto"/>
          <w:sz w:val="20"/>
          <w:szCs w:val="20"/>
          <w:lang w:val="sl-SI"/>
        </w:rPr>
        <w:t>: Gibanje stopnje delavne aktivnosti</w:t>
      </w:r>
    </w:p>
    <w:p w14:paraId="1E276C0E" w14:textId="3E488C4A" w:rsidR="009E0216" w:rsidRPr="00A52F41" w:rsidRDefault="009E0216" w:rsidP="00EA2E4C">
      <w:pPr>
        <w:pStyle w:val="Default"/>
        <w:spacing w:line="360" w:lineRule="auto"/>
        <w:jc w:val="both"/>
        <w:rPr>
          <w:rFonts w:ascii="Arial" w:hAnsi="Arial" w:cs="Arial"/>
          <w:color w:val="auto"/>
          <w:sz w:val="20"/>
          <w:szCs w:val="20"/>
          <w:lang w:val="sl-SI"/>
        </w:rPr>
      </w:pPr>
      <w:r w:rsidRPr="00A52F41">
        <w:rPr>
          <w:rFonts w:ascii="Arial" w:hAnsi="Arial" w:cs="Arial"/>
          <w:noProof/>
          <w:sz w:val="20"/>
          <w:szCs w:val="20"/>
          <w:lang w:val="sl-SI" w:eastAsia="sl-SI"/>
        </w:rPr>
        <w:drawing>
          <wp:inline distT="0" distB="0" distL="0" distR="0" wp14:anchorId="6A3B7D4D" wp14:editId="635D5DDE">
            <wp:extent cx="5692775" cy="3390900"/>
            <wp:effectExtent l="0" t="0" r="3175" b="0"/>
            <wp:docPr id="1631865553" name="Grafikon 1631865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969251B" w14:textId="77B6594B" w:rsidR="009E0216" w:rsidRPr="00C57228" w:rsidRDefault="009E0216" w:rsidP="00EA2E4C">
      <w:pPr>
        <w:spacing w:line="360" w:lineRule="auto"/>
        <w:jc w:val="both"/>
        <w:rPr>
          <w:rFonts w:ascii="Arial" w:hAnsi="Arial" w:cs="Arial"/>
          <w:sz w:val="16"/>
          <w:szCs w:val="16"/>
        </w:rPr>
      </w:pPr>
      <w:r w:rsidRPr="00C57228">
        <w:rPr>
          <w:rFonts w:ascii="Arial" w:hAnsi="Arial" w:cs="Arial"/>
          <w:sz w:val="16"/>
          <w:szCs w:val="16"/>
        </w:rPr>
        <w:t>Vir: SURS</w:t>
      </w:r>
      <w:r w:rsidR="00DB07AB">
        <w:rPr>
          <w:rFonts w:ascii="Arial" w:hAnsi="Arial" w:cs="Arial"/>
          <w:sz w:val="16"/>
          <w:szCs w:val="16"/>
        </w:rPr>
        <w:t>, 2020</w:t>
      </w:r>
    </w:p>
    <w:p w14:paraId="2B2E43AC" w14:textId="6B4C7D08" w:rsidR="00DB07AB" w:rsidRDefault="009E0216" w:rsidP="00422936">
      <w:pPr>
        <w:jc w:val="both"/>
        <w:rPr>
          <w:rFonts w:ascii="Arial" w:eastAsia="Times New Roman" w:hAnsi="Arial" w:cs="Arial"/>
          <w:sz w:val="20"/>
          <w:szCs w:val="20"/>
          <w:lang w:eastAsia="en-GB"/>
        </w:rPr>
      </w:pPr>
      <w:r w:rsidRPr="00A52F41">
        <w:rPr>
          <w:rFonts w:ascii="Arial" w:hAnsi="Arial" w:cs="Arial"/>
          <w:sz w:val="20"/>
          <w:szCs w:val="20"/>
        </w:rPr>
        <w:t>Primerjava podatkov SURS</w:t>
      </w:r>
      <w:r w:rsidR="00DB07AB">
        <w:rPr>
          <w:rFonts w:ascii="Arial" w:hAnsi="Arial" w:cs="Arial"/>
          <w:sz w:val="20"/>
          <w:szCs w:val="20"/>
        </w:rPr>
        <w:t xml:space="preserve"> (2020)</w:t>
      </w:r>
      <w:r w:rsidRPr="00A52F41">
        <w:rPr>
          <w:rFonts w:ascii="Arial" w:hAnsi="Arial" w:cs="Arial"/>
          <w:sz w:val="20"/>
          <w:szCs w:val="20"/>
        </w:rPr>
        <w:t xml:space="preserve"> za podeželje po letih kaže (</w:t>
      </w:r>
      <w:r w:rsidR="008E6C7E">
        <w:rPr>
          <w:rFonts w:ascii="Arial" w:hAnsi="Arial" w:cs="Arial"/>
          <w:sz w:val="20"/>
          <w:szCs w:val="20"/>
        </w:rPr>
        <w:t xml:space="preserve">Tabela </w:t>
      </w:r>
      <w:r w:rsidR="00803D81">
        <w:rPr>
          <w:rFonts w:ascii="Arial" w:hAnsi="Arial" w:cs="Arial"/>
          <w:sz w:val="20"/>
          <w:szCs w:val="20"/>
        </w:rPr>
        <w:t>22</w:t>
      </w:r>
      <w:r w:rsidRPr="00A52F41">
        <w:rPr>
          <w:rFonts w:ascii="Arial" w:hAnsi="Arial" w:cs="Arial"/>
          <w:sz w:val="20"/>
          <w:szCs w:val="20"/>
        </w:rPr>
        <w:t xml:space="preserve">), da </w:t>
      </w:r>
      <w:r w:rsidR="005F1367">
        <w:rPr>
          <w:rFonts w:ascii="Arial" w:hAnsi="Arial" w:cs="Arial"/>
          <w:sz w:val="20"/>
          <w:szCs w:val="20"/>
        </w:rPr>
        <w:t>predstavlja</w:t>
      </w:r>
      <w:r w:rsidRPr="00A52F41">
        <w:rPr>
          <w:rFonts w:ascii="Arial" w:hAnsi="Arial" w:cs="Arial"/>
          <w:sz w:val="20"/>
          <w:szCs w:val="20"/>
        </w:rPr>
        <w:t xml:space="preserve">je število delovno aktivnih prebivalcev glede na prebivališče 64% vseh delovno aktivnih prebivalcev iz podeželja, glede na delovno mesto pa 50 % oseb. Število zaposlenih oseb (po delovnem mestu) na podeželju predstavlja polovico vseh zaposlenih v Sloveniji (okoli 49%). </w:t>
      </w:r>
    </w:p>
    <w:p w14:paraId="28E6DADA" w14:textId="1CE23BC2" w:rsidR="009E0216" w:rsidRPr="00A52F41" w:rsidRDefault="00C57228" w:rsidP="00BE756C">
      <w:pPr>
        <w:pStyle w:val="Default"/>
        <w:keepNext/>
        <w:spacing w:line="360" w:lineRule="auto"/>
        <w:jc w:val="both"/>
        <w:rPr>
          <w:rFonts w:ascii="Arial" w:hAnsi="Arial" w:cs="Arial"/>
          <w:color w:val="auto"/>
          <w:sz w:val="20"/>
          <w:szCs w:val="20"/>
          <w:lang w:val="sl-SI"/>
        </w:rPr>
      </w:pPr>
      <w:r>
        <w:rPr>
          <w:rFonts w:ascii="Arial" w:hAnsi="Arial" w:cs="Arial"/>
          <w:color w:val="auto"/>
          <w:sz w:val="20"/>
          <w:szCs w:val="20"/>
          <w:lang w:val="sl-SI"/>
        </w:rPr>
        <w:t xml:space="preserve">Tabela </w:t>
      </w:r>
      <w:r w:rsidR="00803D81">
        <w:rPr>
          <w:rFonts w:ascii="Arial" w:hAnsi="Arial" w:cs="Arial"/>
          <w:color w:val="auto"/>
          <w:sz w:val="20"/>
          <w:szCs w:val="20"/>
          <w:lang w:val="sl-SI"/>
        </w:rPr>
        <w:t>22</w:t>
      </w:r>
      <w:r w:rsidR="009E0216" w:rsidRPr="00A52F41">
        <w:rPr>
          <w:rFonts w:ascii="Arial" w:hAnsi="Arial" w:cs="Arial"/>
          <w:color w:val="auto"/>
          <w:sz w:val="20"/>
          <w:szCs w:val="20"/>
          <w:lang w:val="sl-SI"/>
        </w:rPr>
        <w:t>: Primerjava delovno aktivnih prebivalcev, zaposlenih in samozaposlenih oseb po letih</w:t>
      </w:r>
    </w:p>
    <w:tbl>
      <w:tblPr>
        <w:tblW w:w="9144" w:type="dxa"/>
        <w:tblInd w:w="65" w:type="dxa"/>
        <w:tblLayout w:type="fixed"/>
        <w:tblCellMar>
          <w:left w:w="70" w:type="dxa"/>
          <w:right w:w="70" w:type="dxa"/>
        </w:tblCellMar>
        <w:tblLook w:val="04A0" w:firstRow="1" w:lastRow="0" w:firstColumn="1" w:lastColumn="0" w:noHBand="0" w:noVBand="1"/>
      </w:tblPr>
      <w:tblGrid>
        <w:gridCol w:w="2273"/>
        <w:gridCol w:w="1418"/>
        <w:gridCol w:w="908"/>
        <w:gridCol w:w="909"/>
        <w:gridCol w:w="909"/>
        <w:gridCol w:w="909"/>
        <w:gridCol w:w="909"/>
        <w:gridCol w:w="909"/>
      </w:tblGrid>
      <w:tr w:rsidR="009D1026" w:rsidRPr="00DB07AB" w14:paraId="33390332" w14:textId="77777777" w:rsidTr="00422936">
        <w:trPr>
          <w:trHeight w:val="771"/>
        </w:trPr>
        <w:tc>
          <w:tcPr>
            <w:tcW w:w="369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D2CD596" w14:textId="7ED5FE68" w:rsidR="009D1026" w:rsidRPr="009D1026" w:rsidRDefault="009D1026" w:rsidP="004A34AD">
            <w:pPr>
              <w:spacing w:before="60" w:after="0" w:line="312" w:lineRule="auto"/>
              <w:rPr>
                <w:rFonts w:ascii="Arial" w:hAnsi="Arial" w:cs="Arial"/>
                <w:b/>
                <w:bCs/>
                <w:color w:val="000000"/>
                <w:sz w:val="20"/>
                <w:szCs w:val="20"/>
                <w:lang w:eastAsia="sl-SI"/>
              </w:rPr>
            </w:pPr>
            <w:r w:rsidRPr="00A51AC6">
              <w:rPr>
                <w:rFonts w:ascii="Arial" w:hAnsi="Arial" w:cs="Arial"/>
                <w:b/>
                <w:bCs/>
                <w:color w:val="000000"/>
                <w:sz w:val="20"/>
                <w:szCs w:val="20"/>
                <w:lang w:eastAsia="sl-SI"/>
              </w:rPr>
              <w:t>Kazalniki - delovno aktivni prebivalci/samozaposleni/stopnja delovne aktivnosti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6C0ADB2B" w14:textId="77777777" w:rsidR="009D1026" w:rsidRPr="00DB07AB" w:rsidRDefault="009D1026" w:rsidP="004A34AD">
            <w:pPr>
              <w:spacing w:before="60" w:after="0" w:line="312" w:lineRule="auto"/>
              <w:jc w:val="center"/>
              <w:rPr>
                <w:rFonts w:ascii="Arial" w:hAnsi="Arial" w:cs="Arial"/>
                <w:b/>
                <w:bCs/>
                <w:color w:val="000000"/>
                <w:sz w:val="20"/>
                <w:szCs w:val="20"/>
                <w:lang w:eastAsia="sl-SI"/>
              </w:rPr>
            </w:pPr>
            <w:r w:rsidRPr="00DB07AB">
              <w:rPr>
                <w:rFonts w:ascii="Arial" w:hAnsi="Arial" w:cs="Arial"/>
                <w:b/>
                <w:bCs/>
                <w:color w:val="000000"/>
                <w:sz w:val="20"/>
                <w:szCs w:val="20"/>
                <w:lang w:eastAsia="sl-SI"/>
              </w:rPr>
              <w:t>2008</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14:paraId="7786EE3D" w14:textId="77777777" w:rsidR="009D1026" w:rsidRPr="00DB07AB" w:rsidRDefault="009D1026" w:rsidP="004A34AD">
            <w:pPr>
              <w:spacing w:before="60" w:after="0" w:line="312" w:lineRule="auto"/>
              <w:jc w:val="center"/>
              <w:rPr>
                <w:rFonts w:ascii="Arial" w:hAnsi="Arial" w:cs="Arial"/>
                <w:b/>
                <w:bCs/>
                <w:color w:val="000000"/>
                <w:sz w:val="20"/>
                <w:szCs w:val="20"/>
                <w:lang w:eastAsia="sl-SI"/>
              </w:rPr>
            </w:pPr>
            <w:r w:rsidRPr="00DB07AB">
              <w:rPr>
                <w:rFonts w:ascii="Arial" w:hAnsi="Arial" w:cs="Arial"/>
                <w:b/>
                <w:bCs/>
                <w:color w:val="000000"/>
                <w:sz w:val="20"/>
                <w:szCs w:val="20"/>
                <w:lang w:eastAsia="sl-SI"/>
              </w:rPr>
              <w:t>2010</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14:paraId="0E6E907A" w14:textId="77777777" w:rsidR="009D1026" w:rsidRPr="00DB07AB" w:rsidRDefault="009D1026" w:rsidP="004A34AD">
            <w:pPr>
              <w:spacing w:before="60" w:after="0" w:line="312" w:lineRule="auto"/>
              <w:jc w:val="center"/>
              <w:rPr>
                <w:rFonts w:ascii="Arial" w:hAnsi="Arial" w:cs="Arial"/>
                <w:b/>
                <w:bCs/>
                <w:color w:val="000000"/>
                <w:sz w:val="20"/>
                <w:szCs w:val="20"/>
                <w:lang w:eastAsia="sl-SI"/>
              </w:rPr>
            </w:pPr>
            <w:r w:rsidRPr="00DB07AB">
              <w:rPr>
                <w:rFonts w:ascii="Arial" w:hAnsi="Arial" w:cs="Arial"/>
                <w:b/>
                <w:bCs/>
                <w:color w:val="000000"/>
                <w:sz w:val="20"/>
                <w:szCs w:val="20"/>
                <w:lang w:eastAsia="sl-SI"/>
              </w:rPr>
              <w:t>2013</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14:paraId="42A9449A" w14:textId="77777777" w:rsidR="009D1026" w:rsidRPr="00DB07AB" w:rsidRDefault="009D1026" w:rsidP="004A34AD">
            <w:pPr>
              <w:spacing w:before="60" w:after="0" w:line="312" w:lineRule="auto"/>
              <w:jc w:val="center"/>
              <w:rPr>
                <w:rFonts w:ascii="Arial" w:hAnsi="Arial" w:cs="Arial"/>
                <w:b/>
                <w:bCs/>
                <w:color w:val="000000"/>
                <w:sz w:val="20"/>
                <w:szCs w:val="20"/>
                <w:lang w:eastAsia="sl-SI"/>
              </w:rPr>
            </w:pPr>
            <w:r w:rsidRPr="00DB07AB">
              <w:rPr>
                <w:rFonts w:ascii="Arial" w:hAnsi="Arial" w:cs="Arial"/>
                <w:b/>
                <w:bCs/>
                <w:color w:val="000000"/>
                <w:sz w:val="20"/>
                <w:szCs w:val="20"/>
                <w:lang w:eastAsia="sl-SI"/>
              </w:rPr>
              <w:t>2015</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14:paraId="72B9AF32" w14:textId="77777777" w:rsidR="009D1026" w:rsidRPr="00DB07AB" w:rsidRDefault="009D1026" w:rsidP="004A34AD">
            <w:pPr>
              <w:spacing w:before="60" w:after="0" w:line="312" w:lineRule="auto"/>
              <w:jc w:val="center"/>
              <w:rPr>
                <w:rFonts w:ascii="Arial" w:hAnsi="Arial" w:cs="Arial"/>
                <w:b/>
                <w:bCs/>
                <w:color w:val="000000"/>
                <w:sz w:val="20"/>
                <w:szCs w:val="20"/>
                <w:lang w:eastAsia="sl-SI"/>
              </w:rPr>
            </w:pPr>
            <w:r w:rsidRPr="00DB07AB">
              <w:rPr>
                <w:rFonts w:ascii="Arial" w:hAnsi="Arial" w:cs="Arial"/>
                <w:b/>
                <w:bCs/>
                <w:color w:val="000000"/>
                <w:sz w:val="20"/>
                <w:szCs w:val="20"/>
                <w:lang w:eastAsia="sl-SI"/>
              </w:rPr>
              <w:t>2018</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14:paraId="5882F68A" w14:textId="77777777" w:rsidR="009D1026" w:rsidRPr="00DB07AB" w:rsidRDefault="009D1026" w:rsidP="004A34AD">
            <w:pPr>
              <w:spacing w:before="60" w:after="0" w:line="312" w:lineRule="auto"/>
              <w:jc w:val="center"/>
              <w:rPr>
                <w:rFonts w:ascii="Arial" w:hAnsi="Arial" w:cs="Arial"/>
                <w:b/>
                <w:bCs/>
                <w:color w:val="000000"/>
                <w:sz w:val="20"/>
                <w:szCs w:val="20"/>
                <w:lang w:eastAsia="sl-SI"/>
              </w:rPr>
            </w:pPr>
            <w:r w:rsidRPr="00DB07AB">
              <w:rPr>
                <w:rFonts w:ascii="Arial" w:hAnsi="Arial" w:cs="Arial"/>
                <w:b/>
                <w:bCs/>
                <w:color w:val="000000"/>
                <w:sz w:val="20"/>
                <w:szCs w:val="20"/>
                <w:lang w:eastAsia="sl-SI"/>
              </w:rPr>
              <w:t>2019</w:t>
            </w:r>
          </w:p>
        </w:tc>
      </w:tr>
      <w:tr w:rsidR="009D1026" w:rsidRPr="00DB07AB" w14:paraId="4BC62E57" w14:textId="77777777" w:rsidTr="00422936">
        <w:trPr>
          <w:trHeight w:val="285"/>
        </w:trPr>
        <w:tc>
          <w:tcPr>
            <w:tcW w:w="2273" w:type="dxa"/>
            <w:vMerge w:val="restart"/>
            <w:tcBorders>
              <w:top w:val="nil"/>
              <w:left w:val="single" w:sz="4" w:space="0" w:color="auto"/>
              <w:right w:val="single" w:sz="4" w:space="0" w:color="auto"/>
            </w:tcBorders>
            <w:shd w:val="clear" w:color="auto" w:fill="auto"/>
            <w:vAlign w:val="center"/>
            <w:hideMark/>
          </w:tcPr>
          <w:p w14:paraId="2D3C60B1" w14:textId="5B0A3C01" w:rsidR="009D1026" w:rsidRPr="00A51AC6" w:rsidRDefault="009D1026" w:rsidP="004A34AD">
            <w:pPr>
              <w:spacing w:before="60" w:after="0" w:line="312" w:lineRule="auto"/>
              <w:rPr>
                <w:rFonts w:ascii="Arial" w:hAnsi="Arial" w:cs="Arial"/>
                <w:b/>
                <w:bCs/>
                <w:color w:val="000000"/>
                <w:sz w:val="20"/>
                <w:szCs w:val="20"/>
                <w:lang w:eastAsia="sl-SI"/>
              </w:rPr>
            </w:pPr>
            <w:r w:rsidRPr="00A51AC6">
              <w:rPr>
                <w:rFonts w:ascii="Arial" w:hAnsi="Arial" w:cs="Arial"/>
                <w:b/>
                <w:bCs/>
                <w:color w:val="000000"/>
                <w:sz w:val="20"/>
                <w:szCs w:val="20"/>
                <w:lang w:eastAsia="sl-SI"/>
              </w:rPr>
              <w:t>Število delovno aktivnih prebivalcev (po prebivališču)</w:t>
            </w:r>
          </w:p>
        </w:tc>
        <w:tc>
          <w:tcPr>
            <w:tcW w:w="1418" w:type="dxa"/>
            <w:tcBorders>
              <w:top w:val="nil"/>
              <w:left w:val="nil"/>
              <w:bottom w:val="single" w:sz="4" w:space="0" w:color="auto"/>
              <w:right w:val="single" w:sz="4" w:space="0" w:color="auto"/>
            </w:tcBorders>
            <w:shd w:val="clear" w:color="auto" w:fill="auto"/>
            <w:noWrap/>
            <w:vAlign w:val="bottom"/>
            <w:hideMark/>
          </w:tcPr>
          <w:p w14:paraId="005643BE" w14:textId="77777777" w:rsidR="009D1026" w:rsidRPr="00DB07AB" w:rsidRDefault="009D1026" w:rsidP="004A34AD">
            <w:pPr>
              <w:spacing w:before="60" w:after="0" w:line="312" w:lineRule="auto"/>
              <w:jc w:val="both"/>
              <w:rPr>
                <w:rFonts w:ascii="Arial" w:hAnsi="Arial" w:cs="Arial"/>
                <w:b/>
                <w:bCs/>
                <w:color w:val="000000"/>
                <w:sz w:val="20"/>
                <w:szCs w:val="20"/>
                <w:lang w:eastAsia="sl-SI"/>
              </w:rPr>
            </w:pPr>
            <w:r w:rsidRPr="00DB07AB">
              <w:rPr>
                <w:rFonts w:ascii="Arial" w:hAnsi="Arial" w:cs="Arial"/>
                <w:b/>
                <w:bCs/>
                <w:color w:val="000000"/>
                <w:sz w:val="20"/>
                <w:szCs w:val="20"/>
                <w:lang w:eastAsia="sl-SI"/>
              </w:rPr>
              <w:t>Slovenija</w:t>
            </w:r>
          </w:p>
        </w:tc>
        <w:tc>
          <w:tcPr>
            <w:tcW w:w="908" w:type="dxa"/>
            <w:tcBorders>
              <w:top w:val="nil"/>
              <w:left w:val="nil"/>
              <w:bottom w:val="single" w:sz="4" w:space="0" w:color="auto"/>
              <w:right w:val="single" w:sz="4" w:space="0" w:color="auto"/>
            </w:tcBorders>
            <w:shd w:val="clear" w:color="auto" w:fill="auto"/>
            <w:noWrap/>
            <w:vAlign w:val="bottom"/>
            <w:hideMark/>
          </w:tcPr>
          <w:p w14:paraId="0871708C" w14:textId="143B0B81"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879</w:t>
            </w:r>
            <w:r>
              <w:rPr>
                <w:rFonts w:ascii="Arial" w:hAnsi="Arial" w:cs="Arial"/>
                <w:color w:val="000000"/>
                <w:sz w:val="20"/>
                <w:szCs w:val="20"/>
                <w:lang w:eastAsia="sl-SI"/>
              </w:rPr>
              <w:t>.</w:t>
            </w:r>
            <w:r w:rsidRPr="00DB07AB">
              <w:rPr>
                <w:rFonts w:ascii="Arial" w:hAnsi="Arial" w:cs="Arial"/>
                <w:color w:val="000000"/>
                <w:sz w:val="20"/>
                <w:szCs w:val="20"/>
                <w:lang w:eastAsia="sl-SI"/>
              </w:rPr>
              <w:t>257</w:t>
            </w:r>
          </w:p>
        </w:tc>
        <w:tc>
          <w:tcPr>
            <w:tcW w:w="909" w:type="dxa"/>
            <w:tcBorders>
              <w:top w:val="nil"/>
              <w:left w:val="nil"/>
              <w:bottom w:val="single" w:sz="4" w:space="0" w:color="auto"/>
              <w:right w:val="single" w:sz="4" w:space="0" w:color="auto"/>
            </w:tcBorders>
            <w:shd w:val="clear" w:color="auto" w:fill="auto"/>
            <w:noWrap/>
            <w:vAlign w:val="bottom"/>
            <w:hideMark/>
          </w:tcPr>
          <w:p w14:paraId="02F757E6" w14:textId="49100198"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835</w:t>
            </w:r>
            <w:r>
              <w:rPr>
                <w:rFonts w:ascii="Arial" w:hAnsi="Arial" w:cs="Arial"/>
                <w:color w:val="000000"/>
                <w:sz w:val="20"/>
                <w:szCs w:val="20"/>
                <w:lang w:eastAsia="sl-SI"/>
              </w:rPr>
              <w:t>.</w:t>
            </w:r>
            <w:r w:rsidRPr="00DB07AB">
              <w:rPr>
                <w:rFonts w:ascii="Arial" w:hAnsi="Arial" w:cs="Arial"/>
                <w:color w:val="000000"/>
                <w:sz w:val="20"/>
                <w:szCs w:val="20"/>
                <w:lang w:eastAsia="sl-SI"/>
              </w:rPr>
              <w:t>039</w:t>
            </w:r>
          </w:p>
        </w:tc>
        <w:tc>
          <w:tcPr>
            <w:tcW w:w="909" w:type="dxa"/>
            <w:tcBorders>
              <w:top w:val="nil"/>
              <w:left w:val="nil"/>
              <w:bottom w:val="single" w:sz="4" w:space="0" w:color="auto"/>
              <w:right w:val="single" w:sz="4" w:space="0" w:color="auto"/>
            </w:tcBorders>
            <w:shd w:val="clear" w:color="auto" w:fill="auto"/>
            <w:noWrap/>
            <w:vAlign w:val="bottom"/>
            <w:hideMark/>
          </w:tcPr>
          <w:p w14:paraId="65F3B469" w14:textId="4207781A"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793</w:t>
            </w:r>
            <w:r>
              <w:rPr>
                <w:rFonts w:ascii="Arial" w:hAnsi="Arial" w:cs="Arial"/>
                <w:color w:val="000000"/>
                <w:sz w:val="20"/>
                <w:szCs w:val="20"/>
                <w:lang w:eastAsia="sl-SI"/>
              </w:rPr>
              <w:t>.</w:t>
            </w:r>
            <w:r w:rsidRPr="00DB07AB">
              <w:rPr>
                <w:rFonts w:ascii="Arial" w:hAnsi="Arial" w:cs="Arial"/>
                <w:color w:val="000000"/>
                <w:sz w:val="20"/>
                <w:szCs w:val="20"/>
                <w:lang w:eastAsia="sl-SI"/>
              </w:rPr>
              <w:t>597</w:t>
            </w:r>
          </w:p>
        </w:tc>
        <w:tc>
          <w:tcPr>
            <w:tcW w:w="909" w:type="dxa"/>
            <w:tcBorders>
              <w:top w:val="nil"/>
              <w:left w:val="nil"/>
              <w:bottom w:val="single" w:sz="4" w:space="0" w:color="auto"/>
              <w:right w:val="single" w:sz="4" w:space="0" w:color="auto"/>
            </w:tcBorders>
            <w:shd w:val="clear" w:color="auto" w:fill="auto"/>
            <w:noWrap/>
            <w:vAlign w:val="bottom"/>
            <w:hideMark/>
          </w:tcPr>
          <w:p w14:paraId="515D14FD" w14:textId="45BB6C31"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804</w:t>
            </w:r>
            <w:r>
              <w:rPr>
                <w:rFonts w:ascii="Arial" w:hAnsi="Arial" w:cs="Arial"/>
                <w:color w:val="000000"/>
                <w:sz w:val="20"/>
                <w:szCs w:val="20"/>
                <w:lang w:eastAsia="sl-SI"/>
              </w:rPr>
              <w:t>.</w:t>
            </w:r>
            <w:r w:rsidRPr="00DB07AB">
              <w:rPr>
                <w:rFonts w:ascii="Arial" w:hAnsi="Arial" w:cs="Arial"/>
                <w:color w:val="000000"/>
                <w:sz w:val="20"/>
                <w:szCs w:val="20"/>
                <w:lang w:eastAsia="sl-SI"/>
              </w:rPr>
              <w:t>637</w:t>
            </w:r>
          </w:p>
        </w:tc>
        <w:tc>
          <w:tcPr>
            <w:tcW w:w="909" w:type="dxa"/>
            <w:tcBorders>
              <w:top w:val="nil"/>
              <w:left w:val="nil"/>
              <w:bottom w:val="single" w:sz="4" w:space="0" w:color="auto"/>
              <w:right w:val="single" w:sz="4" w:space="0" w:color="auto"/>
            </w:tcBorders>
            <w:shd w:val="clear" w:color="auto" w:fill="auto"/>
            <w:noWrap/>
            <w:vAlign w:val="bottom"/>
            <w:hideMark/>
          </w:tcPr>
          <w:p w14:paraId="7AFB069F" w14:textId="6B046E28"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872</w:t>
            </w:r>
            <w:r>
              <w:rPr>
                <w:rFonts w:ascii="Arial" w:hAnsi="Arial" w:cs="Arial"/>
                <w:color w:val="000000"/>
                <w:sz w:val="20"/>
                <w:szCs w:val="20"/>
                <w:lang w:eastAsia="sl-SI"/>
              </w:rPr>
              <w:t>.</w:t>
            </w:r>
            <w:r w:rsidRPr="00DB07AB">
              <w:rPr>
                <w:rFonts w:ascii="Arial" w:hAnsi="Arial" w:cs="Arial"/>
                <w:color w:val="000000"/>
                <w:sz w:val="20"/>
                <w:szCs w:val="20"/>
                <w:lang w:eastAsia="sl-SI"/>
              </w:rPr>
              <w:t>772</w:t>
            </w:r>
          </w:p>
        </w:tc>
        <w:tc>
          <w:tcPr>
            <w:tcW w:w="909" w:type="dxa"/>
            <w:tcBorders>
              <w:top w:val="nil"/>
              <w:left w:val="nil"/>
              <w:bottom w:val="single" w:sz="4" w:space="0" w:color="auto"/>
              <w:right w:val="single" w:sz="4" w:space="0" w:color="auto"/>
            </w:tcBorders>
            <w:shd w:val="clear" w:color="auto" w:fill="auto"/>
            <w:noWrap/>
            <w:vAlign w:val="bottom"/>
            <w:hideMark/>
          </w:tcPr>
          <w:p w14:paraId="0B3A045E" w14:textId="400D35A9"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894</w:t>
            </w:r>
            <w:r>
              <w:rPr>
                <w:rFonts w:ascii="Arial" w:hAnsi="Arial" w:cs="Arial"/>
                <w:color w:val="000000"/>
                <w:sz w:val="20"/>
                <w:szCs w:val="20"/>
                <w:lang w:eastAsia="sl-SI"/>
              </w:rPr>
              <w:t>.</w:t>
            </w:r>
            <w:r w:rsidRPr="00DB07AB">
              <w:rPr>
                <w:rFonts w:ascii="Arial" w:hAnsi="Arial" w:cs="Arial"/>
                <w:color w:val="000000"/>
                <w:sz w:val="20"/>
                <w:szCs w:val="20"/>
                <w:lang w:eastAsia="sl-SI"/>
              </w:rPr>
              <w:t>229</w:t>
            </w:r>
          </w:p>
        </w:tc>
      </w:tr>
      <w:tr w:rsidR="009D1026" w:rsidRPr="00DB07AB" w14:paraId="53D31B39" w14:textId="77777777" w:rsidTr="00422936">
        <w:trPr>
          <w:trHeight w:val="300"/>
        </w:trPr>
        <w:tc>
          <w:tcPr>
            <w:tcW w:w="2273" w:type="dxa"/>
            <w:vMerge/>
            <w:tcBorders>
              <w:left w:val="single" w:sz="4" w:space="0" w:color="auto"/>
              <w:right w:val="single" w:sz="4" w:space="0" w:color="auto"/>
            </w:tcBorders>
            <w:shd w:val="clear" w:color="auto" w:fill="auto"/>
            <w:vAlign w:val="bottom"/>
            <w:hideMark/>
          </w:tcPr>
          <w:p w14:paraId="0CEC8F2F" w14:textId="0B009655" w:rsidR="009D1026" w:rsidRPr="00A51AC6" w:rsidRDefault="009D1026" w:rsidP="004A34AD">
            <w:pPr>
              <w:spacing w:before="60" w:after="0" w:line="312" w:lineRule="auto"/>
              <w:rPr>
                <w:rFonts w:ascii="Arial" w:hAnsi="Arial" w:cs="Arial"/>
                <w:b/>
                <w:bCs/>
                <w:color w:val="000000"/>
                <w:sz w:val="20"/>
                <w:szCs w:val="20"/>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6A3DADCD" w14:textId="77777777" w:rsidR="009D1026" w:rsidRPr="00DB07AB" w:rsidRDefault="009D1026" w:rsidP="004A34AD">
            <w:pPr>
              <w:spacing w:before="60" w:after="0" w:line="312" w:lineRule="auto"/>
              <w:jc w:val="both"/>
              <w:rPr>
                <w:rFonts w:ascii="Arial" w:hAnsi="Arial" w:cs="Arial"/>
                <w:b/>
                <w:bCs/>
                <w:color w:val="000000"/>
                <w:sz w:val="20"/>
                <w:szCs w:val="20"/>
                <w:lang w:eastAsia="sl-SI"/>
              </w:rPr>
            </w:pPr>
            <w:r w:rsidRPr="00DB07AB">
              <w:rPr>
                <w:rFonts w:ascii="Arial" w:hAnsi="Arial" w:cs="Arial"/>
                <w:b/>
                <w:bCs/>
                <w:color w:val="000000"/>
                <w:sz w:val="20"/>
                <w:szCs w:val="20"/>
                <w:lang w:eastAsia="sl-SI"/>
              </w:rPr>
              <w:t>podeželje</w:t>
            </w:r>
          </w:p>
        </w:tc>
        <w:tc>
          <w:tcPr>
            <w:tcW w:w="908" w:type="dxa"/>
            <w:tcBorders>
              <w:top w:val="nil"/>
              <w:left w:val="nil"/>
              <w:bottom w:val="single" w:sz="4" w:space="0" w:color="auto"/>
              <w:right w:val="single" w:sz="4" w:space="0" w:color="auto"/>
            </w:tcBorders>
            <w:shd w:val="clear" w:color="auto" w:fill="auto"/>
            <w:noWrap/>
            <w:vAlign w:val="bottom"/>
            <w:hideMark/>
          </w:tcPr>
          <w:p w14:paraId="5B41865C" w14:textId="3C5FEA0E"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566</w:t>
            </w:r>
            <w:r>
              <w:rPr>
                <w:rFonts w:ascii="Arial" w:hAnsi="Arial" w:cs="Arial"/>
                <w:color w:val="000000"/>
                <w:sz w:val="20"/>
                <w:szCs w:val="20"/>
                <w:lang w:eastAsia="sl-SI"/>
              </w:rPr>
              <w:t>.</w:t>
            </w:r>
            <w:r w:rsidRPr="00DB07AB">
              <w:rPr>
                <w:rFonts w:ascii="Arial" w:hAnsi="Arial" w:cs="Arial"/>
                <w:color w:val="000000"/>
                <w:sz w:val="20"/>
                <w:szCs w:val="20"/>
                <w:lang w:eastAsia="sl-SI"/>
              </w:rPr>
              <w:t>241</w:t>
            </w:r>
          </w:p>
        </w:tc>
        <w:tc>
          <w:tcPr>
            <w:tcW w:w="909" w:type="dxa"/>
            <w:tcBorders>
              <w:top w:val="nil"/>
              <w:left w:val="nil"/>
              <w:bottom w:val="single" w:sz="4" w:space="0" w:color="auto"/>
              <w:right w:val="single" w:sz="4" w:space="0" w:color="auto"/>
            </w:tcBorders>
            <w:shd w:val="clear" w:color="auto" w:fill="auto"/>
            <w:noWrap/>
            <w:vAlign w:val="bottom"/>
            <w:hideMark/>
          </w:tcPr>
          <w:p w14:paraId="7BCC5F0B" w14:textId="7197233A"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536</w:t>
            </w:r>
            <w:r>
              <w:rPr>
                <w:rFonts w:ascii="Arial" w:hAnsi="Arial" w:cs="Arial"/>
                <w:color w:val="000000"/>
                <w:sz w:val="20"/>
                <w:szCs w:val="20"/>
                <w:lang w:eastAsia="sl-SI"/>
              </w:rPr>
              <w:t>.</w:t>
            </w:r>
            <w:r w:rsidRPr="00DB07AB">
              <w:rPr>
                <w:rFonts w:ascii="Arial" w:hAnsi="Arial" w:cs="Arial"/>
                <w:color w:val="000000"/>
                <w:sz w:val="20"/>
                <w:szCs w:val="20"/>
                <w:lang w:eastAsia="sl-SI"/>
              </w:rPr>
              <w:t>567</w:t>
            </w:r>
          </w:p>
        </w:tc>
        <w:tc>
          <w:tcPr>
            <w:tcW w:w="909" w:type="dxa"/>
            <w:tcBorders>
              <w:top w:val="nil"/>
              <w:left w:val="nil"/>
              <w:bottom w:val="single" w:sz="4" w:space="0" w:color="auto"/>
              <w:right w:val="single" w:sz="4" w:space="0" w:color="auto"/>
            </w:tcBorders>
            <w:shd w:val="clear" w:color="auto" w:fill="auto"/>
            <w:noWrap/>
            <w:vAlign w:val="bottom"/>
            <w:hideMark/>
          </w:tcPr>
          <w:p w14:paraId="6A673137" w14:textId="46C762D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514</w:t>
            </w:r>
            <w:r>
              <w:rPr>
                <w:rFonts w:ascii="Arial" w:hAnsi="Arial" w:cs="Arial"/>
                <w:color w:val="000000"/>
                <w:sz w:val="20"/>
                <w:szCs w:val="20"/>
                <w:lang w:eastAsia="sl-SI"/>
              </w:rPr>
              <w:t>.</w:t>
            </w:r>
            <w:r w:rsidRPr="00DB07AB">
              <w:rPr>
                <w:rFonts w:ascii="Arial" w:hAnsi="Arial" w:cs="Arial"/>
                <w:color w:val="000000"/>
                <w:sz w:val="20"/>
                <w:szCs w:val="20"/>
                <w:lang w:eastAsia="sl-SI"/>
              </w:rPr>
              <w:t>408</w:t>
            </w:r>
          </w:p>
        </w:tc>
        <w:tc>
          <w:tcPr>
            <w:tcW w:w="909" w:type="dxa"/>
            <w:tcBorders>
              <w:top w:val="nil"/>
              <w:left w:val="nil"/>
              <w:bottom w:val="single" w:sz="4" w:space="0" w:color="auto"/>
              <w:right w:val="single" w:sz="4" w:space="0" w:color="auto"/>
            </w:tcBorders>
            <w:shd w:val="clear" w:color="auto" w:fill="auto"/>
            <w:noWrap/>
            <w:vAlign w:val="bottom"/>
            <w:hideMark/>
          </w:tcPr>
          <w:p w14:paraId="13D7ED84" w14:textId="6157538D"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520</w:t>
            </w:r>
            <w:r>
              <w:rPr>
                <w:rFonts w:ascii="Arial" w:hAnsi="Arial" w:cs="Arial"/>
                <w:color w:val="000000"/>
                <w:sz w:val="20"/>
                <w:szCs w:val="20"/>
                <w:lang w:eastAsia="sl-SI"/>
              </w:rPr>
              <w:t>.</w:t>
            </w:r>
            <w:r w:rsidRPr="00DB07AB">
              <w:rPr>
                <w:rFonts w:ascii="Arial" w:hAnsi="Arial" w:cs="Arial"/>
                <w:color w:val="000000"/>
                <w:sz w:val="20"/>
                <w:szCs w:val="20"/>
                <w:lang w:eastAsia="sl-SI"/>
              </w:rPr>
              <w:t>221</w:t>
            </w:r>
          </w:p>
        </w:tc>
        <w:tc>
          <w:tcPr>
            <w:tcW w:w="909" w:type="dxa"/>
            <w:tcBorders>
              <w:top w:val="nil"/>
              <w:left w:val="nil"/>
              <w:bottom w:val="single" w:sz="4" w:space="0" w:color="auto"/>
              <w:right w:val="single" w:sz="4" w:space="0" w:color="auto"/>
            </w:tcBorders>
            <w:shd w:val="clear" w:color="auto" w:fill="auto"/>
            <w:noWrap/>
            <w:vAlign w:val="bottom"/>
            <w:hideMark/>
          </w:tcPr>
          <w:p w14:paraId="5DBF8EF5" w14:textId="057B6FF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559</w:t>
            </w:r>
            <w:r>
              <w:rPr>
                <w:rFonts w:ascii="Arial" w:hAnsi="Arial" w:cs="Arial"/>
                <w:color w:val="000000"/>
                <w:sz w:val="20"/>
                <w:szCs w:val="20"/>
                <w:lang w:eastAsia="sl-SI"/>
              </w:rPr>
              <w:t>.</w:t>
            </w:r>
            <w:r w:rsidRPr="00DB07AB">
              <w:rPr>
                <w:rFonts w:ascii="Arial" w:hAnsi="Arial" w:cs="Arial"/>
                <w:color w:val="000000"/>
                <w:sz w:val="20"/>
                <w:szCs w:val="20"/>
                <w:lang w:eastAsia="sl-SI"/>
              </w:rPr>
              <w:t>817</w:t>
            </w:r>
          </w:p>
        </w:tc>
        <w:tc>
          <w:tcPr>
            <w:tcW w:w="909" w:type="dxa"/>
            <w:tcBorders>
              <w:top w:val="nil"/>
              <w:left w:val="nil"/>
              <w:bottom w:val="single" w:sz="4" w:space="0" w:color="auto"/>
              <w:right w:val="single" w:sz="4" w:space="0" w:color="auto"/>
            </w:tcBorders>
            <w:shd w:val="clear" w:color="auto" w:fill="auto"/>
            <w:noWrap/>
            <w:vAlign w:val="bottom"/>
            <w:hideMark/>
          </w:tcPr>
          <w:p w14:paraId="18DC3B14" w14:textId="5038B6BD"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571</w:t>
            </w:r>
            <w:r>
              <w:rPr>
                <w:rFonts w:ascii="Arial" w:hAnsi="Arial" w:cs="Arial"/>
                <w:color w:val="000000"/>
                <w:sz w:val="20"/>
                <w:szCs w:val="20"/>
                <w:lang w:eastAsia="sl-SI"/>
              </w:rPr>
              <w:t>.</w:t>
            </w:r>
            <w:r w:rsidRPr="00DB07AB">
              <w:rPr>
                <w:rFonts w:ascii="Arial" w:hAnsi="Arial" w:cs="Arial"/>
                <w:color w:val="000000"/>
                <w:sz w:val="20"/>
                <w:szCs w:val="20"/>
                <w:lang w:eastAsia="sl-SI"/>
              </w:rPr>
              <w:t>825</w:t>
            </w:r>
          </w:p>
        </w:tc>
      </w:tr>
      <w:tr w:rsidR="009D1026" w:rsidRPr="00DB07AB" w14:paraId="20A223BD" w14:textId="77777777" w:rsidTr="00422936">
        <w:trPr>
          <w:trHeight w:val="300"/>
        </w:trPr>
        <w:tc>
          <w:tcPr>
            <w:tcW w:w="2273" w:type="dxa"/>
            <w:vMerge/>
            <w:tcBorders>
              <w:left w:val="single" w:sz="4" w:space="0" w:color="auto"/>
              <w:bottom w:val="single" w:sz="4" w:space="0" w:color="auto"/>
              <w:right w:val="single" w:sz="4" w:space="0" w:color="auto"/>
            </w:tcBorders>
            <w:shd w:val="clear" w:color="auto" w:fill="auto"/>
            <w:vAlign w:val="bottom"/>
            <w:hideMark/>
          </w:tcPr>
          <w:p w14:paraId="64C832F2" w14:textId="17B4EAAF" w:rsidR="009D1026" w:rsidRPr="00A51AC6" w:rsidRDefault="009D1026" w:rsidP="004A34AD">
            <w:pPr>
              <w:spacing w:before="60" w:after="0" w:line="312" w:lineRule="auto"/>
              <w:rPr>
                <w:rFonts w:ascii="Arial" w:hAnsi="Arial" w:cs="Arial"/>
                <w:b/>
                <w:bCs/>
                <w:color w:val="000000"/>
                <w:sz w:val="20"/>
                <w:szCs w:val="20"/>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6F575490" w14:textId="51DF0CCE" w:rsidR="009D1026" w:rsidRPr="00DB07AB" w:rsidRDefault="003F7E91" w:rsidP="004A34AD">
            <w:pPr>
              <w:spacing w:before="60" w:after="0" w:line="312" w:lineRule="auto"/>
              <w:jc w:val="both"/>
              <w:rPr>
                <w:rFonts w:ascii="Arial" w:hAnsi="Arial" w:cs="Arial"/>
                <w:b/>
                <w:bCs/>
                <w:color w:val="000000"/>
                <w:sz w:val="20"/>
                <w:szCs w:val="20"/>
                <w:lang w:eastAsia="sl-SI"/>
              </w:rPr>
            </w:pPr>
            <w:r>
              <w:rPr>
                <w:rFonts w:ascii="Arial" w:hAnsi="Arial" w:cs="Arial"/>
                <w:color w:val="000000"/>
                <w:sz w:val="20"/>
                <w:szCs w:val="20"/>
                <w:lang w:eastAsia="sl-SI"/>
              </w:rPr>
              <w:t>podeželje (%)</w:t>
            </w:r>
          </w:p>
        </w:tc>
        <w:tc>
          <w:tcPr>
            <w:tcW w:w="908" w:type="dxa"/>
            <w:tcBorders>
              <w:top w:val="nil"/>
              <w:left w:val="nil"/>
              <w:bottom w:val="single" w:sz="4" w:space="0" w:color="auto"/>
              <w:right w:val="single" w:sz="4" w:space="0" w:color="auto"/>
            </w:tcBorders>
            <w:shd w:val="clear" w:color="auto" w:fill="auto"/>
            <w:noWrap/>
            <w:vAlign w:val="bottom"/>
            <w:hideMark/>
          </w:tcPr>
          <w:p w14:paraId="045412AD"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64</w:t>
            </w:r>
          </w:p>
        </w:tc>
        <w:tc>
          <w:tcPr>
            <w:tcW w:w="909" w:type="dxa"/>
            <w:tcBorders>
              <w:top w:val="nil"/>
              <w:left w:val="nil"/>
              <w:bottom w:val="single" w:sz="4" w:space="0" w:color="auto"/>
              <w:right w:val="single" w:sz="4" w:space="0" w:color="auto"/>
            </w:tcBorders>
            <w:shd w:val="clear" w:color="auto" w:fill="auto"/>
            <w:noWrap/>
            <w:vAlign w:val="bottom"/>
            <w:hideMark/>
          </w:tcPr>
          <w:p w14:paraId="285D1BCA"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64</w:t>
            </w:r>
          </w:p>
        </w:tc>
        <w:tc>
          <w:tcPr>
            <w:tcW w:w="909" w:type="dxa"/>
            <w:tcBorders>
              <w:top w:val="nil"/>
              <w:left w:val="nil"/>
              <w:bottom w:val="single" w:sz="4" w:space="0" w:color="auto"/>
              <w:right w:val="single" w:sz="4" w:space="0" w:color="auto"/>
            </w:tcBorders>
            <w:shd w:val="clear" w:color="auto" w:fill="auto"/>
            <w:noWrap/>
            <w:vAlign w:val="bottom"/>
            <w:hideMark/>
          </w:tcPr>
          <w:p w14:paraId="16FFDCEB"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65</w:t>
            </w:r>
          </w:p>
        </w:tc>
        <w:tc>
          <w:tcPr>
            <w:tcW w:w="909" w:type="dxa"/>
            <w:tcBorders>
              <w:top w:val="nil"/>
              <w:left w:val="nil"/>
              <w:bottom w:val="single" w:sz="4" w:space="0" w:color="auto"/>
              <w:right w:val="single" w:sz="4" w:space="0" w:color="auto"/>
            </w:tcBorders>
            <w:shd w:val="clear" w:color="auto" w:fill="auto"/>
            <w:noWrap/>
            <w:vAlign w:val="bottom"/>
            <w:hideMark/>
          </w:tcPr>
          <w:p w14:paraId="70CAD040"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65</w:t>
            </w:r>
          </w:p>
        </w:tc>
        <w:tc>
          <w:tcPr>
            <w:tcW w:w="909" w:type="dxa"/>
            <w:tcBorders>
              <w:top w:val="nil"/>
              <w:left w:val="nil"/>
              <w:bottom w:val="single" w:sz="4" w:space="0" w:color="auto"/>
              <w:right w:val="single" w:sz="4" w:space="0" w:color="auto"/>
            </w:tcBorders>
            <w:shd w:val="clear" w:color="auto" w:fill="auto"/>
            <w:noWrap/>
            <w:vAlign w:val="bottom"/>
            <w:hideMark/>
          </w:tcPr>
          <w:p w14:paraId="2FA41FE3"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64</w:t>
            </w:r>
          </w:p>
        </w:tc>
        <w:tc>
          <w:tcPr>
            <w:tcW w:w="909" w:type="dxa"/>
            <w:tcBorders>
              <w:top w:val="nil"/>
              <w:left w:val="nil"/>
              <w:bottom w:val="single" w:sz="4" w:space="0" w:color="auto"/>
              <w:right w:val="single" w:sz="4" w:space="0" w:color="auto"/>
            </w:tcBorders>
            <w:shd w:val="clear" w:color="auto" w:fill="auto"/>
            <w:noWrap/>
            <w:vAlign w:val="bottom"/>
            <w:hideMark/>
          </w:tcPr>
          <w:p w14:paraId="46680C06"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64</w:t>
            </w:r>
          </w:p>
        </w:tc>
      </w:tr>
      <w:tr w:rsidR="009D1026" w:rsidRPr="00DB07AB" w14:paraId="1331865F" w14:textId="77777777" w:rsidTr="00422936">
        <w:trPr>
          <w:trHeight w:val="354"/>
        </w:trPr>
        <w:tc>
          <w:tcPr>
            <w:tcW w:w="2273" w:type="dxa"/>
            <w:vMerge w:val="restart"/>
            <w:tcBorders>
              <w:top w:val="nil"/>
              <w:left w:val="single" w:sz="4" w:space="0" w:color="auto"/>
              <w:right w:val="single" w:sz="4" w:space="0" w:color="auto"/>
            </w:tcBorders>
            <w:shd w:val="clear" w:color="auto" w:fill="auto"/>
            <w:vAlign w:val="center"/>
            <w:hideMark/>
          </w:tcPr>
          <w:p w14:paraId="0741D02C" w14:textId="3A2C142A" w:rsidR="009D1026" w:rsidRPr="00A51AC6" w:rsidRDefault="009D1026" w:rsidP="004A34AD">
            <w:pPr>
              <w:spacing w:before="60" w:after="0" w:line="312" w:lineRule="auto"/>
              <w:rPr>
                <w:rFonts w:ascii="Arial" w:hAnsi="Arial" w:cs="Arial"/>
                <w:b/>
                <w:bCs/>
                <w:color w:val="000000"/>
                <w:sz w:val="20"/>
                <w:szCs w:val="20"/>
                <w:lang w:eastAsia="sl-SI"/>
              </w:rPr>
            </w:pPr>
            <w:r w:rsidRPr="00A51AC6">
              <w:rPr>
                <w:rFonts w:ascii="Arial" w:hAnsi="Arial" w:cs="Arial"/>
                <w:b/>
                <w:bCs/>
                <w:color w:val="000000"/>
                <w:sz w:val="20"/>
                <w:szCs w:val="20"/>
                <w:lang w:eastAsia="sl-SI"/>
              </w:rPr>
              <w:t>Število delovno aktivnih prebivalcev (po delovnem mestu)</w:t>
            </w:r>
          </w:p>
        </w:tc>
        <w:tc>
          <w:tcPr>
            <w:tcW w:w="1418" w:type="dxa"/>
            <w:tcBorders>
              <w:top w:val="nil"/>
              <w:left w:val="nil"/>
              <w:bottom w:val="single" w:sz="4" w:space="0" w:color="auto"/>
              <w:right w:val="single" w:sz="4" w:space="0" w:color="auto"/>
            </w:tcBorders>
            <w:shd w:val="clear" w:color="auto" w:fill="auto"/>
            <w:noWrap/>
            <w:vAlign w:val="bottom"/>
            <w:hideMark/>
          </w:tcPr>
          <w:p w14:paraId="02DBD88B" w14:textId="77777777" w:rsidR="009D1026" w:rsidRPr="00DB07AB" w:rsidRDefault="009D1026" w:rsidP="004A34AD">
            <w:pPr>
              <w:spacing w:before="60" w:after="0" w:line="312" w:lineRule="auto"/>
              <w:jc w:val="both"/>
              <w:rPr>
                <w:rFonts w:ascii="Arial" w:hAnsi="Arial" w:cs="Arial"/>
                <w:b/>
                <w:bCs/>
                <w:color w:val="000000"/>
                <w:sz w:val="20"/>
                <w:szCs w:val="20"/>
                <w:lang w:eastAsia="sl-SI"/>
              </w:rPr>
            </w:pPr>
            <w:r w:rsidRPr="00DB07AB">
              <w:rPr>
                <w:rFonts w:ascii="Arial" w:hAnsi="Arial" w:cs="Arial"/>
                <w:b/>
                <w:bCs/>
                <w:color w:val="000000"/>
                <w:sz w:val="20"/>
                <w:szCs w:val="20"/>
                <w:lang w:eastAsia="sl-SI"/>
              </w:rPr>
              <w:t>Slovenija</w:t>
            </w:r>
          </w:p>
        </w:tc>
        <w:tc>
          <w:tcPr>
            <w:tcW w:w="908" w:type="dxa"/>
            <w:tcBorders>
              <w:top w:val="nil"/>
              <w:left w:val="nil"/>
              <w:bottom w:val="single" w:sz="4" w:space="0" w:color="auto"/>
              <w:right w:val="single" w:sz="4" w:space="0" w:color="auto"/>
            </w:tcBorders>
            <w:shd w:val="clear" w:color="auto" w:fill="auto"/>
            <w:noWrap/>
            <w:vAlign w:val="bottom"/>
            <w:hideMark/>
          </w:tcPr>
          <w:p w14:paraId="470EF495" w14:textId="7E1B2FBE"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879</w:t>
            </w:r>
            <w:r>
              <w:rPr>
                <w:rFonts w:ascii="Arial" w:hAnsi="Arial" w:cs="Arial"/>
                <w:color w:val="000000"/>
                <w:sz w:val="20"/>
                <w:szCs w:val="20"/>
                <w:lang w:eastAsia="sl-SI"/>
              </w:rPr>
              <w:t>.</w:t>
            </w:r>
            <w:r w:rsidRPr="00DB07AB">
              <w:rPr>
                <w:rFonts w:ascii="Arial" w:hAnsi="Arial" w:cs="Arial"/>
                <w:color w:val="000000"/>
                <w:sz w:val="20"/>
                <w:szCs w:val="20"/>
                <w:lang w:eastAsia="sl-SI"/>
              </w:rPr>
              <w:t>257</w:t>
            </w:r>
          </w:p>
        </w:tc>
        <w:tc>
          <w:tcPr>
            <w:tcW w:w="909" w:type="dxa"/>
            <w:tcBorders>
              <w:top w:val="nil"/>
              <w:left w:val="nil"/>
              <w:bottom w:val="single" w:sz="4" w:space="0" w:color="auto"/>
              <w:right w:val="single" w:sz="4" w:space="0" w:color="auto"/>
            </w:tcBorders>
            <w:shd w:val="clear" w:color="auto" w:fill="auto"/>
            <w:noWrap/>
            <w:vAlign w:val="bottom"/>
            <w:hideMark/>
          </w:tcPr>
          <w:p w14:paraId="23C9D8CA" w14:textId="20AE073A"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835</w:t>
            </w:r>
            <w:r>
              <w:rPr>
                <w:rFonts w:ascii="Arial" w:hAnsi="Arial" w:cs="Arial"/>
                <w:color w:val="000000"/>
                <w:sz w:val="20"/>
                <w:szCs w:val="20"/>
                <w:lang w:eastAsia="sl-SI"/>
              </w:rPr>
              <w:t>.</w:t>
            </w:r>
            <w:r w:rsidRPr="00DB07AB">
              <w:rPr>
                <w:rFonts w:ascii="Arial" w:hAnsi="Arial" w:cs="Arial"/>
                <w:color w:val="000000"/>
                <w:sz w:val="20"/>
                <w:szCs w:val="20"/>
                <w:lang w:eastAsia="sl-SI"/>
              </w:rPr>
              <w:t>039</w:t>
            </w:r>
          </w:p>
        </w:tc>
        <w:tc>
          <w:tcPr>
            <w:tcW w:w="909" w:type="dxa"/>
            <w:tcBorders>
              <w:top w:val="nil"/>
              <w:left w:val="nil"/>
              <w:bottom w:val="single" w:sz="4" w:space="0" w:color="auto"/>
              <w:right w:val="single" w:sz="4" w:space="0" w:color="auto"/>
            </w:tcBorders>
            <w:shd w:val="clear" w:color="auto" w:fill="auto"/>
            <w:noWrap/>
            <w:vAlign w:val="bottom"/>
            <w:hideMark/>
          </w:tcPr>
          <w:p w14:paraId="118E9401" w14:textId="676FF708"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793</w:t>
            </w:r>
            <w:r>
              <w:rPr>
                <w:rFonts w:ascii="Arial" w:hAnsi="Arial" w:cs="Arial"/>
                <w:color w:val="000000"/>
                <w:sz w:val="20"/>
                <w:szCs w:val="20"/>
                <w:lang w:eastAsia="sl-SI"/>
              </w:rPr>
              <w:t>.</w:t>
            </w:r>
            <w:r w:rsidRPr="00DB07AB">
              <w:rPr>
                <w:rFonts w:ascii="Arial" w:hAnsi="Arial" w:cs="Arial"/>
                <w:color w:val="000000"/>
                <w:sz w:val="20"/>
                <w:szCs w:val="20"/>
                <w:lang w:eastAsia="sl-SI"/>
              </w:rPr>
              <w:t>597</w:t>
            </w:r>
          </w:p>
        </w:tc>
        <w:tc>
          <w:tcPr>
            <w:tcW w:w="909" w:type="dxa"/>
            <w:tcBorders>
              <w:top w:val="nil"/>
              <w:left w:val="nil"/>
              <w:bottom w:val="single" w:sz="4" w:space="0" w:color="auto"/>
              <w:right w:val="single" w:sz="4" w:space="0" w:color="auto"/>
            </w:tcBorders>
            <w:shd w:val="clear" w:color="auto" w:fill="auto"/>
            <w:noWrap/>
            <w:vAlign w:val="bottom"/>
            <w:hideMark/>
          </w:tcPr>
          <w:p w14:paraId="25D09CF1" w14:textId="190FE9DB"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804</w:t>
            </w:r>
            <w:r>
              <w:rPr>
                <w:rFonts w:ascii="Arial" w:hAnsi="Arial" w:cs="Arial"/>
                <w:color w:val="000000"/>
                <w:sz w:val="20"/>
                <w:szCs w:val="20"/>
                <w:lang w:eastAsia="sl-SI"/>
              </w:rPr>
              <w:t>.</w:t>
            </w:r>
            <w:r w:rsidRPr="00DB07AB">
              <w:rPr>
                <w:rFonts w:ascii="Arial" w:hAnsi="Arial" w:cs="Arial"/>
                <w:color w:val="000000"/>
                <w:sz w:val="20"/>
                <w:szCs w:val="20"/>
                <w:lang w:eastAsia="sl-SI"/>
              </w:rPr>
              <w:t>637</w:t>
            </w:r>
          </w:p>
        </w:tc>
        <w:tc>
          <w:tcPr>
            <w:tcW w:w="909" w:type="dxa"/>
            <w:tcBorders>
              <w:top w:val="nil"/>
              <w:left w:val="nil"/>
              <w:bottom w:val="single" w:sz="4" w:space="0" w:color="auto"/>
              <w:right w:val="single" w:sz="4" w:space="0" w:color="auto"/>
            </w:tcBorders>
            <w:shd w:val="clear" w:color="auto" w:fill="auto"/>
            <w:noWrap/>
            <w:vAlign w:val="bottom"/>
            <w:hideMark/>
          </w:tcPr>
          <w:p w14:paraId="4F219454" w14:textId="51BCCB6F"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872</w:t>
            </w:r>
            <w:r>
              <w:rPr>
                <w:rFonts w:ascii="Arial" w:hAnsi="Arial" w:cs="Arial"/>
                <w:color w:val="000000"/>
                <w:sz w:val="20"/>
                <w:szCs w:val="20"/>
                <w:lang w:eastAsia="sl-SI"/>
              </w:rPr>
              <w:t>.</w:t>
            </w:r>
            <w:r w:rsidRPr="00DB07AB">
              <w:rPr>
                <w:rFonts w:ascii="Arial" w:hAnsi="Arial" w:cs="Arial"/>
                <w:color w:val="000000"/>
                <w:sz w:val="20"/>
                <w:szCs w:val="20"/>
                <w:lang w:eastAsia="sl-SI"/>
              </w:rPr>
              <w:t>772</w:t>
            </w:r>
          </w:p>
        </w:tc>
        <w:tc>
          <w:tcPr>
            <w:tcW w:w="909" w:type="dxa"/>
            <w:tcBorders>
              <w:top w:val="nil"/>
              <w:left w:val="nil"/>
              <w:bottom w:val="single" w:sz="4" w:space="0" w:color="auto"/>
              <w:right w:val="single" w:sz="4" w:space="0" w:color="auto"/>
            </w:tcBorders>
            <w:shd w:val="clear" w:color="auto" w:fill="auto"/>
            <w:noWrap/>
            <w:vAlign w:val="bottom"/>
            <w:hideMark/>
          </w:tcPr>
          <w:p w14:paraId="56443EFE" w14:textId="79EE0C53"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894</w:t>
            </w:r>
            <w:r>
              <w:rPr>
                <w:rFonts w:ascii="Arial" w:hAnsi="Arial" w:cs="Arial"/>
                <w:color w:val="000000"/>
                <w:sz w:val="20"/>
                <w:szCs w:val="20"/>
                <w:lang w:eastAsia="sl-SI"/>
              </w:rPr>
              <w:t>.</w:t>
            </w:r>
            <w:r w:rsidRPr="00DB07AB">
              <w:rPr>
                <w:rFonts w:ascii="Arial" w:hAnsi="Arial" w:cs="Arial"/>
                <w:color w:val="000000"/>
                <w:sz w:val="20"/>
                <w:szCs w:val="20"/>
                <w:lang w:eastAsia="sl-SI"/>
              </w:rPr>
              <w:t>229</w:t>
            </w:r>
          </w:p>
        </w:tc>
      </w:tr>
      <w:tr w:rsidR="009D1026" w:rsidRPr="00DB07AB" w14:paraId="613DB314" w14:textId="77777777" w:rsidTr="00422936">
        <w:trPr>
          <w:trHeight w:val="300"/>
        </w:trPr>
        <w:tc>
          <w:tcPr>
            <w:tcW w:w="2273" w:type="dxa"/>
            <w:vMerge/>
            <w:tcBorders>
              <w:left w:val="single" w:sz="4" w:space="0" w:color="auto"/>
              <w:right w:val="single" w:sz="4" w:space="0" w:color="auto"/>
            </w:tcBorders>
            <w:shd w:val="clear" w:color="auto" w:fill="auto"/>
            <w:vAlign w:val="bottom"/>
            <w:hideMark/>
          </w:tcPr>
          <w:p w14:paraId="6DFC93CB" w14:textId="2F546A56" w:rsidR="009D1026" w:rsidRPr="00A51AC6" w:rsidRDefault="009D1026" w:rsidP="004A34AD">
            <w:pPr>
              <w:spacing w:before="60" w:after="0" w:line="312" w:lineRule="auto"/>
              <w:rPr>
                <w:rFonts w:ascii="Arial" w:hAnsi="Arial" w:cs="Arial"/>
                <w:b/>
                <w:bCs/>
                <w:color w:val="000000"/>
                <w:sz w:val="20"/>
                <w:szCs w:val="20"/>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0DBED62C" w14:textId="77777777" w:rsidR="009D1026" w:rsidRPr="00DB07AB" w:rsidRDefault="009D1026" w:rsidP="004A34AD">
            <w:pPr>
              <w:spacing w:before="60" w:after="0" w:line="312" w:lineRule="auto"/>
              <w:jc w:val="both"/>
              <w:rPr>
                <w:rFonts w:ascii="Arial" w:hAnsi="Arial" w:cs="Arial"/>
                <w:b/>
                <w:bCs/>
                <w:color w:val="000000"/>
                <w:sz w:val="20"/>
                <w:szCs w:val="20"/>
                <w:lang w:eastAsia="sl-SI"/>
              </w:rPr>
            </w:pPr>
            <w:r w:rsidRPr="00DB07AB">
              <w:rPr>
                <w:rFonts w:ascii="Arial" w:hAnsi="Arial" w:cs="Arial"/>
                <w:b/>
                <w:bCs/>
                <w:color w:val="000000"/>
                <w:sz w:val="20"/>
                <w:szCs w:val="20"/>
                <w:lang w:eastAsia="sl-SI"/>
              </w:rPr>
              <w:t>podeželje</w:t>
            </w:r>
          </w:p>
        </w:tc>
        <w:tc>
          <w:tcPr>
            <w:tcW w:w="908" w:type="dxa"/>
            <w:tcBorders>
              <w:top w:val="nil"/>
              <w:left w:val="nil"/>
              <w:bottom w:val="single" w:sz="4" w:space="0" w:color="auto"/>
              <w:right w:val="single" w:sz="4" w:space="0" w:color="auto"/>
            </w:tcBorders>
            <w:shd w:val="clear" w:color="auto" w:fill="auto"/>
            <w:noWrap/>
            <w:vAlign w:val="bottom"/>
            <w:hideMark/>
          </w:tcPr>
          <w:p w14:paraId="6D2B2089" w14:textId="3174F2E9"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452</w:t>
            </w:r>
            <w:r>
              <w:rPr>
                <w:rFonts w:ascii="Arial" w:hAnsi="Arial" w:cs="Arial"/>
                <w:color w:val="000000"/>
                <w:sz w:val="20"/>
                <w:szCs w:val="20"/>
                <w:lang w:eastAsia="sl-SI"/>
              </w:rPr>
              <w:t>.</w:t>
            </w:r>
            <w:r w:rsidRPr="00DB07AB">
              <w:rPr>
                <w:rFonts w:ascii="Arial" w:hAnsi="Arial" w:cs="Arial"/>
                <w:color w:val="000000"/>
                <w:sz w:val="20"/>
                <w:szCs w:val="20"/>
                <w:lang w:eastAsia="sl-SI"/>
              </w:rPr>
              <w:t>781</w:t>
            </w:r>
          </w:p>
        </w:tc>
        <w:tc>
          <w:tcPr>
            <w:tcW w:w="909" w:type="dxa"/>
            <w:tcBorders>
              <w:top w:val="nil"/>
              <w:left w:val="nil"/>
              <w:bottom w:val="single" w:sz="4" w:space="0" w:color="auto"/>
              <w:right w:val="single" w:sz="4" w:space="0" w:color="auto"/>
            </w:tcBorders>
            <w:shd w:val="clear" w:color="auto" w:fill="auto"/>
            <w:noWrap/>
            <w:vAlign w:val="bottom"/>
            <w:hideMark/>
          </w:tcPr>
          <w:p w14:paraId="2A8C1DB5" w14:textId="05FEACA3"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424</w:t>
            </w:r>
            <w:r>
              <w:rPr>
                <w:rFonts w:ascii="Arial" w:hAnsi="Arial" w:cs="Arial"/>
                <w:color w:val="000000"/>
                <w:sz w:val="20"/>
                <w:szCs w:val="20"/>
                <w:lang w:eastAsia="sl-SI"/>
              </w:rPr>
              <w:t>.</w:t>
            </w:r>
            <w:r w:rsidRPr="00DB07AB">
              <w:rPr>
                <w:rFonts w:ascii="Arial" w:hAnsi="Arial" w:cs="Arial"/>
                <w:color w:val="000000"/>
                <w:sz w:val="20"/>
                <w:szCs w:val="20"/>
                <w:lang w:eastAsia="sl-SI"/>
              </w:rPr>
              <w:t>268</w:t>
            </w:r>
          </w:p>
        </w:tc>
        <w:tc>
          <w:tcPr>
            <w:tcW w:w="909" w:type="dxa"/>
            <w:tcBorders>
              <w:top w:val="nil"/>
              <w:left w:val="nil"/>
              <w:bottom w:val="single" w:sz="4" w:space="0" w:color="auto"/>
              <w:right w:val="single" w:sz="4" w:space="0" w:color="auto"/>
            </w:tcBorders>
            <w:shd w:val="clear" w:color="auto" w:fill="auto"/>
            <w:noWrap/>
            <w:vAlign w:val="bottom"/>
            <w:hideMark/>
          </w:tcPr>
          <w:p w14:paraId="5C5C7EFF" w14:textId="0DF49F20"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403</w:t>
            </w:r>
            <w:r>
              <w:rPr>
                <w:rFonts w:ascii="Arial" w:hAnsi="Arial" w:cs="Arial"/>
                <w:color w:val="000000"/>
                <w:sz w:val="20"/>
                <w:szCs w:val="20"/>
                <w:lang w:eastAsia="sl-SI"/>
              </w:rPr>
              <w:t>.</w:t>
            </w:r>
            <w:r w:rsidRPr="00DB07AB">
              <w:rPr>
                <w:rFonts w:ascii="Arial" w:hAnsi="Arial" w:cs="Arial"/>
                <w:color w:val="000000"/>
                <w:sz w:val="20"/>
                <w:szCs w:val="20"/>
                <w:lang w:eastAsia="sl-SI"/>
              </w:rPr>
              <w:t>148</w:t>
            </w:r>
          </w:p>
        </w:tc>
        <w:tc>
          <w:tcPr>
            <w:tcW w:w="909" w:type="dxa"/>
            <w:tcBorders>
              <w:top w:val="nil"/>
              <w:left w:val="nil"/>
              <w:bottom w:val="single" w:sz="4" w:space="0" w:color="auto"/>
              <w:right w:val="single" w:sz="4" w:space="0" w:color="auto"/>
            </w:tcBorders>
            <w:shd w:val="clear" w:color="auto" w:fill="auto"/>
            <w:noWrap/>
            <w:vAlign w:val="bottom"/>
            <w:hideMark/>
          </w:tcPr>
          <w:p w14:paraId="6380D919" w14:textId="50BE855F"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407</w:t>
            </w:r>
            <w:r>
              <w:rPr>
                <w:rFonts w:ascii="Arial" w:hAnsi="Arial" w:cs="Arial"/>
                <w:color w:val="000000"/>
                <w:sz w:val="20"/>
                <w:szCs w:val="20"/>
                <w:lang w:eastAsia="sl-SI"/>
              </w:rPr>
              <w:t>.</w:t>
            </w:r>
            <w:r w:rsidRPr="00DB07AB">
              <w:rPr>
                <w:rFonts w:ascii="Arial" w:hAnsi="Arial" w:cs="Arial"/>
                <w:color w:val="000000"/>
                <w:sz w:val="20"/>
                <w:szCs w:val="20"/>
                <w:lang w:eastAsia="sl-SI"/>
              </w:rPr>
              <w:t>760</w:t>
            </w:r>
          </w:p>
        </w:tc>
        <w:tc>
          <w:tcPr>
            <w:tcW w:w="909" w:type="dxa"/>
            <w:tcBorders>
              <w:top w:val="nil"/>
              <w:left w:val="nil"/>
              <w:bottom w:val="single" w:sz="4" w:space="0" w:color="auto"/>
              <w:right w:val="single" w:sz="4" w:space="0" w:color="auto"/>
            </w:tcBorders>
            <w:shd w:val="clear" w:color="auto" w:fill="auto"/>
            <w:noWrap/>
            <w:vAlign w:val="bottom"/>
            <w:hideMark/>
          </w:tcPr>
          <w:p w14:paraId="61157377" w14:textId="22CA43E9"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439</w:t>
            </w:r>
            <w:r>
              <w:rPr>
                <w:rFonts w:ascii="Arial" w:hAnsi="Arial" w:cs="Arial"/>
                <w:color w:val="000000"/>
                <w:sz w:val="20"/>
                <w:szCs w:val="20"/>
                <w:lang w:eastAsia="sl-SI"/>
              </w:rPr>
              <w:t>.</w:t>
            </w:r>
            <w:r w:rsidRPr="00DB07AB">
              <w:rPr>
                <w:rFonts w:ascii="Arial" w:hAnsi="Arial" w:cs="Arial"/>
                <w:color w:val="000000"/>
                <w:sz w:val="20"/>
                <w:szCs w:val="20"/>
                <w:lang w:eastAsia="sl-SI"/>
              </w:rPr>
              <w:t>249</w:t>
            </w:r>
          </w:p>
        </w:tc>
        <w:tc>
          <w:tcPr>
            <w:tcW w:w="909" w:type="dxa"/>
            <w:tcBorders>
              <w:top w:val="nil"/>
              <w:left w:val="nil"/>
              <w:bottom w:val="single" w:sz="4" w:space="0" w:color="auto"/>
              <w:right w:val="single" w:sz="4" w:space="0" w:color="auto"/>
            </w:tcBorders>
            <w:shd w:val="clear" w:color="auto" w:fill="auto"/>
            <w:noWrap/>
            <w:vAlign w:val="bottom"/>
            <w:hideMark/>
          </w:tcPr>
          <w:p w14:paraId="0EFB7ED7" w14:textId="4F17CE4F"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450</w:t>
            </w:r>
            <w:r>
              <w:rPr>
                <w:rFonts w:ascii="Arial" w:hAnsi="Arial" w:cs="Arial"/>
                <w:color w:val="000000"/>
                <w:sz w:val="20"/>
                <w:szCs w:val="20"/>
                <w:lang w:eastAsia="sl-SI"/>
              </w:rPr>
              <w:t>.</w:t>
            </w:r>
            <w:r w:rsidRPr="00DB07AB">
              <w:rPr>
                <w:rFonts w:ascii="Arial" w:hAnsi="Arial" w:cs="Arial"/>
                <w:color w:val="000000"/>
                <w:sz w:val="20"/>
                <w:szCs w:val="20"/>
                <w:lang w:eastAsia="sl-SI"/>
              </w:rPr>
              <w:t>285</w:t>
            </w:r>
          </w:p>
        </w:tc>
      </w:tr>
      <w:tr w:rsidR="009D1026" w:rsidRPr="00DB07AB" w14:paraId="16017BF1" w14:textId="77777777" w:rsidTr="00422936">
        <w:trPr>
          <w:trHeight w:val="300"/>
        </w:trPr>
        <w:tc>
          <w:tcPr>
            <w:tcW w:w="2273" w:type="dxa"/>
            <w:vMerge/>
            <w:tcBorders>
              <w:left w:val="single" w:sz="4" w:space="0" w:color="auto"/>
              <w:bottom w:val="single" w:sz="4" w:space="0" w:color="auto"/>
              <w:right w:val="single" w:sz="4" w:space="0" w:color="auto"/>
            </w:tcBorders>
            <w:shd w:val="clear" w:color="auto" w:fill="auto"/>
            <w:vAlign w:val="bottom"/>
            <w:hideMark/>
          </w:tcPr>
          <w:p w14:paraId="170BF038" w14:textId="180EA937" w:rsidR="009D1026" w:rsidRPr="00A51AC6" w:rsidRDefault="009D1026" w:rsidP="004A34AD">
            <w:pPr>
              <w:spacing w:before="60" w:after="0" w:line="312" w:lineRule="auto"/>
              <w:rPr>
                <w:rFonts w:ascii="Arial" w:hAnsi="Arial" w:cs="Arial"/>
                <w:b/>
                <w:bCs/>
                <w:color w:val="000000"/>
                <w:sz w:val="20"/>
                <w:szCs w:val="20"/>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400B41AD" w14:textId="5AA7BA97" w:rsidR="009D1026" w:rsidRPr="00DB07AB" w:rsidRDefault="003F7E91" w:rsidP="004A34AD">
            <w:pPr>
              <w:spacing w:before="60" w:after="0" w:line="312" w:lineRule="auto"/>
              <w:jc w:val="both"/>
              <w:rPr>
                <w:rFonts w:ascii="Arial" w:hAnsi="Arial" w:cs="Arial"/>
                <w:b/>
                <w:bCs/>
                <w:color w:val="000000"/>
                <w:sz w:val="20"/>
                <w:szCs w:val="20"/>
                <w:lang w:eastAsia="sl-SI"/>
              </w:rPr>
            </w:pPr>
            <w:r>
              <w:rPr>
                <w:rFonts w:ascii="Arial" w:hAnsi="Arial" w:cs="Arial"/>
                <w:color w:val="000000"/>
                <w:sz w:val="20"/>
                <w:szCs w:val="20"/>
                <w:lang w:eastAsia="sl-SI"/>
              </w:rPr>
              <w:t>podeželje (%)</w:t>
            </w:r>
          </w:p>
        </w:tc>
        <w:tc>
          <w:tcPr>
            <w:tcW w:w="908" w:type="dxa"/>
            <w:tcBorders>
              <w:top w:val="nil"/>
              <w:left w:val="nil"/>
              <w:bottom w:val="single" w:sz="4" w:space="0" w:color="auto"/>
              <w:right w:val="single" w:sz="4" w:space="0" w:color="auto"/>
            </w:tcBorders>
            <w:shd w:val="clear" w:color="auto" w:fill="auto"/>
            <w:noWrap/>
            <w:vAlign w:val="bottom"/>
            <w:hideMark/>
          </w:tcPr>
          <w:p w14:paraId="0AE35F92"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51</w:t>
            </w:r>
          </w:p>
        </w:tc>
        <w:tc>
          <w:tcPr>
            <w:tcW w:w="909" w:type="dxa"/>
            <w:tcBorders>
              <w:top w:val="nil"/>
              <w:left w:val="nil"/>
              <w:bottom w:val="single" w:sz="4" w:space="0" w:color="auto"/>
              <w:right w:val="single" w:sz="4" w:space="0" w:color="auto"/>
            </w:tcBorders>
            <w:shd w:val="clear" w:color="auto" w:fill="auto"/>
            <w:noWrap/>
            <w:vAlign w:val="bottom"/>
            <w:hideMark/>
          </w:tcPr>
          <w:p w14:paraId="4FD60FB9"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51</w:t>
            </w:r>
          </w:p>
        </w:tc>
        <w:tc>
          <w:tcPr>
            <w:tcW w:w="909" w:type="dxa"/>
            <w:tcBorders>
              <w:top w:val="nil"/>
              <w:left w:val="nil"/>
              <w:bottom w:val="single" w:sz="4" w:space="0" w:color="auto"/>
              <w:right w:val="single" w:sz="4" w:space="0" w:color="auto"/>
            </w:tcBorders>
            <w:shd w:val="clear" w:color="auto" w:fill="auto"/>
            <w:noWrap/>
            <w:vAlign w:val="bottom"/>
            <w:hideMark/>
          </w:tcPr>
          <w:p w14:paraId="62260213"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51</w:t>
            </w:r>
          </w:p>
        </w:tc>
        <w:tc>
          <w:tcPr>
            <w:tcW w:w="909" w:type="dxa"/>
            <w:tcBorders>
              <w:top w:val="nil"/>
              <w:left w:val="nil"/>
              <w:bottom w:val="single" w:sz="4" w:space="0" w:color="auto"/>
              <w:right w:val="single" w:sz="4" w:space="0" w:color="auto"/>
            </w:tcBorders>
            <w:shd w:val="clear" w:color="auto" w:fill="auto"/>
            <w:noWrap/>
            <w:vAlign w:val="bottom"/>
            <w:hideMark/>
          </w:tcPr>
          <w:p w14:paraId="672A72E2"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51</w:t>
            </w:r>
          </w:p>
        </w:tc>
        <w:tc>
          <w:tcPr>
            <w:tcW w:w="909" w:type="dxa"/>
            <w:tcBorders>
              <w:top w:val="nil"/>
              <w:left w:val="nil"/>
              <w:bottom w:val="single" w:sz="4" w:space="0" w:color="auto"/>
              <w:right w:val="single" w:sz="4" w:space="0" w:color="auto"/>
            </w:tcBorders>
            <w:shd w:val="clear" w:color="auto" w:fill="auto"/>
            <w:noWrap/>
            <w:vAlign w:val="bottom"/>
            <w:hideMark/>
          </w:tcPr>
          <w:p w14:paraId="62863C17"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50</w:t>
            </w:r>
          </w:p>
        </w:tc>
        <w:tc>
          <w:tcPr>
            <w:tcW w:w="909" w:type="dxa"/>
            <w:tcBorders>
              <w:top w:val="nil"/>
              <w:left w:val="nil"/>
              <w:bottom w:val="single" w:sz="4" w:space="0" w:color="auto"/>
              <w:right w:val="single" w:sz="4" w:space="0" w:color="auto"/>
            </w:tcBorders>
            <w:shd w:val="clear" w:color="auto" w:fill="auto"/>
            <w:noWrap/>
            <w:vAlign w:val="bottom"/>
            <w:hideMark/>
          </w:tcPr>
          <w:p w14:paraId="52BC1F16"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50</w:t>
            </w:r>
          </w:p>
        </w:tc>
      </w:tr>
      <w:tr w:rsidR="009D1026" w:rsidRPr="00DB07AB" w14:paraId="08E4A9EA" w14:textId="77777777" w:rsidTr="00422936">
        <w:trPr>
          <w:trHeight w:val="368"/>
        </w:trPr>
        <w:tc>
          <w:tcPr>
            <w:tcW w:w="2273" w:type="dxa"/>
            <w:vMerge w:val="restart"/>
            <w:tcBorders>
              <w:top w:val="nil"/>
              <w:left w:val="single" w:sz="4" w:space="0" w:color="auto"/>
              <w:right w:val="single" w:sz="4" w:space="0" w:color="auto"/>
            </w:tcBorders>
            <w:shd w:val="clear" w:color="auto" w:fill="auto"/>
            <w:vAlign w:val="center"/>
            <w:hideMark/>
          </w:tcPr>
          <w:p w14:paraId="51FC8412" w14:textId="744255F1" w:rsidR="009D1026" w:rsidRPr="00A51AC6" w:rsidRDefault="009D1026" w:rsidP="004A34AD">
            <w:pPr>
              <w:spacing w:before="60" w:after="0" w:line="312" w:lineRule="auto"/>
              <w:rPr>
                <w:rFonts w:ascii="Arial" w:hAnsi="Arial" w:cs="Arial"/>
                <w:b/>
                <w:bCs/>
                <w:color w:val="000000"/>
                <w:sz w:val="20"/>
                <w:szCs w:val="20"/>
                <w:lang w:eastAsia="sl-SI"/>
              </w:rPr>
            </w:pPr>
            <w:r w:rsidRPr="00A51AC6">
              <w:rPr>
                <w:rFonts w:ascii="Arial" w:hAnsi="Arial" w:cs="Arial"/>
                <w:b/>
                <w:bCs/>
                <w:color w:val="000000"/>
                <w:sz w:val="20"/>
                <w:szCs w:val="20"/>
                <w:lang w:eastAsia="sl-SI"/>
              </w:rPr>
              <w:t>Število zaposlenih oseb (po delovnem mestu)</w:t>
            </w:r>
          </w:p>
        </w:tc>
        <w:tc>
          <w:tcPr>
            <w:tcW w:w="1418" w:type="dxa"/>
            <w:tcBorders>
              <w:top w:val="nil"/>
              <w:left w:val="nil"/>
              <w:bottom w:val="single" w:sz="4" w:space="0" w:color="auto"/>
              <w:right w:val="single" w:sz="4" w:space="0" w:color="auto"/>
            </w:tcBorders>
            <w:shd w:val="clear" w:color="auto" w:fill="auto"/>
            <w:noWrap/>
            <w:vAlign w:val="bottom"/>
            <w:hideMark/>
          </w:tcPr>
          <w:p w14:paraId="5F63973B" w14:textId="77777777" w:rsidR="009D1026" w:rsidRPr="00DB07AB" w:rsidRDefault="009D1026" w:rsidP="004A34AD">
            <w:pPr>
              <w:spacing w:before="60" w:after="0" w:line="312" w:lineRule="auto"/>
              <w:jc w:val="both"/>
              <w:rPr>
                <w:rFonts w:ascii="Arial" w:hAnsi="Arial" w:cs="Arial"/>
                <w:b/>
                <w:bCs/>
                <w:color w:val="000000"/>
                <w:sz w:val="20"/>
                <w:szCs w:val="20"/>
                <w:lang w:eastAsia="sl-SI"/>
              </w:rPr>
            </w:pPr>
            <w:r w:rsidRPr="00DB07AB">
              <w:rPr>
                <w:rFonts w:ascii="Arial" w:hAnsi="Arial" w:cs="Arial"/>
                <w:b/>
                <w:bCs/>
                <w:color w:val="000000"/>
                <w:sz w:val="20"/>
                <w:szCs w:val="20"/>
                <w:lang w:eastAsia="sl-SI"/>
              </w:rPr>
              <w:t>Slovenija</w:t>
            </w:r>
          </w:p>
        </w:tc>
        <w:tc>
          <w:tcPr>
            <w:tcW w:w="908" w:type="dxa"/>
            <w:tcBorders>
              <w:top w:val="nil"/>
              <w:left w:val="nil"/>
              <w:bottom w:val="single" w:sz="4" w:space="0" w:color="auto"/>
              <w:right w:val="single" w:sz="4" w:space="0" w:color="auto"/>
            </w:tcBorders>
            <w:shd w:val="clear" w:color="auto" w:fill="auto"/>
            <w:noWrap/>
            <w:vAlign w:val="bottom"/>
            <w:hideMark/>
          </w:tcPr>
          <w:p w14:paraId="0AAD9378" w14:textId="63ED469F"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789</w:t>
            </w:r>
            <w:r>
              <w:rPr>
                <w:rFonts w:ascii="Arial" w:hAnsi="Arial" w:cs="Arial"/>
                <w:color w:val="000000"/>
                <w:sz w:val="20"/>
                <w:szCs w:val="20"/>
                <w:lang w:eastAsia="sl-SI"/>
              </w:rPr>
              <w:t>.</w:t>
            </w:r>
            <w:r w:rsidRPr="00DB07AB">
              <w:rPr>
                <w:rFonts w:ascii="Arial" w:hAnsi="Arial" w:cs="Arial"/>
                <w:color w:val="000000"/>
                <w:sz w:val="20"/>
                <w:szCs w:val="20"/>
                <w:lang w:eastAsia="sl-SI"/>
              </w:rPr>
              <w:t>863</w:t>
            </w:r>
          </w:p>
        </w:tc>
        <w:tc>
          <w:tcPr>
            <w:tcW w:w="909" w:type="dxa"/>
            <w:tcBorders>
              <w:top w:val="nil"/>
              <w:left w:val="nil"/>
              <w:bottom w:val="single" w:sz="4" w:space="0" w:color="auto"/>
              <w:right w:val="single" w:sz="4" w:space="0" w:color="auto"/>
            </w:tcBorders>
            <w:shd w:val="clear" w:color="auto" w:fill="auto"/>
            <w:noWrap/>
            <w:vAlign w:val="bottom"/>
            <w:hideMark/>
          </w:tcPr>
          <w:p w14:paraId="3FFF1EB0" w14:textId="3976168B"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747</w:t>
            </w:r>
            <w:r>
              <w:rPr>
                <w:rFonts w:ascii="Arial" w:hAnsi="Arial" w:cs="Arial"/>
                <w:color w:val="000000"/>
                <w:sz w:val="20"/>
                <w:szCs w:val="20"/>
                <w:lang w:eastAsia="sl-SI"/>
              </w:rPr>
              <w:t>.</w:t>
            </w:r>
            <w:r w:rsidRPr="00DB07AB">
              <w:rPr>
                <w:rFonts w:ascii="Arial" w:hAnsi="Arial" w:cs="Arial"/>
                <w:color w:val="000000"/>
                <w:sz w:val="20"/>
                <w:szCs w:val="20"/>
                <w:lang w:eastAsia="sl-SI"/>
              </w:rPr>
              <w:t>194</w:t>
            </w:r>
          </w:p>
        </w:tc>
        <w:tc>
          <w:tcPr>
            <w:tcW w:w="909" w:type="dxa"/>
            <w:tcBorders>
              <w:top w:val="nil"/>
              <w:left w:val="nil"/>
              <w:bottom w:val="single" w:sz="4" w:space="0" w:color="auto"/>
              <w:right w:val="single" w:sz="4" w:space="0" w:color="auto"/>
            </w:tcBorders>
            <w:shd w:val="clear" w:color="auto" w:fill="auto"/>
            <w:noWrap/>
            <w:vAlign w:val="bottom"/>
            <w:hideMark/>
          </w:tcPr>
          <w:p w14:paraId="39491357" w14:textId="5D106A6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698</w:t>
            </w:r>
            <w:r>
              <w:rPr>
                <w:rFonts w:ascii="Arial" w:hAnsi="Arial" w:cs="Arial"/>
                <w:color w:val="000000"/>
                <w:sz w:val="20"/>
                <w:szCs w:val="20"/>
                <w:lang w:eastAsia="sl-SI"/>
              </w:rPr>
              <w:t>.</w:t>
            </w:r>
            <w:r w:rsidRPr="00DB07AB">
              <w:rPr>
                <w:rFonts w:ascii="Arial" w:hAnsi="Arial" w:cs="Arial"/>
                <w:color w:val="000000"/>
                <w:sz w:val="20"/>
                <w:szCs w:val="20"/>
                <w:lang w:eastAsia="sl-SI"/>
              </w:rPr>
              <w:t>724</w:t>
            </w:r>
          </w:p>
        </w:tc>
        <w:tc>
          <w:tcPr>
            <w:tcW w:w="909" w:type="dxa"/>
            <w:tcBorders>
              <w:top w:val="nil"/>
              <w:left w:val="nil"/>
              <w:bottom w:val="single" w:sz="4" w:space="0" w:color="auto"/>
              <w:right w:val="single" w:sz="4" w:space="0" w:color="auto"/>
            </w:tcBorders>
            <w:shd w:val="clear" w:color="auto" w:fill="auto"/>
            <w:noWrap/>
            <w:vAlign w:val="bottom"/>
            <w:hideMark/>
          </w:tcPr>
          <w:p w14:paraId="4377BC6F" w14:textId="319C714B"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713</w:t>
            </w:r>
            <w:r>
              <w:rPr>
                <w:rFonts w:ascii="Arial" w:hAnsi="Arial" w:cs="Arial"/>
                <w:color w:val="000000"/>
                <w:sz w:val="20"/>
                <w:szCs w:val="20"/>
                <w:lang w:eastAsia="sl-SI"/>
              </w:rPr>
              <w:t>.</w:t>
            </w:r>
            <w:r w:rsidRPr="00DB07AB">
              <w:rPr>
                <w:rFonts w:ascii="Arial" w:hAnsi="Arial" w:cs="Arial"/>
                <w:color w:val="000000"/>
                <w:sz w:val="20"/>
                <w:szCs w:val="20"/>
                <w:lang w:eastAsia="sl-SI"/>
              </w:rPr>
              <w:t>076</w:t>
            </w:r>
          </w:p>
        </w:tc>
        <w:tc>
          <w:tcPr>
            <w:tcW w:w="909" w:type="dxa"/>
            <w:tcBorders>
              <w:top w:val="nil"/>
              <w:left w:val="nil"/>
              <w:bottom w:val="single" w:sz="4" w:space="0" w:color="auto"/>
              <w:right w:val="single" w:sz="4" w:space="0" w:color="auto"/>
            </w:tcBorders>
            <w:shd w:val="clear" w:color="auto" w:fill="auto"/>
            <w:noWrap/>
            <w:vAlign w:val="bottom"/>
            <w:hideMark/>
          </w:tcPr>
          <w:p w14:paraId="6384C145" w14:textId="22C8D8A6"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780</w:t>
            </w:r>
            <w:r>
              <w:rPr>
                <w:rFonts w:ascii="Arial" w:hAnsi="Arial" w:cs="Arial"/>
                <w:color w:val="000000"/>
                <w:sz w:val="20"/>
                <w:szCs w:val="20"/>
                <w:lang w:eastAsia="sl-SI"/>
              </w:rPr>
              <w:t>.</w:t>
            </w:r>
            <w:r w:rsidRPr="00DB07AB">
              <w:rPr>
                <w:rFonts w:ascii="Arial" w:hAnsi="Arial" w:cs="Arial"/>
                <w:color w:val="000000"/>
                <w:sz w:val="20"/>
                <w:szCs w:val="20"/>
                <w:lang w:eastAsia="sl-SI"/>
              </w:rPr>
              <w:t>203</w:t>
            </w:r>
          </w:p>
        </w:tc>
        <w:tc>
          <w:tcPr>
            <w:tcW w:w="909" w:type="dxa"/>
            <w:tcBorders>
              <w:top w:val="nil"/>
              <w:left w:val="nil"/>
              <w:bottom w:val="single" w:sz="4" w:space="0" w:color="auto"/>
              <w:right w:val="single" w:sz="4" w:space="0" w:color="auto"/>
            </w:tcBorders>
            <w:shd w:val="clear" w:color="auto" w:fill="auto"/>
            <w:noWrap/>
            <w:vAlign w:val="bottom"/>
            <w:hideMark/>
          </w:tcPr>
          <w:p w14:paraId="76F750D3" w14:textId="483B9553"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801</w:t>
            </w:r>
            <w:r>
              <w:rPr>
                <w:rFonts w:ascii="Arial" w:hAnsi="Arial" w:cs="Arial"/>
                <w:color w:val="000000"/>
                <w:sz w:val="20"/>
                <w:szCs w:val="20"/>
                <w:lang w:eastAsia="sl-SI"/>
              </w:rPr>
              <w:t>.</w:t>
            </w:r>
            <w:r w:rsidRPr="00DB07AB">
              <w:rPr>
                <w:rFonts w:ascii="Arial" w:hAnsi="Arial" w:cs="Arial"/>
                <w:color w:val="000000"/>
                <w:sz w:val="20"/>
                <w:szCs w:val="20"/>
                <w:lang w:eastAsia="sl-SI"/>
              </w:rPr>
              <w:t>909</w:t>
            </w:r>
          </w:p>
        </w:tc>
      </w:tr>
      <w:tr w:rsidR="009D1026" w:rsidRPr="00DB07AB" w14:paraId="5A5B2EEF" w14:textId="77777777" w:rsidTr="00422936">
        <w:trPr>
          <w:trHeight w:val="300"/>
        </w:trPr>
        <w:tc>
          <w:tcPr>
            <w:tcW w:w="2273" w:type="dxa"/>
            <w:vMerge/>
            <w:tcBorders>
              <w:left w:val="single" w:sz="4" w:space="0" w:color="auto"/>
              <w:right w:val="single" w:sz="4" w:space="0" w:color="auto"/>
            </w:tcBorders>
            <w:shd w:val="clear" w:color="auto" w:fill="auto"/>
            <w:vAlign w:val="bottom"/>
            <w:hideMark/>
          </w:tcPr>
          <w:p w14:paraId="475721D7" w14:textId="745091A6" w:rsidR="009D1026" w:rsidRPr="00A51AC6" w:rsidRDefault="009D1026" w:rsidP="004A34AD">
            <w:pPr>
              <w:spacing w:before="60" w:after="0" w:line="312" w:lineRule="auto"/>
              <w:rPr>
                <w:rFonts w:ascii="Arial" w:hAnsi="Arial" w:cs="Arial"/>
                <w:color w:val="000000"/>
                <w:sz w:val="20"/>
                <w:szCs w:val="20"/>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74BA18E8" w14:textId="77777777" w:rsidR="009D1026" w:rsidRPr="00DB07AB" w:rsidRDefault="009D1026" w:rsidP="004A34AD">
            <w:pPr>
              <w:spacing w:before="60" w:after="0" w:line="312" w:lineRule="auto"/>
              <w:jc w:val="both"/>
              <w:rPr>
                <w:rFonts w:ascii="Arial" w:hAnsi="Arial" w:cs="Arial"/>
                <w:b/>
                <w:bCs/>
                <w:color w:val="000000"/>
                <w:sz w:val="20"/>
                <w:szCs w:val="20"/>
                <w:lang w:eastAsia="sl-SI"/>
              </w:rPr>
            </w:pPr>
            <w:r w:rsidRPr="00DB07AB">
              <w:rPr>
                <w:rFonts w:ascii="Arial" w:hAnsi="Arial" w:cs="Arial"/>
                <w:b/>
                <w:bCs/>
                <w:color w:val="000000"/>
                <w:sz w:val="20"/>
                <w:szCs w:val="20"/>
                <w:lang w:eastAsia="sl-SI"/>
              </w:rPr>
              <w:t>podeželje</w:t>
            </w:r>
          </w:p>
        </w:tc>
        <w:tc>
          <w:tcPr>
            <w:tcW w:w="908" w:type="dxa"/>
            <w:tcBorders>
              <w:top w:val="nil"/>
              <w:left w:val="nil"/>
              <w:bottom w:val="single" w:sz="4" w:space="0" w:color="auto"/>
              <w:right w:val="single" w:sz="4" w:space="0" w:color="auto"/>
            </w:tcBorders>
            <w:shd w:val="clear" w:color="auto" w:fill="auto"/>
            <w:noWrap/>
            <w:vAlign w:val="bottom"/>
            <w:hideMark/>
          </w:tcPr>
          <w:p w14:paraId="225A7A63" w14:textId="654C2343"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388</w:t>
            </w:r>
            <w:r>
              <w:rPr>
                <w:rFonts w:ascii="Arial" w:hAnsi="Arial" w:cs="Arial"/>
                <w:color w:val="000000"/>
                <w:sz w:val="20"/>
                <w:szCs w:val="20"/>
                <w:lang w:eastAsia="sl-SI"/>
              </w:rPr>
              <w:t>.</w:t>
            </w:r>
            <w:r w:rsidRPr="00DB07AB">
              <w:rPr>
                <w:rFonts w:ascii="Arial" w:hAnsi="Arial" w:cs="Arial"/>
                <w:color w:val="000000"/>
                <w:sz w:val="20"/>
                <w:szCs w:val="20"/>
                <w:lang w:eastAsia="sl-SI"/>
              </w:rPr>
              <w:t>855</w:t>
            </w:r>
          </w:p>
        </w:tc>
        <w:tc>
          <w:tcPr>
            <w:tcW w:w="909" w:type="dxa"/>
            <w:tcBorders>
              <w:top w:val="nil"/>
              <w:left w:val="nil"/>
              <w:bottom w:val="single" w:sz="4" w:space="0" w:color="auto"/>
              <w:right w:val="single" w:sz="4" w:space="0" w:color="auto"/>
            </w:tcBorders>
            <w:shd w:val="clear" w:color="auto" w:fill="auto"/>
            <w:noWrap/>
            <w:vAlign w:val="bottom"/>
            <w:hideMark/>
          </w:tcPr>
          <w:p w14:paraId="0415F66B" w14:textId="43831F31"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362</w:t>
            </w:r>
            <w:r>
              <w:rPr>
                <w:rFonts w:ascii="Arial" w:hAnsi="Arial" w:cs="Arial"/>
                <w:color w:val="000000"/>
                <w:sz w:val="20"/>
                <w:szCs w:val="20"/>
                <w:lang w:eastAsia="sl-SI"/>
              </w:rPr>
              <w:t>.</w:t>
            </w:r>
            <w:r w:rsidRPr="00DB07AB">
              <w:rPr>
                <w:rFonts w:ascii="Arial" w:hAnsi="Arial" w:cs="Arial"/>
                <w:color w:val="000000"/>
                <w:sz w:val="20"/>
                <w:szCs w:val="20"/>
                <w:lang w:eastAsia="sl-SI"/>
              </w:rPr>
              <w:t>441</w:t>
            </w:r>
          </w:p>
        </w:tc>
        <w:tc>
          <w:tcPr>
            <w:tcW w:w="909" w:type="dxa"/>
            <w:tcBorders>
              <w:top w:val="nil"/>
              <w:left w:val="nil"/>
              <w:bottom w:val="single" w:sz="4" w:space="0" w:color="auto"/>
              <w:right w:val="single" w:sz="4" w:space="0" w:color="auto"/>
            </w:tcBorders>
            <w:shd w:val="clear" w:color="auto" w:fill="auto"/>
            <w:noWrap/>
            <w:vAlign w:val="bottom"/>
            <w:hideMark/>
          </w:tcPr>
          <w:p w14:paraId="599B212A" w14:textId="09A07DEA"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335</w:t>
            </w:r>
            <w:r>
              <w:rPr>
                <w:rFonts w:ascii="Arial" w:hAnsi="Arial" w:cs="Arial"/>
                <w:color w:val="000000"/>
                <w:sz w:val="20"/>
                <w:szCs w:val="20"/>
                <w:lang w:eastAsia="sl-SI"/>
              </w:rPr>
              <w:t>.</w:t>
            </w:r>
            <w:r w:rsidRPr="00DB07AB">
              <w:rPr>
                <w:rFonts w:ascii="Arial" w:hAnsi="Arial" w:cs="Arial"/>
                <w:color w:val="000000"/>
                <w:sz w:val="20"/>
                <w:szCs w:val="20"/>
                <w:lang w:eastAsia="sl-SI"/>
              </w:rPr>
              <w:t>593</w:t>
            </w:r>
          </w:p>
        </w:tc>
        <w:tc>
          <w:tcPr>
            <w:tcW w:w="909" w:type="dxa"/>
            <w:tcBorders>
              <w:top w:val="nil"/>
              <w:left w:val="nil"/>
              <w:bottom w:val="single" w:sz="4" w:space="0" w:color="auto"/>
              <w:right w:val="single" w:sz="4" w:space="0" w:color="auto"/>
            </w:tcBorders>
            <w:shd w:val="clear" w:color="auto" w:fill="auto"/>
            <w:noWrap/>
            <w:vAlign w:val="bottom"/>
            <w:hideMark/>
          </w:tcPr>
          <w:p w14:paraId="2F542E3D" w14:textId="1BB4BCED"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345</w:t>
            </w:r>
            <w:r>
              <w:rPr>
                <w:rFonts w:ascii="Arial" w:hAnsi="Arial" w:cs="Arial"/>
                <w:color w:val="000000"/>
                <w:sz w:val="20"/>
                <w:szCs w:val="20"/>
                <w:lang w:eastAsia="sl-SI"/>
              </w:rPr>
              <w:t>.</w:t>
            </w:r>
            <w:r w:rsidRPr="00DB07AB">
              <w:rPr>
                <w:rFonts w:ascii="Arial" w:hAnsi="Arial" w:cs="Arial"/>
                <w:color w:val="000000"/>
                <w:sz w:val="20"/>
                <w:szCs w:val="20"/>
                <w:lang w:eastAsia="sl-SI"/>
              </w:rPr>
              <w:t>081</w:t>
            </w:r>
          </w:p>
        </w:tc>
        <w:tc>
          <w:tcPr>
            <w:tcW w:w="909" w:type="dxa"/>
            <w:tcBorders>
              <w:top w:val="nil"/>
              <w:left w:val="nil"/>
              <w:bottom w:val="single" w:sz="4" w:space="0" w:color="auto"/>
              <w:right w:val="single" w:sz="4" w:space="0" w:color="auto"/>
            </w:tcBorders>
            <w:shd w:val="clear" w:color="auto" w:fill="auto"/>
            <w:noWrap/>
            <w:vAlign w:val="bottom"/>
            <w:hideMark/>
          </w:tcPr>
          <w:p w14:paraId="4B7E95CD" w14:textId="697C7B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377</w:t>
            </w:r>
            <w:r>
              <w:rPr>
                <w:rFonts w:ascii="Arial" w:hAnsi="Arial" w:cs="Arial"/>
                <w:color w:val="000000"/>
                <w:sz w:val="20"/>
                <w:szCs w:val="20"/>
                <w:lang w:eastAsia="sl-SI"/>
              </w:rPr>
              <w:t>.</w:t>
            </w:r>
            <w:r w:rsidRPr="00DB07AB">
              <w:rPr>
                <w:rFonts w:ascii="Arial" w:hAnsi="Arial" w:cs="Arial"/>
                <w:color w:val="000000"/>
                <w:sz w:val="20"/>
                <w:szCs w:val="20"/>
                <w:lang w:eastAsia="sl-SI"/>
              </w:rPr>
              <w:t>424</w:t>
            </w:r>
          </w:p>
        </w:tc>
        <w:tc>
          <w:tcPr>
            <w:tcW w:w="909" w:type="dxa"/>
            <w:tcBorders>
              <w:top w:val="nil"/>
              <w:left w:val="nil"/>
              <w:bottom w:val="single" w:sz="4" w:space="0" w:color="auto"/>
              <w:right w:val="single" w:sz="4" w:space="0" w:color="auto"/>
            </w:tcBorders>
            <w:shd w:val="clear" w:color="auto" w:fill="auto"/>
            <w:noWrap/>
            <w:vAlign w:val="bottom"/>
            <w:hideMark/>
          </w:tcPr>
          <w:p w14:paraId="5245C9CA" w14:textId="6D613D09"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38</w:t>
            </w:r>
            <w:r>
              <w:rPr>
                <w:rFonts w:ascii="Arial" w:hAnsi="Arial" w:cs="Arial"/>
                <w:color w:val="000000"/>
                <w:sz w:val="20"/>
                <w:szCs w:val="20"/>
                <w:lang w:eastAsia="sl-SI"/>
              </w:rPr>
              <w:t>.</w:t>
            </w:r>
            <w:r w:rsidRPr="00DB07AB">
              <w:rPr>
                <w:rFonts w:ascii="Arial" w:hAnsi="Arial" w:cs="Arial"/>
                <w:color w:val="000000"/>
                <w:sz w:val="20"/>
                <w:szCs w:val="20"/>
                <w:lang w:eastAsia="sl-SI"/>
              </w:rPr>
              <w:t>9167</w:t>
            </w:r>
          </w:p>
        </w:tc>
      </w:tr>
      <w:tr w:rsidR="009D1026" w:rsidRPr="00DB07AB" w14:paraId="5C1B147D" w14:textId="77777777" w:rsidTr="00422936">
        <w:trPr>
          <w:trHeight w:val="300"/>
        </w:trPr>
        <w:tc>
          <w:tcPr>
            <w:tcW w:w="2273" w:type="dxa"/>
            <w:vMerge/>
            <w:tcBorders>
              <w:left w:val="single" w:sz="4" w:space="0" w:color="auto"/>
              <w:bottom w:val="single" w:sz="4" w:space="0" w:color="auto"/>
              <w:right w:val="single" w:sz="4" w:space="0" w:color="auto"/>
            </w:tcBorders>
            <w:shd w:val="clear" w:color="auto" w:fill="auto"/>
            <w:vAlign w:val="bottom"/>
            <w:hideMark/>
          </w:tcPr>
          <w:p w14:paraId="77247DE2" w14:textId="32E977E9" w:rsidR="009D1026" w:rsidRPr="00A51AC6" w:rsidRDefault="009D1026" w:rsidP="004A34AD">
            <w:pPr>
              <w:spacing w:before="60" w:after="0" w:line="312" w:lineRule="auto"/>
              <w:rPr>
                <w:rFonts w:ascii="Arial" w:hAnsi="Arial" w:cs="Arial"/>
                <w:b/>
                <w:bCs/>
                <w:color w:val="000000"/>
                <w:sz w:val="20"/>
                <w:szCs w:val="20"/>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4DFE38FE" w14:textId="21566383" w:rsidR="009D1026" w:rsidRPr="00DB07AB" w:rsidRDefault="003F7E91" w:rsidP="004A34AD">
            <w:pPr>
              <w:spacing w:before="60" w:after="0" w:line="312" w:lineRule="auto"/>
              <w:jc w:val="both"/>
              <w:rPr>
                <w:rFonts w:ascii="Arial" w:hAnsi="Arial" w:cs="Arial"/>
                <w:color w:val="000000"/>
                <w:sz w:val="20"/>
                <w:szCs w:val="20"/>
                <w:lang w:eastAsia="sl-SI"/>
              </w:rPr>
            </w:pPr>
            <w:r>
              <w:rPr>
                <w:rFonts w:ascii="Arial" w:hAnsi="Arial" w:cs="Arial"/>
                <w:color w:val="000000"/>
                <w:sz w:val="20"/>
                <w:szCs w:val="20"/>
                <w:lang w:eastAsia="sl-SI"/>
              </w:rPr>
              <w:t>p</w:t>
            </w:r>
            <w:r w:rsidR="009D1026">
              <w:rPr>
                <w:rFonts w:ascii="Arial" w:hAnsi="Arial" w:cs="Arial"/>
                <w:color w:val="000000"/>
                <w:sz w:val="20"/>
                <w:szCs w:val="20"/>
                <w:lang w:eastAsia="sl-SI"/>
              </w:rPr>
              <w:t>odeželje</w:t>
            </w:r>
            <w:r>
              <w:rPr>
                <w:rFonts w:ascii="Arial" w:hAnsi="Arial" w:cs="Arial"/>
                <w:color w:val="000000"/>
                <w:sz w:val="20"/>
                <w:szCs w:val="20"/>
                <w:lang w:eastAsia="sl-SI"/>
              </w:rPr>
              <w:t xml:space="preserve"> (%)</w:t>
            </w:r>
          </w:p>
        </w:tc>
        <w:tc>
          <w:tcPr>
            <w:tcW w:w="908" w:type="dxa"/>
            <w:tcBorders>
              <w:top w:val="nil"/>
              <w:left w:val="nil"/>
              <w:bottom w:val="single" w:sz="4" w:space="0" w:color="auto"/>
              <w:right w:val="single" w:sz="4" w:space="0" w:color="auto"/>
            </w:tcBorders>
            <w:shd w:val="clear" w:color="auto" w:fill="auto"/>
            <w:noWrap/>
            <w:vAlign w:val="bottom"/>
            <w:hideMark/>
          </w:tcPr>
          <w:p w14:paraId="2CDD45B6"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49</w:t>
            </w:r>
          </w:p>
        </w:tc>
        <w:tc>
          <w:tcPr>
            <w:tcW w:w="909" w:type="dxa"/>
            <w:tcBorders>
              <w:top w:val="nil"/>
              <w:left w:val="nil"/>
              <w:bottom w:val="single" w:sz="4" w:space="0" w:color="auto"/>
              <w:right w:val="single" w:sz="4" w:space="0" w:color="auto"/>
            </w:tcBorders>
            <w:shd w:val="clear" w:color="auto" w:fill="auto"/>
            <w:noWrap/>
            <w:vAlign w:val="bottom"/>
            <w:hideMark/>
          </w:tcPr>
          <w:p w14:paraId="3FC81E00"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48,50</w:t>
            </w:r>
          </w:p>
        </w:tc>
        <w:tc>
          <w:tcPr>
            <w:tcW w:w="909" w:type="dxa"/>
            <w:tcBorders>
              <w:top w:val="nil"/>
              <w:left w:val="nil"/>
              <w:bottom w:val="single" w:sz="4" w:space="0" w:color="auto"/>
              <w:right w:val="single" w:sz="4" w:space="0" w:color="auto"/>
            </w:tcBorders>
            <w:shd w:val="clear" w:color="auto" w:fill="auto"/>
            <w:noWrap/>
            <w:vAlign w:val="bottom"/>
            <w:hideMark/>
          </w:tcPr>
          <w:p w14:paraId="7B33B964"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48</w:t>
            </w:r>
          </w:p>
        </w:tc>
        <w:tc>
          <w:tcPr>
            <w:tcW w:w="909" w:type="dxa"/>
            <w:tcBorders>
              <w:top w:val="nil"/>
              <w:left w:val="nil"/>
              <w:bottom w:val="single" w:sz="4" w:space="0" w:color="auto"/>
              <w:right w:val="single" w:sz="4" w:space="0" w:color="auto"/>
            </w:tcBorders>
            <w:shd w:val="clear" w:color="auto" w:fill="auto"/>
            <w:noWrap/>
            <w:vAlign w:val="bottom"/>
            <w:hideMark/>
          </w:tcPr>
          <w:p w14:paraId="0A5C37E7"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48</w:t>
            </w:r>
          </w:p>
        </w:tc>
        <w:tc>
          <w:tcPr>
            <w:tcW w:w="909" w:type="dxa"/>
            <w:tcBorders>
              <w:top w:val="nil"/>
              <w:left w:val="nil"/>
              <w:bottom w:val="single" w:sz="4" w:space="0" w:color="auto"/>
              <w:right w:val="single" w:sz="4" w:space="0" w:color="auto"/>
            </w:tcBorders>
            <w:shd w:val="clear" w:color="auto" w:fill="auto"/>
            <w:noWrap/>
            <w:vAlign w:val="bottom"/>
            <w:hideMark/>
          </w:tcPr>
          <w:p w14:paraId="0ED95517"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48</w:t>
            </w:r>
          </w:p>
        </w:tc>
        <w:tc>
          <w:tcPr>
            <w:tcW w:w="909" w:type="dxa"/>
            <w:tcBorders>
              <w:top w:val="nil"/>
              <w:left w:val="nil"/>
              <w:bottom w:val="single" w:sz="4" w:space="0" w:color="auto"/>
              <w:right w:val="single" w:sz="4" w:space="0" w:color="auto"/>
            </w:tcBorders>
            <w:shd w:val="clear" w:color="auto" w:fill="auto"/>
            <w:noWrap/>
            <w:vAlign w:val="bottom"/>
            <w:hideMark/>
          </w:tcPr>
          <w:p w14:paraId="42A2015D"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48,50</w:t>
            </w:r>
          </w:p>
        </w:tc>
      </w:tr>
      <w:tr w:rsidR="009D1026" w:rsidRPr="00DB07AB" w14:paraId="24DD3DEC" w14:textId="77777777" w:rsidTr="00422936">
        <w:trPr>
          <w:trHeight w:val="354"/>
        </w:trPr>
        <w:tc>
          <w:tcPr>
            <w:tcW w:w="2273" w:type="dxa"/>
            <w:vMerge w:val="restart"/>
            <w:tcBorders>
              <w:top w:val="nil"/>
              <w:left w:val="single" w:sz="4" w:space="0" w:color="auto"/>
              <w:right w:val="single" w:sz="4" w:space="0" w:color="auto"/>
            </w:tcBorders>
            <w:shd w:val="clear" w:color="auto" w:fill="auto"/>
            <w:vAlign w:val="center"/>
            <w:hideMark/>
          </w:tcPr>
          <w:p w14:paraId="15EDF919" w14:textId="661B6814" w:rsidR="009D1026" w:rsidRPr="00DB07AB" w:rsidRDefault="009D1026" w:rsidP="004A34AD">
            <w:pPr>
              <w:spacing w:before="60" w:after="0" w:line="312" w:lineRule="auto"/>
              <w:rPr>
                <w:rFonts w:ascii="Arial" w:hAnsi="Arial" w:cs="Arial"/>
                <w:b/>
                <w:bCs/>
                <w:color w:val="000000"/>
                <w:sz w:val="20"/>
                <w:szCs w:val="20"/>
                <w:lang w:eastAsia="sl-SI"/>
              </w:rPr>
            </w:pPr>
            <w:r w:rsidRPr="00A51AC6">
              <w:rPr>
                <w:rFonts w:ascii="Arial" w:hAnsi="Arial" w:cs="Arial"/>
                <w:b/>
                <w:bCs/>
                <w:color w:val="000000"/>
                <w:sz w:val="20"/>
                <w:szCs w:val="20"/>
                <w:lang w:eastAsia="sl-SI"/>
              </w:rPr>
              <w:t>Število samozaposlenih oseb (po delovnem mestu)</w:t>
            </w:r>
          </w:p>
        </w:tc>
        <w:tc>
          <w:tcPr>
            <w:tcW w:w="1418" w:type="dxa"/>
            <w:tcBorders>
              <w:top w:val="nil"/>
              <w:left w:val="nil"/>
              <w:bottom w:val="single" w:sz="4" w:space="0" w:color="auto"/>
              <w:right w:val="single" w:sz="4" w:space="0" w:color="auto"/>
            </w:tcBorders>
            <w:shd w:val="clear" w:color="auto" w:fill="auto"/>
            <w:noWrap/>
            <w:vAlign w:val="bottom"/>
            <w:hideMark/>
          </w:tcPr>
          <w:p w14:paraId="6579E6F5" w14:textId="77777777" w:rsidR="009D1026" w:rsidRPr="00DB07AB" w:rsidRDefault="009D1026" w:rsidP="004A34AD">
            <w:pPr>
              <w:spacing w:before="60" w:after="0" w:line="312" w:lineRule="auto"/>
              <w:jc w:val="both"/>
              <w:rPr>
                <w:rFonts w:ascii="Arial" w:hAnsi="Arial" w:cs="Arial"/>
                <w:b/>
                <w:bCs/>
                <w:color w:val="000000"/>
                <w:sz w:val="20"/>
                <w:szCs w:val="20"/>
                <w:lang w:eastAsia="sl-SI"/>
              </w:rPr>
            </w:pPr>
            <w:r w:rsidRPr="00DB07AB">
              <w:rPr>
                <w:rFonts w:ascii="Arial" w:hAnsi="Arial" w:cs="Arial"/>
                <w:b/>
                <w:bCs/>
                <w:color w:val="000000"/>
                <w:sz w:val="20"/>
                <w:szCs w:val="20"/>
                <w:lang w:eastAsia="sl-SI"/>
              </w:rPr>
              <w:t>Slovenija</w:t>
            </w:r>
          </w:p>
        </w:tc>
        <w:tc>
          <w:tcPr>
            <w:tcW w:w="908" w:type="dxa"/>
            <w:tcBorders>
              <w:top w:val="nil"/>
              <w:left w:val="nil"/>
              <w:bottom w:val="single" w:sz="4" w:space="0" w:color="auto"/>
              <w:right w:val="single" w:sz="4" w:space="0" w:color="auto"/>
            </w:tcBorders>
            <w:shd w:val="clear" w:color="auto" w:fill="auto"/>
            <w:noWrap/>
            <w:vAlign w:val="bottom"/>
            <w:hideMark/>
          </w:tcPr>
          <w:p w14:paraId="109E2BA9" w14:textId="098B5F6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89</w:t>
            </w:r>
            <w:r>
              <w:rPr>
                <w:rFonts w:ascii="Arial" w:hAnsi="Arial" w:cs="Arial"/>
                <w:color w:val="000000"/>
                <w:sz w:val="20"/>
                <w:szCs w:val="20"/>
                <w:lang w:eastAsia="sl-SI"/>
              </w:rPr>
              <w:t>.</w:t>
            </w:r>
            <w:r w:rsidRPr="00DB07AB">
              <w:rPr>
                <w:rFonts w:ascii="Arial" w:hAnsi="Arial" w:cs="Arial"/>
                <w:color w:val="000000"/>
                <w:sz w:val="20"/>
                <w:szCs w:val="20"/>
                <w:lang w:eastAsia="sl-SI"/>
              </w:rPr>
              <w:t>394</w:t>
            </w:r>
          </w:p>
        </w:tc>
        <w:tc>
          <w:tcPr>
            <w:tcW w:w="909" w:type="dxa"/>
            <w:tcBorders>
              <w:top w:val="nil"/>
              <w:left w:val="nil"/>
              <w:bottom w:val="single" w:sz="4" w:space="0" w:color="auto"/>
              <w:right w:val="single" w:sz="4" w:space="0" w:color="auto"/>
            </w:tcBorders>
            <w:shd w:val="clear" w:color="auto" w:fill="auto"/>
            <w:noWrap/>
            <w:vAlign w:val="bottom"/>
            <w:hideMark/>
          </w:tcPr>
          <w:p w14:paraId="1EFDA007" w14:textId="17336639"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87</w:t>
            </w:r>
            <w:r>
              <w:rPr>
                <w:rFonts w:ascii="Arial" w:hAnsi="Arial" w:cs="Arial"/>
                <w:color w:val="000000"/>
                <w:sz w:val="20"/>
                <w:szCs w:val="20"/>
                <w:lang w:eastAsia="sl-SI"/>
              </w:rPr>
              <w:t>.</w:t>
            </w:r>
            <w:r w:rsidRPr="00DB07AB">
              <w:rPr>
                <w:rFonts w:ascii="Arial" w:hAnsi="Arial" w:cs="Arial"/>
                <w:color w:val="000000"/>
                <w:sz w:val="20"/>
                <w:szCs w:val="20"/>
                <w:lang w:eastAsia="sl-SI"/>
              </w:rPr>
              <w:t>845</w:t>
            </w:r>
          </w:p>
        </w:tc>
        <w:tc>
          <w:tcPr>
            <w:tcW w:w="909" w:type="dxa"/>
            <w:tcBorders>
              <w:top w:val="nil"/>
              <w:left w:val="nil"/>
              <w:bottom w:val="single" w:sz="4" w:space="0" w:color="auto"/>
              <w:right w:val="single" w:sz="4" w:space="0" w:color="auto"/>
            </w:tcBorders>
            <w:shd w:val="clear" w:color="auto" w:fill="auto"/>
            <w:noWrap/>
            <w:vAlign w:val="bottom"/>
            <w:hideMark/>
          </w:tcPr>
          <w:p w14:paraId="02F0F7C6" w14:textId="7F5AB78C"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94</w:t>
            </w:r>
            <w:r>
              <w:rPr>
                <w:rFonts w:ascii="Arial" w:hAnsi="Arial" w:cs="Arial"/>
                <w:color w:val="000000"/>
                <w:sz w:val="20"/>
                <w:szCs w:val="20"/>
                <w:lang w:eastAsia="sl-SI"/>
              </w:rPr>
              <w:t>.</w:t>
            </w:r>
            <w:r w:rsidRPr="00DB07AB">
              <w:rPr>
                <w:rFonts w:ascii="Arial" w:hAnsi="Arial" w:cs="Arial"/>
                <w:color w:val="000000"/>
                <w:sz w:val="20"/>
                <w:szCs w:val="20"/>
                <w:lang w:eastAsia="sl-SI"/>
              </w:rPr>
              <w:t>873</w:t>
            </w:r>
          </w:p>
        </w:tc>
        <w:tc>
          <w:tcPr>
            <w:tcW w:w="909" w:type="dxa"/>
            <w:tcBorders>
              <w:top w:val="nil"/>
              <w:left w:val="nil"/>
              <w:bottom w:val="single" w:sz="4" w:space="0" w:color="auto"/>
              <w:right w:val="single" w:sz="4" w:space="0" w:color="auto"/>
            </w:tcBorders>
            <w:shd w:val="clear" w:color="auto" w:fill="auto"/>
            <w:noWrap/>
            <w:vAlign w:val="bottom"/>
            <w:hideMark/>
          </w:tcPr>
          <w:p w14:paraId="715E287D" w14:textId="674FF732"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91</w:t>
            </w:r>
            <w:r>
              <w:rPr>
                <w:rFonts w:ascii="Arial" w:hAnsi="Arial" w:cs="Arial"/>
                <w:color w:val="000000"/>
                <w:sz w:val="20"/>
                <w:szCs w:val="20"/>
                <w:lang w:eastAsia="sl-SI"/>
              </w:rPr>
              <w:t>.</w:t>
            </w:r>
            <w:r w:rsidRPr="00DB07AB">
              <w:rPr>
                <w:rFonts w:ascii="Arial" w:hAnsi="Arial" w:cs="Arial"/>
                <w:color w:val="000000"/>
                <w:sz w:val="20"/>
                <w:szCs w:val="20"/>
                <w:lang w:eastAsia="sl-SI"/>
              </w:rPr>
              <w:t>561</w:t>
            </w:r>
          </w:p>
        </w:tc>
        <w:tc>
          <w:tcPr>
            <w:tcW w:w="909" w:type="dxa"/>
            <w:tcBorders>
              <w:top w:val="nil"/>
              <w:left w:val="nil"/>
              <w:bottom w:val="single" w:sz="4" w:space="0" w:color="auto"/>
              <w:right w:val="single" w:sz="4" w:space="0" w:color="auto"/>
            </w:tcBorders>
            <w:shd w:val="clear" w:color="auto" w:fill="auto"/>
            <w:noWrap/>
            <w:vAlign w:val="bottom"/>
            <w:hideMark/>
          </w:tcPr>
          <w:p w14:paraId="44444124" w14:textId="4E87B608"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92</w:t>
            </w:r>
            <w:r>
              <w:rPr>
                <w:rFonts w:ascii="Arial" w:hAnsi="Arial" w:cs="Arial"/>
                <w:color w:val="000000"/>
                <w:sz w:val="20"/>
                <w:szCs w:val="20"/>
                <w:lang w:eastAsia="sl-SI"/>
              </w:rPr>
              <w:t>.</w:t>
            </w:r>
            <w:r w:rsidRPr="00DB07AB">
              <w:rPr>
                <w:rFonts w:ascii="Arial" w:hAnsi="Arial" w:cs="Arial"/>
                <w:color w:val="000000"/>
                <w:sz w:val="20"/>
                <w:szCs w:val="20"/>
                <w:lang w:eastAsia="sl-SI"/>
              </w:rPr>
              <w:t>569</w:t>
            </w:r>
          </w:p>
        </w:tc>
        <w:tc>
          <w:tcPr>
            <w:tcW w:w="909" w:type="dxa"/>
            <w:tcBorders>
              <w:top w:val="nil"/>
              <w:left w:val="nil"/>
              <w:bottom w:val="single" w:sz="4" w:space="0" w:color="auto"/>
              <w:right w:val="single" w:sz="4" w:space="0" w:color="auto"/>
            </w:tcBorders>
            <w:shd w:val="clear" w:color="auto" w:fill="auto"/>
            <w:noWrap/>
            <w:vAlign w:val="bottom"/>
            <w:hideMark/>
          </w:tcPr>
          <w:p w14:paraId="0983EB0E" w14:textId="0495F0D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92</w:t>
            </w:r>
            <w:r>
              <w:rPr>
                <w:rFonts w:ascii="Arial" w:hAnsi="Arial" w:cs="Arial"/>
                <w:color w:val="000000"/>
                <w:sz w:val="20"/>
                <w:szCs w:val="20"/>
                <w:lang w:eastAsia="sl-SI"/>
              </w:rPr>
              <w:t>.</w:t>
            </w:r>
            <w:r w:rsidRPr="00DB07AB">
              <w:rPr>
                <w:rFonts w:ascii="Arial" w:hAnsi="Arial" w:cs="Arial"/>
                <w:color w:val="000000"/>
                <w:sz w:val="20"/>
                <w:szCs w:val="20"/>
                <w:lang w:eastAsia="sl-SI"/>
              </w:rPr>
              <w:t>320</w:t>
            </w:r>
          </w:p>
        </w:tc>
      </w:tr>
      <w:tr w:rsidR="009D1026" w:rsidRPr="00DB07AB" w14:paraId="6C84CA76" w14:textId="77777777" w:rsidTr="00422936">
        <w:trPr>
          <w:trHeight w:val="300"/>
        </w:trPr>
        <w:tc>
          <w:tcPr>
            <w:tcW w:w="2273" w:type="dxa"/>
            <w:vMerge/>
            <w:tcBorders>
              <w:left w:val="single" w:sz="4" w:space="0" w:color="auto"/>
              <w:right w:val="single" w:sz="4" w:space="0" w:color="auto"/>
            </w:tcBorders>
            <w:shd w:val="clear" w:color="auto" w:fill="auto"/>
            <w:vAlign w:val="bottom"/>
            <w:hideMark/>
          </w:tcPr>
          <w:p w14:paraId="569D454C" w14:textId="75670236" w:rsidR="009D1026" w:rsidRPr="00A51AC6" w:rsidRDefault="009D1026" w:rsidP="004A34AD">
            <w:pPr>
              <w:spacing w:before="60" w:after="0" w:line="312" w:lineRule="auto"/>
              <w:rPr>
                <w:rFonts w:ascii="Arial" w:hAnsi="Arial" w:cs="Arial"/>
                <w:b/>
                <w:bCs/>
                <w:color w:val="000000"/>
                <w:sz w:val="20"/>
                <w:szCs w:val="20"/>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6A786826" w14:textId="77777777" w:rsidR="009D1026" w:rsidRPr="00DB07AB" w:rsidRDefault="009D1026" w:rsidP="004A34AD">
            <w:pPr>
              <w:spacing w:before="60" w:after="0" w:line="312" w:lineRule="auto"/>
              <w:jc w:val="both"/>
              <w:rPr>
                <w:rFonts w:ascii="Arial" w:hAnsi="Arial" w:cs="Arial"/>
                <w:b/>
                <w:bCs/>
                <w:color w:val="000000"/>
                <w:sz w:val="20"/>
                <w:szCs w:val="20"/>
                <w:lang w:eastAsia="sl-SI"/>
              </w:rPr>
            </w:pPr>
            <w:r w:rsidRPr="00DB07AB">
              <w:rPr>
                <w:rFonts w:ascii="Arial" w:hAnsi="Arial" w:cs="Arial"/>
                <w:b/>
                <w:bCs/>
                <w:color w:val="000000"/>
                <w:sz w:val="20"/>
                <w:szCs w:val="20"/>
                <w:lang w:eastAsia="sl-SI"/>
              </w:rPr>
              <w:t>podeželje</w:t>
            </w:r>
          </w:p>
        </w:tc>
        <w:tc>
          <w:tcPr>
            <w:tcW w:w="908" w:type="dxa"/>
            <w:tcBorders>
              <w:top w:val="nil"/>
              <w:left w:val="nil"/>
              <w:bottom w:val="single" w:sz="4" w:space="0" w:color="auto"/>
              <w:right w:val="single" w:sz="4" w:space="0" w:color="auto"/>
            </w:tcBorders>
            <w:shd w:val="clear" w:color="auto" w:fill="auto"/>
            <w:noWrap/>
            <w:vAlign w:val="bottom"/>
            <w:hideMark/>
          </w:tcPr>
          <w:p w14:paraId="28405718" w14:textId="0A87A810"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63</w:t>
            </w:r>
            <w:r>
              <w:rPr>
                <w:rFonts w:ascii="Arial" w:hAnsi="Arial" w:cs="Arial"/>
                <w:color w:val="000000"/>
                <w:sz w:val="20"/>
                <w:szCs w:val="20"/>
                <w:lang w:eastAsia="sl-SI"/>
              </w:rPr>
              <w:t>.</w:t>
            </w:r>
            <w:r w:rsidRPr="00DB07AB">
              <w:rPr>
                <w:rFonts w:ascii="Arial" w:hAnsi="Arial" w:cs="Arial"/>
                <w:color w:val="000000"/>
                <w:sz w:val="20"/>
                <w:szCs w:val="20"/>
                <w:lang w:eastAsia="sl-SI"/>
              </w:rPr>
              <w:t>928</w:t>
            </w:r>
          </w:p>
        </w:tc>
        <w:tc>
          <w:tcPr>
            <w:tcW w:w="909" w:type="dxa"/>
            <w:tcBorders>
              <w:top w:val="nil"/>
              <w:left w:val="nil"/>
              <w:bottom w:val="single" w:sz="4" w:space="0" w:color="auto"/>
              <w:right w:val="single" w:sz="4" w:space="0" w:color="auto"/>
            </w:tcBorders>
            <w:shd w:val="clear" w:color="auto" w:fill="auto"/>
            <w:noWrap/>
            <w:vAlign w:val="bottom"/>
            <w:hideMark/>
          </w:tcPr>
          <w:p w14:paraId="4759ECAA" w14:textId="56A0FFB5"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61</w:t>
            </w:r>
            <w:r>
              <w:rPr>
                <w:rFonts w:ascii="Arial" w:hAnsi="Arial" w:cs="Arial"/>
                <w:color w:val="000000"/>
                <w:sz w:val="20"/>
                <w:szCs w:val="20"/>
                <w:lang w:eastAsia="sl-SI"/>
              </w:rPr>
              <w:t>.</w:t>
            </w:r>
            <w:r w:rsidRPr="00DB07AB">
              <w:rPr>
                <w:rFonts w:ascii="Arial" w:hAnsi="Arial" w:cs="Arial"/>
                <w:color w:val="000000"/>
                <w:sz w:val="20"/>
                <w:szCs w:val="20"/>
                <w:lang w:eastAsia="sl-SI"/>
              </w:rPr>
              <w:t>830</w:t>
            </w:r>
          </w:p>
        </w:tc>
        <w:tc>
          <w:tcPr>
            <w:tcW w:w="909" w:type="dxa"/>
            <w:tcBorders>
              <w:top w:val="nil"/>
              <w:left w:val="nil"/>
              <w:bottom w:val="single" w:sz="4" w:space="0" w:color="auto"/>
              <w:right w:val="single" w:sz="4" w:space="0" w:color="auto"/>
            </w:tcBorders>
            <w:shd w:val="clear" w:color="auto" w:fill="auto"/>
            <w:noWrap/>
            <w:vAlign w:val="bottom"/>
            <w:hideMark/>
          </w:tcPr>
          <w:p w14:paraId="5FD91165" w14:textId="3DB97E99"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67</w:t>
            </w:r>
            <w:r>
              <w:rPr>
                <w:rFonts w:ascii="Arial" w:hAnsi="Arial" w:cs="Arial"/>
                <w:color w:val="000000"/>
                <w:sz w:val="20"/>
                <w:szCs w:val="20"/>
                <w:lang w:eastAsia="sl-SI"/>
              </w:rPr>
              <w:t>.</w:t>
            </w:r>
            <w:r w:rsidRPr="00DB07AB">
              <w:rPr>
                <w:rFonts w:ascii="Arial" w:hAnsi="Arial" w:cs="Arial"/>
                <w:color w:val="000000"/>
                <w:sz w:val="20"/>
                <w:szCs w:val="20"/>
                <w:lang w:eastAsia="sl-SI"/>
              </w:rPr>
              <w:t>544</w:t>
            </w:r>
          </w:p>
        </w:tc>
        <w:tc>
          <w:tcPr>
            <w:tcW w:w="909" w:type="dxa"/>
            <w:tcBorders>
              <w:top w:val="nil"/>
              <w:left w:val="nil"/>
              <w:bottom w:val="single" w:sz="4" w:space="0" w:color="auto"/>
              <w:right w:val="single" w:sz="4" w:space="0" w:color="auto"/>
            </w:tcBorders>
            <w:shd w:val="clear" w:color="auto" w:fill="auto"/>
            <w:noWrap/>
            <w:vAlign w:val="bottom"/>
            <w:hideMark/>
          </w:tcPr>
          <w:p w14:paraId="257D2F27" w14:textId="7369AC86"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62</w:t>
            </w:r>
            <w:r>
              <w:rPr>
                <w:rFonts w:ascii="Arial" w:hAnsi="Arial" w:cs="Arial"/>
                <w:color w:val="000000"/>
                <w:sz w:val="20"/>
                <w:szCs w:val="20"/>
                <w:lang w:eastAsia="sl-SI"/>
              </w:rPr>
              <w:t>.</w:t>
            </w:r>
            <w:r w:rsidRPr="00DB07AB">
              <w:rPr>
                <w:rFonts w:ascii="Arial" w:hAnsi="Arial" w:cs="Arial"/>
                <w:color w:val="000000"/>
                <w:sz w:val="20"/>
                <w:szCs w:val="20"/>
                <w:lang w:eastAsia="sl-SI"/>
              </w:rPr>
              <w:t>690</w:t>
            </w:r>
          </w:p>
        </w:tc>
        <w:tc>
          <w:tcPr>
            <w:tcW w:w="909" w:type="dxa"/>
            <w:tcBorders>
              <w:top w:val="nil"/>
              <w:left w:val="nil"/>
              <w:bottom w:val="single" w:sz="4" w:space="0" w:color="auto"/>
              <w:right w:val="single" w:sz="4" w:space="0" w:color="auto"/>
            </w:tcBorders>
            <w:shd w:val="clear" w:color="auto" w:fill="auto"/>
            <w:noWrap/>
            <w:vAlign w:val="bottom"/>
            <w:hideMark/>
          </w:tcPr>
          <w:p w14:paraId="4E86AE61" w14:textId="63018920"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61</w:t>
            </w:r>
            <w:r>
              <w:rPr>
                <w:rFonts w:ascii="Arial" w:hAnsi="Arial" w:cs="Arial"/>
                <w:color w:val="000000"/>
                <w:sz w:val="20"/>
                <w:szCs w:val="20"/>
                <w:lang w:eastAsia="sl-SI"/>
              </w:rPr>
              <w:t>.</w:t>
            </w:r>
            <w:r w:rsidRPr="00DB07AB">
              <w:rPr>
                <w:rFonts w:ascii="Arial" w:hAnsi="Arial" w:cs="Arial"/>
                <w:color w:val="000000"/>
                <w:sz w:val="20"/>
                <w:szCs w:val="20"/>
                <w:lang w:eastAsia="sl-SI"/>
              </w:rPr>
              <w:t>827</w:t>
            </w:r>
          </w:p>
        </w:tc>
        <w:tc>
          <w:tcPr>
            <w:tcW w:w="909" w:type="dxa"/>
            <w:tcBorders>
              <w:top w:val="nil"/>
              <w:left w:val="nil"/>
              <w:bottom w:val="single" w:sz="4" w:space="0" w:color="auto"/>
              <w:right w:val="single" w:sz="4" w:space="0" w:color="auto"/>
            </w:tcBorders>
            <w:shd w:val="clear" w:color="auto" w:fill="auto"/>
            <w:noWrap/>
            <w:vAlign w:val="bottom"/>
            <w:hideMark/>
          </w:tcPr>
          <w:p w14:paraId="1FDC9675" w14:textId="332FF25F"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61</w:t>
            </w:r>
            <w:r>
              <w:rPr>
                <w:rFonts w:ascii="Arial" w:hAnsi="Arial" w:cs="Arial"/>
                <w:color w:val="000000"/>
                <w:sz w:val="20"/>
                <w:szCs w:val="20"/>
                <w:lang w:eastAsia="sl-SI"/>
              </w:rPr>
              <w:t>.</w:t>
            </w:r>
            <w:r w:rsidRPr="00DB07AB">
              <w:rPr>
                <w:rFonts w:ascii="Arial" w:hAnsi="Arial" w:cs="Arial"/>
                <w:color w:val="000000"/>
                <w:sz w:val="20"/>
                <w:szCs w:val="20"/>
                <w:lang w:eastAsia="sl-SI"/>
              </w:rPr>
              <w:t>131</w:t>
            </w:r>
          </w:p>
        </w:tc>
      </w:tr>
      <w:tr w:rsidR="009D1026" w:rsidRPr="00DB07AB" w14:paraId="54D124B4" w14:textId="77777777" w:rsidTr="00422936">
        <w:trPr>
          <w:trHeight w:val="300"/>
        </w:trPr>
        <w:tc>
          <w:tcPr>
            <w:tcW w:w="2273" w:type="dxa"/>
            <w:vMerge/>
            <w:tcBorders>
              <w:left w:val="single" w:sz="4" w:space="0" w:color="auto"/>
              <w:bottom w:val="single" w:sz="4" w:space="0" w:color="auto"/>
              <w:right w:val="single" w:sz="4" w:space="0" w:color="auto"/>
            </w:tcBorders>
            <w:shd w:val="clear" w:color="auto" w:fill="auto"/>
            <w:vAlign w:val="bottom"/>
            <w:hideMark/>
          </w:tcPr>
          <w:p w14:paraId="3D580767" w14:textId="279C150D" w:rsidR="009D1026" w:rsidRPr="00A51AC6" w:rsidRDefault="009D1026" w:rsidP="004A34AD">
            <w:pPr>
              <w:spacing w:before="60" w:after="0" w:line="312" w:lineRule="auto"/>
              <w:rPr>
                <w:rFonts w:ascii="Arial" w:hAnsi="Arial" w:cs="Arial"/>
                <w:color w:val="000000"/>
                <w:sz w:val="20"/>
                <w:szCs w:val="20"/>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7520E20A" w14:textId="7BE03426" w:rsidR="009D1026" w:rsidRPr="00DB07AB" w:rsidRDefault="003F7E91" w:rsidP="004A34AD">
            <w:pPr>
              <w:spacing w:before="60" w:after="0" w:line="312" w:lineRule="auto"/>
              <w:jc w:val="both"/>
              <w:rPr>
                <w:rFonts w:ascii="Arial" w:hAnsi="Arial" w:cs="Arial"/>
                <w:color w:val="000000"/>
                <w:sz w:val="20"/>
                <w:szCs w:val="20"/>
                <w:lang w:eastAsia="sl-SI"/>
              </w:rPr>
            </w:pPr>
            <w:r>
              <w:rPr>
                <w:rFonts w:ascii="Arial" w:hAnsi="Arial" w:cs="Arial"/>
                <w:color w:val="000000"/>
                <w:sz w:val="20"/>
                <w:szCs w:val="20"/>
                <w:lang w:eastAsia="sl-SI"/>
              </w:rPr>
              <w:t>p</w:t>
            </w:r>
            <w:r w:rsidR="009D1026">
              <w:rPr>
                <w:rFonts w:ascii="Arial" w:hAnsi="Arial" w:cs="Arial"/>
                <w:color w:val="000000"/>
                <w:sz w:val="20"/>
                <w:szCs w:val="20"/>
                <w:lang w:eastAsia="sl-SI"/>
              </w:rPr>
              <w:t>odeželje</w:t>
            </w:r>
            <w:r>
              <w:rPr>
                <w:rFonts w:ascii="Arial" w:hAnsi="Arial" w:cs="Arial"/>
                <w:color w:val="000000"/>
                <w:sz w:val="20"/>
                <w:szCs w:val="20"/>
                <w:lang w:eastAsia="sl-SI"/>
              </w:rPr>
              <w:t xml:space="preserve"> (%)</w:t>
            </w:r>
          </w:p>
        </w:tc>
        <w:tc>
          <w:tcPr>
            <w:tcW w:w="908" w:type="dxa"/>
            <w:tcBorders>
              <w:top w:val="nil"/>
              <w:left w:val="nil"/>
              <w:bottom w:val="single" w:sz="4" w:space="0" w:color="auto"/>
              <w:right w:val="single" w:sz="4" w:space="0" w:color="auto"/>
            </w:tcBorders>
            <w:shd w:val="clear" w:color="auto" w:fill="auto"/>
            <w:noWrap/>
            <w:vAlign w:val="bottom"/>
            <w:hideMark/>
          </w:tcPr>
          <w:p w14:paraId="098CA1DB"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71,51</w:t>
            </w:r>
          </w:p>
        </w:tc>
        <w:tc>
          <w:tcPr>
            <w:tcW w:w="909" w:type="dxa"/>
            <w:tcBorders>
              <w:top w:val="nil"/>
              <w:left w:val="nil"/>
              <w:bottom w:val="single" w:sz="4" w:space="0" w:color="auto"/>
              <w:right w:val="single" w:sz="4" w:space="0" w:color="auto"/>
            </w:tcBorders>
            <w:shd w:val="clear" w:color="auto" w:fill="auto"/>
            <w:noWrap/>
            <w:vAlign w:val="bottom"/>
            <w:hideMark/>
          </w:tcPr>
          <w:p w14:paraId="732A0AB9"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70,39</w:t>
            </w:r>
          </w:p>
        </w:tc>
        <w:tc>
          <w:tcPr>
            <w:tcW w:w="909" w:type="dxa"/>
            <w:tcBorders>
              <w:top w:val="nil"/>
              <w:left w:val="nil"/>
              <w:bottom w:val="single" w:sz="4" w:space="0" w:color="auto"/>
              <w:right w:val="single" w:sz="4" w:space="0" w:color="auto"/>
            </w:tcBorders>
            <w:shd w:val="clear" w:color="auto" w:fill="auto"/>
            <w:noWrap/>
            <w:vAlign w:val="bottom"/>
            <w:hideMark/>
          </w:tcPr>
          <w:p w14:paraId="2EEA55F1"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71,19</w:t>
            </w:r>
          </w:p>
        </w:tc>
        <w:tc>
          <w:tcPr>
            <w:tcW w:w="909" w:type="dxa"/>
            <w:tcBorders>
              <w:top w:val="nil"/>
              <w:left w:val="nil"/>
              <w:bottom w:val="single" w:sz="4" w:space="0" w:color="auto"/>
              <w:right w:val="single" w:sz="4" w:space="0" w:color="auto"/>
            </w:tcBorders>
            <w:shd w:val="clear" w:color="auto" w:fill="auto"/>
            <w:noWrap/>
            <w:vAlign w:val="bottom"/>
            <w:hideMark/>
          </w:tcPr>
          <w:p w14:paraId="6EEFC668"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68,47</w:t>
            </w:r>
          </w:p>
        </w:tc>
        <w:tc>
          <w:tcPr>
            <w:tcW w:w="909" w:type="dxa"/>
            <w:tcBorders>
              <w:top w:val="nil"/>
              <w:left w:val="nil"/>
              <w:bottom w:val="single" w:sz="4" w:space="0" w:color="auto"/>
              <w:right w:val="single" w:sz="4" w:space="0" w:color="auto"/>
            </w:tcBorders>
            <w:shd w:val="clear" w:color="auto" w:fill="auto"/>
            <w:noWrap/>
            <w:vAlign w:val="bottom"/>
            <w:hideMark/>
          </w:tcPr>
          <w:p w14:paraId="7F9B6509"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66,79</w:t>
            </w:r>
          </w:p>
        </w:tc>
        <w:tc>
          <w:tcPr>
            <w:tcW w:w="909" w:type="dxa"/>
            <w:tcBorders>
              <w:top w:val="nil"/>
              <w:left w:val="nil"/>
              <w:bottom w:val="single" w:sz="4" w:space="0" w:color="auto"/>
              <w:right w:val="single" w:sz="4" w:space="0" w:color="auto"/>
            </w:tcBorders>
            <w:shd w:val="clear" w:color="auto" w:fill="auto"/>
            <w:noWrap/>
            <w:vAlign w:val="bottom"/>
            <w:hideMark/>
          </w:tcPr>
          <w:p w14:paraId="078001C9" w14:textId="77777777" w:rsidR="009D1026" w:rsidRPr="00DB07AB" w:rsidRDefault="009D1026" w:rsidP="004A34AD">
            <w:pPr>
              <w:spacing w:before="60" w:after="0" w:line="312" w:lineRule="auto"/>
              <w:jc w:val="right"/>
              <w:rPr>
                <w:rFonts w:ascii="Arial" w:hAnsi="Arial" w:cs="Arial"/>
                <w:color w:val="000000"/>
                <w:sz w:val="20"/>
                <w:szCs w:val="20"/>
                <w:lang w:eastAsia="sl-SI"/>
              </w:rPr>
            </w:pPr>
            <w:r w:rsidRPr="00DB07AB">
              <w:rPr>
                <w:rFonts w:ascii="Arial" w:hAnsi="Arial" w:cs="Arial"/>
                <w:color w:val="000000"/>
                <w:sz w:val="20"/>
                <w:szCs w:val="20"/>
                <w:lang w:eastAsia="sl-SI"/>
              </w:rPr>
              <w:t>66,22</w:t>
            </w:r>
          </w:p>
        </w:tc>
      </w:tr>
    </w:tbl>
    <w:p w14:paraId="0D76A5B8" w14:textId="77777777" w:rsidR="00422936" w:rsidRDefault="009E0216" w:rsidP="00422936">
      <w:pPr>
        <w:spacing w:line="240" w:lineRule="auto"/>
        <w:jc w:val="both"/>
        <w:rPr>
          <w:rFonts w:ascii="Arial" w:hAnsi="Arial" w:cs="Arial"/>
          <w:sz w:val="16"/>
          <w:szCs w:val="16"/>
        </w:rPr>
      </w:pPr>
      <w:r w:rsidRPr="00C57228">
        <w:rPr>
          <w:rFonts w:ascii="Arial" w:hAnsi="Arial" w:cs="Arial"/>
          <w:sz w:val="16"/>
          <w:szCs w:val="16"/>
        </w:rPr>
        <w:t>Vir: SURS, lastni preračuni, 2020</w:t>
      </w:r>
      <w:r w:rsidR="00D478AC">
        <w:rPr>
          <w:rFonts w:ascii="Arial" w:hAnsi="Arial" w:cs="Arial"/>
          <w:sz w:val="16"/>
          <w:szCs w:val="16"/>
        </w:rPr>
        <w:t xml:space="preserve"> </w:t>
      </w:r>
    </w:p>
    <w:p w14:paraId="2A1E43F5" w14:textId="40260410"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lastRenderedPageBreak/>
        <w:t xml:space="preserve">Po podatkih SURS se je stopnja anketne brezposelnosti se je po letu 2013 pet let zniževala in v letu 2019 dosegla 5,1 % (po podatkih Eurostat celo 4,45 %) oziroma 53.000 oseb. Sicer pa je bila najvišja med mladimi med 15–29 let, 9 %, vendar se v zadnjih letih tudi v tej starostni skupini zniževala. Po podatkih Zavoda RS za zaposlovanje pa se je stopnja brezposelnosti do prve polovice leta 2020 ponovno zvišala na 9,3 % (ženske na 10,3 %) </w:t>
      </w:r>
      <w:r w:rsidR="00B3003E" w:rsidRPr="00A52F41">
        <w:rPr>
          <w:rFonts w:ascii="Arial" w:hAnsi="Arial" w:cs="Arial"/>
          <w:sz w:val="20"/>
          <w:szCs w:val="20"/>
        </w:rPr>
        <w:t>oziroma</w:t>
      </w:r>
      <w:r w:rsidRPr="00A52F41">
        <w:rPr>
          <w:rFonts w:ascii="Arial" w:hAnsi="Arial" w:cs="Arial"/>
          <w:sz w:val="20"/>
          <w:szCs w:val="20"/>
        </w:rPr>
        <w:t xml:space="preserve"> 89.397 brezposelnih oseb, na kar je vplivalo ohlajanje gospodarstva v letu 2019 in koronakriza v prvi polovici leta 2020. Največ brezposelnih je med mladimi do 29 let (v skupini 15-24 let kar 17,5 %) in starejšimi nad 60 let (15,3 %). Za mlade so značilne izgube zaposlitev za določen čas, starejši pa kot trajno presežni delavci</w:t>
      </w:r>
      <w:r w:rsidR="00B3003E">
        <w:rPr>
          <w:rFonts w:ascii="Arial" w:hAnsi="Arial" w:cs="Arial"/>
          <w:sz w:val="20"/>
          <w:szCs w:val="20"/>
        </w:rPr>
        <w:t xml:space="preserve"> (Slika 3</w:t>
      </w:r>
      <w:r w:rsidR="00B90C51">
        <w:rPr>
          <w:rFonts w:ascii="Arial" w:hAnsi="Arial" w:cs="Arial"/>
          <w:sz w:val="20"/>
          <w:szCs w:val="20"/>
        </w:rPr>
        <w:t>0</w:t>
      </w:r>
      <w:r w:rsidR="00B3003E">
        <w:rPr>
          <w:rFonts w:ascii="Arial" w:hAnsi="Arial" w:cs="Arial"/>
          <w:sz w:val="20"/>
          <w:szCs w:val="20"/>
        </w:rPr>
        <w:t>)</w:t>
      </w:r>
      <w:r w:rsidRPr="00A52F41">
        <w:rPr>
          <w:rFonts w:ascii="Arial" w:hAnsi="Arial" w:cs="Arial"/>
          <w:sz w:val="20"/>
          <w:szCs w:val="20"/>
        </w:rPr>
        <w:t>.</w:t>
      </w:r>
    </w:p>
    <w:p w14:paraId="4110D644" w14:textId="7865EBFA" w:rsidR="00083AB5" w:rsidRPr="00A52F41" w:rsidRDefault="00083AB5" w:rsidP="00BE756C">
      <w:pPr>
        <w:pStyle w:val="Default"/>
        <w:keepNext/>
        <w:spacing w:line="360" w:lineRule="auto"/>
        <w:jc w:val="both"/>
        <w:rPr>
          <w:rFonts w:ascii="Arial" w:hAnsi="Arial" w:cs="Arial"/>
          <w:color w:val="auto"/>
          <w:sz w:val="20"/>
          <w:szCs w:val="20"/>
          <w:lang w:val="sl-SI"/>
        </w:rPr>
      </w:pPr>
      <w:r>
        <w:rPr>
          <w:rFonts w:ascii="Arial" w:hAnsi="Arial" w:cs="Arial"/>
          <w:color w:val="auto"/>
          <w:sz w:val="20"/>
          <w:szCs w:val="20"/>
          <w:lang w:val="sl-SI"/>
        </w:rPr>
        <w:t>Slika 3</w:t>
      </w:r>
      <w:r w:rsidR="00B90C51">
        <w:rPr>
          <w:rFonts w:ascii="Arial" w:hAnsi="Arial" w:cs="Arial"/>
          <w:color w:val="auto"/>
          <w:sz w:val="20"/>
          <w:szCs w:val="20"/>
          <w:lang w:val="sl-SI"/>
        </w:rPr>
        <w:t>0</w:t>
      </w:r>
      <w:r w:rsidRPr="00A52F41">
        <w:rPr>
          <w:rFonts w:ascii="Arial" w:hAnsi="Arial" w:cs="Arial"/>
          <w:color w:val="auto"/>
          <w:sz w:val="20"/>
          <w:szCs w:val="20"/>
          <w:lang w:val="sl-SI"/>
        </w:rPr>
        <w:t>: Kategorije brezposelnih oseb, deleži (julij 2020)</w:t>
      </w:r>
    </w:p>
    <w:p w14:paraId="3DF8CB51" w14:textId="77777777" w:rsidR="009E0216" w:rsidRPr="00A52F41" w:rsidRDefault="009E0216" w:rsidP="00A513EF">
      <w:pPr>
        <w:pStyle w:val="Default"/>
        <w:jc w:val="both"/>
        <w:rPr>
          <w:rFonts w:ascii="Arial" w:hAnsi="Arial" w:cs="Arial"/>
          <w:color w:val="auto"/>
          <w:sz w:val="20"/>
          <w:szCs w:val="20"/>
          <w:lang w:val="sl-SI"/>
        </w:rPr>
      </w:pPr>
      <w:r w:rsidRPr="00A52F41">
        <w:rPr>
          <w:rFonts w:ascii="Arial" w:hAnsi="Arial" w:cs="Arial"/>
          <w:noProof/>
          <w:sz w:val="20"/>
          <w:szCs w:val="20"/>
          <w:lang w:val="sl-SI" w:eastAsia="sl-SI"/>
        </w:rPr>
        <w:drawing>
          <wp:inline distT="0" distB="0" distL="0" distR="0" wp14:anchorId="2C69CEB0" wp14:editId="7AC2AE2C">
            <wp:extent cx="5876014" cy="1985140"/>
            <wp:effectExtent l="19050" t="19050" r="10795" b="15240"/>
            <wp:docPr id="1631865537" name="Slika 163186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6475" t="57159" r="26316" b="17324"/>
                    <a:stretch/>
                  </pic:blipFill>
                  <pic:spPr bwMode="auto">
                    <a:xfrm>
                      <a:off x="0" y="0"/>
                      <a:ext cx="5903822" cy="1994535"/>
                    </a:xfrm>
                    <a:prstGeom prst="rect">
                      <a:avLst/>
                    </a:prstGeom>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C9CA963" w14:textId="63A3A08B" w:rsidR="009E0216" w:rsidRDefault="00083AB5" w:rsidP="00092278">
      <w:pPr>
        <w:pStyle w:val="Default"/>
        <w:spacing w:after="200" w:line="360" w:lineRule="auto"/>
        <w:jc w:val="both"/>
        <w:rPr>
          <w:rFonts w:ascii="Arial" w:hAnsi="Arial" w:cs="Arial"/>
          <w:color w:val="auto"/>
          <w:sz w:val="16"/>
          <w:szCs w:val="16"/>
          <w:lang w:val="sl-SI"/>
        </w:rPr>
      </w:pPr>
      <w:r w:rsidRPr="00A513EF">
        <w:rPr>
          <w:rFonts w:ascii="Arial" w:hAnsi="Arial" w:cs="Arial"/>
          <w:color w:val="auto"/>
          <w:sz w:val="16"/>
          <w:szCs w:val="16"/>
          <w:lang w:val="sl-SI"/>
        </w:rPr>
        <w:t xml:space="preserve"> </w:t>
      </w:r>
      <w:r w:rsidR="009E0216" w:rsidRPr="00A513EF">
        <w:rPr>
          <w:rFonts w:ascii="Arial" w:hAnsi="Arial" w:cs="Arial"/>
          <w:color w:val="auto"/>
          <w:sz w:val="16"/>
          <w:szCs w:val="16"/>
          <w:lang w:val="sl-SI"/>
        </w:rPr>
        <w:t>Vir: Zavod RS za zaposlovanje</w:t>
      </w:r>
      <w:r w:rsidR="00CC1AEA" w:rsidRPr="00A513EF">
        <w:rPr>
          <w:rFonts w:ascii="Arial" w:hAnsi="Arial" w:cs="Arial"/>
          <w:color w:val="auto"/>
          <w:sz w:val="16"/>
          <w:szCs w:val="16"/>
          <w:lang w:val="sl-SI"/>
        </w:rPr>
        <w:t>,</w:t>
      </w:r>
      <w:r w:rsidR="009E0216" w:rsidRPr="00A513EF">
        <w:rPr>
          <w:rFonts w:ascii="Arial" w:hAnsi="Arial" w:cs="Arial"/>
          <w:color w:val="auto"/>
          <w:sz w:val="16"/>
          <w:szCs w:val="16"/>
          <w:lang w:val="sl-SI"/>
        </w:rPr>
        <w:t xml:space="preserve"> </w:t>
      </w:r>
      <w:r w:rsidR="00CC1AEA" w:rsidRPr="00A513EF">
        <w:rPr>
          <w:rFonts w:ascii="Arial" w:hAnsi="Arial" w:cs="Arial"/>
          <w:color w:val="auto"/>
          <w:sz w:val="16"/>
          <w:szCs w:val="16"/>
          <w:lang w:val="sl-SI"/>
        </w:rPr>
        <w:t>2020</w:t>
      </w:r>
    </w:p>
    <w:p w14:paraId="1752E351" w14:textId="77777777" w:rsidR="00092278" w:rsidRPr="00092278" w:rsidRDefault="00092278" w:rsidP="00092278">
      <w:pPr>
        <w:pStyle w:val="Default"/>
        <w:spacing w:before="200" w:after="200" w:line="360" w:lineRule="auto"/>
        <w:jc w:val="both"/>
        <w:rPr>
          <w:rFonts w:ascii="Arial" w:hAnsi="Arial" w:cs="Arial"/>
          <w:color w:val="auto"/>
          <w:sz w:val="20"/>
          <w:szCs w:val="20"/>
          <w:lang w:val="sl-SI"/>
        </w:rPr>
      </w:pPr>
    </w:p>
    <w:p w14:paraId="253F15E8" w14:textId="45227F6D" w:rsidR="009E0216" w:rsidRPr="00BE756C" w:rsidRDefault="00CE0B15" w:rsidP="00CE0B15">
      <w:pPr>
        <w:pStyle w:val="Naslov2"/>
        <w:keepLines w:val="0"/>
        <w:tabs>
          <w:tab w:val="left" w:pos="0"/>
          <w:tab w:val="left" w:pos="567"/>
          <w:tab w:val="left" w:pos="1276"/>
        </w:tabs>
        <w:spacing w:before="0" w:line="360" w:lineRule="auto"/>
        <w:jc w:val="both"/>
        <w:rPr>
          <w:rFonts w:ascii="Arial" w:hAnsi="Arial" w:cs="Arial"/>
          <w:color w:val="000000" w:themeColor="text1"/>
          <w:sz w:val="24"/>
          <w:szCs w:val="24"/>
        </w:rPr>
      </w:pPr>
      <w:bookmarkStart w:id="70" w:name="_Toc45016620"/>
      <w:bookmarkStart w:id="71" w:name="_Toc55999336"/>
      <w:r>
        <w:rPr>
          <w:rFonts w:ascii="Arial" w:hAnsi="Arial" w:cs="Arial"/>
          <w:color w:val="000000" w:themeColor="text1"/>
          <w:sz w:val="24"/>
          <w:szCs w:val="24"/>
        </w:rPr>
        <w:t xml:space="preserve">3.3 </w:t>
      </w:r>
      <w:r w:rsidR="009E0216" w:rsidRPr="00BE756C">
        <w:rPr>
          <w:rFonts w:ascii="Arial" w:hAnsi="Arial" w:cs="Arial"/>
          <w:color w:val="000000" w:themeColor="text1"/>
          <w:sz w:val="24"/>
          <w:szCs w:val="24"/>
        </w:rPr>
        <w:t>DOPOLNILNE DEJAVNOSTI NA KMETIJI</w:t>
      </w:r>
      <w:bookmarkEnd w:id="70"/>
      <w:bookmarkEnd w:id="71"/>
    </w:p>
    <w:p w14:paraId="088CBD6E" w14:textId="15EB5430" w:rsidR="009E0216"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Dopolnilne dejavnosti </w:t>
      </w:r>
      <w:r w:rsidR="009346C9">
        <w:rPr>
          <w:rFonts w:ascii="Arial" w:hAnsi="Arial" w:cs="Arial"/>
          <w:sz w:val="20"/>
          <w:szCs w:val="20"/>
        </w:rPr>
        <w:t xml:space="preserve">v povezavi s predelavo primarnih kmetijskih pridelkov </w:t>
      </w:r>
      <w:r w:rsidRPr="00A52F41">
        <w:rPr>
          <w:rFonts w:ascii="Arial" w:hAnsi="Arial" w:cs="Arial"/>
          <w:sz w:val="20"/>
          <w:szCs w:val="20"/>
        </w:rPr>
        <w:t>se obravnava v cilju 2 preko konkurenčnosti, saj le te kmetijam omogočajo boljšo rabo proizvodnih zmogljivosti, izkoriščenosti delovnih moči</w:t>
      </w:r>
      <w:r w:rsidR="009346C9">
        <w:rPr>
          <w:rFonts w:ascii="Arial" w:hAnsi="Arial" w:cs="Arial"/>
          <w:sz w:val="20"/>
          <w:szCs w:val="20"/>
        </w:rPr>
        <w:t xml:space="preserve"> in </w:t>
      </w:r>
      <w:r w:rsidR="00203E28" w:rsidRPr="00A52F41">
        <w:rPr>
          <w:rFonts w:ascii="Arial" w:hAnsi="Arial" w:cs="Arial"/>
          <w:sz w:val="20"/>
          <w:szCs w:val="20"/>
        </w:rPr>
        <w:t>izboljšanje dohodkovnega položaja kmetij</w:t>
      </w:r>
      <w:r w:rsidR="00203E28">
        <w:rPr>
          <w:rFonts w:ascii="Arial" w:hAnsi="Arial" w:cs="Arial"/>
          <w:sz w:val="20"/>
          <w:szCs w:val="20"/>
        </w:rPr>
        <w:t xml:space="preserve"> preko </w:t>
      </w:r>
      <w:r w:rsidR="009346C9">
        <w:rPr>
          <w:rFonts w:ascii="Arial" w:hAnsi="Arial" w:cs="Arial"/>
          <w:sz w:val="20"/>
          <w:szCs w:val="20"/>
        </w:rPr>
        <w:t>večje dodane vrednosti pridelanih kmetijskih pridelkov.</w:t>
      </w:r>
      <w:r w:rsidR="00203E28">
        <w:rPr>
          <w:rFonts w:ascii="Arial" w:hAnsi="Arial" w:cs="Arial"/>
          <w:sz w:val="20"/>
          <w:szCs w:val="20"/>
        </w:rPr>
        <w:t xml:space="preserve"> V tem speci</w:t>
      </w:r>
      <w:r w:rsidR="00B867BE">
        <w:rPr>
          <w:rFonts w:ascii="Arial" w:hAnsi="Arial" w:cs="Arial"/>
          <w:sz w:val="20"/>
          <w:szCs w:val="20"/>
        </w:rPr>
        <w:t xml:space="preserve">fičnem cilju se naslavlja </w:t>
      </w:r>
      <w:r w:rsidR="00203E28">
        <w:rPr>
          <w:rFonts w:ascii="Arial" w:hAnsi="Arial" w:cs="Arial"/>
          <w:sz w:val="20"/>
          <w:szCs w:val="20"/>
        </w:rPr>
        <w:t>nekmetijske dopolnilne dejavnosti, ki lahko pomenijo dodatno priložnost za razvoj kmetij in ustvarjanje dodatnega dohodka ter</w:t>
      </w:r>
      <w:r w:rsidRPr="00A52F41">
        <w:rPr>
          <w:rFonts w:ascii="Arial" w:hAnsi="Arial" w:cs="Arial"/>
          <w:sz w:val="20"/>
          <w:szCs w:val="20"/>
        </w:rPr>
        <w:t xml:space="preserve"> </w:t>
      </w:r>
      <w:r w:rsidR="00203E28">
        <w:rPr>
          <w:rFonts w:ascii="Arial" w:hAnsi="Arial" w:cs="Arial"/>
          <w:sz w:val="20"/>
          <w:szCs w:val="20"/>
        </w:rPr>
        <w:t xml:space="preserve">ustvarjanje </w:t>
      </w:r>
      <w:r w:rsidRPr="00A52F41">
        <w:rPr>
          <w:rFonts w:ascii="Arial" w:hAnsi="Arial" w:cs="Arial"/>
          <w:sz w:val="20"/>
          <w:szCs w:val="20"/>
        </w:rPr>
        <w:t xml:space="preserve">novih delovnih mest </w:t>
      </w:r>
      <w:r w:rsidR="00B867BE">
        <w:rPr>
          <w:rFonts w:ascii="Arial" w:hAnsi="Arial" w:cs="Arial"/>
          <w:sz w:val="20"/>
          <w:szCs w:val="20"/>
        </w:rPr>
        <w:t xml:space="preserve">tako na kmetiji kakor tudi </w:t>
      </w:r>
      <w:r w:rsidRPr="00A52F41">
        <w:rPr>
          <w:rFonts w:ascii="Arial" w:hAnsi="Arial" w:cs="Arial"/>
          <w:sz w:val="20"/>
          <w:szCs w:val="20"/>
        </w:rPr>
        <w:t xml:space="preserve">na podeželju. </w:t>
      </w:r>
    </w:p>
    <w:p w14:paraId="6869CEB4" w14:textId="0481BAD5" w:rsidR="00B867BE" w:rsidRDefault="00B867BE" w:rsidP="00BE756C">
      <w:pPr>
        <w:spacing w:before="200" w:line="360" w:lineRule="auto"/>
        <w:jc w:val="both"/>
        <w:rPr>
          <w:rFonts w:ascii="Arial" w:hAnsi="Arial" w:cs="Arial"/>
          <w:sz w:val="20"/>
          <w:szCs w:val="20"/>
        </w:rPr>
      </w:pPr>
      <w:r w:rsidRPr="00A52F41">
        <w:rPr>
          <w:rFonts w:ascii="Arial" w:hAnsi="Arial" w:cs="Arial"/>
          <w:sz w:val="20"/>
          <w:szCs w:val="20"/>
        </w:rPr>
        <w:t xml:space="preserve">Po </w:t>
      </w:r>
      <w:r>
        <w:rPr>
          <w:rFonts w:ascii="Arial" w:hAnsi="Arial" w:cs="Arial"/>
          <w:sz w:val="20"/>
          <w:szCs w:val="20"/>
        </w:rPr>
        <w:t>podatkih MKGP je imelo na dan 16. 10</w:t>
      </w:r>
      <w:r w:rsidRPr="00A52F41">
        <w:rPr>
          <w:rFonts w:ascii="Arial" w:hAnsi="Arial" w:cs="Arial"/>
          <w:sz w:val="20"/>
          <w:szCs w:val="20"/>
        </w:rPr>
        <w:t>. 2020 v Sloveniji dovoljenje za opravljanje dopolnilne</w:t>
      </w:r>
      <w:r w:rsidR="00D863A9">
        <w:rPr>
          <w:rFonts w:ascii="Arial" w:hAnsi="Arial" w:cs="Arial"/>
          <w:sz w:val="20"/>
          <w:szCs w:val="20"/>
        </w:rPr>
        <w:t xml:space="preserve"> dejavnosti </w:t>
      </w:r>
      <w:r>
        <w:rPr>
          <w:rFonts w:ascii="Arial" w:hAnsi="Arial" w:cs="Arial"/>
          <w:sz w:val="20"/>
          <w:szCs w:val="20"/>
        </w:rPr>
        <w:t>4.923</w:t>
      </w:r>
      <w:r w:rsidRPr="00A52F41">
        <w:rPr>
          <w:rFonts w:ascii="Arial" w:hAnsi="Arial" w:cs="Arial"/>
          <w:sz w:val="20"/>
          <w:szCs w:val="20"/>
        </w:rPr>
        <w:t xml:space="preserve"> kmetij. V primerjavi z letom 2016 se je število kmetij z registrirano eno ali več dopolnil</w:t>
      </w:r>
      <w:r>
        <w:rPr>
          <w:rFonts w:ascii="Arial" w:hAnsi="Arial" w:cs="Arial"/>
          <w:sz w:val="20"/>
          <w:szCs w:val="20"/>
        </w:rPr>
        <w:t>nimi dejavnostmi povečalo za 815 kmetij oziroma za 19,8</w:t>
      </w:r>
      <w:r w:rsidRPr="00A52F41">
        <w:rPr>
          <w:rFonts w:ascii="Arial" w:hAnsi="Arial" w:cs="Arial"/>
          <w:sz w:val="20"/>
          <w:szCs w:val="20"/>
        </w:rPr>
        <w:t xml:space="preserve"> %. </w:t>
      </w:r>
      <w:r w:rsidR="00D863A9">
        <w:rPr>
          <w:rFonts w:ascii="Arial" w:hAnsi="Arial" w:cs="Arial"/>
          <w:sz w:val="20"/>
          <w:szCs w:val="20"/>
        </w:rPr>
        <w:t xml:space="preserve">Število kmetij, ki se odločajo za eno ali več dopolnilnih dejavnosti je bilo v letih 2018 in 2019 relativno stabilno in sicer se je povečalo za 133 oziroma 136 kmetij, </w:t>
      </w:r>
      <w:r w:rsidR="001B45A3">
        <w:rPr>
          <w:rFonts w:ascii="Arial" w:hAnsi="Arial" w:cs="Arial"/>
          <w:sz w:val="20"/>
          <w:szCs w:val="20"/>
        </w:rPr>
        <w:t>medtem ko</w:t>
      </w:r>
      <w:r w:rsidR="00D863A9">
        <w:rPr>
          <w:rFonts w:ascii="Arial" w:hAnsi="Arial" w:cs="Arial"/>
          <w:sz w:val="20"/>
          <w:szCs w:val="20"/>
        </w:rPr>
        <w:t xml:space="preserve"> se je v letu 2020 (do 16. 10. 2020) število kmetij z eno ali več dopolnilnimi dejavnostmi povečalo za 180 kmetij.</w:t>
      </w:r>
      <w:r w:rsidR="001471CE">
        <w:rPr>
          <w:rFonts w:ascii="Arial" w:hAnsi="Arial" w:cs="Arial"/>
          <w:sz w:val="20"/>
          <w:szCs w:val="20"/>
        </w:rPr>
        <w:t xml:space="preserve"> </w:t>
      </w:r>
    </w:p>
    <w:p w14:paraId="09989298" w14:textId="6C04B4F3" w:rsidR="00C85A02" w:rsidRPr="00092278" w:rsidRDefault="00C85A02" w:rsidP="00092278">
      <w:pPr>
        <w:keepNext/>
        <w:keepLines/>
        <w:spacing w:before="200" w:after="0" w:line="360" w:lineRule="auto"/>
        <w:jc w:val="both"/>
        <w:rPr>
          <w:rFonts w:ascii="Arial" w:hAnsi="Arial" w:cs="Arial"/>
          <w:sz w:val="20"/>
          <w:szCs w:val="20"/>
        </w:rPr>
      </w:pPr>
      <w:r w:rsidRPr="00092278">
        <w:rPr>
          <w:rFonts w:ascii="Arial" w:hAnsi="Arial" w:cs="Arial"/>
          <w:sz w:val="20"/>
          <w:szCs w:val="20"/>
        </w:rPr>
        <w:lastRenderedPageBreak/>
        <w:t>Tabela</w:t>
      </w:r>
      <w:r w:rsidR="00EE0938" w:rsidRPr="00092278">
        <w:rPr>
          <w:rFonts w:ascii="Arial" w:hAnsi="Arial" w:cs="Arial"/>
          <w:sz w:val="20"/>
          <w:szCs w:val="20"/>
        </w:rPr>
        <w:t xml:space="preserve"> 2</w:t>
      </w:r>
      <w:r w:rsidR="00B90C51" w:rsidRPr="00092278">
        <w:rPr>
          <w:rFonts w:ascii="Arial" w:hAnsi="Arial" w:cs="Arial"/>
          <w:sz w:val="20"/>
          <w:szCs w:val="20"/>
        </w:rPr>
        <w:t>3</w:t>
      </w:r>
      <w:r w:rsidRPr="00092278">
        <w:rPr>
          <w:rFonts w:ascii="Arial" w:hAnsi="Arial" w:cs="Arial"/>
          <w:sz w:val="20"/>
          <w:szCs w:val="20"/>
        </w:rPr>
        <w:t>: Število nekmetijskih dopolnilnih dejavnosti na kmetij</w:t>
      </w:r>
      <w:r w:rsidR="001B45A3" w:rsidRPr="00092278">
        <w:rPr>
          <w:rFonts w:ascii="Arial" w:hAnsi="Arial" w:cs="Arial"/>
          <w:sz w:val="20"/>
          <w:szCs w:val="20"/>
        </w:rPr>
        <w:t>ah</w:t>
      </w:r>
    </w:p>
    <w:tbl>
      <w:tblPr>
        <w:tblW w:w="8851" w:type="dxa"/>
        <w:tblInd w:w="75" w:type="dxa"/>
        <w:tblLayout w:type="fixed"/>
        <w:tblCellMar>
          <w:left w:w="70" w:type="dxa"/>
          <w:right w:w="70" w:type="dxa"/>
        </w:tblCellMar>
        <w:tblLook w:val="04A0" w:firstRow="1" w:lastRow="0" w:firstColumn="1" w:lastColumn="0" w:noHBand="0" w:noVBand="1"/>
      </w:tblPr>
      <w:tblGrid>
        <w:gridCol w:w="3964"/>
        <w:gridCol w:w="977"/>
        <w:gridCol w:w="977"/>
        <w:gridCol w:w="978"/>
        <w:gridCol w:w="977"/>
        <w:gridCol w:w="978"/>
      </w:tblGrid>
      <w:tr w:rsidR="00C85A02" w:rsidRPr="00092278" w14:paraId="515963F6" w14:textId="77777777" w:rsidTr="00092278">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C87C4" w14:textId="77777777" w:rsidR="00C85A02" w:rsidRPr="00092278" w:rsidRDefault="00C85A02" w:rsidP="00092278">
            <w:pPr>
              <w:keepNext/>
              <w:keepLines/>
              <w:spacing w:before="60" w:after="60" w:line="240" w:lineRule="auto"/>
              <w:rPr>
                <w:rFonts w:ascii="Arial" w:eastAsia="Times New Roman" w:hAnsi="Arial" w:cs="Arial"/>
                <w:color w:val="000000"/>
                <w:sz w:val="20"/>
                <w:szCs w:val="20"/>
                <w:lang w:eastAsia="sl-SI"/>
              </w:rPr>
            </w:pP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56314D08" w14:textId="77777777" w:rsidR="00C85A02" w:rsidRPr="00092278"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2016</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3C651C26" w14:textId="77777777" w:rsidR="00C85A02" w:rsidRPr="00092278"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2017</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14:paraId="0DF5BB65" w14:textId="77777777" w:rsidR="00C85A02" w:rsidRPr="00092278"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2018</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2722C026" w14:textId="77777777" w:rsidR="00C85A02" w:rsidRPr="00092278"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2019</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14:paraId="7B323CF4" w14:textId="77777777" w:rsidR="00C85A02" w:rsidRPr="00092278"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2020</w:t>
            </w:r>
          </w:p>
        </w:tc>
      </w:tr>
      <w:tr w:rsidR="00C85A02" w:rsidRPr="00092278" w14:paraId="58B4A1A5" w14:textId="77777777" w:rsidTr="0009227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D5CB001" w14:textId="77777777" w:rsidR="00C85A02" w:rsidRPr="00092278" w:rsidRDefault="00C85A02" w:rsidP="00092278">
            <w:pPr>
              <w:keepNext/>
              <w:keepLines/>
              <w:spacing w:before="60" w:after="60" w:line="240" w:lineRule="auto"/>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Število kmetij z vsaj eno nekmetijsko dopolnilno dejavnostjo</w:t>
            </w:r>
          </w:p>
        </w:tc>
        <w:tc>
          <w:tcPr>
            <w:tcW w:w="977" w:type="dxa"/>
            <w:tcBorders>
              <w:top w:val="nil"/>
              <w:left w:val="nil"/>
              <w:bottom w:val="single" w:sz="4" w:space="0" w:color="auto"/>
              <w:right w:val="single" w:sz="4" w:space="0" w:color="auto"/>
            </w:tcBorders>
            <w:shd w:val="clear" w:color="auto" w:fill="auto"/>
            <w:noWrap/>
            <w:vAlign w:val="bottom"/>
            <w:hideMark/>
          </w:tcPr>
          <w:p w14:paraId="17D8F5D3" w14:textId="77777777" w:rsidR="00C85A02" w:rsidRPr="00092278"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2.209</w:t>
            </w:r>
          </w:p>
        </w:tc>
        <w:tc>
          <w:tcPr>
            <w:tcW w:w="977" w:type="dxa"/>
            <w:tcBorders>
              <w:top w:val="nil"/>
              <w:left w:val="nil"/>
              <w:bottom w:val="single" w:sz="4" w:space="0" w:color="auto"/>
              <w:right w:val="single" w:sz="4" w:space="0" w:color="auto"/>
            </w:tcBorders>
            <w:shd w:val="clear" w:color="auto" w:fill="auto"/>
            <w:noWrap/>
            <w:vAlign w:val="bottom"/>
            <w:hideMark/>
          </w:tcPr>
          <w:p w14:paraId="795B6302" w14:textId="77777777" w:rsidR="00C85A02" w:rsidRPr="00092278"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2.428</w:t>
            </w:r>
          </w:p>
        </w:tc>
        <w:tc>
          <w:tcPr>
            <w:tcW w:w="978" w:type="dxa"/>
            <w:tcBorders>
              <w:top w:val="nil"/>
              <w:left w:val="nil"/>
              <w:bottom w:val="single" w:sz="4" w:space="0" w:color="auto"/>
              <w:right w:val="single" w:sz="4" w:space="0" w:color="auto"/>
            </w:tcBorders>
            <w:shd w:val="clear" w:color="auto" w:fill="auto"/>
            <w:noWrap/>
            <w:vAlign w:val="bottom"/>
            <w:hideMark/>
          </w:tcPr>
          <w:p w14:paraId="41F24F3E" w14:textId="77777777" w:rsidR="00C85A02" w:rsidRPr="00092278"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2.510</w:t>
            </w:r>
          </w:p>
        </w:tc>
        <w:tc>
          <w:tcPr>
            <w:tcW w:w="977" w:type="dxa"/>
            <w:tcBorders>
              <w:top w:val="nil"/>
              <w:left w:val="nil"/>
              <w:bottom w:val="single" w:sz="4" w:space="0" w:color="auto"/>
              <w:right w:val="single" w:sz="4" w:space="0" w:color="auto"/>
            </w:tcBorders>
            <w:shd w:val="clear" w:color="auto" w:fill="auto"/>
            <w:noWrap/>
            <w:vAlign w:val="bottom"/>
            <w:hideMark/>
          </w:tcPr>
          <w:p w14:paraId="07D6DFC2" w14:textId="77777777" w:rsidR="00C85A02" w:rsidRPr="00092278"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2.617</w:t>
            </w:r>
          </w:p>
        </w:tc>
        <w:tc>
          <w:tcPr>
            <w:tcW w:w="978" w:type="dxa"/>
            <w:tcBorders>
              <w:top w:val="nil"/>
              <w:left w:val="nil"/>
              <w:bottom w:val="single" w:sz="4" w:space="0" w:color="auto"/>
              <w:right w:val="single" w:sz="4" w:space="0" w:color="auto"/>
            </w:tcBorders>
            <w:shd w:val="clear" w:color="auto" w:fill="auto"/>
            <w:noWrap/>
            <w:vAlign w:val="bottom"/>
            <w:hideMark/>
          </w:tcPr>
          <w:p w14:paraId="5952CDF9" w14:textId="77777777" w:rsidR="00C85A02" w:rsidRPr="00092278"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2.739</w:t>
            </w:r>
          </w:p>
        </w:tc>
      </w:tr>
      <w:tr w:rsidR="00C85A02" w:rsidRPr="00092278" w14:paraId="3DCD2A55" w14:textId="77777777" w:rsidTr="0009227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4AA2F21" w14:textId="77777777" w:rsidR="00C85A02" w:rsidRPr="00092278" w:rsidRDefault="00C85A02" w:rsidP="00092278">
            <w:pPr>
              <w:keepNext/>
              <w:keepLines/>
              <w:spacing w:before="60" w:after="60" w:line="240" w:lineRule="auto"/>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Skupno število nekmetijskih dopolnilnih dejavnosti</w:t>
            </w:r>
          </w:p>
        </w:tc>
        <w:tc>
          <w:tcPr>
            <w:tcW w:w="977" w:type="dxa"/>
            <w:tcBorders>
              <w:top w:val="nil"/>
              <w:left w:val="nil"/>
              <w:bottom w:val="single" w:sz="4" w:space="0" w:color="auto"/>
              <w:right w:val="single" w:sz="4" w:space="0" w:color="auto"/>
            </w:tcBorders>
            <w:shd w:val="clear" w:color="auto" w:fill="auto"/>
            <w:noWrap/>
            <w:vAlign w:val="bottom"/>
            <w:hideMark/>
          </w:tcPr>
          <w:p w14:paraId="2FDEC5F4" w14:textId="77777777" w:rsidR="00C85A02" w:rsidRPr="00092278"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092278">
              <w:rPr>
                <w:rFonts w:ascii="Arial" w:eastAsia="Times New Roman" w:hAnsi="Arial" w:cs="Arial"/>
                <w:bCs/>
                <w:color w:val="000000"/>
                <w:sz w:val="20"/>
                <w:szCs w:val="20"/>
                <w:lang w:eastAsia="sl-SI"/>
              </w:rPr>
              <w:t>4.926</w:t>
            </w:r>
          </w:p>
        </w:tc>
        <w:tc>
          <w:tcPr>
            <w:tcW w:w="977" w:type="dxa"/>
            <w:tcBorders>
              <w:top w:val="nil"/>
              <w:left w:val="nil"/>
              <w:bottom w:val="single" w:sz="4" w:space="0" w:color="auto"/>
              <w:right w:val="single" w:sz="4" w:space="0" w:color="auto"/>
            </w:tcBorders>
            <w:shd w:val="clear" w:color="auto" w:fill="auto"/>
            <w:noWrap/>
            <w:vAlign w:val="bottom"/>
            <w:hideMark/>
          </w:tcPr>
          <w:p w14:paraId="105CE7A0" w14:textId="77777777" w:rsidR="00C85A02" w:rsidRPr="00092278"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092278">
              <w:rPr>
                <w:rFonts w:ascii="Arial" w:eastAsia="Times New Roman" w:hAnsi="Arial" w:cs="Arial"/>
                <w:bCs/>
                <w:color w:val="000000"/>
                <w:sz w:val="20"/>
                <w:szCs w:val="20"/>
                <w:lang w:eastAsia="sl-SI"/>
              </w:rPr>
              <w:t>5.609</w:t>
            </w:r>
          </w:p>
        </w:tc>
        <w:tc>
          <w:tcPr>
            <w:tcW w:w="978" w:type="dxa"/>
            <w:tcBorders>
              <w:top w:val="nil"/>
              <w:left w:val="nil"/>
              <w:bottom w:val="single" w:sz="4" w:space="0" w:color="auto"/>
              <w:right w:val="single" w:sz="4" w:space="0" w:color="auto"/>
            </w:tcBorders>
            <w:shd w:val="clear" w:color="auto" w:fill="auto"/>
            <w:noWrap/>
            <w:vAlign w:val="bottom"/>
            <w:hideMark/>
          </w:tcPr>
          <w:p w14:paraId="572EB1A0" w14:textId="77777777" w:rsidR="00C85A02" w:rsidRPr="00092278"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092278">
              <w:rPr>
                <w:rFonts w:ascii="Arial" w:eastAsia="Times New Roman" w:hAnsi="Arial" w:cs="Arial"/>
                <w:bCs/>
                <w:color w:val="000000"/>
                <w:sz w:val="20"/>
                <w:szCs w:val="20"/>
                <w:lang w:eastAsia="sl-SI"/>
              </w:rPr>
              <w:t>5.898</w:t>
            </w:r>
          </w:p>
        </w:tc>
        <w:tc>
          <w:tcPr>
            <w:tcW w:w="977" w:type="dxa"/>
            <w:tcBorders>
              <w:top w:val="nil"/>
              <w:left w:val="nil"/>
              <w:bottom w:val="single" w:sz="4" w:space="0" w:color="auto"/>
              <w:right w:val="single" w:sz="4" w:space="0" w:color="auto"/>
            </w:tcBorders>
            <w:shd w:val="clear" w:color="auto" w:fill="auto"/>
            <w:noWrap/>
            <w:vAlign w:val="bottom"/>
            <w:hideMark/>
          </w:tcPr>
          <w:p w14:paraId="3561326C" w14:textId="77777777" w:rsidR="00C85A02" w:rsidRPr="00092278"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092278">
              <w:rPr>
                <w:rFonts w:ascii="Arial" w:eastAsia="Times New Roman" w:hAnsi="Arial" w:cs="Arial"/>
                <w:bCs/>
                <w:color w:val="000000"/>
                <w:sz w:val="20"/>
                <w:szCs w:val="20"/>
                <w:lang w:eastAsia="sl-SI"/>
              </w:rPr>
              <w:t>6.198</w:t>
            </w:r>
          </w:p>
        </w:tc>
        <w:tc>
          <w:tcPr>
            <w:tcW w:w="978" w:type="dxa"/>
            <w:tcBorders>
              <w:top w:val="nil"/>
              <w:left w:val="nil"/>
              <w:bottom w:val="single" w:sz="4" w:space="0" w:color="auto"/>
              <w:right w:val="single" w:sz="4" w:space="0" w:color="auto"/>
            </w:tcBorders>
            <w:shd w:val="clear" w:color="auto" w:fill="auto"/>
            <w:noWrap/>
            <w:vAlign w:val="bottom"/>
            <w:hideMark/>
          </w:tcPr>
          <w:p w14:paraId="6CD83744" w14:textId="77777777" w:rsidR="00C85A02" w:rsidRPr="00092278"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092278">
              <w:rPr>
                <w:rFonts w:ascii="Arial" w:eastAsia="Times New Roman" w:hAnsi="Arial" w:cs="Arial"/>
                <w:bCs/>
                <w:color w:val="000000"/>
                <w:sz w:val="20"/>
                <w:szCs w:val="20"/>
                <w:lang w:eastAsia="sl-SI"/>
              </w:rPr>
              <w:t>6.578</w:t>
            </w:r>
          </w:p>
        </w:tc>
      </w:tr>
      <w:tr w:rsidR="00C85A02" w:rsidRPr="00092278" w14:paraId="08FC4881" w14:textId="77777777" w:rsidTr="0009227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2DDD7D3" w14:textId="0B9EB72E" w:rsidR="00C85A02" w:rsidRPr="00092278" w:rsidRDefault="001B45A3" w:rsidP="00092278">
            <w:pPr>
              <w:keepNext/>
              <w:keepLines/>
              <w:spacing w:before="60" w:after="60" w:line="240" w:lineRule="auto"/>
              <w:rPr>
                <w:rFonts w:ascii="Arial" w:eastAsia="Times New Roman" w:hAnsi="Arial" w:cs="Arial"/>
                <w:b/>
                <w:color w:val="000000"/>
                <w:sz w:val="20"/>
                <w:szCs w:val="20"/>
                <w:lang w:eastAsia="sl-SI"/>
              </w:rPr>
            </w:pPr>
            <w:r w:rsidRPr="00092278">
              <w:rPr>
                <w:rFonts w:ascii="Arial" w:eastAsia="Times New Roman" w:hAnsi="Arial" w:cs="Arial"/>
                <w:b/>
                <w:color w:val="000000"/>
                <w:sz w:val="20"/>
                <w:szCs w:val="20"/>
                <w:lang w:eastAsia="sl-SI"/>
              </w:rPr>
              <w:t>Povprečno š</w:t>
            </w:r>
            <w:r w:rsidR="00C85A02" w:rsidRPr="00092278">
              <w:rPr>
                <w:rFonts w:ascii="Arial" w:eastAsia="Times New Roman" w:hAnsi="Arial" w:cs="Arial"/>
                <w:b/>
                <w:color w:val="000000"/>
                <w:sz w:val="20"/>
                <w:szCs w:val="20"/>
                <w:lang w:eastAsia="sl-SI"/>
              </w:rPr>
              <w:t>tevilo nekmetijskih dopolnilnih dejavnosti na kmetijo</w:t>
            </w:r>
          </w:p>
        </w:tc>
        <w:tc>
          <w:tcPr>
            <w:tcW w:w="977" w:type="dxa"/>
            <w:tcBorders>
              <w:top w:val="nil"/>
              <w:left w:val="nil"/>
              <w:bottom w:val="single" w:sz="4" w:space="0" w:color="auto"/>
              <w:right w:val="single" w:sz="4" w:space="0" w:color="auto"/>
            </w:tcBorders>
            <w:shd w:val="clear" w:color="auto" w:fill="auto"/>
            <w:noWrap/>
            <w:vAlign w:val="bottom"/>
            <w:hideMark/>
          </w:tcPr>
          <w:p w14:paraId="13AD5E12" w14:textId="77777777" w:rsidR="00C85A02" w:rsidRPr="00092278"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092278">
              <w:rPr>
                <w:rFonts w:ascii="Arial" w:eastAsia="Times New Roman" w:hAnsi="Arial" w:cs="Arial"/>
                <w:b/>
                <w:color w:val="000000"/>
                <w:sz w:val="20"/>
                <w:szCs w:val="20"/>
                <w:lang w:eastAsia="sl-SI"/>
              </w:rPr>
              <w:t>2,23</w:t>
            </w:r>
          </w:p>
        </w:tc>
        <w:tc>
          <w:tcPr>
            <w:tcW w:w="977" w:type="dxa"/>
            <w:tcBorders>
              <w:top w:val="nil"/>
              <w:left w:val="nil"/>
              <w:bottom w:val="single" w:sz="4" w:space="0" w:color="auto"/>
              <w:right w:val="single" w:sz="4" w:space="0" w:color="auto"/>
            </w:tcBorders>
            <w:shd w:val="clear" w:color="auto" w:fill="auto"/>
            <w:noWrap/>
            <w:vAlign w:val="bottom"/>
            <w:hideMark/>
          </w:tcPr>
          <w:p w14:paraId="7CFE96A7" w14:textId="77777777" w:rsidR="00C85A02" w:rsidRPr="00092278"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092278">
              <w:rPr>
                <w:rFonts w:ascii="Arial" w:eastAsia="Times New Roman" w:hAnsi="Arial" w:cs="Arial"/>
                <w:b/>
                <w:color w:val="000000"/>
                <w:sz w:val="20"/>
                <w:szCs w:val="20"/>
                <w:lang w:eastAsia="sl-SI"/>
              </w:rPr>
              <w:t>2,31</w:t>
            </w:r>
          </w:p>
        </w:tc>
        <w:tc>
          <w:tcPr>
            <w:tcW w:w="978" w:type="dxa"/>
            <w:tcBorders>
              <w:top w:val="nil"/>
              <w:left w:val="nil"/>
              <w:bottom w:val="single" w:sz="4" w:space="0" w:color="auto"/>
              <w:right w:val="single" w:sz="4" w:space="0" w:color="auto"/>
            </w:tcBorders>
            <w:shd w:val="clear" w:color="auto" w:fill="auto"/>
            <w:noWrap/>
            <w:vAlign w:val="bottom"/>
            <w:hideMark/>
          </w:tcPr>
          <w:p w14:paraId="4DE68BC3" w14:textId="77777777" w:rsidR="00C85A02" w:rsidRPr="00092278"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092278">
              <w:rPr>
                <w:rFonts w:ascii="Arial" w:eastAsia="Times New Roman" w:hAnsi="Arial" w:cs="Arial"/>
                <w:b/>
                <w:color w:val="000000"/>
                <w:sz w:val="20"/>
                <w:szCs w:val="20"/>
                <w:lang w:eastAsia="sl-SI"/>
              </w:rPr>
              <w:t>2,35</w:t>
            </w:r>
          </w:p>
        </w:tc>
        <w:tc>
          <w:tcPr>
            <w:tcW w:w="977" w:type="dxa"/>
            <w:tcBorders>
              <w:top w:val="nil"/>
              <w:left w:val="nil"/>
              <w:bottom w:val="single" w:sz="4" w:space="0" w:color="auto"/>
              <w:right w:val="single" w:sz="4" w:space="0" w:color="auto"/>
            </w:tcBorders>
            <w:shd w:val="clear" w:color="auto" w:fill="auto"/>
            <w:noWrap/>
            <w:vAlign w:val="bottom"/>
            <w:hideMark/>
          </w:tcPr>
          <w:p w14:paraId="208CA4DD" w14:textId="77777777" w:rsidR="00C85A02" w:rsidRPr="00092278"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092278">
              <w:rPr>
                <w:rFonts w:ascii="Arial" w:eastAsia="Times New Roman" w:hAnsi="Arial" w:cs="Arial"/>
                <w:b/>
                <w:color w:val="000000"/>
                <w:sz w:val="20"/>
                <w:szCs w:val="20"/>
                <w:lang w:eastAsia="sl-SI"/>
              </w:rPr>
              <w:t>2,37</w:t>
            </w:r>
          </w:p>
        </w:tc>
        <w:tc>
          <w:tcPr>
            <w:tcW w:w="978" w:type="dxa"/>
            <w:tcBorders>
              <w:top w:val="nil"/>
              <w:left w:val="nil"/>
              <w:bottom w:val="single" w:sz="4" w:space="0" w:color="auto"/>
              <w:right w:val="single" w:sz="4" w:space="0" w:color="auto"/>
            </w:tcBorders>
            <w:shd w:val="clear" w:color="auto" w:fill="auto"/>
            <w:noWrap/>
            <w:vAlign w:val="bottom"/>
            <w:hideMark/>
          </w:tcPr>
          <w:p w14:paraId="4E9D70C6" w14:textId="77777777" w:rsidR="00C85A02" w:rsidRPr="00092278"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092278">
              <w:rPr>
                <w:rFonts w:ascii="Arial" w:eastAsia="Times New Roman" w:hAnsi="Arial" w:cs="Arial"/>
                <w:b/>
                <w:color w:val="000000"/>
                <w:sz w:val="20"/>
                <w:szCs w:val="20"/>
                <w:lang w:eastAsia="sl-SI"/>
              </w:rPr>
              <w:t>2,40</w:t>
            </w:r>
          </w:p>
        </w:tc>
      </w:tr>
    </w:tbl>
    <w:p w14:paraId="517637E8" w14:textId="77777777" w:rsidR="00C85A02" w:rsidRPr="00C85A02" w:rsidRDefault="00C85A02" w:rsidP="00C85A02">
      <w:pPr>
        <w:spacing w:line="240" w:lineRule="auto"/>
        <w:jc w:val="both"/>
        <w:rPr>
          <w:rFonts w:ascii="Arial" w:hAnsi="Arial" w:cs="Arial"/>
          <w:sz w:val="16"/>
          <w:szCs w:val="16"/>
        </w:rPr>
      </w:pPr>
      <w:r w:rsidRPr="00C85A02">
        <w:rPr>
          <w:rFonts w:ascii="Arial" w:hAnsi="Arial" w:cs="Arial"/>
          <w:sz w:val="16"/>
          <w:szCs w:val="16"/>
        </w:rPr>
        <w:t>Vir: MKGP 2020 (RKG)</w:t>
      </w:r>
    </w:p>
    <w:p w14:paraId="3F4B9E37" w14:textId="1D9119BC" w:rsidR="00C85A02" w:rsidRDefault="00C85A02" w:rsidP="00C85A02">
      <w:pPr>
        <w:spacing w:before="200" w:line="360" w:lineRule="auto"/>
        <w:jc w:val="both"/>
        <w:rPr>
          <w:rFonts w:ascii="Arial" w:hAnsi="Arial" w:cs="Arial"/>
          <w:sz w:val="20"/>
          <w:szCs w:val="20"/>
        </w:rPr>
      </w:pPr>
      <w:r>
        <w:rPr>
          <w:rFonts w:ascii="Arial" w:hAnsi="Arial" w:cs="Arial"/>
          <w:sz w:val="20"/>
          <w:szCs w:val="20"/>
        </w:rPr>
        <w:t xml:space="preserve">V letu 2020 je imelo 2.739 kmetij registrirano vsaj eno nekmetijsko dopolnilno dejavnost. V primerjavi z letom 2016 se je število kmetij povečalo za 530 oziroma skoraj 24 %. </w:t>
      </w:r>
      <w:r w:rsidR="009E7C94">
        <w:rPr>
          <w:rFonts w:ascii="Arial" w:hAnsi="Arial" w:cs="Arial"/>
          <w:sz w:val="20"/>
          <w:szCs w:val="20"/>
        </w:rPr>
        <w:t xml:space="preserve">Povečalo se je tudi skupno število registriranih nekmetijskih dopolnilnih dejavnosti in sicer za 1652 oziroma 33,5 % glede na leto 2016. </w:t>
      </w:r>
      <w:r>
        <w:rPr>
          <w:rFonts w:ascii="Arial" w:hAnsi="Arial" w:cs="Arial"/>
          <w:sz w:val="20"/>
          <w:szCs w:val="20"/>
        </w:rPr>
        <w:t xml:space="preserve">Pozitiven trend je </w:t>
      </w:r>
      <w:r w:rsidR="009E7C94">
        <w:rPr>
          <w:rFonts w:ascii="Arial" w:hAnsi="Arial" w:cs="Arial"/>
          <w:sz w:val="20"/>
          <w:szCs w:val="20"/>
        </w:rPr>
        <w:t xml:space="preserve">tako </w:t>
      </w:r>
      <w:r>
        <w:rPr>
          <w:rFonts w:ascii="Arial" w:hAnsi="Arial" w:cs="Arial"/>
          <w:sz w:val="20"/>
          <w:szCs w:val="20"/>
        </w:rPr>
        <w:t>opaziti tudi pri povprečnem številu registriranih nekmetijskih dopolnilnih dejavnosti na kmetijo in sicer se je od leta 2016, ko je znašal 2,23 povečal na 2,40 registrirane nekmetijske dopolnilne dejavnosti na kmetijo.</w:t>
      </w:r>
    </w:p>
    <w:p w14:paraId="6C25EB78" w14:textId="62E61E93" w:rsidR="00832D92" w:rsidRDefault="00832D92" w:rsidP="00C85A02">
      <w:pPr>
        <w:keepNext/>
        <w:keepLines/>
        <w:spacing w:before="200" w:after="0" w:line="360" w:lineRule="auto"/>
        <w:jc w:val="both"/>
        <w:rPr>
          <w:rFonts w:ascii="Arial" w:hAnsi="Arial" w:cs="Arial"/>
          <w:sz w:val="20"/>
          <w:szCs w:val="20"/>
        </w:rPr>
      </w:pPr>
      <w:r>
        <w:rPr>
          <w:rFonts w:ascii="Arial" w:hAnsi="Arial" w:cs="Arial"/>
          <w:sz w:val="20"/>
          <w:szCs w:val="20"/>
        </w:rPr>
        <w:t xml:space="preserve">Tabela </w:t>
      </w:r>
      <w:r w:rsidR="00EE0938">
        <w:rPr>
          <w:rFonts w:ascii="Arial" w:hAnsi="Arial" w:cs="Arial"/>
          <w:sz w:val="20"/>
          <w:szCs w:val="20"/>
        </w:rPr>
        <w:t>2</w:t>
      </w:r>
      <w:r w:rsidR="00B90C51">
        <w:rPr>
          <w:rFonts w:ascii="Arial" w:hAnsi="Arial" w:cs="Arial"/>
          <w:sz w:val="20"/>
          <w:szCs w:val="20"/>
        </w:rPr>
        <w:t>4</w:t>
      </w:r>
      <w:r>
        <w:rPr>
          <w:rFonts w:ascii="Arial" w:hAnsi="Arial" w:cs="Arial"/>
          <w:sz w:val="20"/>
          <w:szCs w:val="20"/>
        </w:rPr>
        <w:t xml:space="preserve">: </w:t>
      </w:r>
      <w:r w:rsidR="008B1982">
        <w:rPr>
          <w:rFonts w:ascii="Arial" w:hAnsi="Arial" w:cs="Arial"/>
          <w:sz w:val="20"/>
          <w:szCs w:val="20"/>
        </w:rPr>
        <w:t xml:space="preserve">Nekmetijske dopolnilne dejavnosti </w:t>
      </w:r>
    </w:p>
    <w:tbl>
      <w:tblPr>
        <w:tblW w:w="8851" w:type="dxa"/>
        <w:tblInd w:w="75" w:type="dxa"/>
        <w:tblLayout w:type="fixed"/>
        <w:tblCellMar>
          <w:left w:w="70" w:type="dxa"/>
          <w:right w:w="70" w:type="dxa"/>
        </w:tblCellMar>
        <w:tblLook w:val="04A0" w:firstRow="1" w:lastRow="0" w:firstColumn="1" w:lastColumn="0" w:noHBand="0" w:noVBand="1"/>
      </w:tblPr>
      <w:tblGrid>
        <w:gridCol w:w="4390"/>
        <w:gridCol w:w="892"/>
        <w:gridCol w:w="892"/>
        <w:gridCol w:w="892"/>
        <w:gridCol w:w="892"/>
        <w:gridCol w:w="893"/>
      </w:tblGrid>
      <w:tr w:rsidR="00832D92" w:rsidRPr="008B1982" w14:paraId="0F03F9A0" w14:textId="77777777" w:rsidTr="00092278">
        <w:trPr>
          <w:trHeight w:val="34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2F9E0" w14:textId="7BE63055" w:rsidR="00832D92" w:rsidRPr="008B1982" w:rsidRDefault="008B1982" w:rsidP="00C85A02">
            <w:pPr>
              <w:keepNext/>
              <w:keepLines/>
              <w:spacing w:before="60" w:after="60" w:line="312" w:lineRule="auto"/>
              <w:rPr>
                <w:rFonts w:ascii="Arial" w:hAnsi="Arial" w:cs="Arial"/>
                <w:b/>
                <w:bCs/>
                <w:color w:val="000000"/>
                <w:sz w:val="20"/>
                <w:szCs w:val="20"/>
                <w:lang w:eastAsia="sl-SI"/>
              </w:rPr>
            </w:pPr>
            <w:r w:rsidRPr="008B1982">
              <w:rPr>
                <w:rFonts w:ascii="Arial" w:hAnsi="Arial" w:cs="Arial"/>
                <w:b/>
                <w:bCs/>
                <w:color w:val="000000"/>
                <w:sz w:val="20"/>
                <w:szCs w:val="20"/>
                <w:lang w:eastAsia="sl-SI"/>
              </w:rPr>
              <w:t>Skupina dopolnilnih dejavnosti</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14:paraId="02F8E84F" w14:textId="77777777" w:rsidR="00832D92" w:rsidRPr="00832D92" w:rsidRDefault="00832D92" w:rsidP="00C85A02">
            <w:pPr>
              <w:keepNext/>
              <w:keepLines/>
              <w:spacing w:before="60" w:after="60" w:line="312" w:lineRule="auto"/>
              <w:jc w:val="center"/>
              <w:rPr>
                <w:rFonts w:ascii="Arial" w:hAnsi="Arial" w:cs="Arial"/>
                <w:b/>
                <w:bCs/>
                <w:color w:val="000000"/>
                <w:sz w:val="20"/>
                <w:szCs w:val="20"/>
                <w:lang w:eastAsia="sl-SI"/>
              </w:rPr>
            </w:pPr>
            <w:r w:rsidRPr="00832D92">
              <w:rPr>
                <w:rFonts w:ascii="Arial" w:hAnsi="Arial" w:cs="Arial"/>
                <w:b/>
                <w:bCs/>
                <w:color w:val="000000"/>
                <w:sz w:val="20"/>
                <w:szCs w:val="20"/>
                <w:lang w:eastAsia="sl-SI"/>
              </w:rPr>
              <w:t>2016</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14:paraId="21F4E1C3" w14:textId="77777777" w:rsidR="00832D92" w:rsidRPr="00832D92" w:rsidRDefault="00832D92" w:rsidP="00C85A02">
            <w:pPr>
              <w:keepNext/>
              <w:keepLines/>
              <w:spacing w:before="60" w:after="60" w:line="312" w:lineRule="auto"/>
              <w:jc w:val="center"/>
              <w:rPr>
                <w:rFonts w:ascii="Arial" w:hAnsi="Arial" w:cs="Arial"/>
                <w:b/>
                <w:bCs/>
                <w:color w:val="000000"/>
                <w:sz w:val="20"/>
                <w:szCs w:val="20"/>
                <w:lang w:eastAsia="sl-SI"/>
              </w:rPr>
            </w:pPr>
            <w:r w:rsidRPr="00832D92">
              <w:rPr>
                <w:rFonts w:ascii="Arial" w:hAnsi="Arial" w:cs="Arial"/>
                <w:b/>
                <w:bCs/>
                <w:color w:val="000000"/>
                <w:sz w:val="20"/>
                <w:szCs w:val="20"/>
                <w:lang w:eastAsia="sl-SI"/>
              </w:rPr>
              <w:t>2017</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14:paraId="4A85BF1F" w14:textId="77777777" w:rsidR="00832D92" w:rsidRPr="00832D92" w:rsidRDefault="00832D92" w:rsidP="00C85A02">
            <w:pPr>
              <w:keepNext/>
              <w:keepLines/>
              <w:spacing w:before="60" w:after="60" w:line="312" w:lineRule="auto"/>
              <w:jc w:val="center"/>
              <w:rPr>
                <w:rFonts w:ascii="Arial" w:hAnsi="Arial" w:cs="Arial"/>
                <w:b/>
                <w:bCs/>
                <w:color w:val="000000"/>
                <w:sz w:val="20"/>
                <w:szCs w:val="20"/>
                <w:lang w:eastAsia="sl-SI"/>
              </w:rPr>
            </w:pPr>
            <w:r w:rsidRPr="00832D92">
              <w:rPr>
                <w:rFonts w:ascii="Arial" w:hAnsi="Arial" w:cs="Arial"/>
                <w:b/>
                <w:bCs/>
                <w:color w:val="000000"/>
                <w:sz w:val="20"/>
                <w:szCs w:val="20"/>
                <w:lang w:eastAsia="sl-SI"/>
              </w:rPr>
              <w:t>2018</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14:paraId="0801EB78" w14:textId="77777777" w:rsidR="00832D92" w:rsidRPr="00832D92" w:rsidRDefault="00832D92" w:rsidP="00C85A02">
            <w:pPr>
              <w:keepNext/>
              <w:keepLines/>
              <w:spacing w:before="60" w:after="60" w:line="312" w:lineRule="auto"/>
              <w:jc w:val="center"/>
              <w:rPr>
                <w:rFonts w:ascii="Arial" w:hAnsi="Arial" w:cs="Arial"/>
                <w:b/>
                <w:bCs/>
                <w:color w:val="000000"/>
                <w:sz w:val="20"/>
                <w:szCs w:val="20"/>
                <w:lang w:eastAsia="sl-SI"/>
              </w:rPr>
            </w:pPr>
            <w:r w:rsidRPr="00832D92">
              <w:rPr>
                <w:rFonts w:ascii="Arial" w:hAnsi="Arial" w:cs="Arial"/>
                <w:b/>
                <w:bCs/>
                <w:color w:val="000000"/>
                <w:sz w:val="20"/>
                <w:szCs w:val="20"/>
                <w:lang w:eastAsia="sl-SI"/>
              </w:rPr>
              <w:t>2019</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4CB320F3" w14:textId="77777777" w:rsidR="00832D92" w:rsidRPr="00832D92" w:rsidRDefault="00832D92" w:rsidP="00C85A02">
            <w:pPr>
              <w:keepNext/>
              <w:keepLines/>
              <w:spacing w:before="60" w:after="60" w:line="312" w:lineRule="auto"/>
              <w:jc w:val="center"/>
              <w:rPr>
                <w:rFonts w:ascii="Arial" w:hAnsi="Arial" w:cs="Arial"/>
                <w:b/>
                <w:bCs/>
                <w:color w:val="000000"/>
                <w:sz w:val="20"/>
                <w:szCs w:val="20"/>
                <w:lang w:eastAsia="sl-SI"/>
              </w:rPr>
            </w:pPr>
            <w:r w:rsidRPr="00832D92">
              <w:rPr>
                <w:rFonts w:ascii="Arial" w:hAnsi="Arial" w:cs="Arial"/>
                <w:b/>
                <w:bCs/>
                <w:color w:val="000000"/>
                <w:sz w:val="20"/>
                <w:szCs w:val="20"/>
                <w:lang w:eastAsia="sl-SI"/>
              </w:rPr>
              <w:t>2020</w:t>
            </w:r>
          </w:p>
        </w:tc>
      </w:tr>
      <w:tr w:rsidR="00130C85" w:rsidRPr="008B1982" w14:paraId="4C3A02CC" w14:textId="77777777" w:rsidTr="00092278">
        <w:trPr>
          <w:trHeight w:val="214"/>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68C1F75" w14:textId="757FC666" w:rsidR="00130C85" w:rsidRPr="00832D92" w:rsidRDefault="00130C85" w:rsidP="00C85A02">
            <w:pPr>
              <w:keepNext/>
              <w:keepLines/>
              <w:spacing w:before="60" w:after="60" w:line="240" w:lineRule="auto"/>
              <w:rPr>
                <w:rFonts w:ascii="Arial" w:hAnsi="Arial" w:cs="Arial"/>
                <w:bCs/>
                <w:color w:val="000000"/>
                <w:sz w:val="20"/>
                <w:szCs w:val="20"/>
                <w:lang w:eastAsia="sl-SI"/>
              </w:rPr>
            </w:pPr>
            <w:r>
              <w:rPr>
                <w:rFonts w:ascii="Arial" w:hAnsi="Arial" w:cs="Arial"/>
                <w:bCs/>
                <w:color w:val="000000"/>
                <w:sz w:val="20"/>
                <w:szCs w:val="20"/>
                <w:lang w:eastAsia="sl-SI"/>
              </w:rPr>
              <w:t>P</w:t>
            </w:r>
            <w:r w:rsidRPr="00832D92">
              <w:rPr>
                <w:rFonts w:ascii="Arial" w:hAnsi="Arial" w:cs="Arial"/>
                <w:bCs/>
                <w:color w:val="000000"/>
                <w:sz w:val="20"/>
                <w:szCs w:val="20"/>
                <w:lang w:eastAsia="sl-SI"/>
              </w:rPr>
              <w:t>redelava gozdnih lesnih sortimentov</w:t>
            </w:r>
          </w:p>
        </w:tc>
        <w:tc>
          <w:tcPr>
            <w:tcW w:w="892" w:type="dxa"/>
            <w:tcBorders>
              <w:top w:val="nil"/>
              <w:left w:val="nil"/>
              <w:bottom w:val="single" w:sz="4" w:space="0" w:color="auto"/>
              <w:right w:val="single" w:sz="4" w:space="0" w:color="auto"/>
            </w:tcBorders>
            <w:shd w:val="clear" w:color="auto" w:fill="auto"/>
            <w:noWrap/>
            <w:vAlign w:val="bottom"/>
            <w:hideMark/>
          </w:tcPr>
          <w:p w14:paraId="689F850C"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1.127</w:t>
            </w:r>
          </w:p>
        </w:tc>
        <w:tc>
          <w:tcPr>
            <w:tcW w:w="892" w:type="dxa"/>
            <w:tcBorders>
              <w:top w:val="nil"/>
              <w:left w:val="nil"/>
              <w:bottom w:val="single" w:sz="4" w:space="0" w:color="auto"/>
              <w:right w:val="single" w:sz="4" w:space="0" w:color="auto"/>
            </w:tcBorders>
            <w:shd w:val="clear" w:color="auto" w:fill="auto"/>
            <w:noWrap/>
            <w:vAlign w:val="bottom"/>
            <w:hideMark/>
          </w:tcPr>
          <w:p w14:paraId="4AC00A61"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1.280</w:t>
            </w:r>
          </w:p>
        </w:tc>
        <w:tc>
          <w:tcPr>
            <w:tcW w:w="892" w:type="dxa"/>
            <w:tcBorders>
              <w:top w:val="nil"/>
              <w:left w:val="nil"/>
              <w:bottom w:val="single" w:sz="4" w:space="0" w:color="auto"/>
              <w:right w:val="single" w:sz="4" w:space="0" w:color="auto"/>
            </w:tcBorders>
            <w:shd w:val="clear" w:color="auto" w:fill="auto"/>
            <w:noWrap/>
            <w:vAlign w:val="bottom"/>
            <w:hideMark/>
          </w:tcPr>
          <w:p w14:paraId="445B1018"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1.348</w:t>
            </w:r>
          </w:p>
        </w:tc>
        <w:tc>
          <w:tcPr>
            <w:tcW w:w="892" w:type="dxa"/>
            <w:tcBorders>
              <w:top w:val="nil"/>
              <w:left w:val="nil"/>
              <w:bottom w:val="single" w:sz="4" w:space="0" w:color="auto"/>
              <w:right w:val="single" w:sz="4" w:space="0" w:color="auto"/>
            </w:tcBorders>
            <w:shd w:val="clear" w:color="auto" w:fill="auto"/>
            <w:noWrap/>
            <w:vAlign w:val="bottom"/>
            <w:hideMark/>
          </w:tcPr>
          <w:p w14:paraId="74852EEC"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1.413</w:t>
            </w:r>
          </w:p>
        </w:tc>
        <w:tc>
          <w:tcPr>
            <w:tcW w:w="893" w:type="dxa"/>
            <w:tcBorders>
              <w:top w:val="nil"/>
              <w:left w:val="nil"/>
              <w:bottom w:val="single" w:sz="4" w:space="0" w:color="auto"/>
              <w:right w:val="single" w:sz="4" w:space="0" w:color="auto"/>
            </w:tcBorders>
            <w:shd w:val="clear" w:color="auto" w:fill="auto"/>
            <w:noWrap/>
            <w:vAlign w:val="bottom"/>
            <w:hideMark/>
          </w:tcPr>
          <w:p w14:paraId="34661B81"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1.467</w:t>
            </w:r>
          </w:p>
        </w:tc>
      </w:tr>
      <w:tr w:rsidR="00130C85" w:rsidRPr="008B1982" w14:paraId="0191B298" w14:textId="77777777" w:rsidTr="00092278">
        <w:trPr>
          <w:trHeight w:val="503"/>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7AE080F0" w14:textId="77777777" w:rsidR="00130C85" w:rsidRPr="00832D92" w:rsidRDefault="00130C85" w:rsidP="00C85A02">
            <w:pPr>
              <w:keepNext/>
              <w:keepLines/>
              <w:spacing w:before="60" w:after="60" w:line="240" w:lineRule="auto"/>
              <w:rPr>
                <w:rFonts w:ascii="Arial" w:hAnsi="Arial" w:cs="Arial"/>
                <w:bCs/>
                <w:color w:val="000000"/>
                <w:sz w:val="20"/>
                <w:szCs w:val="20"/>
                <w:lang w:eastAsia="sl-SI"/>
              </w:rPr>
            </w:pPr>
            <w:r>
              <w:rPr>
                <w:rFonts w:ascii="Arial" w:hAnsi="Arial" w:cs="Arial"/>
                <w:bCs/>
                <w:color w:val="000000"/>
                <w:sz w:val="20"/>
                <w:szCs w:val="20"/>
                <w:lang w:eastAsia="sl-SI"/>
              </w:rPr>
              <w:t>S</w:t>
            </w:r>
            <w:r w:rsidRPr="00832D92">
              <w:rPr>
                <w:rFonts w:ascii="Arial" w:hAnsi="Arial" w:cs="Arial"/>
                <w:bCs/>
                <w:color w:val="000000"/>
                <w:sz w:val="20"/>
                <w:szCs w:val="20"/>
                <w:lang w:eastAsia="sl-SI"/>
              </w:rPr>
              <w:t>vetovanje in usposabljanje v zvezi s kmetijsko, gozdarsko in dopolnilno dejavnostjo</w:t>
            </w:r>
          </w:p>
        </w:tc>
        <w:tc>
          <w:tcPr>
            <w:tcW w:w="892" w:type="dxa"/>
            <w:tcBorders>
              <w:top w:val="nil"/>
              <w:left w:val="nil"/>
              <w:bottom w:val="single" w:sz="4" w:space="0" w:color="auto"/>
              <w:right w:val="single" w:sz="4" w:space="0" w:color="auto"/>
            </w:tcBorders>
            <w:shd w:val="clear" w:color="auto" w:fill="auto"/>
            <w:noWrap/>
            <w:vAlign w:val="bottom"/>
            <w:hideMark/>
          </w:tcPr>
          <w:p w14:paraId="11BF6197"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907</w:t>
            </w:r>
          </w:p>
        </w:tc>
        <w:tc>
          <w:tcPr>
            <w:tcW w:w="892" w:type="dxa"/>
            <w:tcBorders>
              <w:top w:val="nil"/>
              <w:left w:val="nil"/>
              <w:bottom w:val="single" w:sz="4" w:space="0" w:color="auto"/>
              <w:right w:val="single" w:sz="4" w:space="0" w:color="auto"/>
            </w:tcBorders>
            <w:shd w:val="clear" w:color="auto" w:fill="auto"/>
            <w:noWrap/>
            <w:vAlign w:val="bottom"/>
            <w:hideMark/>
          </w:tcPr>
          <w:p w14:paraId="760F8EA1"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1.083</w:t>
            </w:r>
          </w:p>
        </w:tc>
        <w:tc>
          <w:tcPr>
            <w:tcW w:w="892" w:type="dxa"/>
            <w:tcBorders>
              <w:top w:val="nil"/>
              <w:left w:val="nil"/>
              <w:bottom w:val="single" w:sz="4" w:space="0" w:color="auto"/>
              <w:right w:val="single" w:sz="4" w:space="0" w:color="auto"/>
            </w:tcBorders>
            <w:shd w:val="clear" w:color="auto" w:fill="auto"/>
            <w:noWrap/>
            <w:vAlign w:val="bottom"/>
            <w:hideMark/>
          </w:tcPr>
          <w:p w14:paraId="4DDFC035"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1.207</w:t>
            </w:r>
          </w:p>
        </w:tc>
        <w:tc>
          <w:tcPr>
            <w:tcW w:w="892" w:type="dxa"/>
            <w:tcBorders>
              <w:top w:val="nil"/>
              <w:left w:val="nil"/>
              <w:bottom w:val="single" w:sz="4" w:space="0" w:color="auto"/>
              <w:right w:val="single" w:sz="4" w:space="0" w:color="auto"/>
            </w:tcBorders>
            <w:shd w:val="clear" w:color="auto" w:fill="auto"/>
            <w:noWrap/>
            <w:vAlign w:val="bottom"/>
            <w:hideMark/>
          </w:tcPr>
          <w:p w14:paraId="1BDD85B3"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1.286</w:t>
            </w:r>
          </w:p>
        </w:tc>
        <w:tc>
          <w:tcPr>
            <w:tcW w:w="893" w:type="dxa"/>
            <w:tcBorders>
              <w:top w:val="nil"/>
              <w:left w:val="nil"/>
              <w:bottom w:val="single" w:sz="4" w:space="0" w:color="auto"/>
              <w:right w:val="single" w:sz="4" w:space="0" w:color="auto"/>
            </w:tcBorders>
            <w:shd w:val="clear" w:color="auto" w:fill="auto"/>
            <w:noWrap/>
            <w:vAlign w:val="bottom"/>
            <w:hideMark/>
          </w:tcPr>
          <w:p w14:paraId="1C5EF2B4"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1.385</w:t>
            </w:r>
          </w:p>
        </w:tc>
      </w:tr>
      <w:tr w:rsidR="00130C85" w:rsidRPr="008B1982" w14:paraId="33307B9C" w14:textId="77777777" w:rsidTr="00092278">
        <w:trPr>
          <w:trHeight w:val="412"/>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0FBFA19D" w14:textId="1A047DAA" w:rsidR="00130C85" w:rsidRPr="00832D92" w:rsidRDefault="00130C85" w:rsidP="00C85A02">
            <w:pPr>
              <w:keepNext/>
              <w:keepLines/>
              <w:spacing w:before="60" w:after="60" w:line="240" w:lineRule="auto"/>
              <w:rPr>
                <w:rFonts w:ascii="Arial" w:hAnsi="Arial" w:cs="Arial"/>
                <w:bCs/>
                <w:color w:val="000000"/>
                <w:sz w:val="20"/>
                <w:szCs w:val="20"/>
                <w:lang w:eastAsia="sl-SI"/>
              </w:rPr>
            </w:pPr>
            <w:r>
              <w:rPr>
                <w:rFonts w:ascii="Arial" w:hAnsi="Arial" w:cs="Arial"/>
                <w:bCs/>
                <w:color w:val="000000"/>
                <w:sz w:val="20"/>
                <w:szCs w:val="20"/>
                <w:lang w:eastAsia="sl-SI"/>
              </w:rPr>
              <w:t>P</w:t>
            </w:r>
            <w:r w:rsidRPr="00832D92">
              <w:rPr>
                <w:rFonts w:ascii="Arial" w:hAnsi="Arial" w:cs="Arial"/>
                <w:bCs/>
                <w:color w:val="000000"/>
                <w:sz w:val="20"/>
                <w:szCs w:val="20"/>
                <w:lang w:eastAsia="sl-SI"/>
              </w:rPr>
              <w:t>ovezane s tradicionalnimi znanji na kmetiji, storitvami oziroma izdelki</w:t>
            </w:r>
            <w:r>
              <w:rPr>
                <w:rStyle w:val="Sprotnaopomba-sklic"/>
                <w:rFonts w:ascii="Arial" w:hAnsi="Arial" w:cs="Arial"/>
                <w:bCs/>
                <w:color w:val="000000"/>
                <w:lang w:eastAsia="sl-SI"/>
              </w:rPr>
              <w:footnoteReference w:id="3"/>
            </w:r>
          </w:p>
        </w:tc>
        <w:tc>
          <w:tcPr>
            <w:tcW w:w="892" w:type="dxa"/>
            <w:tcBorders>
              <w:top w:val="nil"/>
              <w:left w:val="nil"/>
              <w:bottom w:val="single" w:sz="4" w:space="0" w:color="auto"/>
              <w:right w:val="single" w:sz="4" w:space="0" w:color="auto"/>
            </w:tcBorders>
            <w:shd w:val="clear" w:color="auto" w:fill="auto"/>
            <w:noWrap/>
            <w:vAlign w:val="bottom"/>
            <w:hideMark/>
          </w:tcPr>
          <w:p w14:paraId="45A7BDA8" w14:textId="69611F40"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130C85">
              <w:rPr>
                <w:rFonts w:ascii="Arial" w:hAnsi="Arial" w:cs="Arial"/>
                <w:color w:val="000000"/>
                <w:sz w:val="20"/>
                <w:szCs w:val="20"/>
              </w:rPr>
              <w:t>944</w:t>
            </w:r>
          </w:p>
        </w:tc>
        <w:tc>
          <w:tcPr>
            <w:tcW w:w="892" w:type="dxa"/>
            <w:tcBorders>
              <w:top w:val="nil"/>
              <w:left w:val="nil"/>
              <w:bottom w:val="single" w:sz="4" w:space="0" w:color="auto"/>
              <w:right w:val="single" w:sz="4" w:space="0" w:color="auto"/>
            </w:tcBorders>
            <w:shd w:val="clear" w:color="auto" w:fill="auto"/>
            <w:noWrap/>
            <w:vAlign w:val="bottom"/>
            <w:hideMark/>
          </w:tcPr>
          <w:p w14:paraId="4F23A3A8" w14:textId="64360ABD"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5B18EB">
              <w:rPr>
                <w:rFonts w:ascii="Arial" w:hAnsi="Arial" w:cs="Arial"/>
                <w:color w:val="000000"/>
                <w:sz w:val="20"/>
                <w:szCs w:val="20"/>
                <w:lang w:eastAsia="sl-SI"/>
              </w:rPr>
              <w:t>1</w:t>
            </w:r>
            <w:r>
              <w:rPr>
                <w:rFonts w:ascii="Arial" w:hAnsi="Arial" w:cs="Arial"/>
                <w:color w:val="000000"/>
                <w:sz w:val="20"/>
                <w:szCs w:val="20"/>
                <w:lang w:eastAsia="sl-SI"/>
              </w:rPr>
              <w:t>.</w:t>
            </w:r>
            <w:r w:rsidRPr="00130C85">
              <w:rPr>
                <w:rFonts w:ascii="Arial" w:hAnsi="Arial" w:cs="Arial"/>
                <w:color w:val="000000"/>
                <w:sz w:val="20"/>
                <w:szCs w:val="20"/>
              </w:rPr>
              <w:t>107</w:t>
            </w:r>
          </w:p>
        </w:tc>
        <w:tc>
          <w:tcPr>
            <w:tcW w:w="892" w:type="dxa"/>
            <w:tcBorders>
              <w:top w:val="nil"/>
              <w:left w:val="nil"/>
              <w:bottom w:val="single" w:sz="4" w:space="0" w:color="auto"/>
              <w:right w:val="single" w:sz="4" w:space="0" w:color="auto"/>
            </w:tcBorders>
            <w:shd w:val="clear" w:color="auto" w:fill="auto"/>
            <w:noWrap/>
            <w:vAlign w:val="bottom"/>
            <w:hideMark/>
          </w:tcPr>
          <w:p w14:paraId="254A44C4" w14:textId="06B8EB12"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5B18EB">
              <w:rPr>
                <w:rFonts w:ascii="Arial" w:hAnsi="Arial" w:cs="Arial"/>
                <w:color w:val="000000"/>
                <w:sz w:val="20"/>
                <w:szCs w:val="20"/>
                <w:lang w:eastAsia="sl-SI"/>
              </w:rPr>
              <w:t>1</w:t>
            </w:r>
            <w:r>
              <w:rPr>
                <w:rFonts w:ascii="Arial" w:hAnsi="Arial" w:cs="Arial"/>
                <w:color w:val="000000"/>
                <w:sz w:val="20"/>
                <w:szCs w:val="20"/>
                <w:lang w:eastAsia="sl-SI"/>
              </w:rPr>
              <w:t>.</w:t>
            </w:r>
            <w:r w:rsidRPr="00130C85">
              <w:rPr>
                <w:rFonts w:ascii="Arial" w:hAnsi="Arial" w:cs="Arial"/>
                <w:color w:val="000000"/>
                <w:sz w:val="20"/>
                <w:szCs w:val="20"/>
              </w:rPr>
              <w:t>136</w:t>
            </w:r>
          </w:p>
        </w:tc>
        <w:tc>
          <w:tcPr>
            <w:tcW w:w="892" w:type="dxa"/>
            <w:tcBorders>
              <w:top w:val="nil"/>
              <w:left w:val="nil"/>
              <w:bottom w:val="single" w:sz="4" w:space="0" w:color="auto"/>
              <w:right w:val="single" w:sz="4" w:space="0" w:color="auto"/>
            </w:tcBorders>
            <w:shd w:val="clear" w:color="auto" w:fill="auto"/>
            <w:noWrap/>
            <w:vAlign w:val="bottom"/>
            <w:hideMark/>
          </w:tcPr>
          <w:p w14:paraId="2D3CD9C9" w14:textId="47856924"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5B18EB">
              <w:rPr>
                <w:rFonts w:ascii="Arial" w:hAnsi="Arial" w:cs="Arial"/>
                <w:color w:val="000000"/>
                <w:sz w:val="20"/>
                <w:szCs w:val="20"/>
                <w:lang w:eastAsia="sl-SI"/>
              </w:rPr>
              <w:t>1</w:t>
            </w:r>
            <w:r>
              <w:rPr>
                <w:rFonts w:ascii="Arial" w:hAnsi="Arial" w:cs="Arial"/>
                <w:color w:val="000000"/>
                <w:sz w:val="20"/>
                <w:szCs w:val="20"/>
                <w:lang w:eastAsia="sl-SI"/>
              </w:rPr>
              <w:t>.</w:t>
            </w:r>
            <w:r w:rsidRPr="00130C85">
              <w:rPr>
                <w:rFonts w:ascii="Arial" w:hAnsi="Arial" w:cs="Arial"/>
                <w:color w:val="000000"/>
                <w:sz w:val="20"/>
                <w:szCs w:val="20"/>
              </w:rPr>
              <w:t>204</w:t>
            </w:r>
          </w:p>
        </w:tc>
        <w:tc>
          <w:tcPr>
            <w:tcW w:w="893" w:type="dxa"/>
            <w:tcBorders>
              <w:top w:val="nil"/>
              <w:left w:val="nil"/>
              <w:bottom w:val="single" w:sz="4" w:space="0" w:color="auto"/>
              <w:right w:val="single" w:sz="4" w:space="0" w:color="auto"/>
            </w:tcBorders>
            <w:shd w:val="clear" w:color="auto" w:fill="auto"/>
            <w:noWrap/>
            <w:vAlign w:val="bottom"/>
            <w:hideMark/>
          </w:tcPr>
          <w:p w14:paraId="127BD1E8" w14:textId="3F9358F6"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5B18EB">
              <w:rPr>
                <w:rFonts w:ascii="Arial" w:hAnsi="Arial" w:cs="Arial"/>
                <w:color w:val="000000"/>
                <w:sz w:val="20"/>
                <w:szCs w:val="20"/>
                <w:lang w:eastAsia="sl-SI"/>
              </w:rPr>
              <w:t>1</w:t>
            </w:r>
            <w:r>
              <w:rPr>
                <w:rFonts w:ascii="Arial" w:hAnsi="Arial" w:cs="Arial"/>
                <w:color w:val="000000"/>
                <w:sz w:val="20"/>
                <w:szCs w:val="20"/>
                <w:lang w:eastAsia="sl-SI"/>
              </w:rPr>
              <w:t>.</w:t>
            </w:r>
            <w:r w:rsidRPr="00130C85">
              <w:rPr>
                <w:rFonts w:ascii="Arial" w:hAnsi="Arial" w:cs="Arial"/>
                <w:color w:val="000000"/>
                <w:sz w:val="20"/>
                <w:szCs w:val="20"/>
              </w:rPr>
              <w:t>264</w:t>
            </w:r>
          </w:p>
        </w:tc>
      </w:tr>
      <w:tr w:rsidR="00DD12D7" w:rsidRPr="008B1982" w14:paraId="085C1207" w14:textId="77777777" w:rsidTr="00092278">
        <w:trPr>
          <w:trHeight w:val="412"/>
        </w:trPr>
        <w:tc>
          <w:tcPr>
            <w:tcW w:w="4390" w:type="dxa"/>
            <w:tcBorders>
              <w:top w:val="nil"/>
              <w:left w:val="single" w:sz="4" w:space="0" w:color="auto"/>
              <w:bottom w:val="single" w:sz="4" w:space="0" w:color="auto"/>
              <w:right w:val="single" w:sz="4" w:space="0" w:color="auto"/>
            </w:tcBorders>
            <w:shd w:val="clear" w:color="auto" w:fill="auto"/>
            <w:vAlign w:val="bottom"/>
          </w:tcPr>
          <w:p w14:paraId="0D02DE3C" w14:textId="30489607" w:rsidR="00DD12D7" w:rsidRDefault="00DD12D7" w:rsidP="00C85A02">
            <w:pPr>
              <w:keepNext/>
              <w:keepLines/>
              <w:spacing w:before="60" w:after="60" w:line="240" w:lineRule="auto"/>
              <w:rPr>
                <w:rFonts w:ascii="Arial" w:hAnsi="Arial" w:cs="Arial"/>
                <w:bCs/>
                <w:color w:val="000000"/>
                <w:sz w:val="20"/>
                <w:szCs w:val="20"/>
                <w:lang w:eastAsia="sl-SI"/>
              </w:rPr>
            </w:pPr>
            <w:r>
              <w:rPr>
                <w:rFonts w:ascii="Arial" w:hAnsi="Arial" w:cs="Arial"/>
                <w:bCs/>
                <w:color w:val="000000"/>
                <w:sz w:val="20"/>
                <w:szCs w:val="20"/>
                <w:lang w:eastAsia="sl-SI"/>
              </w:rPr>
              <w:t>Turizem na kmetiji, ki:</w:t>
            </w:r>
          </w:p>
        </w:tc>
        <w:tc>
          <w:tcPr>
            <w:tcW w:w="892" w:type="dxa"/>
            <w:tcBorders>
              <w:top w:val="nil"/>
              <w:left w:val="nil"/>
              <w:bottom w:val="single" w:sz="4" w:space="0" w:color="auto"/>
              <w:right w:val="single" w:sz="4" w:space="0" w:color="auto"/>
            </w:tcBorders>
            <w:shd w:val="clear" w:color="auto" w:fill="auto"/>
            <w:noWrap/>
            <w:vAlign w:val="bottom"/>
          </w:tcPr>
          <w:p w14:paraId="4214497C" w14:textId="77777777" w:rsidR="00DD12D7" w:rsidRPr="00130C85" w:rsidRDefault="00DD12D7" w:rsidP="00C85A02">
            <w:pPr>
              <w:keepNext/>
              <w:keepLines/>
              <w:spacing w:before="60" w:after="60" w:line="240" w:lineRule="auto"/>
              <w:jc w:val="right"/>
              <w:rPr>
                <w:rFonts w:ascii="Arial" w:hAnsi="Arial" w:cs="Arial"/>
                <w:color w:val="000000"/>
                <w:sz w:val="20"/>
                <w:szCs w:val="20"/>
              </w:rPr>
            </w:pPr>
          </w:p>
        </w:tc>
        <w:tc>
          <w:tcPr>
            <w:tcW w:w="892" w:type="dxa"/>
            <w:tcBorders>
              <w:top w:val="nil"/>
              <w:left w:val="nil"/>
              <w:bottom w:val="single" w:sz="4" w:space="0" w:color="auto"/>
              <w:right w:val="single" w:sz="4" w:space="0" w:color="auto"/>
            </w:tcBorders>
            <w:shd w:val="clear" w:color="auto" w:fill="auto"/>
            <w:noWrap/>
            <w:vAlign w:val="bottom"/>
          </w:tcPr>
          <w:p w14:paraId="1F5401E6" w14:textId="77777777" w:rsidR="00DD12D7" w:rsidRPr="00130C85" w:rsidRDefault="00DD12D7" w:rsidP="00C85A02">
            <w:pPr>
              <w:keepNext/>
              <w:keepLines/>
              <w:spacing w:before="60" w:after="60" w:line="240" w:lineRule="auto"/>
              <w:jc w:val="right"/>
              <w:rPr>
                <w:rFonts w:ascii="Arial" w:hAnsi="Arial" w:cs="Arial"/>
                <w:color w:val="000000"/>
                <w:sz w:val="20"/>
                <w:szCs w:val="20"/>
              </w:rPr>
            </w:pPr>
          </w:p>
        </w:tc>
        <w:tc>
          <w:tcPr>
            <w:tcW w:w="892" w:type="dxa"/>
            <w:tcBorders>
              <w:top w:val="nil"/>
              <w:left w:val="nil"/>
              <w:bottom w:val="single" w:sz="4" w:space="0" w:color="auto"/>
              <w:right w:val="single" w:sz="4" w:space="0" w:color="auto"/>
            </w:tcBorders>
            <w:shd w:val="clear" w:color="auto" w:fill="auto"/>
            <w:noWrap/>
            <w:vAlign w:val="bottom"/>
          </w:tcPr>
          <w:p w14:paraId="74D9A4F3" w14:textId="77777777" w:rsidR="00DD12D7" w:rsidRPr="00130C85" w:rsidRDefault="00DD12D7" w:rsidP="00C85A02">
            <w:pPr>
              <w:keepNext/>
              <w:keepLines/>
              <w:spacing w:before="60" w:after="60" w:line="240" w:lineRule="auto"/>
              <w:jc w:val="right"/>
              <w:rPr>
                <w:rFonts w:ascii="Arial" w:hAnsi="Arial" w:cs="Arial"/>
                <w:color w:val="000000"/>
                <w:sz w:val="20"/>
                <w:szCs w:val="20"/>
              </w:rPr>
            </w:pPr>
          </w:p>
        </w:tc>
        <w:tc>
          <w:tcPr>
            <w:tcW w:w="892" w:type="dxa"/>
            <w:tcBorders>
              <w:top w:val="nil"/>
              <w:left w:val="nil"/>
              <w:bottom w:val="single" w:sz="4" w:space="0" w:color="auto"/>
              <w:right w:val="single" w:sz="4" w:space="0" w:color="auto"/>
            </w:tcBorders>
            <w:shd w:val="clear" w:color="auto" w:fill="auto"/>
            <w:noWrap/>
            <w:vAlign w:val="bottom"/>
          </w:tcPr>
          <w:p w14:paraId="5C99FAA8" w14:textId="77777777" w:rsidR="00DD12D7" w:rsidRPr="00130C85" w:rsidRDefault="00DD12D7" w:rsidP="00C85A02">
            <w:pPr>
              <w:keepNext/>
              <w:keepLines/>
              <w:spacing w:before="60" w:after="60" w:line="240" w:lineRule="auto"/>
              <w:jc w:val="right"/>
              <w:rPr>
                <w:rFonts w:ascii="Arial" w:hAnsi="Arial" w:cs="Arial"/>
                <w:color w:val="000000"/>
                <w:sz w:val="20"/>
                <w:szCs w:val="20"/>
              </w:rPr>
            </w:pPr>
          </w:p>
        </w:tc>
        <w:tc>
          <w:tcPr>
            <w:tcW w:w="893" w:type="dxa"/>
            <w:tcBorders>
              <w:top w:val="nil"/>
              <w:left w:val="nil"/>
              <w:bottom w:val="single" w:sz="4" w:space="0" w:color="auto"/>
              <w:right w:val="single" w:sz="4" w:space="0" w:color="auto"/>
            </w:tcBorders>
            <w:shd w:val="clear" w:color="auto" w:fill="auto"/>
            <w:noWrap/>
            <w:vAlign w:val="bottom"/>
          </w:tcPr>
          <w:p w14:paraId="1A31ECF4" w14:textId="77777777" w:rsidR="00DD12D7" w:rsidRPr="00130C85" w:rsidRDefault="00DD12D7" w:rsidP="00C85A02">
            <w:pPr>
              <w:keepNext/>
              <w:keepLines/>
              <w:spacing w:before="60" w:after="60" w:line="240" w:lineRule="auto"/>
              <w:jc w:val="right"/>
              <w:rPr>
                <w:rFonts w:ascii="Arial" w:hAnsi="Arial" w:cs="Arial"/>
                <w:color w:val="000000"/>
                <w:sz w:val="20"/>
                <w:szCs w:val="20"/>
              </w:rPr>
            </w:pPr>
          </w:p>
        </w:tc>
      </w:tr>
      <w:tr w:rsidR="00130C85" w:rsidRPr="008B1982" w14:paraId="1E2677F2" w14:textId="77777777" w:rsidTr="00092278">
        <w:trPr>
          <w:trHeight w:val="220"/>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688A2B44" w14:textId="7F470FFC" w:rsidR="00130C85" w:rsidRPr="00832D92" w:rsidRDefault="00DD12D7" w:rsidP="00C85A02">
            <w:pPr>
              <w:keepNext/>
              <w:keepLines/>
              <w:spacing w:before="60" w:after="60" w:line="240" w:lineRule="auto"/>
              <w:ind w:left="708"/>
              <w:rPr>
                <w:rFonts w:ascii="Arial" w:hAnsi="Arial" w:cs="Arial"/>
                <w:bCs/>
                <w:color w:val="000000"/>
                <w:sz w:val="20"/>
                <w:szCs w:val="20"/>
                <w:lang w:eastAsia="sl-SI"/>
              </w:rPr>
            </w:pPr>
            <w:r>
              <w:rPr>
                <w:rFonts w:ascii="Arial" w:hAnsi="Arial" w:cs="Arial"/>
                <w:bCs/>
                <w:color w:val="000000"/>
                <w:sz w:val="20"/>
                <w:szCs w:val="20"/>
                <w:lang w:eastAsia="sl-SI"/>
              </w:rPr>
              <w:t>-</w:t>
            </w:r>
            <w:r w:rsidR="00130C85" w:rsidRPr="00832D92">
              <w:rPr>
                <w:rFonts w:ascii="Arial" w:hAnsi="Arial" w:cs="Arial"/>
                <w:bCs/>
                <w:color w:val="000000"/>
                <w:sz w:val="20"/>
                <w:szCs w:val="20"/>
                <w:lang w:eastAsia="sl-SI"/>
              </w:rPr>
              <w:t xml:space="preserve"> je gostinska dejavnost</w:t>
            </w:r>
          </w:p>
        </w:tc>
        <w:tc>
          <w:tcPr>
            <w:tcW w:w="892" w:type="dxa"/>
            <w:tcBorders>
              <w:top w:val="nil"/>
              <w:left w:val="nil"/>
              <w:bottom w:val="single" w:sz="4" w:space="0" w:color="auto"/>
              <w:right w:val="single" w:sz="4" w:space="0" w:color="auto"/>
            </w:tcBorders>
            <w:shd w:val="clear" w:color="auto" w:fill="auto"/>
            <w:noWrap/>
            <w:vAlign w:val="bottom"/>
            <w:hideMark/>
          </w:tcPr>
          <w:p w14:paraId="17AAC3C5"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920</w:t>
            </w:r>
          </w:p>
        </w:tc>
        <w:tc>
          <w:tcPr>
            <w:tcW w:w="892" w:type="dxa"/>
            <w:tcBorders>
              <w:top w:val="nil"/>
              <w:left w:val="nil"/>
              <w:bottom w:val="single" w:sz="4" w:space="0" w:color="auto"/>
              <w:right w:val="single" w:sz="4" w:space="0" w:color="auto"/>
            </w:tcBorders>
            <w:shd w:val="clear" w:color="auto" w:fill="auto"/>
            <w:noWrap/>
            <w:vAlign w:val="bottom"/>
            <w:hideMark/>
          </w:tcPr>
          <w:p w14:paraId="0D251DE8"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1.018</w:t>
            </w:r>
          </w:p>
        </w:tc>
        <w:tc>
          <w:tcPr>
            <w:tcW w:w="892" w:type="dxa"/>
            <w:tcBorders>
              <w:top w:val="nil"/>
              <w:left w:val="nil"/>
              <w:bottom w:val="single" w:sz="4" w:space="0" w:color="auto"/>
              <w:right w:val="single" w:sz="4" w:space="0" w:color="auto"/>
            </w:tcBorders>
            <w:shd w:val="clear" w:color="auto" w:fill="auto"/>
            <w:noWrap/>
            <w:vAlign w:val="bottom"/>
            <w:hideMark/>
          </w:tcPr>
          <w:p w14:paraId="63F90FBE"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1.067</w:t>
            </w:r>
          </w:p>
        </w:tc>
        <w:tc>
          <w:tcPr>
            <w:tcW w:w="892" w:type="dxa"/>
            <w:tcBorders>
              <w:top w:val="nil"/>
              <w:left w:val="nil"/>
              <w:bottom w:val="single" w:sz="4" w:space="0" w:color="auto"/>
              <w:right w:val="single" w:sz="4" w:space="0" w:color="auto"/>
            </w:tcBorders>
            <w:shd w:val="clear" w:color="auto" w:fill="auto"/>
            <w:noWrap/>
            <w:vAlign w:val="bottom"/>
            <w:hideMark/>
          </w:tcPr>
          <w:p w14:paraId="64DDCA48"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1.112</w:t>
            </w:r>
          </w:p>
        </w:tc>
        <w:tc>
          <w:tcPr>
            <w:tcW w:w="893" w:type="dxa"/>
            <w:tcBorders>
              <w:top w:val="nil"/>
              <w:left w:val="nil"/>
              <w:bottom w:val="single" w:sz="4" w:space="0" w:color="auto"/>
              <w:right w:val="single" w:sz="4" w:space="0" w:color="auto"/>
            </w:tcBorders>
            <w:shd w:val="clear" w:color="auto" w:fill="auto"/>
            <w:noWrap/>
            <w:vAlign w:val="bottom"/>
            <w:hideMark/>
          </w:tcPr>
          <w:p w14:paraId="2BA61954"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1.202</w:t>
            </w:r>
          </w:p>
        </w:tc>
      </w:tr>
      <w:tr w:rsidR="00130C85" w:rsidRPr="008B1982" w14:paraId="7ACD2981" w14:textId="77777777" w:rsidTr="00092278">
        <w:trPr>
          <w:trHeight w:val="266"/>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44D43CE1" w14:textId="05152FA6" w:rsidR="00130C85" w:rsidRPr="00832D92" w:rsidRDefault="00DD12D7" w:rsidP="00C85A02">
            <w:pPr>
              <w:keepNext/>
              <w:keepLines/>
              <w:spacing w:before="60" w:after="60" w:line="240" w:lineRule="auto"/>
              <w:ind w:left="708"/>
              <w:rPr>
                <w:rFonts w:ascii="Arial" w:hAnsi="Arial" w:cs="Arial"/>
                <w:bCs/>
                <w:color w:val="000000"/>
                <w:sz w:val="20"/>
                <w:szCs w:val="20"/>
                <w:lang w:eastAsia="sl-SI"/>
              </w:rPr>
            </w:pPr>
            <w:r>
              <w:rPr>
                <w:rFonts w:ascii="Arial" w:hAnsi="Arial" w:cs="Arial"/>
                <w:bCs/>
                <w:color w:val="000000"/>
                <w:sz w:val="20"/>
                <w:szCs w:val="20"/>
                <w:lang w:eastAsia="sl-SI"/>
              </w:rPr>
              <w:t>-</w:t>
            </w:r>
            <w:r w:rsidR="00130C85" w:rsidRPr="00832D92">
              <w:rPr>
                <w:rFonts w:ascii="Arial" w:hAnsi="Arial" w:cs="Arial"/>
                <w:bCs/>
                <w:color w:val="000000"/>
                <w:sz w:val="20"/>
                <w:szCs w:val="20"/>
                <w:lang w:eastAsia="sl-SI"/>
              </w:rPr>
              <w:t xml:space="preserve"> ni gostinska dejavnost</w:t>
            </w:r>
          </w:p>
        </w:tc>
        <w:tc>
          <w:tcPr>
            <w:tcW w:w="892" w:type="dxa"/>
            <w:tcBorders>
              <w:top w:val="nil"/>
              <w:left w:val="nil"/>
              <w:bottom w:val="single" w:sz="4" w:space="0" w:color="auto"/>
              <w:right w:val="single" w:sz="4" w:space="0" w:color="auto"/>
            </w:tcBorders>
            <w:shd w:val="clear" w:color="auto" w:fill="auto"/>
            <w:noWrap/>
            <w:vAlign w:val="bottom"/>
            <w:hideMark/>
          </w:tcPr>
          <w:p w14:paraId="1D3065E6"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475</w:t>
            </w:r>
          </w:p>
        </w:tc>
        <w:tc>
          <w:tcPr>
            <w:tcW w:w="892" w:type="dxa"/>
            <w:tcBorders>
              <w:top w:val="nil"/>
              <w:left w:val="nil"/>
              <w:bottom w:val="single" w:sz="4" w:space="0" w:color="auto"/>
              <w:right w:val="single" w:sz="4" w:space="0" w:color="auto"/>
            </w:tcBorders>
            <w:shd w:val="clear" w:color="auto" w:fill="auto"/>
            <w:noWrap/>
            <w:vAlign w:val="bottom"/>
            <w:hideMark/>
          </w:tcPr>
          <w:p w14:paraId="64C1DA15"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552</w:t>
            </w:r>
          </w:p>
        </w:tc>
        <w:tc>
          <w:tcPr>
            <w:tcW w:w="892" w:type="dxa"/>
            <w:tcBorders>
              <w:top w:val="nil"/>
              <w:left w:val="nil"/>
              <w:bottom w:val="single" w:sz="4" w:space="0" w:color="auto"/>
              <w:right w:val="single" w:sz="4" w:space="0" w:color="auto"/>
            </w:tcBorders>
            <w:shd w:val="clear" w:color="auto" w:fill="auto"/>
            <w:noWrap/>
            <w:vAlign w:val="bottom"/>
            <w:hideMark/>
          </w:tcPr>
          <w:p w14:paraId="7BD833F0"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565</w:t>
            </w:r>
          </w:p>
        </w:tc>
        <w:tc>
          <w:tcPr>
            <w:tcW w:w="892" w:type="dxa"/>
            <w:tcBorders>
              <w:top w:val="nil"/>
              <w:left w:val="nil"/>
              <w:bottom w:val="single" w:sz="4" w:space="0" w:color="auto"/>
              <w:right w:val="single" w:sz="4" w:space="0" w:color="auto"/>
            </w:tcBorders>
            <w:shd w:val="clear" w:color="auto" w:fill="auto"/>
            <w:noWrap/>
            <w:vAlign w:val="bottom"/>
            <w:hideMark/>
          </w:tcPr>
          <w:p w14:paraId="304D7600"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604</w:t>
            </w:r>
          </w:p>
        </w:tc>
        <w:tc>
          <w:tcPr>
            <w:tcW w:w="893" w:type="dxa"/>
            <w:tcBorders>
              <w:top w:val="nil"/>
              <w:left w:val="nil"/>
              <w:bottom w:val="single" w:sz="4" w:space="0" w:color="auto"/>
              <w:right w:val="single" w:sz="4" w:space="0" w:color="auto"/>
            </w:tcBorders>
            <w:shd w:val="clear" w:color="auto" w:fill="auto"/>
            <w:noWrap/>
            <w:vAlign w:val="bottom"/>
            <w:hideMark/>
          </w:tcPr>
          <w:p w14:paraId="26B4A290"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669</w:t>
            </w:r>
          </w:p>
        </w:tc>
      </w:tr>
      <w:tr w:rsidR="00130C85" w:rsidRPr="008B1982" w14:paraId="51D16FAE" w14:textId="77777777" w:rsidTr="00092278">
        <w:trPr>
          <w:trHeight w:val="618"/>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B3EA9CB" w14:textId="0E706F91" w:rsidR="00130C85" w:rsidRPr="00832D92" w:rsidRDefault="00130C85" w:rsidP="00C85A02">
            <w:pPr>
              <w:keepNext/>
              <w:keepLines/>
              <w:spacing w:before="60" w:after="60" w:line="240" w:lineRule="auto"/>
              <w:rPr>
                <w:rFonts w:ascii="Arial" w:hAnsi="Arial" w:cs="Arial"/>
                <w:bCs/>
                <w:color w:val="000000"/>
                <w:sz w:val="20"/>
                <w:szCs w:val="20"/>
                <w:lang w:eastAsia="sl-SI"/>
              </w:rPr>
            </w:pPr>
            <w:r>
              <w:rPr>
                <w:rFonts w:ascii="Arial" w:hAnsi="Arial" w:cs="Arial"/>
                <w:bCs/>
                <w:color w:val="000000"/>
                <w:sz w:val="20"/>
                <w:szCs w:val="20"/>
                <w:lang w:eastAsia="sl-SI"/>
              </w:rPr>
              <w:t>P</w:t>
            </w:r>
            <w:r w:rsidRPr="00832D92">
              <w:rPr>
                <w:rFonts w:ascii="Arial" w:hAnsi="Arial" w:cs="Arial"/>
                <w:bCs/>
                <w:color w:val="000000"/>
                <w:sz w:val="20"/>
                <w:szCs w:val="20"/>
                <w:lang w:eastAsia="sl-SI"/>
              </w:rPr>
              <w:t>redelava rastlinskih odpadkov ter proizvodnja in prodaja energije iz obnovljivih virov</w:t>
            </w:r>
          </w:p>
        </w:tc>
        <w:tc>
          <w:tcPr>
            <w:tcW w:w="892" w:type="dxa"/>
            <w:tcBorders>
              <w:top w:val="nil"/>
              <w:left w:val="nil"/>
              <w:bottom w:val="single" w:sz="4" w:space="0" w:color="auto"/>
              <w:right w:val="single" w:sz="4" w:space="0" w:color="auto"/>
            </w:tcBorders>
            <w:shd w:val="clear" w:color="auto" w:fill="auto"/>
            <w:noWrap/>
            <w:vAlign w:val="bottom"/>
            <w:hideMark/>
          </w:tcPr>
          <w:p w14:paraId="6E04B645"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549</w:t>
            </w:r>
          </w:p>
        </w:tc>
        <w:tc>
          <w:tcPr>
            <w:tcW w:w="892" w:type="dxa"/>
            <w:tcBorders>
              <w:top w:val="nil"/>
              <w:left w:val="nil"/>
              <w:bottom w:val="single" w:sz="4" w:space="0" w:color="auto"/>
              <w:right w:val="single" w:sz="4" w:space="0" w:color="auto"/>
            </w:tcBorders>
            <w:shd w:val="clear" w:color="auto" w:fill="auto"/>
            <w:noWrap/>
            <w:vAlign w:val="bottom"/>
            <w:hideMark/>
          </w:tcPr>
          <w:p w14:paraId="45D179FD"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564</w:t>
            </w:r>
          </w:p>
        </w:tc>
        <w:tc>
          <w:tcPr>
            <w:tcW w:w="892" w:type="dxa"/>
            <w:tcBorders>
              <w:top w:val="nil"/>
              <w:left w:val="nil"/>
              <w:bottom w:val="single" w:sz="4" w:space="0" w:color="auto"/>
              <w:right w:val="single" w:sz="4" w:space="0" w:color="auto"/>
            </w:tcBorders>
            <w:shd w:val="clear" w:color="auto" w:fill="auto"/>
            <w:noWrap/>
            <w:vAlign w:val="bottom"/>
            <w:hideMark/>
          </w:tcPr>
          <w:p w14:paraId="1041C1BE"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571</w:t>
            </w:r>
          </w:p>
        </w:tc>
        <w:tc>
          <w:tcPr>
            <w:tcW w:w="892" w:type="dxa"/>
            <w:tcBorders>
              <w:top w:val="nil"/>
              <w:left w:val="nil"/>
              <w:bottom w:val="single" w:sz="4" w:space="0" w:color="auto"/>
              <w:right w:val="single" w:sz="4" w:space="0" w:color="auto"/>
            </w:tcBorders>
            <w:shd w:val="clear" w:color="auto" w:fill="auto"/>
            <w:noWrap/>
            <w:vAlign w:val="bottom"/>
            <w:hideMark/>
          </w:tcPr>
          <w:p w14:paraId="45B25FE7"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576</w:t>
            </w:r>
          </w:p>
        </w:tc>
        <w:tc>
          <w:tcPr>
            <w:tcW w:w="893" w:type="dxa"/>
            <w:tcBorders>
              <w:top w:val="nil"/>
              <w:left w:val="nil"/>
              <w:bottom w:val="single" w:sz="4" w:space="0" w:color="auto"/>
              <w:right w:val="single" w:sz="4" w:space="0" w:color="auto"/>
            </w:tcBorders>
            <w:shd w:val="clear" w:color="auto" w:fill="auto"/>
            <w:noWrap/>
            <w:vAlign w:val="bottom"/>
            <w:hideMark/>
          </w:tcPr>
          <w:p w14:paraId="6715FE80"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584</w:t>
            </w:r>
          </w:p>
        </w:tc>
      </w:tr>
      <w:tr w:rsidR="00130C85" w:rsidRPr="008B1982" w14:paraId="7615D829" w14:textId="77777777" w:rsidTr="00092278">
        <w:trPr>
          <w:trHeight w:val="310"/>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221C80C" w14:textId="307F3EBA" w:rsidR="00130C85" w:rsidRPr="00832D92" w:rsidRDefault="00130C85" w:rsidP="00C85A02">
            <w:pPr>
              <w:keepNext/>
              <w:keepLines/>
              <w:spacing w:before="60" w:after="60" w:line="240" w:lineRule="auto"/>
              <w:rPr>
                <w:rFonts w:ascii="Arial" w:hAnsi="Arial" w:cs="Arial"/>
                <w:bCs/>
                <w:color w:val="000000"/>
                <w:sz w:val="20"/>
                <w:szCs w:val="20"/>
                <w:lang w:eastAsia="sl-SI"/>
              </w:rPr>
            </w:pPr>
            <w:r>
              <w:rPr>
                <w:rFonts w:ascii="Arial" w:hAnsi="Arial" w:cs="Arial"/>
                <w:bCs/>
                <w:color w:val="000000"/>
                <w:sz w:val="20"/>
                <w:szCs w:val="20"/>
                <w:lang w:eastAsia="sl-SI"/>
              </w:rPr>
              <w:t>S</w:t>
            </w:r>
            <w:r w:rsidRPr="00832D92">
              <w:rPr>
                <w:rFonts w:ascii="Arial" w:hAnsi="Arial" w:cs="Arial"/>
                <w:bCs/>
                <w:color w:val="000000"/>
                <w:sz w:val="20"/>
                <w:szCs w:val="20"/>
                <w:lang w:eastAsia="sl-SI"/>
              </w:rPr>
              <w:t>ocialno varstvo</w:t>
            </w:r>
          </w:p>
        </w:tc>
        <w:tc>
          <w:tcPr>
            <w:tcW w:w="892" w:type="dxa"/>
            <w:tcBorders>
              <w:top w:val="nil"/>
              <w:left w:val="nil"/>
              <w:bottom w:val="single" w:sz="4" w:space="0" w:color="auto"/>
              <w:right w:val="single" w:sz="4" w:space="0" w:color="auto"/>
            </w:tcBorders>
            <w:shd w:val="clear" w:color="auto" w:fill="auto"/>
            <w:noWrap/>
            <w:vAlign w:val="bottom"/>
            <w:hideMark/>
          </w:tcPr>
          <w:p w14:paraId="05042BCF"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4</w:t>
            </w:r>
          </w:p>
        </w:tc>
        <w:tc>
          <w:tcPr>
            <w:tcW w:w="892" w:type="dxa"/>
            <w:tcBorders>
              <w:top w:val="nil"/>
              <w:left w:val="nil"/>
              <w:bottom w:val="single" w:sz="4" w:space="0" w:color="auto"/>
              <w:right w:val="single" w:sz="4" w:space="0" w:color="auto"/>
            </w:tcBorders>
            <w:shd w:val="clear" w:color="auto" w:fill="auto"/>
            <w:noWrap/>
            <w:vAlign w:val="bottom"/>
            <w:hideMark/>
          </w:tcPr>
          <w:p w14:paraId="0C116790"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5</w:t>
            </w:r>
          </w:p>
        </w:tc>
        <w:tc>
          <w:tcPr>
            <w:tcW w:w="892" w:type="dxa"/>
            <w:tcBorders>
              <w:top w:val="nil"/>
              <w:left w:val="nil"/>
              <w:bottom w:val="single" w:sz="4" w:space="0" w:color="auto"/>
              <w:right w:val="single" w:sz="4" w:space="0" w:color="auto"/>
            </w:tcBorders>
            <w:shd w:val="clear" w:color="auto" w:fill="auto"/>
            <w:noWrap/>
            <w:vAlign w:val="bottom"/>
            <w:hideMark/>
          </w:tcPr>
          <w:p w14:paraId="12BEBE1B"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4</w:t>
            </w:r>
          </w:p>
        </w:tc>
        <w:tc>
          <w:tcPr>
            <w:tcW w:w="892" w:type="dxa"/>
            <w:tcBorders>
              <w:top w:val="nil"/>
              <w:left w:val="nil"/>
              <w:bottom w:val="single" w:sz="4" w:space="0" w:color="auto"/>
              <w:right w:val="single" w:sz="4" w:space="0" w:color="auto"/>
            </w:tcBorders>
            <w:shd w:val="clear" w:color="auto" w:fill="auto"/>
            <w:noWrap/>
            <w:vAlign w:val="bottom"/>
            <w:hideMark/>
          </w:tcPr>
          <w:p w14:paraId="3A8FCD87"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3</w:t>
            </w:r>
          </w:p>
        </w:tc>
        <w:tc>
          <w:tcPr>
            <w:tcW w:w="893" w:type="dxa"/>
            <w:tcBorders>
              <w:top w:val="nil"/>
              <w:left w:val="nil"/>
              <w:bottom w:val="single" w:sz="4" w:space="0" w:color="auto"/>
              <w:right w:val="single" w:sz="4" w:space="0" w:color="auto"/>
            </w:tcBorders>
            <w:shd w:val="clear" w:color="auto" w:fill="auto"/>
            <w:noWrap/>
            <w:vAlign w:val="bottom"/>
            <w:hideMark/>
          </w:tcPr>
          <w:p w14:paraId="39CC84F7"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7</w:t>
            </w:r>
          </w:p>
        </w:tc>
      </w:tr>
      <w:tr w:rsidR="00130C85" w:rsidRPr="008B1982" w14:paraId="4E96636E" w14:textId="77777777" w:rsidTr="00092278">
        <w:trPr>
          <w:trHeight w:val="300"/>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F129455" w14:textId="77777777" w:rsidR="00130C85" w:rsidRPr="005B18EB" w:rsidRDefault="00130C85" w:rsidP="00C85A02">
            <w:pPr>
              <w:keepNext/>
              <w:keepLines/>
              <w:spacing w:before="60" w:after="60" w:line="240" w:lineRule="auto"/>
              <w:jc w:val="both"/>
              <w:rPr>
                <w:rFonts w:ascii="Arial" w:hAnsi="Arial" w:cs="Arial"/>
                <w:b/>
                <w:bCs/>
                <w:color w:val="000000"/>
                <w:sz w:val="20"/>
                <w:szCs w:val="20"/>
                <w:lang w:eastAsia="sl-SI"/>
              </w:rPr>
            </w:pPr>
            <w:r w:rsidRPr="005B18EB">
              <w:rPr>
                <w:rFonts w:ascii="Arial" w:hAnsi="Arial" w:cs="Arial"/>
                <w:b/>
                <w:bCs/>
                <w:color w:val="000000"/>
                <w:sz w:val="20"/>
                <w:szCs w:val="20"/>
                <w:lang w:eastAsia="sl-SI"/>
              </w:rPr>
              <w:t>SKUPAJ</w:t>
            </w:r>
          </w:p>
        </w:tc>
        <w:tc>
          <w:tcPr>
            <w:tcW w:w="892" w:type="dxa"/>
            <w:tcBorders>
              <w:top w:val="nil"/>
              <w:left w:val="nil"/>
              <w:bottom w:val="single" w:sz="4" w:space="0" w:color="auto"/>
              <w:right w:val="single" w:sz="4" w:space="0" w:color="auto"/>
            </w:tcBorders>
            <w:shd w:val="clear" w:color="auto" w:fill="auto"/>
            <w:noWrap/>
            <w:vAlign w:val="bottom"/>
            <w:hideMark/>
          </w:tcPr>
          <w:p w14:paraId="46D14909" w14:textId="36DA0529" w:rsidR="00130C85" w:rsidRPr="00130C85" w:rsidRDefault="00130C85" w:rsidP="00C85A02">
            <w:pPr>
              <w:keepNext/>
              <w:keepLines/>
              <w:spacing w:before="60" w:after="60" w:line="240" w:lineRule="auto"/>
              <w:jc w:val="right"/>
              <w:rPr>
                <w:rFonts w:ascii="Arial" w:hAnsi="Arial" w:cs="Arial"/>
                <w:b/>
                <w:bCs/>
                <w:color w:val="000000"/>
                <w:sz w:val="20"/>
                <w:szCs w:val="20"/>
                <w:lang w:eastAsia="sl-SI"/>
              </w:rPr>
            </w:pPr>
            <w:r w:rsidRPr="005B18EB">
              <w:rPr>
                <w:rFonts w:ascii="Arial" w:hAnsi="Arial" w:cs="Arial"/>
                <w:b/>
                <w:color w:val="000000"/>
                <w:sz w:val="20"/>
                <w:szCs w:val="20"/>
                <w:lang w:eastAsia="sl-SI"/>
              </w:rPr>
              <w:t>4.</w:t>
            </w:r>
            <w:r w:rsidRPr="00130C85">
              <w:rPr>
                <w:rFonts w:ascii="Arial" w:hAnsi="Arial" w:cs="Arial"/>
                <w:b/>
                <w:bCs/>
                <w:color w:val="000000"/>
                <w:sz w:val="20"/>
                <w:szCs w:val="20"/>
              </w:rPr>
              <w:t>926</w:t>
            </w:r>
          </w:p>
        </w:tc>
        <w:tc>
          <w:tcPr>
            <w:tcW w:w="892" w:type="dxa"/>
            <w:tcBorders>
              <w:top w:val="nil"/>
              <w:left w:val="nil"/>
              <w:bottom w:val="single" w:sz="4" w:space="0" w:color="auto"/>
              <w:right w:val="single" w:sz="4" w:space="0" w:color="auto"/>
            </w:tcBorders>
            <w:shd w:val="clear" w:color="auto" w:fill="auto"/>
            <w:noWrap/>
            <w:vAlign w:val="bottom"/>
            <w:hideMark/>
          </w:tcPr>
          <w:p w14:paraId="65EBB509" w14:textId="060C60AD" w:rsidR="00130C85" w:rsidRPr="00130C85" w:rsidRDefault="00130C85" w:rsidP="00C85A02">
            <w:pPr>
              <w:keepNext/>
              <w:keepLines/>
              <w:spacing w:before="60" w:after="60" w:line="240" w:lineRule="auto"/>
              <w:jc w:val="right"/>
              <w:rPr>
                <w:rFonts w:ascii="Arial" w:hAnsi="Arial" w:cs="Arial"/>
                <w:b/>
                <w:bCs/>
                <w:color w:val="000000"/>
                <w:sz w:val="20"/>
                <w:szCs w:val="20"/>
                <w:lang w:eastAsia="sl-SI"/>
              </w:rPr>
            </w:pPr>
            <w:r w:rsidRPr="005B18EB">
              <w:rPr>
                <w:rFonts w:ascii="Arial" w:hAnsi="Arial" w:cs="Arial"/>
                <w:b/>
                <w:color w:val="000000"/>
                <w:sz w:val="20"/>
                <w:szCs w:val="20"/>
                <w:lang w:eastAsia="sl-SI"/>
              </w:rPr>
              <w:t>5.</w:t>
            </w:r>
            <w:r w:rsidRPr="00130C85">
              <w:rPr>
                <w:rFonts w:ascii="Arial" w:hAnsi="Arial" w:cs="Arial"/>
                <w:b/>
                <w:bCs/>
                <w:color w:val="000000"/>
                <w:sz w:val="20"/>
                <w:szCs w:val="20"/>
              </w:rPr>
              <w:t>609</w:t>
            </w:r>
          </w:p>
        </w:tc>
        <w:tc>
          <w:tcPr>
            <w:tcW w:w="892" w:type="dxa"/>
            <w:tcBorders>
              <w:top w:val="nil"/>
              <w:left w:val="nil"/>
              <w:bottom w:val="single" w:sz="4" w:space="0" w:color="auto"/>
              <w:right w:val="single" w:sz="4" w:space="0" w:color="auto"/>
            </w:tcBorders>
            <w:shd w:val="clear" w:color="auto" w:fill="auto"/>
            <w:noWrap/>
            <w:vAlign w:val="bottom"/>
            <w:hideMark/>
          </w:tcPr>
          <w:p w14:paraId="1E8D0126" w14:textId="3913A3D2" w:rsidR="00130C85" w:rsidRPr="00130C85" w:rsidRDefault="00130C85" w:rsidP="00C85A02">
            <w:pPr>
              <w:keepNext/>
              <w:keepLines/>
              <w:spacing w:before="60" w:after="60" w:line="240" w:lineRule="auto"/>
              <w:jc w:val="right"/>
              <w:rPr>
                <w:rFonts w:ascii="Arial" w:hAnsi="Arial" w:cs="Arial"/>
                <w:b/>
                <w:bCs/>
                <w:color w:val="000000"/>
                <w:sz w:val="20"/>
                <w:szCs w:val="20"/>
                <w:lang w:eastAsia="sl-SI"/>
              </w:rPr>
            </w:pPr>
            <w:r w:rsidRPr="005B18EB">
              <w:rPr>
                <w:rFonts w:ascii="Arial" w:hAnsi="Arial" w:cs="Arial"/>
                <w:b/>
                <w:color w:val="000000"/>
                <w:sz w:val="20"/>
                <w:szCs w:val="20"/>
                <w:lang w:eastAsia="sl-SI"/>
              </w:rPr>
              <w:t>5.</w:t>
            </w:r>
            <w:r w:rsidRPr="00130C85">
              <w:rPr>
                <w:rFonts w:ascii="Arial" w:hAnsi="Arial" w:cs="Arial"/>
                <w:b/>
                <w:bCs/>
                <w:color w:val="000000"/>
                <w:sz w:val="20"/>
                <w:szCs w:val="20"/>
              </w:rPr>
              <w:t>898</w:t>
            </w:r>
          </w:p>
        </w:tc>
        <w:tc>
          <w:tcPr>
            <w:tcW w:w="892" w:type="dxa"/>
            <w:tcBorders>
              <w:top w:val="nil"/>
              <w:left w:val="nil"/>
              <w:bottom w:val="single" w:sz="4" w:space="0" w:color="auto"/>
              <w:right w:val="single" w:sz="4" w:space="0" w:color="auto"/>
            </w:tcBorders>
            <w:shd w:val="clear" w:color="auto" w:fill="auto"/>
            <w:noWrap/>
            <w:vAlign w:val="bottom"/>
            <w:hideMark/>
          </w:tcPr>
          <w:p w14:paraId="2271D158" w14:textId="7B7B4442" w:rsidR="00130C85" w:rsidRPr="00130C85" w:rsidRDefault="00130C85" w:rsidP="00C85A02">
            <w:pPr>
              <w:keepNext/>
              <w:keepLines/>
              <w:spacing w:before="60" w:after="60" w:line="240" w:lineRule="auto"/>
              <w:jc w:val="right"/>
              <w:rPr>
                <w:rFonts w:ascii="Arial" w:hAnsi="Arial" w:cs="Arial"/>
                <w:b/>
                <w:bCs/>
                <w:color w:val="000000"/>
                <w:sz w:val="20"/>
                <w:szCs w:val="20"/>
                <w:lang w:eastAsia="sl-SI"/>
              </w:rPr>
            </w:pPr>
            <w:r w:rsidRPr="005B18EB">
              <w:rPr>
                <w:rFonts w:ascii="Arial" w:hAnsi="Arial" w:cs="Arial"/>
                <w:b/>
                <w:color w:val="000000"/>
                <w:sz w:val="20"/>
                <w:szCs w:val="20"/>
                <w:lang w:eastAsia="sl-SI"/>
              </w:rPr>
              <w:t>6.</w:t>
            </w:r>
            <w:r w:rsidRPr="00130C85">
              <w:rPr>
                <w:rFonts w:ascii="Arial" w:hAnsi="Arial" w:cs="Arial"/>
                <w:b/>
                <w:bCs/>
                <w:color w:val="000000"/>
                <w:sz w:val="20"/>
                <w:szCs w:val="20"/>
              </w:rPr>
              <w:t>198</w:t>
            </w:r>
          </w:p>
        </w:tc>
        <w:tc>
          <w:tcPr>
            <w:tcW w:w="893" w:type="dxa"/>
            <w:tcBorders>
              <w:top w:val="nil"/>
              <w:left w:val="nil"/>
              <w:bottom w:val="single" w:sz="4" w:space="0" w:color="auto"/>
              <w:right w:val="single" w:sz="4" w:space="0" w:color="auto"/>
            </w:tcBorders>
            <w:shd w:val="clear" w:color="auto" w:fill="auto"/>
            <w:noWrap/>
            <w:vAlign w:val="bottom"/>
            <w:hideMark/>
          </w:tcPr>
          <w:p w14:paraId="0378DBD6" w14:textId="0B275838" w:rsidR="00130C85" w:rsidRPr="00130C85" w:rsidRDefault="00130C85" w:rsidP="00C85A02">
            <w:pPr>
              <w:keepNext/>
              <w:keepLines/>
              <w:spacing w:before="60" w:after="60" w:line="240" w:lineRule="auto"/>
              <w:jc w:val="right"/>
              <w:rPr>
                <w:rFonts w:ascii="Arial" w:hAnsi="Arial" w:cs="Arial"/>
                <w:b/>
                <w:bCs/>
                <w:color w:val="000000"/>
                <w:sz w:val="20"/>
                <w:szCs w:val="20"/>
                <w:lang w:eastAsia="sl-SI"/>
              </w:rPr>
            </w:pPr>
            <w:r w:rsidRPr="005B18EB">
              <w:rPr>
                <w:rFonts w:ascii="Arial" w:hAnsi="Arial" w:cs="Arial"/>
                <w:b/>
                <w:color w:val="000000"/>
                <w:sz w:val="20"/>
                <w:szCs w:val="20"/>
                <w:lang w:eastAsia="sl-SI"/>
              </w:rPr>
              <w:t>6.</w:t>
            </w:r>
            <w:r w:rsidRPr="00130C85">
              <w:rPr>
                <w:rFonts w:ascii="Arial" w:hAnsi="Arial" w:cs="Arial"/>
                <w:b/>
                <w:bCs/>
                <w:color w:val="000000"/>
                <w:sz w:val="20"/>
                <w:szCs w:val="20"/>
              </w:rPr>
              <w:t>578</w:t>
            </w:r>
          </w:p>
        </w:tc>
      </w:tr>
    </w:tbl>
    <w:p w14:paraId="6B376387" w14:textId="3B9619A1" w:rsidR="00192A84" w:rsidRPr="00C85A02" w:rsidRDefault="00192A84" w:rsidP="00C85A02">
      <w:pPr>
        <w:keepNext/>
        <w:keepLines/>
        <w:spacing w:line="240" w:lineRule="auto"/>
        <w:jc w:val="both"/>
        <w:rPr>
          <w:rFonts w:ascii="Arial" w:hAnsi="Arial" w:cs="Arial"/>
          <w:sz w:val="16"/>
          <w:szCs w:val="16"/>
        </w:rPr>
      </w:pPr>
      <w:r w:rsidRPr="00C85A02">
        <w:rPr>
          <w:rFonts w:ascii="Arial" w:hAnsi="Arial" w:cs="Arial"/>
          <w:sz w:val="16"/>
          <w:szCs w:val="16"/>
        </w:rPr>
        <w:t>Vir: MKGP</w:t>
      </w:r>
      <w:r w:rsidR="000B7583" w:rsidRPr="00C85A02">
        <w:rPr>
          <w:rFonts w:ascii="Arial" w:hAnsi="Arial" w:cs="Arial"/>
          <w:sz w:val="16"/>
          <w:szCs w:val="16"/>
        </w:rPr>
        <w:t xml:space="preserve"> 2020 (</w:t>
      </w:r>
      <w:r w:rsidRPr="00C85A02">
        <w:rPr>
          <w:rFonts w:ascii="Arial" w:hAnsi="Arial" w:cs="Arial"/>
          <w:sz w:val="16"/>
          <w:szCs w:val="16"/>
        </w:rPr>
        <w:t>RKG</w:t>
      </w:r>
      <w:r w:rsidR="000B7583" w:rsidRPr="00C85A02">
        <w:rPr>
          <w:rFonts w:ascii="Arial" w:hAnsi="Arial" w:cs="Arial"/>
          <w:sz w:val="16"/>
          <w:szCs w:val="16"/>
        </w:rPr>
        <w:t>)</w:t>
      </w:r>
    </w:p>
    <w:p w14:paraId="5F8F530F" w14:textId="2B286381" w:rsidR="00A46212" w:rsidRDefault="004E29D9" w:rsidP="00FD79A0">
      <w:pPr>
        <w:spacing w:before="200" w:line="360" w:lineRule="auto"/>
        <w:jc w:val="both"/>
        <w:rPr>
          <w:rFonts w:ascii="Arial" w:hAnsi="Arial" w:cs="Arial"/>
          <w:sz w:val="20"/>
          <w:szCs w:val="20"/>
        </w:rPr>
      </w:pPr>
      <w:r>
        <w:rPr>
          <w:rFonts w:ascii="Arial" w:hAnsi="Arial" w:cs="Arial"/>
          <w:sz w:val="20"/>
          <w:szCs w:val="20"/>
        </w:rPr>
        <w:t xml:space="preserve">V letu 2020 je bilo na kmetijah registriranih </w:t>
      </w:r>
      <w:r w:rsidR="00130C85">
        <w:rPr>
          <w:rFonts w:ascii="Arial" w:hAnsi="Arial" w:cs="Arial"/>
          <w:sz w:val="20"/>
          <w:szCs w:val="20"/>
        </w:rPr>
        <w:t>6</w:t>
      </w:r>
      <w:r w:rsidR="00DD12D7">
        <w:rPr>
          <w:rFonts w:ascii="Arial" w:hAnsi="Arial" w:cs="Arial"/>
          <w:sz w:val="20"/>
          <w:szCs w:val="20"/>
        </w:rPr>
        <w:t>.</w:t>
      </w:r>
      <w:r w:rsidR="00130C85">
        <w:rPr>
          <w:rFonts w:ascii="Arial" w:hAnsi="Arial" w:cs="Arial"/>
          <w:sz w:val="20"/>
          <w:szCs w:val="20"/>
        </w:rPr>
        <w:t>578</w:t>
      </w:r>
      <w:r>
        <w:rPr>
          <w:rFonts w:ascii="Arial" w:hAnsi="Arial" w:cs="Arial"/>
          <w:sz w:val="20"/>
          <w:szCs w:val="20"/>
        </w:rPr>
        <w:t xml:space="preserve"> nekmetijskih dopolnilnih dejavnosti</w:t>
      </w:r>
      <w:r w:rsidR="003840AB">
        <w:rPr>
          <w:rFonts w:ascii="Arial" w:hAnsi="Arial" w:cs="Arial"/>
          <w:sz w:val="20"/>
          <w:szCs w:val="20"/>
        </w:rPr>
        <w:t>. Največ, to je</w:t>
      </w:r>
      <w:r w:rsidR="003840AB" w:rsidRPr="00A52F41">
        <w:rPr>
          <w:rFonts w:ascii="Arial" w:hAnsi="Arial" w:cs="Arial"/>
          <w:sz w:val="20"/>
          <w:szCs w:val="20"/>
        </w:rPr>
        <w:t xml:space="preserve"> 1.811 dopolnilnih dejavnosti </w:t>
      </w:r>
      <w:r w:rsidR="003840AB">
        <w:rPr>
          <w:rFonts w:ascii="Arial" w:hAnsi="Arial" w:cs="Arial"/>
          <w:sz w:val="20"/>
          <w:szCs w:val="20"/>
        </w:rPr>
        <w:t xml:space="preserve">je </w:t>
      </w:r>
      <w:r w:rsidR="003840AB" w:rsidRPr="00A52F41">
        <w:rPr>
          <w:rFonts w:ascii="Arial" w:hAnsi="Arial" w:cs="Arial"/>
          <w:sz w:val="20"/>
          <w:szCs w:val="20"/>
        </w:rPr>
        <w:t>p</w:t>
      </w:r>
      <w:r w:rsidR="003840AB">
        <w:rPr>
          <w:rFonts w:ascii="Arial" w:hAnsi="Arial" w:cs="Arial"/>
          <w:sz w:val="20"/>
          <w:szCs w:val="20"/>
        </w:rPr>
        <w:t>ovezanih s turizmom,</w:t>
      </w:r>
      <w:r w:rsidR="00DD12D7">
        <w:rPr>
          <w:rFonts w:ascii="Arial" w:hAnsi="Arial" w:cs="Arial"/>
          <w:sz w:val="20"/>
          <w:szCs w:val="20"/>
        </w:rPr>
        <w:t xml:space="preserve"> od tega sta se</w:t>
      </w:r>
      <w:r w:rsidR="003840AB">
        <w:rPr>
          <w:rFonts w:ascii="Arial" w:hAnsi="Arial" w:cs="Arial"/>
          <w:sz w:val="20"/>
          <w:szCs w:val="20"/>
        </w:rPr>
        <w:t xml:space="preserve"> 1.202 </w:t>
      </w:r>
      <w:r w:rsidR="00DD12D7">
        <w:rPr>
          <w:rFonts w:ascii="Arial" w:hAnsi="Arial" w:cs="Arial"/>
          <w:sz w:val="20"/>
          <w:szCs w:val="20"/>
        </w:rPr>
        <w:t>opravljali kot dopolnilna</w:t>
      </w:r>
      <w:r w:rsidR="003840AB" w:rsidRPr="00A52F41">
        <w:rPr>
          <w:rFonts w:ascii="Arial" w:hAnsi="Arial" w:cs="Arial"/>
          <w:sz w:val="20"/>
          <w:szCs w:val="20"/>
        </w:rPr>
        <w:t xml:space="preserve"> dejavnost turizem, k</w:t>
      </w:r>
      <w:r w:rsidR="003840AB">
        <w:rPr>
          <w:rFonts w:ascii="Arial" w:hAnsi="Arial" w:cs="Arial"/>
          <w:sz w:val="20"/>
          <w:szCs w:val="20"/>
        </w:rPr>
        <w:t>i je gostinska dejavnost ter 669</w:t>
      </w:r>
      <w:r w:rsidR="003840AB" w:rsidRPr="00A52F41">
        <w:rPr>
          <w:rFonts w:ascii="Arial" w:hAnsi="Arial" w:cs="Arial"/>
          <w:sz w:val="20"/>
          <w:szCs w:val="20"/>
        </w:rPr>
        <w:t xml:space="preserve"> kot dopolnilna dejavnost turizem na kmetiji, ki ni gostinska dejavnost.</w:t>
      </w:r>
      <w:r w:rsidR="00DD12D7">
        <w:rPr>
          <w:rFonts w:ascii="Arial" w:hAnsi="Arial" w:cs="Arial"/>
          <w:sz w:val="20"/>
          <w:szCs w:val="20"/>
        </w:rPr>
        <w:t xml:space="preserve"> </w:t>
      </w:r>
      <w:r w:rsidR="00EC6FD8">
        <w:rPr>
          <w:rFonts w:ascii="Arial" w:hAnsi="Arial" w:cs="Arial"/>
          <w:sz w:val="20"/>
          <w:szCs w:val="20"/>
        </w:rPr>
        <w:t>Pri</w:t>
      </w:r>
      <w:r w:rsidR="00EC6FD8" w:rsidRPr="00A52F41">
        <w:rPr>
          <w:rFonts w:ascii="Arial" w:hAnsi="Arial" w:cs="Arial"/>
          <w:sz w:val="20"/>
          <w:szCs w:val="20"/>
        </w:rPr>
        <w:t xml:space="preserve"> </w:t>
      </w:r>
      <w:r w:rsidR="00EC6FD8">
        <w:rPr>
          <w:rFonts w:ascii="Arial" w:hAnsi="Arial" w:cs="Arial"/>
          <w:sz w:val="20"/>
          <w:szCs w:val="20"/>
        </w:rPr>
        <w:t>vseh skupinah nekmetijskih dopolnilnih dejavnosti je opazen pozitiven trend</w:t>
      </w:r>
      <w:r w:rsidR="00332B9D">
        <w:rPr>
          <w:rFonts w:ascii="Arial" w:hAnsi="Arial" w:cs="Arial"/>
          <w:sz w:val="20"/>
          <w:szCs w:val="20"/>
        </w:rPr>
        <w:t xml:space="preserve"> števila. </w:t>
      </w:r>
      <w:r w:rsidR="00823434">
        <w:rPr>
          <w:rFonts w:ascii="Arial" w:hAnsi="Arial" w:cs="Arial"/>
          <w:sz w:val="20"/>
          <w:szCs w:val="20"/>
        </w:rPr>
        <w:t xml:space="preserve">V primerjavi z letom 2016 je bilo v letu 2020 tako za 1.652 več </w:t>
      </w:r>
      <w:r w:rsidR="00332B9D">
        <w:rPr>
          <w:rFonts w:ascii="Arial" w:hAnsi="Arial" w:cs="Arial"/>
          <w:sz w:val="20"/>
          <w:szCs w:val="20"/>
        </w:rPr>
        <w:t xml:space="preserve">registriranih nekmetijskih </w:t>
      </w:r>
      <w:r w:rsidR="00823434">
        <w:rPr>
          <w:rFonts w:ascii="Arial" w:hAnsi="Arial" w:cs="Arial"/>
          <w:sz w:val="20"/>
          <w:szCs w:val="20"/>
        </w:rPr>
        <w:t>dopolnilnih dejavnosti</w:t>
      </w:r>
      <w:r w:rsidR="00332B9D">
        <w:rPr>
          <w:rFonts w:ascii="Arial" w:hAnsi="Arial" w:cs="Arial"/>
          <w:sz w:val="20"/>
          <w:szCs w:val="20"/>
        </w:rPr>
        <w:t xml:space="preserve"> na kmetijah</w:t>
      </w:r>
      <w:r w:rsidR="00823434">
        <w:rPr>
          <w:rFonts w:ascii="Arial" w:hAnsi="Arial" w:cs="Arial"/>
          <w:sz w:val="20"/>
          <w:szCs w:val="20"/>
        </w:rPr>
        <w:t xml:space="preserve">. </w:t>
      </w:r>
      <w:r w:rsidR="006603A2">
        <w:rPr>
          <w:rFonts w:ascii="Arial" w:hAnsi="Arial" w:cs="Arial"/>
          <w:sz w:val="20"/>
          <w:szCs w:val="20"/>
        </w:rPr>
        <w:t xml:space="preserve">Največja rast števila </w:t>
      </w:r>
      <w:r w:rsidR="00332B9D">
        <w:rPr>
          <w:rFonts w:ascii="Arial" w:hAnsi="Arial" w:cs="Arial"/>
          <w:sz w:val="20"/>
          <w:szCs w:val="20"/>
        </w:rPr>
        <w:t xml:space="preserve">nekmetijskih </w:t>
      </w:r>
      <w:r w:rsidR="006603A2">
        <w:rPr>
          <w:rFonts w:ascii="Arial" w:hAnsi="Arial" w:cs="Arial"/>
          <w:sz w:val="20"/>
          <w:szCs w:val="20"/>
        </w:rPr>
        <w:t>dopolnilnih dejavnosti v primerjavi z letom 2016 je opazna v skupini dopolnilnih dejavnosti povezanih s s</w:t>
      </w:r>
      <w:r w:rsidR="006603A2" w:rsidRPr="00832D92">
        <w:rPr>
          <w:rFonts w:ascii="Arial" w:hAnsi="Arial" w:cs="Arial"/>
          <w:bCs/>
          <w:color w:val="000000"/>
          <w:sz w:val="20"/>
          <w:szCs w:val="20"/>
          <w:lang w:eastAsia="sl-SI"/>
        </w:rPr>
        <w:t>vetovanje</w:t>
      </w:r>
      <w:r w:rsidR="006603A2">
        <w:rPr>
          <w:rFonts w:ascii="Arial" w:hAnsi="Arial" w:cs="Arial"/>
          <w:bCs/>
          <w:color w:val="000000"/>
          <w:sz w:val="20"/>
          <w:szCs w:val="20"/>
          <w:lang w:eastAsia="sl-SI"/>
        </w:rPr>
        <w:t>m</w:t>
      </w:r>
      <w:r w:rsidR="006603A2" w:rsidRPr="00832D92">
        <w:rPr>
          <w:rFonts w:ascii="Arial" w:hAnsi="Arial" w:cs="Arial"/>
          <w:bCs/>
          <w:color w:val="000000"/>
          <w:sz w:val="20"/>
          <w:szCs w:val="20"/>
          <w:lang w:eastAsia="sl-SI"/>
        </w:rPr>
        <w:t xml:space="preserve"> in usposabljanje</w:t>
      </w:r>
      <w:r w:rsidR="006603A2">
        <w:rPr>
          <w:rFonts w:ascii="Arial" w:hAnsi="Arial" w:cs="Arial"/>
          <w:bCs/>
          <w:color w:val="000000"/>
          <w:sz w:val="20"/>
          <w:szCs w:val="20"/>
          <w:lang w:eastAsia="sl-SI"/>
        </w:rPr>
        <w:t>m</w:t>
      </w:r>
      <w:r w:rsidR="006603A2" w:rsidRPr="00832D92">
        <w:rPr>
          <w:rFonts w:ascii="Arial" w:hAnsi="Arial" w:cs="Arial"/>
          <w:bCs/>
          <w:color w:val="000000"/>
          <w:sz w:val="20"/>
          <w:szCs w:val="20"/>
          <w:lang w:eastAsia="sl-SI"/>
        </w:rPr>
        <w:t xml:space="preserve"> v zvezi s </w:t>
      </w:r>
      <w:r w:rsidR="006603A2" w:rsidRPr="00832D92">
        <w:rPr>
          <w:rFonts w:ascii="Arial" w:hAnsi="Arial" w:cs="Arial"/>
          <w:bCs/>
          <w:color w:val="000000"/>
          <w:sz w:val="20"/>
          <w:szCs w:val="20"/>
          <w:lang w:eastAsia="sl-SI"/>
        </w:rPr>
        <w:lastRenderedPageBreak/>
        <w:t>kmetijsko, gozdarsko in dopolnilno dejavnostjo</w:t>
      </w:r>
      <w:r w:rsidR="006603A2">
        <w:rPr>
          <w:rFonts w:ascii="Arial" w:hAnsi="Arial" w:cs="Arial"/>
          <w:bCs/>
          <w:color w:val="000000"/>
          <w:sz w:val="20"/>
          <w:szCs w:val="20"/>
          <w:lang w:eastAsia="sl-SI"/>
        </w:rPr>
        <w:t xml:space="preserve"> in sicer gre za skoraj 53 % povečanje. </w:t>
      </w:r>
      <w:r w:rsidR="006C1926" w:rsidRPr="00A52F41">
        <w:rPr>
          <w:rFonts w:ascii="Arial" w:hAnsi="Arial" w:cs="Arial"/>
          <w:sz w:val="20"/>
          <w:szCs w:val="20"/>
        </w:rPr>
        <w:t xml:space="preserve">V primerjavi s prejšnjimi leti je trend števila registriranih dopolnilnih dejavnosti v povezavi s turizmom na kmetiji </w:t>
      </w:r>
      <w:r w:rsidR="00332B9D">
        <w:rPr>
          <w:rFonts w:ascii="Arial" w:hAnsi="Arial" w:cs="Arial"/>
          <w:sz w:val="20"/>
          <w:szCs w:val="20"/>
        </w:rPr>
        <w:t xml:space="preserve">prav tako </w:t>
      </w:r>
      <w:r w:rsidR="006C1926" w:rsidRPr="00A52F41">
        <w:rPr>
          <w:rFonts w:ascii="Arial" w:hAnsi="Arial" w:cs="Arial"/>
          <w:sz w:val="20"/>
          <w:szCs w:val="20"/>
        </w:rPr>
        <w:t>p</w:t>
      </w:r>
      <w:r w:rsidR="00EC6FD8">
        <w:rPr>
          <w:rFonts w:ascii="Arial" w:hAnsi="Arial" w:cs="Arial"/>
          <w:sz w:val="20"/>
          <w:szCs w:val="20"/>
        </w:rPr>
        <w:t xml:space="preserve">ozitiven in se je </w:t>
      </w:r>
      <w:r w:rsidR="00332B9D">
        <w:rPr>
          <w:rFonts w:ascii="Arial" w:hAnsi="Arial" w:cs="Arial"/>
          <w:sz w:val="20"/>
          <w:szCs w:val="20"/>
        </w:rPr>
        <w:t xml:space="preserve">število </w:t>
      </w:r>
      <w:r w:rsidR="00EC6FD8">
        <w:rPr>
          <w:rFonts w:ascii="Arial" w:hAnsi="Arial" w:cs="Arial"/>
          <w:sz w:val="20"/>
          <w:szCs w:val="20"/>
        </w:rPr>
        <w:t>v zadnjih štirih</w:t>
      </w:r>
      <w:r w:rsidR="00332B9D">
        <w:rPr>
          <w:rFonts w:ascii="Arial" w:hAnsi="Arial" w:cs="Arial"/>
          <w:sz w:val="20"/>
          <w:szCs w:val="20"/>
        </w:rPr>
        <w:t xml:space="preserve"> letih </w:t>
      </w:r>
      <w:r w:rsidR="00EC6FD8">
        <w:rPr>
          <w:rFonts w:ascii="Arial" w:hAnsi="Arial" w:cs="Arial"/>
          <w:sz w:val="20"/>
          <w:szCs w:val="20"/>
        </w:rPr>
        <w:t>povečal</w:t>
      </w:r>
      <w:r w:rsidR="00332B9D">
        <w:rPr>
          <w:rFonts w:ascii="Arial" w:hAnsi="Arial" w:cs="Arial"/>
          <w:sz w:val="20"/>
          <w:szCs w:val="20"/>
        </w:rPr>
        <w:t>o</w:t>
      </w:r>
      <w:r w:rsidR="00EC6FD8">
        <w:rPr>
          <w:rFonts w:ascii="Arial" w:hAnsi="Arial" w:cs="Arial"/>
          <w:sz w:val="20"/>
          <w:szCs w:val="20"/>
        </w:rPr>
        <w:t xml:space="preserve"> za 34,1</w:t>
      </w:r>
      <w:r w:rsidR="006C1926" w:rsidRPr="00A52F41">
        <w:rPr>
          <w:rFonts w:ascii="Arial" w:hAnsi="Arial" w:cs="Arial"/>
          <w:sz w:val="20"/>
          <w:szCs w:val="20"/>
        </w:rPr>
        <w:t xml:space="preserve"> %. </w:t>
      </w:r>
      <w:bookmarkStart w:id="72" w:name="_Toc45016621"/>
      <w:r w:rsidR="00FD79A0">
        <w:rPr>
          <w:rFonts w:ascii="Arial" w:hAnsi="Arial" w:cs="Arial"/>
          <w:sz w:val="20"/>
          <w:szCs w:val="20"/>
        </w:rPr>
        <w:t xml:space="preserve">Pomemben delež tako predstavljajo dopolnilne dejavnosti, ki se opravljajo v povezavi s turizmom. </w:t>
      </w:r>
    </w:p>
    <w:p w14:paraId="2E7E4042" w14:textId="0988BA5D" w:rsidR="00A46212" w:rsidRDefault="00A74714" w:rsidP="00A46212">
      <w:pPr>
        <w:spacing w:before="200" w:line="360" w:lineRule="auto"/>
        <w:jc w:val="both"/>
        <w:rPr>
          <w:rFonts w:ascii="Arial" w:hAnsi="Arial" w:cs="Arial"/>
          <w:sz w:val="20"/>
          <w:szCs w:val="20"/>
        </w:rPr>
      </w:pPr>
      <w:r>
        <w:rPr>
          <w:rFonts w:ascii="Arial" w:hAnsi="Arial" w:cs="Arial"/>
          <w:sz w:val="20"/>
          <w:szCs w:val="20"/>
        </w:rPr>
        <w:t>Med vsemi nekmetijskimi dopolnilnimi dejavnostmi na kmetiji je v letu 2020 največkrat registrirana prav dopolnilna dejavnost »</w:t>
      </w:r>
      <w:r w:rsidR="004052BC">
        <w:rPr>
          <w:rFonts w:ascii="Arial" w:hAnsi="Arial" w:cs="Arial"/>
          <w:sz w:val="20"/>
          <w:szCs w:val="20"/>
        </w:rPr>
        <w:t>T</w:t>
      </w:r>
      <w:r>
        <w:rPr>
          <w:rFonts w:ascii="Arial" w:hAnsi="Arial" w:cs="Arial"/>
          <w:sz w:val="20"/>
          <w:szCs w:val="20"/>
        </w:rPr>
        <w:t xml:space="preserve">uristična kmetija z nastanitvijo« in sicer 578 krat, druga največkrat registrirana pa je »Izletniška kmetija« in sicer 484 krat </w:t>
      </w:r>
      <w:r w:rsidR="00AA729E">
        <w:rPr>
          <w:rFonts w:ascii="Arial" w:hAnsi="Arial" w:cs="Arial"/>
          <w:sz w:val="20"/>
          <w:szCs w:val="20"/>
        </w:rPr>
        <w:t>(Tabela 2</w:t>
      </w:r>
      <w:r w:rsidR="00B90C51">
        <w:rPr>
          <w:rFonts w:ascii="Arial" w:hAnsi="Arial" w:cs="Arial"/>
          <w:sz w:val="20"/>
          <w:szCs w:val="20"/>
        </w:rPr>
        <w:t>5</w:t>
      </w:r>
      <w:r w:rsidR="00AA729E">
        <w:rPr>
          <w:rFonts w:ascii="Arial" w:hAnsi="Arial" w:cs="Arial"/>
          <w:sz w:val="20"/>
          <w:szCs w:val="20"/>
        </w:rPr>
        <w:t>)</w:t>
      </w:r>
      <w:r w:rsidR="0085376B">
        <w:rPr>
          <w:rFonts w:ascii="Arial" w:hAnsi="Arial" w:cs="Arial"/>
          <w:sz w:val="20"/>
          <w:szCs w:val="20"/>
        </w:rPr>
        <w:t>.</w:t>
      </w:r>
      <w:r w:rsidR="0052349A">
        <w:rPr>
          <w:rFonts w:ascii="Arial" w:hAnsi="Arial" w:cs="Arial"/>
          <w:sz w:val="20"/>
          <w:szCs w:val="20"/>
        </w:rPr>
        <w:t xml:space="preserve"> </w:t>
      </w:r>
      <w:r w:rsidR="00223122">
        <w:rPr>
          <w:rFonts w:ascii="Arial" w:hAnsi="Arial" w:cs="Arial"/>
          <w:sz w:val="20"/>
          <w:szCs w:val="20"/>
        </w:rPr>
        <w:t xml:space="preserve">Veliko povečanje turističnih kmetij z nastanitvijo glede na predhodno leto je opazno prav v letu 2020 in sicer si je kar 80 kmetij dodatno registriralo dopolnilno dejavnost »turistična kmetija z nastanitvijo«. To lahko </w:t>
      </w:r>
      <w:r w:rsidR="009045C3">
        <w:rPr>
          <w:rFonts w:ascii="Arial" w:hAnsi="Arial" w:cs="Arial"/>
          <w:sz w:val="20"/>
          <w:szCs w:val="20"/>
        </w:rPr>
        <w:t xml:space="preserve">deloma </w:t>
      </w:r>
      <w:r w:rsidR="00223122">
        <w:rPr>
          <w:rFonts w:ascii="Arial" w:hAnsi="Arial" w:cs="Arial"/>
          <w:sz w:val="20"/>
          <w:szCs w:val="20"/>
        </w:rPr>
        <w:t xml:space="preserve">pripišemo tako izdaji t.i. »Turističnih bonov«, ki jih je izdala Vlada RS, kot blažitveni ukrep </w:t>
      </w:r>
      <w:r w:rsidR="00A70E29">
        <w:rPr>
          <w:rFonts w:ascii="Arial" w:hAnsi="Arial" w:cs="Arial"/>
          <w:sz w:val="20"/>
          <w:szCs w:val="20"/>
        </w:rPr>
        <w:t>v sektorju turizma v času Covid-19 krize in se je povpraševanje domačih turistov po tovrstnih produktih povečalo. Prav tako je bil v letu 2020 objavljen javni razpis</w:t>
      </w:r>
      <w:r w:rsidR="00223122">
        <w:rPr>
          <w:rFonts w:ascii="Arial" w:hAnsi="Arial" w:cs="Arial"/>
          <w:sz w:val="20"/>
          <w:szCs w:val="20"/>
        </w:rPr>
        <w:t xml:space="preserve"> za podukrep 6.4 </w:t>
      </w:r>
      <w:r w:rsidR="00A70E29">
        <w:rPr>
          <w:rFonts w:ascii="Arial" w:hAnsi="Arial" w:cs="Arial"/>
          <w:sz w:val="20"/>
          <w:szCs w:val="20"/>
        </w:rPr>
        <w:t xml:space="preserve">Podpora za naložbe v vzpostavitev in razvoj nekmetijskih dejavnosti v okviru </w:t>
      </w:r>
      <w:r w:rsidR="00223122">
        <w:rPr>
          <w:rFonts w:ascii="Arial" w:hAnsi="Arial" w:cs="Arial"/>
          <w:sz w:val="20"/>
          <w:szCs w:val="20"/>
        </w:rPr>
        <w:t xml:space="preserve">Programa razvoja podeželja 2014-2020, ki je podprl tudi </w:t>
      </w:r>
      <w:r w:rsidR="00A70E29">
        <w:rPr>
          <w:rFonts w:ascii="Arial" w:hAnsi="Arial" w:cs="Arial"/>
          <w:sz w:val="20"/>
          <w:szCs w:val="20"/>
        </w:rPr>
        <w:t>tovrstne dejavnosti.</w:t>
      </w:r>
    </w:p>
    <w:p w14:paraId="7248B36A" w14:textId="5D6228F9" w:rsidR="00223122" w:rsidRDefault="00223122" w:rsidP="00223122">
      <w:pPr>
        <w:pStyle w:val="Default"/>
        <w:keepNext/>
        <w:keepLines/>
        <w:spacing w:line="360" w:lineRule="auto"/>
        <w:jc w:val="both"/>
        <w:rPr>
          <w:rFonts w:ascii="Arial" w:hAnsi="Arial" w:cs="Arial"/>
          <w:color w:val="auto"/>
          <w:sz w:val="20"/>
          <w:szCs w:val="20"/>
          <w:lang w:val="sl-SI"/>
        </w:rPr>
      </w:pPr>
      <w:r w:rsidRPr="00A46212">
        <w:rPr>
          <w:rFonts w:ascii="Arial" w:hAnsi="Arial" w:cs="Arial"/>
          <w:color w:val="auto"/>
          <w:sz w:val="20"/>
          <w:szCs w:val="20"/>
          <w:lang w:val="sl-SI"/>
        </w:rPr>
        <w:t>Tabela 2</w:t>
      </w:r>
      <w:r w:rsidR="00B90C51">
        <w:rPr>
          <w:rFonts w:ascii="Arial" w:hAnsi="Arial" w:cs="Arial"/>
          <w:color w:val="auto"/>
          <w:sz w:val="20"/>
          <w:szCs w:val="20"/>
          <w:lang w:val="sl-SI"/>
        </w:rPr>
        <w:t>5</w:t>
      </w:r>
      <w:r w:rsidRPr="00A46212">
        <w:rPr>
          <w:rFonts w:ascii="Arial" w:hAnsi="Arial" w:cs="Arial"/>
          <w:color w:val="auto"/>
          <w:sz w:val="20"/>
          <w:szCs w:val="20"/>
          <w:lang w:val="sl-SI"/>
        </w:rPr>
        <w:t xml:space="preserve">: </w:t>
      </w:r>
      <w:r>
        <w:rPr>
          <w:rFonts w:ascii="Arial" w:hAnsi="Arial" w:cs="Arial"/>
          <w:color w:val="auto"/>
          <w:sz w:val="20"/>
          <w:szCs w:val="20"/>
          <w:lang w:val="sl-SI"/>
        </w:rPr>
        <w:t>Deset najpogosteje registriranih nekmetijskih dopolnilnih dejavnosti glede na leto 2020</w:t>
      </w:r>
    </w:p>
    <w:tbl>
      <w:tblPr>
        <w:tblW w:w="8851" w:type="dxa"/>
        <w:tblInd w:w="75" w:type="dxa"/>
        <w:tblLayout w:type="fixed"/>
        <w:tblCellMar>
          <w:left w:w="70" w:type="dxa"/>
          <w:right w:w="70" w:type="dxa"/>
        </w:tblCellMar>
        <w:tblLook w:val="04A0" w:firstRow="1" w:lastRow="0" w:firstColumn="1" w:lastColumn="0" w:noHBand="0" w:noVBand="1"/>
      </w:tblPr>
      <w:tblGrid>
        <w:gridCol w:w="4740"/>
        <w:gridCol w:w="822"/>
        <w:gridCol w:w="822"/>
        <w:gridCol w:w="822"/>
        <w:gridCol w:w="822"/>
        <w:gridCol w:w="823"/>
      </w:tblGrid>
      <w:tr w:rsidR="00223122" w:rsidRPr="00AA729E" w14:paraId="44BDB395" w14:textId="77777777" w:rsidTr="00092278">
        <w:trPr>
          <w:trHeight w:val="30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7CEF5" w14:textId="213E1DEC" w:rsidR="00223122" w:rsidRPr="00223122" w:rsidRDefault="00223122" w:rsidP="00223122">
            <w:pPr>
              <w:keepNext/>
              <w:keepLines/>
              <w:spacing w:before="60" w:after="60" w:line="240" w:lineRule="auto"/>
              <w:rPr>
                <w:rFonts w:ascii="Arial" w:eastAsia="Times New Roman" w:hAnsi="Arial" w:cs="Arial"/>
                <w:b/>
                <w:color w:val="000000"/>
                <w:sz w:val="20"/>
                <w:szCs w:val="20"/>
                <w:lang w:eastAsia="sl-SI"/>
              </w:rPr>
            </w:pPr>
            <w:r w:rsidRPr="00223122">
              <w:rPr>
                <w:rFonts w:ascii="Arial" w:eastAsia="Times New Roman" w:hAnsi="Arial" w:cs="Arial"/>
                <w:b/>
                <w:color w:val="000000"/>
                <w:sz w:val="20"/>
                <w:szCs w:val="20"/>
                <w:lang w:eastAsia="sl-SI"/>
              </w:rPr>
              <w:t>Dopolnilna dejavnost</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14:paraId="2E6B8B1C" w14:textId="77777777" w:rsidR="00223122" w:rsidRPr="00AA729E"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AA729E">
              <w:rPr>
                <w:rFonts w:ascii="Arial" w:eastAsia="Times New Roman" w:hAnsi="Arial" w:cs="Arial"/>
                <w:b/>
                <w:color w:val="000000"/>
                <w:sz w:val="20"/>
                <w:szCs w:val="20"/>
                <w:lang w:eastAsia="sl-SI"/>
              </w:rPr>
              <w:t>2016</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14:paraId="6EC47F8B" w14:textId="77777777" w:rsidR="00223122" w:rsidRPr="00AA729E"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AA729E">
              <w:rPr>
                <w:rFonts w:ascii="Arial" w:eastAsia="Times New Roman" w:hAnsi="Arial" w:cs="Arial"/>
                <w:b/>
                <w:color w:val="000000"/>
                <w:sz w:val="20"/>
                <w:szCs w:val="20"/>
                <w:lang w:eastAsia="sl-SI"/>
              </w:rPr>
              <w:t>2017</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14:paraId="035DF78D" w14:textId="77777777" w:rsidR="00223122" w:rsidRPr="00AA729E"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AA729E">
              <w:rPr>
                <w:rFonts w:ascii="Arial" w:eastAsia="Times New Roman" w:hAnsi="Arial" w:cs="Arial"/>
                <w:b/>
                <w:color w:val="000000"/>
                <w:sz w:val="20"/>
                <w:szCs w:val="20"/>
                <w:lang w:eastAsia="sl-SI"/>
              </w:rPr>
              <w:t>2018</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14:paraId="46EEA008" w14:textId="77777777" w:rsidR="00223122" w:rsidRPr="00AA729E"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AA729E">
              <w:rPr>
                <w:rFonts w:ascii="Arial" w:eastAsia="Times New Roman" w:hAnsi="Arial" w:cs="Arial"/>
                <w:b/>
                <w:color w:val="000000"/>
                <w:sz w:val="20"/>
                <w:szCs w:val="20"/>
                <w:lang w:eastAsia="sl-SI"/>
              </w:rPr>
              <w:t>2019</w:t>
            </w:r>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14:paraId="4B7E3B81" w14:textId="77777777" w:rsidR="00223122" w:rsidRPr="00AA729E"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AA729E">
              <w:rPr>
                <w:rFonts w:ascii="Arial" w:eastAsia="Times New Roman" w:hAnsi="Arial" w:cs="Arial"/>
                <w:b/>
                <w:color w:val="000000"/>
                <w:sz w:val="20"/>
                <w:szCs w:val="20"/>
                <w:lang w:eastAsia="sl-SI"/>
              </w:rPr>
              <w:t>2020</w:t>
            </w:r>
          </w:p>
        </w:tc>
      </w:tr>
      <w:tr w:rsidR="00223122" w:rsidRPr="00AA729E" w14:paraId="3B50509C"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3C9F2E4D" w14:textId="299FC505"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T</w:t>
            </w:r>
            <w:r w:rsidRPr="00AA729E">
              <w:rPr>
                <w:rFonts w:ascii="Arial" w:eastAsia="Times New Roman" w:hAnsi="Arial" w:cs="Arial"/>
                <w:color w:val="000000"/>
                <w:sz w:val="20"/>
                <w:szCs w:val="20"/>
                <w:lang w:eastAsia="sl-SI"/>
              </w:rPr>
              <w:t>uristična kmetija z nastanitvijo</w:t>
            </w:r>
          </w:p>
        </w:tc>
        <w:tc>
          <w:tcPr>
            <w:tcW w:w="822" w:type="dxa"/>
            <w:tcBorders>
              <w:top w:val="nil"/>
              <w:left w:val="nil"/>
              <w:bottom w:val="single" w:sz="4" w:space="0" w:color="auto"/>
              <w:right w:val="single" w:sz="4" w:space="0" w:color="auto"/>
            </w:tcBorders>
            <w:shd w:val="clear" w:color="auto" w:fill="auto"/>
            <w:noWrap/>
            <w:vAlign w:val="bottom"/>
            <w:hideMark/>
          </w:tcPr>
          <w:p w14:paraId="41C00B47"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379</w:t>
            </w:r>
          </w:p>
        </w:tc>
        <w:tc>
          <w:tcPr>
            <w:tcW w:w="822" w:type="dxa"/>
            <w:tcBorders>
              <w:top w:val="nil"/>
              <w:left w:val="nil"/>
              <w:bottom w:val="single" w:sz="4" w:space="0" w:color="auto"/>
              <w:right w:val="single" w:sz="4" w:space="0" w:color="auto"/>
            </w:tcBorders>
            <w:shd w:val="clear" w:color="auto" w:fill="auto"/>
            <w:noWrap/>
            <w:vAlign w:val="bottom"/>
            <w:hideMark/>
          </w:tcPr>
          <w:p w14:paraId="7F7D6B52"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431</w:t>
            </w:r>
          </w:p>
        </w:tc>
        <w:tc>
          <w:tcPr>
            <w:tcW w:w="822" w:type="dxa"/>
            <w:tcBorders>
              <w:top w:val="nil"/>
              <w:left w:val="nil"/>
              <w:bottom w:val="single" w:sz="4" w:space="0" w:color="auto"/>
              <w:right w:val="single" w:sz="4" w:space="0" w:color="auto"/>
            </w:tcBorders>
            <w:shd w:val="clear" w:color="auto" w:fill="auto"/>
            <w:noWrap/>
            <w:vAlign w:val="bottom"/>
            <w:hideMark/>
          </w:tcPr>
          <w:p w14:paraId="098B2267"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464</w:t>
            </w:r>
          </w:p>
        </w:tc>
        <w:tc>
          <w:tcPr>
            <w:tcW w:w="822" w:type="dxa"/>
            <w:tcBorders>
              <w:top w:val="nil"/>
              <w:left w:val="nil"/>
              <w:bottom w:val="single" w:sz="4" w:space="0" w:color="auto"/>
              <w:right w:val="single" w:sz="4" w:space="0" w:color="auto"/>
            </w:tcBorders>
            <w:shd w:val="clear" w:color="auto" w:fill="auto"/>
            <w:noWrap/>
            <w:vAlign w:val="bottom"/>
            <w:hideMark/>
          </w:tcPr>
          <w:p w14:paraId="39B37567"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498</w:t>
            </w:r>
          </w:p>
        </w:tc>
        <w:tc>
          <w:tcPr>
            <w:tcW w:w="823" w:type="dxa"/>
            <w:tcBorders>
              <w:top w:val="nil"/>
              <w:left w:val="nil"/>
              <w:bottom w:val="single" w:sz="4" w:space="0" w:color="auto"/>
              <w:right w:val="single" w:sz="4" w:space="0" w:color="auto"/>
            </w:tcBorders>
            <w:shd w:val="clear" w:color="auto" w:fill="auto"/>
            <w:noWrap/>
            <w:vAlign w:val="bottom"/>
            <w:hideMark/>
          </w:tcPr>
          <w:p w14:paraId="34ABBBCC"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578</w:t>
            </w:r>
          </w:p>
        </w:tc>
      </w:tr>
      <w:tr w:rsidR="00223122" w:rsidRPr="00AA729E" w14:paraId="71A568F3"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13313FCD" w14:textId="7EB07D76"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I</w:t>
            </w:r>
            <w:r w:rsidRPr="00AA729E">
              <w:rPr>
                <w:rFonts w:ascii="Arial" w:eastAsia="Times New Roman" w:hAnsi="Arial" w:cs="Arial"/>
                <w:color w:val="000000"/>
                <w:sz w:val="20"/>
                <w:szCs w:val="20"/>
                <w:lang w:eastAsia="sl-SI"/>
              </w:rPr>
              <w:t xml:space="preserve">zletniška kmetija </w:t>
            </w:r>
          </w:p>
        </w:tc>
        <w:tc>
          <w:tcPr>
            <w:tcW w:w="822" w:type="dxa"/>
            <w:tcBorders>
              <w:top w:val="nil"/>
              <w:left w:val="nil"/>
              <w:bottom w:val="single" w:sz="4" w:space="0" w:color="auto"/>
              <w:right w:val="single" w:sz="4" w:space="0" w:color="auto"/>
            </w:tcBorders>
            <w:shd w:val="clear" w:color="auto" w:fill="auto"/>
            <w:noWrap/>
            <w:vAlign w:val="bottom"/>
            <w:hideMark/>
          </w:tcPr>
          <w:p w14:paraId="636947C1"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435</w:t>
            </w:r>
          </w:p>
        </w:tc>
        <w:tc>
          <w:tcPr>
            <w:tcW w:w="822" w:type="dxa"/>
            <w:tcBorders>
              <w:top w:val="nil"/>
              <w:left w:val="nil"/>
              <w:bottom w:val="single" w:sz="4" w:space="0" w:color="auto"/>
              <w:right w:val="single" w:sz="4" w:space="0" w:color="auto"/>
            </w:tcBorders>
            <w:shd w:val="clear" w:color="auto" w:fill="auto"/>
            <w:noWrap/>
            <w:vAlign w:val="bottom"/>
            <w:hideMark/>
          </w:tcPr>
          <w:p w14:paraId="58F29E5D"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466</w:t>
            </w:r>
          </w:p>
        </w:tc>
        <w:tc>
          <w:tcPr>
            <w:tcW w:w="822" w:type="dxa"/>
            <w:tcBorders>
              <w:top w:val="nil"/>
              <w:left w:val="nil"/>
              <w:bottom w:val="single" w:sz="4" w:space="0" w:color="auto"/>
              <w:right w:val="single" w:sz="4" w:space="0" w:color="auto"/>
            </w:tcBorders>
            <w:shd w:val="clear" w:color="auto" w:fill="auto"/>
            <w:noWrap/>
            <w:vAlign w:val="bottom"/>
            <w:hideMark/>
          </w:tcPr>
          <w:p w14:paraId="6EB23B29"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476</w:t>
            </w:r>
          </w:p>
        </w:tc>
        <w:tc>
          <w:tcPr>
            <w:tcW w:w="822" w:type="dxa"/>
            <w:tcBorders>
              <w:top w:val="nil"/>
              <w:left w:val="nil"/>
              <w:bottom w:val="single" w:sz="4" w:space="0" w:color="auto"/>
              <w:right w:val="single" w:sz="4" w:space="0" w:color="auto"/>
            </w:tcBorders>
            <w:shd w:val="clear" w:color="auto" w:fill="auto"/>
            <w:noWrap/>
            <w:vAlign w:val="bottom"/>
            <w:hideMark/>
          </w:tcPr>
          <w:p w14:paraId="46948AE1"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477</w:t>
            </w:r>
          </w:p>
        </w:tc>
        <w:tc>
          <w:tcPr>
            <w:tcW w:w="823" w:type="dxa"/>
            <w:tcBorders>
              <w:top w:val="nil"/>
              <w:left w:val="nil"/>
              <w:bottom w:val="single" w:sz="4" w:space="0" w:color="auto"/>
              <w:right w:val="single" w:sz="4" w:space="0" w:color="auto"/>
            </w:tcBorders>
            <w:shd w:val="clear" w:color="auto" w:fill="auto"/>
            <w:noWrap/>
            <w:vAlign w:val="bottom"/>
            <w:hideMark/>
          </w:tcPr>
          <w:p w14:paraId="4BA0C4A9"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484</w:t>
            </w:r>
          </w:p>
        </w:tc>
      </w:tr>
      <w:tr w:rsidR="00223122" w:rsidRPr="00AA729E" w14:paraId="71DB38A0"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1B81F25" w14:textId="670F5B6A"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w:t>
            </w:r>
            <w:r w:rsidRPr="00AA729E">
              <w:rPr>
                <w:rFonts w:ascii="Arial" w:eastAsia="Times New Roman" w:hAnsi="Arial" w:cs="Arial"/>
                <w:color w:val="000000"/>
                <w:sz w:val="20"/>
                <w:szCs w:val="20"/>
                <w:lang w:eastAsia="sl-SI"/>
              </w:rPr>
              <w:t xml:space="preserve">rikaz del iz kmetijske, gozdarske in dopolnilne dejavnosti </w:t>
            </w:r>
          </w:p>
        </w:tc>
        <w:tc>
          <w:tcPr>
            <w:tcW w:w="822" w:type="dxa"/>
            <w:tcBorders>
              <w:top w:val="nil"/>
              <w:left w:val="nil"/>
              <w:bottom w:val="single" w:sz="4" w:space="0" w:color="auto"/>
              <w:right w:val="single" w:sz="4" w:space="0" w:color="auto"/>
            </w:tcBorders>
            <w:shd w:val="clear" w:color="auto" w:fill="auto"/>
            <w:noWrap/>
            <w:vAlign w:val="bottom"/>
            <w:hideMark/>
          </w:tcPr>
          <w:p w14:paraId="3F8FCBCC"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339</w:t>
            </w:r>
          </w:p>
        </w:tc>
        <w:tc>
          <w:tcPr>
            <w:tcW w:w="822" w:type="dxa"/>
            <w:tcBorders>
              <w:top w:val="nil"/>
              <w:left w:val="nil"/>
              <w:bottom w:val="single" w:sz="4" w:space="0" w:color="auto"/>
              <w:right w:val="single" w:sz="4" w:space="0" w:color="auto"/>
            </w:tcBorders>
            <w:shd w:val="clear" w:color="auto" w:fill="auto"/>
            <w:noWrap/>
            <w:vAlign w:val="bottom"/>
            <w:hideMark/>
          </w:tcPr>
          <w:p w14:paraId="0A8A269B"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384</w:t>
            </w:r>
          </w:p>
        </w:tc>
        <w:tc>
          <w:tcPr>
            <w:tcW w:w="822" w:type="dxa"/>
            <w:tcBorders>
              <w:top w:val="nil"/>
              <w:left w:val="nil"/>
              <w:bottom w:val="single" w:sz="4" w:space="0" w:color="auto"/>
              <w:right w:val="single" w:sz="4" w:space="0" w:color="auto"/>
            </w:tcBorders>
            <w:shd w:val="clear" w:color="auto" w:fill="auto"/>
            <w:noWrap/>
            <w:vAlign w:val="bottom"/>
            <w:hideMark/>
          </w:tcPr>
          <w:p w14:paraId="70F7C573"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418</w:t>
            </w:r>
          </w:p>
        </w:tc>
        <w:tc>
          <w:tcPr>
            <w:tcW w:w="822" w:type="dxa"/>
            <w:tcBorders>
              <w:top w:val="nil"/>
              <w:left w:val="nil"/>
              <w:bottom w:val="single" w:sz="4" w:space="0" w:color="auto"/>
              <w:right w:val="single" w:sz="4" w:space="0" w:color="auto"/>
            </w:tcBorders>
            <w:shd w:val="clear" w:color="auto" w:fill="auto"/>
            <w:noWrap/>
            <w:vAlign w:val="bottom"/>
            <w:hideMark/>
          </w:tcPr>
          <w:p w14:paraId="6C5EAF02"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438</w:t>
            </w:r>
          </w:p>
        </w:tc>
        <w:tc>
          <w:tcPr>
            <w:tcW w:w="823" w:type="dxa"/>
            <w:tcBorders>
              <w:top w:val="nil"/>
              <w:left w:val="nil"/>
              <w:bottom w:val="single" w:sz="4" w:space="0" w:color="auto"/>
              <w:right w:val="single" w:sz="4" w:space="0" w:color="auto"/>
            </w:tcBorders>
            <w:shd w:val="clear" w:color="auto" w:fill="auto"/>
            <w:noWrap/>
            <w:vAlign w:val="bottom"/>
            <w:hideMark/>
          </w:tcPr>
          <w:p w14:paraId="076CBEAA"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462</w:t>
            </w:r>
          </w:p>
        </w:tc>
      </w:tr>
      <w:tr w:rsidR="00223122" w:rsidRPr="00AA729E" w14:paraId="34C08C0F"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02184D29" w14:textId="14E585BF"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I</w:t>
            </w:r>
            <w:r w:rsidRPr="00AA729E">
              <w:rPr>
                <w:rFonts w:ascii="Arial" w:eastAsia="Times New Roman" w:hAnsi="Arial" w:cs="Arial"/>
                <w:color w:val="000000"/>
                <w:sz w:val="20"/>
                <w:szCs w:val="20"/>
                <w:lang w:eastAsia="sl-SI"/>
              </w:rPr>
              <w:t>zdelava žaganega, skobljanega in impregniranega lesa (deske, tramovi), izdelava drogov, kolov, železniških pragov</w:t>
            </w:r>
          </w:p>
        </w:tc>
        <w:tc>
          <w:tcPr>
            <w:tcW w:w="822" w:type="dxa"/>
            <w:tcBorders>
              <w:top w:val="nil"/>
              <w:left w:val="nil"/>
              <w:bottom w:val="single" w:sz="4" w:space="0" w:color="auto"/>
              <w:right w:val="single" w:sz="4" w:space="0" w:color="auto"/>
            </w:tcBorders>
            <w:shd w:val="clear" w:color="auto" w:fill="auto"/>
            <w:noWrap/>
            <w:vAlign w:val="bottom"/>
            <w:hideMark/>
          </w:tcPr>
          <w:p w14:paraId="7954DB42"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349</w:t>
            </w:r>
          </w:p>
        </w:tc>
        <w:tc>
          <w:tcPr>
            <w:tcW w:w="822" w:type="dxa"/>
            <w:tcBorders>
              <w:top w:val="nil"/>
              <w:left w:val="nil"/>
              <w:bottom w:val="single" w:sz="4" w:space="0" w:color="auto"/>
              <w:right w:val="single" w:sz="4" w:space="0" w:color="auto"/>
            </w:tcBorders>
            <w:shd w:val="clear" w:color="auto" w:fill="auto"/>
            <w:noWrap/>
            <w:vAlign w:val="bottom"/>
            <w:hideMark/>
          </w:tcPr>
          <w:p w14:paraId="476C6A1D"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396</w:t>
            </w:r>
          </w:p>
        </w:tc>
        <w:tc>
          <w:tcPr>
            <w:tcW w:w="822" w:type="dxa"/>
            <w:tcBorders>
              <w:top w:val="nil"/>
              <w:left w:val="nil"/>
              <w:bottom w:val="single" w:sz="4" w:space="0" w:color="auto"/>
              <w:right w:val="single" w:sz="4" w:space="0" w:color="auto"/>
            </w:tcBorders>
            <w:shd w:val="clear" w:color="auto" w:fill="auto"/>
            <w:noWrap/>
            <w:vAlign w:val="bottom"/>
            <w:hideMark/>
          </w:tcPr>
          <w:p w14:paraId="252FC41C"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415</w:t>
            </w:r>
          </w:p>
        </w:tc>
        <w:tc>
          <w:tcPr>
            <w:tcW w:w="822" w:type="dxa"/>
            <w:tcBorders>
              <w:top w:val="nil"/>
              <w:left w:val="nil"/>
              <w:bottom w:val="single" w:sz="4" w:space="0" w:color="auto"/>
              <w:right w:val="single" w:sz="4" w:space="0" w:color="auto"/>
            </w:tcBorders>
            <w:shd w:val="clear" w:color="auto" w:fill="auto"/>
            <w:noWrap/>
            <w:vAlign w:val="bottom"/>
            <w:hideMark/>
          </w:tcPr>
          <w:p w14:paraId="34833D64"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427</w:t>
            </w:r>
          </w:p>
        </w:tc>
        <w:tc>
          <w:tcPr>
            <w:tcW w:w="823" w:type="dxa"/>
            <w:tcBorders>
              <w:top w:val="nil"/>
              <w:left w:val="nil"/>
              <w:bottom w:val="single" w:sz="4" w:space="0" w:color="auto"/>
              <w:right w:val="single" w:sz="4" w:space="0" w:color="auto"/>
            </w:tcBorders>
            <w:shd w:val="clear" w:color="auto" w:fill="auto"/>
            <w:noWrap/>
            <w:vAlign w:val="bottom"/>
            <w:hideMark/>
          </w:tcPr>
          <w:p w14:paraId="29D6E94A"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443</w:t>
            </w:r>
          </w:p>
        </w:tc>
      </w:tr>
      <w:tr w:rsidR="00223122" w:rsidRPr="00AA729E" w14:paraId="468A6980"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59C9DC90" w14:textId="075AB29C"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w:t>
            </w:r>
            <w:r w:rsidRPr="00AA729E">
              <w:rPr>
                <w:rFonts w:ascii="Arial" w:eastAsia="Times New Roman" w:hAnsi="Arial" w:cs="Arial"/>
                <w:color w:val="000000"/>
                <w:sz w:val="20"/>
                <w:szCs w:val="20"/>
                <w:lang w:eastAsia="sl-SI"/>
              </w:rPr>
              <w:t xml:space="preserve">roizvodnja in prodaja energije iz sončnega vira </w:t>
            </w:r>
          </w:p>
        </w:tc>
        <w:tc>
          <w:tcPr>
            <w:tcW w:w="822" w:type="dxa"/>
            <w:tcBorders>
              <w:top w:val="nil"/>
              <w:left w:val="nil"/>
              <w:bottom w:val="single" w:sz="4" w:space="0" w:color="auto"/>
              <w:right w:val="single" w:sz="4" w:space="0" w:color="auto"/>
            </w:tcBorders>
            <w:shd w:val="clear" w:color="auto" w:fill="auto"/>
            <w:noWrap/>
            <w:vAlign w:val="bottom"/>
            <w:hideMark/>
          </w:tcPr>
          <w:p w14:paraId="301F543C"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415</w:t>
            </w:r>
          </w:p>
        </w:tc>
        <w:tc>
          <w:tcPr>
            <w:tcW w:w="822" w:type="dxa"/>
            <w:tcBorders>
              <w:top w:val="nil"/>
              <w:left w:val="nil"/>
              <w:bottom w:val="single" w:sz="4" w:space="0" w:color="auto"/>
              <w:right w:val="single" w:sz="4" w:space="0" w:color="auto"/>
            </w:tcBorders>
            <w:shd w:val="clear" w:color="auto" w:fill="auto"/>
            <w:noWrap/>
            <w:vAlign w:val="bottom"/>
            <w:hideMark/>
          </w:tcPr>
          <w:p w14:paraId="3CEF460F"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426</w:t>
            </w:r>
          </w:p>
        </w:tc>
        <w:tc>
          <w:tcPr>
            <w:tcW w:w="822" w:type="dxa"/>
            <w:tcBorders>
              <w:top w:val="nil"/>
              <w:left w:val="nil"/>
              <w:bottom w:val="single" w:sz="4" w:space="0" w:color="auto"/>
              <w:right w:val="single" w:sz="4" w:space="0" w:color="auto"/>
            </w:tcBorders>
            <w:shd w:val="clear" w:color="auto" w:fill="auto"/>
            <w:noWrap/>
            <w:vAlign w:val="bottom"/>
            <w:hideMark/>
          </w:tcPr>
          <w:p w14:paraId="425F7322"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428</w:t>
            </w:r>
          </w:p>
        </w:tc>
        <w:tc>
          <w:tcPr>
            <w:tcW w:w="822" w:type="dxa"/>
            <w:tcBorders>
              <w:top w:val="nil"/>
              <w:left w:val="nil"/>
              <w:bottom w:val="single" w:sz="4" w:space="0" w:color="auto"/>
              <w:right w:val="single" w:sz="4" w:space="0" w:color="auto"/>
            </w:tcBorders>
            <w:shd w:val="clear" w:color="auto" w:fill="auto"/>
            <w:noWrap/>
            <w:vAlign w:val="bottom"/>
            <w:hideMark/>
          </w:tcPr>
          <w:p w14:paraId="62D0B657"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430</w:t>
            </w:r>
          </w:p>
        </w:tc>
        <w:tc>
          <w:tcPr>
            <w:tcW w:w="823" w:type="dxa"/>
            <w:tcBorders>
              <w:top w:val="nil"/>
              <w:left w:val="nil"/>
              <w:bottom w:val="single" w:sz="4" w:space="0" w:color="auto"/>
              <w:right w:val="single" w:sz="4" w:space="0" w:color="auto"/>
            </w:tcBorders>
            <w:shd w:val="clear" w:color="auto" w:fill="auto"/>
            <w:noWrap/>
            <w:vAlign w:val="bottom"/>
            <w:hideMark/>
          </w:tcPr>
          <w:p w14:paraId="7BF02362"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437</w:t>
            </w:r>
          </w:p>
        </w:tc>
      </w:tr>
      <w:tr w:rsidR="00223122" w:rsidRPr="00AA729E" w14:paraId="474D3FB1"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46FE39ED" w14:textId="7861845B"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I</w:t>
            </w:r>
            <w:r w:rsidRPr="00AA729E">
              <w:rPr>
                <w:rFonts w:ascii="Arial" w:eastAsia="Times New Roman" w:hAnsi="Arial" w:cs="Arial"/>
                <w:color w:val="000000"/>
                <w:sz w:val="20"/>
                <w:szCs w:val="20"/>
                <w:lang w:eastAsia="sl-SI"/>
              </w:rPr>
              <w:t xml:space="preserve">zdelava enostavnih izdelkov iz lesa </w:t>
            </w:r>
          </w:p>
        </w:tc>
        <w:tc>
          <w:tcPr>
            <w:tcW w:w="822" w:type="dxa"/>
            <w:tcBorders>
              <w:top w:val="nil"/>
              <w:left w:val="nil"/>
              <w:bottom w:val="single" w:sz="4" w:space="0" w:color="auto"/>
              <w:right w:val="single" w:sz="4" w:space="0" w:color="auto"/>
            </w:tcBorders>
            <w:shd w:val="clear" w:color="auto" w:fill="auto"/>
            <w:noWrap/>
            <w:vAlign w:val="bottom"/>
            <w:hideMark/>
          </w:tcPr>
          <w:p w14:paraId="22011E8D"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298</w:t>
            </w:r>
          </w:p>
        </w:tc>
        <w:tc>
          <w:tcPr>
            <w:tcW w:w="822" w:type="dxa"/>
            <w:tcBorders>
              <w:top w:val="nil"/>
              <w:left w:val="nil"/>
              <w:bottom w:val="single" w:sz="4" w:space="0" w:color="auto"/>
              <w:right w:val="single" w:sz="4" w:space="0" w:color="auto"/>
            </w:tcBorders>
            <w:shd w:val="clear" w:color="auto" w:fill="auto"/>
            <w:noWrap/>
            <w:vAlign w:val="bottom"/>
            <w:hideMark/>
          </w:tcPr>
          <w:p w14:paraId="1FFDDED1"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346</w:t>
            </w:r>
          </w:p>
        </w:tc>
        <w:tc>
          <w:tcPr>
            <w:tcW w:w="822" w:type="dxa"/>
            <w:tcBorders>
              <w:top w:val="nil"/>
              <w:left w:val="nil"/>
              <w:bottom w:val="single" w:sz="4" w:space="0" w:color="auto"/>
              <w:right w:val="single" w:sz="4" w:space="0" w:color="auto"/>
            </w:tcBorders>
            <w:shd w:val="clear" w:color="auto" w:fill="auto"/>
            <w:noWrap/>
            <w:vAlign w:val="bottom"/>
            <w:hideMark/>
          </w:tcPr>
          <w:p w14:paraId="6959B85D"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365</w:t>
            </w:r>
          </w:p>
        </w:tc>
        <w:tc>
          <w:tcPr>
            <w:tcW w:w="822" w:type="dxa"/>
            <w:tcBorders>
              <w:top w:val="nil"/>
              <w:left w:val="nil"/>
              <w:bottom w:val="single" w:sz="4" w:space="0" w:color="auto"/>
              <w:right w:val="single" w:sz="4" w:space="0" w:color="auto"/>
            </w:tcBorders>
            <w:shd w:val="clear" w:color="auto" w:fill="auto"/>
            <w:noWrap/>
            <w:vAlign w:val="bottom"/>
            <w:hideMark/>
          </w:tcPr>
          <w:p w14:paraId="3202A9B8"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385</w:t>
            </w:r>
          </w:p>
        </w:tc>
        <w:tc>
          <w:tcPr>
            <w:tcW w:w="823" w:type="dxa"/>
            <w:tcBorders>
              <w:top w:val="nil"/>
              <w:left w:val="nil"/>
              <w:bottom w:val="single" w:sz="4" w:space="0" w:color="auto"/>
              <w:right w:val="single" w:sz="4" w:space="0" w:color="auto"/>
            </w:tcBorders>
            <w:shd w:val="clear" w:color="auto" w:fill="auto"/>
            <w:noWrap/>
            <w:vAlign w:val="bottom"/>
            <w:hideMark/>
          </w:tcPr>
          <w:p w14:paraId="2B35BAD5"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400</w:t>
            </w:r>
          </w:p>
        </w:tc>
      </w:tr>
      <w:tr w:rsidR="00223122" w:rsidRPr="00AA729E" w14:paraId="1A995A84"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991399F" w14:textId="53016AB0"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O</w:t>
            </w:r>
            <w:r w:rsidRPr="00AA729E">
              <w:rPr>
                <w:rFonts w:ascii="Arial" w:eastAsia="Times New Roman" w:hAnsi="Arial" w:cs="Arial"/>
                <w:color w:val="000000"/>
                <w:sz w:val="20"/>
                <w:szCs w:val="20"/>
                <w:lang w:eastAsia="sl-SI"/>
              </w:rPr>
              <w:t xml:space="preserve">ddajanje površin za piknike </w:t>
            </w:r>
          </w:p>
        </w:tc>
        <w:tc>
          <w:tcPr>
            <w:tcW w:w="822" w:type="dxa"/>
            <w:tcBorders>
              <w:top w:val="nil"/>
              <w:left w:val="nil"/>
              <w:bottom w:val="single" w:sz="4" w:space="0" w:color="auto"/>
              <w:right w:val="single" w:sz="4" w:space="0" w:color="auto"/>
            </w:tcBorders>
            <w:shd w:val="clear" w:color="auto" w:fill="auto"/>
            <w:noWrap/>
            <w:vAlign w:val="bottom"/>
            <w:hideMark/>
          </w:tcPr>
          <w:p w14:paraId="535C7E2C"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191</w:t>
            </w:r>
          </w:p>
        </w:tc>
        <w:tc>
          <w:tcPr>
            <w:tcW w:w="822" w:type="dxa"/>
            <w:tcBorders>
              <w:top w:val="nil"/>
              <w:left w:val="nil"/>
              <w:bottom w:val="single" w:sz="4" w:space="0" w:color="auto"/>
              <w:right w:val="single" w:sz="4" w:space="0" w:color="auto"/>
            </w:tcBorders>
            <w:shd w:val="clear" w:color="auto" w:fill="auto"/>
            <w:noWrap/>
            <w:vAlign w:val="bottom"/>
            <w:hideMark/>
          </w:tcPr>
          <w:p w14:paraId="1E61501A"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224</w:t>
            </w:r>
          </w:p>
        </w:tc>
        <w:tc>
          <w:tcPr>
            <w:tcW w:w="822" w:type="dxa"/>
            <w:tcBorders>
              <w:top w:val="nil"/>
              <w:left w:val="nil"/>
              <w:bottom w:val="single" w:sz="4" w:space="0" w:color="auto"/>
              <w:right w:val="single" w:sz="4" w:space="0" w:color="auto"/>
            </w:tcBorders>
            <w:shd w:val="clear" w:color="auto" w:fill="auto"/>
            <w:noWrap/>
            <w:vAlign w:val="bottom"/>
            <w:hideMark/>
          </w:tcPr>
          <w:p w14:paraId="164AC16D"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230</w:t>
            </w:r>
          </w:p>
        </w:tc>
        <w:tc>
          <w:tcPr>
            <w:tcW w:w="822" w:type="dxa"/>
            <w:tcBorders>
              <w:top w:val="nil"/>
              <w:left w:val="nil"/>
              <w:bottom w:val="single" w:sz="4" w:space="0" w:color="auto"/>
              <w:right w:val="single" w:sz="4" w:space="0" w:color="auto"/>
            </w:tcBorders>
            <w:shd w:val="clear" w:color="auto" w:fill="auto"/>
            <w:noWrap/>
            <w:vAlign w:val="bottom"/>
            <w:hideMark/>
          </w:tcPr>
          <w:p w14:paraId="4CEB2D1E"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243</w:t>
            </w:r>
          </w:p>
        </w:tc>
        <w:tc>
          <w:tcPr>
            <w:tcW w:w="823" w:type="dxa"/>
            <w:tcBorders>
              <w:top w:val="nil"/>
              <w:left w:val="nil"/>
              <w:bottom w:val="single" w:sz="4" w:space="0" w:color="auto"/>
              <w:right w:val="single" w:sz="4" w:space="0" w:color="auto"/>
            </w:tcBorders>
            <w:shd w:val="clear" w:color="auto" w:fill="auto"/>
            <w:noWrap/>
            <w:vAlign w:val="bottom"/>
            <w:hideMark/>
          </w:tcPr>
          <w:p w14:paraId="752EAC6A"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269</w:t>
            </w:r>
          </w:p>
        </w:tc>
      </w:tr>
      <w:tr w:rsidR="00223122" w:rsidRPr="00AA729E" w14:paraId="6D6608CB"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0832451C" w14:textId="31E15CF3"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I</w:t>
            </w:r>
            <w:r w:rsidRPr="00AA729E">
              <w:rPr>
                <w:rFonts w:ascii="Arial" w:eastAsia="Times New Roman" w:hAnsi="Arial" w:cs="Arial"/>
                <w:color w:val="000000"/>
                <w:sz w:val="20"/>
                <w:szCs w:val="20"/>
                <w:lang w:eastAsia="sl-SI"/>
              </w:rPr>
              <w:t xml:space="preserve">zdelava drv ali lesnih sekancev iz kupljenih gozdnih lesnih sortimentov in izdelava lesnih sekancev v predelovalnem obratu ali za proizvodnjo energije iz kupljenih gozdnih lesnih sortimentov </w:t>
            </w:r>
          </w:p>
        </w:tc>
        <w:tc>
          <w:tcPr>
            <w:tcW w:w="822" w:type="dxa"/>
            <w:tcBorders>
              <w:top w:val="nil"/>
              <w:left w:val="nil"/>
              <w:bottom w:val="single" w:sz="4" w:space="0" w:color="auto"/>
              <w:right w:val="single" w:sz="4" w:space="0" w:color="auto"/>
            </w:tcBorders>
            <w:shd w:val="clear" w:color="auto" w:fill="auto"/>
            <w:noWrap/>
            <w:vAlign w:val="bottom"/>
            <w:hideMark/>
          </w:tcPr>
          <w:p w14:paraId="0B91FDC5"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194</w:t>
            </w:r>
          </w:p>
        </w:tc>
        <w:tc>
          <w:tcPr>
            <w:tcW w:w="822" w:type="dxa"/>
            <w:tcBorders>
              <w:top w:val="nil"/>
              <w:left w:val="nil"/>
              <w:bottom w:val="single" w:sz="4" w:space="0" w:color="auto"/>
              <w:right w:val="single" w:sz="4" w:space="0" w:color="auto"/>
            </w:tcBorders>
            <w:shd w:val="clear" w:color="auto" w:fill="auto"/>
            <w:noWrap/>
            <w:vAlign w:val="bottom"/>
            <w:hideMark/>
          </w:tcPr>
          <w:p w14:paraId="7AC123B0"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220</w:t>
            </w:r>
          </w:p>
        </w:tc>
        <w:tc>
          <w:tcPr>
            <w:tcW w:w="822" w:type="dxa"/>
            <w:tcBorders>
              <w:top w:val="nil"/>
              <w:left w:val="nil"/>
              <w:bottom w:val="single" w:sz="4" w:space="0" w:color="auto"/>
              <w:right w:val="single" w:sz="4" w:space="0" w:color="auto"/>
            </w:tcBorders>
            <w:shd w:val="clear" w:color="auto" w:fill="auto"/>
            <w:noWrap/>
            <w:vAlign w:val="bottom"/>
            <w:hideMark/>
          </w:tcPr>
          <w:p w14:paraId="5E830ED2"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230</w:t>
            </w:r>
          </w:p>
        </w:tc>
        <w:tc>
          <w:tcPr>
            <w:tcW w:w="822" w:type="dxa"/>
            <w:tcBorders>
              <w:top w:val="nil"/>
              <w:left w:val="nil"/>
              <w:bottom w:val="single" w:sz="4" w:space="0" w:color="auto"/>
              <w:right w:val="single" w:sz="4" w:space="0" w:color="auto"/>
            </w:tcBorders>
            <w:shd w:val="clear" w:color="auto" w:fill="auto"/>
            <w:noWrap/>
            <w:vAlign w:val="bottom"/>
            <w:hideMark/>
          </w:tcPr>
          <w:p w14:paraId="64DC801A"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253</w:t>
            </w:r>
          </w:p>
        </w:tc>
        <w:tc>
          <w:tcPr>
            <w:tcW w:w="823" w:type="dxa"/>
            <w:tcBorders>
              <w:top w:val="nil"/>
              <w:left w:val="nil"/>
              <w:bottom w:val="single" w:sz="4" w:space="0" w:color="auto"/>
              <w:right w:val="single" w:sz="4" w:space="0" w:color="auto"/>
            </w:tcBorders>
            <w:shd w:val="clear" w:color="auto" w:fill="auto"/>
            <w:noWrap/>
            <w:vAlign w:val="bottom"/>
            <w:hideMark/>
          </w:tcPr>
          <w:p w14:paraId="7A2B6246"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266</w:t>
            </w:r>
          </w:p>
        </w:tc>
      </w:tr>
      <w:tr w:rsidR="00223122" w:rsidRPr="00AA729E" w14:paraId="53973759"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E6C4D34" w14:textId="461B1F55"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O</w:t>
            </w:r>
            <w:r w:rsidRPr="00AA729E">
              <w:rPr>
                <w:rFonts w:ascii="Arial" w:eastAsia="Times New Roman" w:hAnsi="Arial" w:cs="Arial"/>
                <w:color w:val="000000"/>
                <w:sz w:val="20"/>
                <w:szCs w:val="20"/>
                <w:lang w:eastAsia="sl-SI"/>
              </w:rPr>
              <w:t xml:space="preserve">rganiziranje delavnic ali tečajev </w:t>
            </w:r>
          </w:p>
        </w:tc>
        <w:tc>
          <w:tcPr>
            <w:tcW w:w="822" w:type="dxa"/>
            <w:tcBorders>
              <w:top w:val="nil"/>
              <w:left w:val="nil"/>
              <w:bottom w:val="single" w:sz="4" w:space="0" w:color="auto"/>
              <w:right w:val="single" w:sz="4" w:space="0" w:color="auto"/>
            </w:tcBorders>
            <w:shd w:val="clear" w:color="auto" w:fill="auto"/>
            <w:noWrap/>
            <w:vAlign w:val="bottom"/>
            <w:hideMark/>
          </w:tcPr>
          <w:p w14:paraId="1BDAAEAA"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170</w:t>
            </w:r>
          </w:p>
        </w:tc>
        <w:tc>
          <w:tcPr>
            <w:tcW w:w="822" w:type="dxa"/>
            <w:tcBorders>
              <w:top w:val="nil"/>
              <w:left w:val="nil"/>
              <w:bottom w:val="single" w:sz="4" w:space="0" w:color="auto"/>
              <w:right w:val="single" w:sz="4" w:space="0" w:color="auto"/>
            </w:tcBorders>
            <w:shd w:val="clear" w:color="auto" w:fill="auto"/>
            <w:noWrap/>
            <w:vAlign w:val="bottom"/>
            <w:hideMark/>
          </w:tcPr>
          <w:p w14:paraId="2F6B8374"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202</w:t>
            </w:r>
          </w:p>
        </w:tc>
        <w:tc>
          <w:tcPr>
            <w:tcW w:w="822" w:type="dxa"/>
            <w:tcBorders>
              <w:top w:val="nil"/>
              <w:left w:val="nil"/>
              <w:bottom w:val="single" w:sz="4" w:space="0" w:color="auto"/>
              <w:right w:val="single" w:sz="4" w:space="0" w:color="auto"/>
            </w:tcBorders>
            <w:shd w:val="clear" w:color="auto" w:fill="auto"/>
            <w:noWrap/>
            <w:vAlign w:val="bottom"/>
            <w:hideMark/>
          </w:tcPr>
          <w:p w14:paraId="4A9ECEDC"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225</w:t>
            </w:r>
          </w:p>
        </w:tc>
        <w:tc>
          <w:tcPr>
            <w:tcW w:w="822" w:type="dxa"/>
            <w:tcBorders>
              <w:top w:val="nil"/>
              <w:left w:val="nil"/>
              <w:bottom w:val="single" w:sz="4" w:space="0" w:color="auto"/>
              <w:right w:val="single" w:sz="4" w:space="0" w:color="auto"/>
            </w:tcBorders>
            <w:shd w:val="clear" w:color="auto" w:fill="auto"/>
            <w:noWrap/>
            <w:vAlign w:val="bottom"/>
            <w:hideMark/>
          </w:tcPr>
          <w:p w14:paraId="49729FF8"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239</w:t>
            </w:r>
          </w:p>
        </w:tc>
        <w:tc>
          <w:tcPr>
            <w:tcW w:w="823" w:type="dxa"/>
            <w:tcBorders>
              <w:top w:val="nil"/>
              <w:left w:val="nil"/>
              <w:bottom w:val="single" w:sz="4" w:space="0" w:color="auto"/>
              <w:right w:val="single" w:sz="4" w:space="0" w:color="auto"/>
            </w:tcBorders>
            <w:shd w:val="clear" w:color="auto" w:fill="auto"/>
            <w:noWrap/>
            <w:vAlign w:val="bottom"/>
            <w:hideMark/>
          </w:tcPr>
          <w:p w14:paraId="4D6FC2F6"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261</w:t>
            </w:r>
          </w:p>
        </w:tc>
      </w:tr>
      <w:tr w:rsidR="00223122" w:rsidRPr="00AA729E" w14:paraId="06ACCCD2"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6B334552" w14:textId="6F724FE5"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S</w:t>
            </w:r>
            <w:r w:rsidRPr="00AA729E">
              <w:rPr>
                <w:rFonts w:ascii="Arial" w:eastAsia="Times New Roman" w:hAnsi="Arial" w:cs="Arial"/>
                <w:color w:val="000000"/>
                <w:sz w:val="20"/>
                <w:szCs w:val="20"/>
                <w:lang w:eastAsia="sl-SI"/>
              </w:rPr>
              <w:t>vetovanje in prikazi iz kmečkih gospodinjskih opravil</w:t>
            </w:r>
          </w:p>
        </w:tc>
        <w:tc>
          <w:tcPr>
            <w:tcW w:w="822" w:type="dxa"/>
            <w:tcBorders>
              <w:top w:val="nil"/>
              <w:left w:val="nil"/>
              <w:bottom w:val="single" w:sz="4" w:space="0" w:color="auto"/>
              <w:right w:val="single" w:sz="4" w:space="0" w:color="auto"/>
            </w:tcBorders>
            <w:shd w:val="clear" w:color="auto" w:fill="auto"/>
            <w:noWrap/>
            <w:vAlign w:val="bottom"/>
            <w:hideMark/>
          </w:tcPr>
          <w:p w14:paraId="28F73B86"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185</w:t>
            </w:r>
          </w:p>
        </w:tc>
        <w:tc>
          <w:tcPr>
            <w:tcW w:w="822" w:type="dxa"/>
            <w:tcBorders>
              <w:top w:val="nil"/>
              <w:left w:val="nil"/>
              <w:bottom w:val="single" w:sz="4" w:space="0" w:color="auto"/>
              <w:right w:val="single" w:sz="4" w:space="0" w:color="auto"/>
            </w:tcBorders>
            <w:shd w:val="clear" w:color="auto" w:fill="auto"/>
            <w:noWrap/>
            <w:vAlign w:val="bottom"/>
            <w:hideMark/>
          </w:tcPr>
          <w:p w14:paraId="2FB34A57"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217</w:t>
            </w:r>
          </w:p>
        </w:tc>
        <w:tc>
          <w:tcPr>
            <w:tcW w:w="822" w:type="dxa"/>
            <w:tcBorders>
              <w:top w:val="nil"/>
              <w:left w:val="nil"/>
              <w:bottom w:val="single" w:sz="4" w:space="0" w:color="auto"/>
              <w:right w:val="single" w:sz="4" w:space="0" w:color="auto"/>
            </w:tcBorders>
            <w:shd w:val="clear" w:color="auto" w:fill="auto"/>
            <w:noWrap/>
            <w:vAlign w:val="bottom"/>
            <w:hideMark/>
          </w:tcPr>
          <w:p w14:paraId="0C37AA19"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242</w:t>
            </w:r>
          </w:p>
        </w:tc>
        <w:tc>
          <w:tcPr>
            <w:tcW w:w="822" w:type="dxa"/>
            <w:tcBorders>
              <w:top w:val="nil"/>
              <w:left w:val="nil"/>
              <w:bottom w:val="single" w:sz="4" w:space="0" w:color="auto"/>
              <w:right w:val="single" w:sz="4" w:space="0" w:color="auto"/>
            </w:tcBorders>
            <w:shd w:val="clear" w:color="auto" w:fill="auto"/>
            <w:noWrap/>
            <w:vAlign w:val="bottom"/>
            <w:hideMark/>
          </w:tcPr>
          <w:p w14:paraId="4E85474A"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247</w:t>
            </w:r>
          </w:p>
        </w:tc>
        <w:tc>
          <w:tcPr>
            <w:tcW w:w="823" w:type="dxa"/>
            <w:tcBorders>
              <w:top w:val="nil"/>
              <w:left w:val="nil"/>
              <w:bottom w:val="single" w:sz="4" w:space="0" w:color="auto"/>
              <w:right w:val="single" w:sz="4" w:space="0" w:color="auto"/>
            </w:tcBorders>
            <w:shd w:val="clear" w:color="auto" w:fill="auto"/>
            <w:noWrap/>
            <w:vAlign w:val="bottom"/>
            <w:hideMark/>
          </w:tcPr>
          <w:p w14:paraId="6A0CC34A"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259</w:t>
            </w:r>
          </w:p>
        </w:tc>
      </w:tr>
    </w:tbl>
    <w:p w14:paraId="54E98246" w14:textId="77777777" w:rsidR="00A46212" w:rsidRPr="00C57228" w:rsidRDefault="00A46212" w:rsidP="00223122">
      <w:pPr>
        <w:pStyle w:val="Default"/>
        <w:keepNext/>
        <w:keepLines/>
        <w:spacing w:line="360" w:lineRule="auto"/>
        <w:jc w:val="both"/>
        <w:rPr>
          <w:rFonts w:ascii="Arial" w:hAnsi="Arial" w:cs="Arial"/>
          <w:color w:val="auto"/>
          <w:sz w:val="16"/>
          <w:szCs w:val="16"/>
          <w:lang w:val="sl-SI"/>
        </w:rPr>
      </w:pPr>
      <w:r w:rsidRPr="00C57228">
        <w:rPr>
          <w:rFonts w:ascii="Arial" w:hAnsi="Arial" w:cs="Arial"/>
          <w:color w:val="auto"/>
          <w:sz w:val="16"/>
          <w:szCs w:val="16"/>
          <w:lang w:val="sl-SI"/>
        </w:rPr>
        <w:t>Vir:</w:t>
      </w:r>
      <w:r>
        <w:rPr>
          <w:rFonts w:ascii="Arial" w:hAnsi="Arial" w:cs="Arial"/>
          <w:color w:val="auto"/>
          <w:sz w:val="16"/>
          <w:szCs w:val="16"/>
          <w:lang w:val="sl-SI"/>
        </w:rPr>
        <w:t xml:space="preserve"> </w:t>
      </w:r>
      <w:r w:rsidRPr="00C57228">
        <w:rPr>
          <w:rFonts w:ascii="Arial" w:hAnsi="Arial" w:cs="Arial"/>
          <w:color w:val="auto"/>
          <w:sz w:val="16"/>
          <w:szCs w:val="16"/>
          <w:lang w:val="sl-SI"/>
        </w:rPr>
        <w:t>MKGP</w:t>
      </w:r>
      <w:r>
        <w:rPr>
          <w:rFonts w:ascii="Arial" w:hAnsi="Arial" w:cs="Arial"/>
          <w:color w:val="auto"/>
          <w:sz w:val="16"/>
          <w:szCs w:val="16"/>
          <w:lang w:val="sl-SI"/>
        </w:rPr>
        <w:t>, 2020 (RKG)</w:t>
      </w:r>
    </w:p>
    <w:p w14:paraId="2A95D056" w14:textId="19CAB239" w:rsidR="00FD79A0" w:rsidRDefault="0052349A" w:rsidP="00FD79A0">
      <w:pPr>
        <w:spacing w:before="200" w:line="360" w:lineRule="auto"/>
        <w:jc w:val="both"/>
        <w:rPr>
          <w:rFonts w:ascii="Arial" w:hAnsi="Arial" w:cs="Arial"/>
          <w:sz w:val="20"/>
          <w:szCs w:val="20"/>
        </w:rPr>
      </w:pPr>
      <w:r>
        <w:rPr>
          <w:rFonts w:ascii="Arial" w:hAnsi="Arial" w:cs="Arial"/>
          <w:sz w:val="20"/>
          <w:szCs w:val="20"/>
        </w:rPr>
        <w:t>T</w:t>
      </w:r>
      <w:r w:rsidR="00FD79A0">
        <w:rPr>
          <w:rFonts w:ascii="Arial" w:hAnsi="Arial" w:cs="Arial"/>
          <w:sz w:val="20"/>
          <w:szCs w:val="20"/>
        </w:rPr>
        <w:t xml:space="preserve">urizem </w:t>
      </w:r>
      <w:r w:rsidR="00A46212">
        <w:rPr>
          <w:rFonts w:ascii="Arial" w:hAnsi="Arial" w:cs="Arial"/>
          <w:sz w:val="20"/>
          <w:szCs w:val="20"/>
        </w:rPr>
        <w:t xml:space="preserve">na vseh ravneh </w:t>
      </w:r>
      <w:r w:rsidR="00FD79A0" w:rsidRPr="00A52F41">
        <w:rPr>
          <w:rFonts w:ascii="Arial" w:hAnsi="Arial" w:cs="Arial"/>
          <w:sz w:val="20"/>
          <w:szCs w:val="20"/>
        </w:rPr>
        <w:t>v Sloveniji je v zadnjih letih hitro rastoča gospodarska panoga</w:t>
      </w:r>
      <w:r w:rsidR="00FD79A0">
        <w:rPr>
          <w:rFonts w:ascii="Arial" w:hAnsi="Arial" w:cs="Arial"/>
          <w:sz w:val="20"/>
          <w:szCs w:val="20"/>
        </w:rPr>
        <w:t>.</w:t>
      </w:r>
      <w:r w:rsidR="00FD79A0" w:rsidRPr="00FD79A0">
        <w:rPr>
          <w:rFonts w:ascii="Arial" w:hAnsi="Arial" w:cs="Arial"/>
          <w:sz w:val="20"/>
          <w:szCs w:val="20"/>
        </w:rPr>
        <w:t xml:space="preserve"> </w:t>
      </w:r>
      <w:r w:rsidR="00A46212" w:rsidRPr="00A52F41">
        <w:rPr>
          <w:rFonts w:ascii="Arial" w:hAnsi="Arial" w:cs="Arial"/>
          <w:sz w:val="20"/>
          <w:szCs w:val="20"/>
        </w:rPr>
        <w:t xml:space="preserve">V letu 2019 je turizem predstavlja 9,9 % celotnega BDP in 10,3 % vseh zaposlitev, kar predstavlja 92.500 delovnih mest. Nastanitveni objekti so v letu 2019 zabeležili več kot 6,2 milijona turističnih prihodov in 15,7 milijona turističnih prenočitev, od tega so tuji turisti ustvarili dobrih 11 milijonov vseh turističnih prenočitev (72 % vseh) in 4,7 milijona prihodov (75,5 % vseh prihodov). Domači turisti so ustvarili 4,4 milijona prenočitev in 1,5 milijona prihodov. </w:t>
      </w:r>
      <w:r w:rsidR="00FD79A0" w:rsidRPr="00A52F41">
        <w:rPr>
          <w:rFonts w:ascii="Arial" w:hAnsi="Arial" w:cs="Arial"/>
          <w:sz w:val="20"/>
          <w:szCs w:val="20"/>
        </w:rPr>
        <w:t xml:space="preserve">Največji delež </w:t>
      </w:r>
      <w:r w:rsidR="00A46212">
        <w:rPr>
          <w:rFonts w:ascii="Arial" w:hAnsi="Arial" w:cs="Arial"/>
          <w:sz w:val="20"/>
          <w:szCs w:val="20"/>
        </w:rPr>
        <w:t xml:space="preserve">vseh </w:t>
      </w:r>
      <w:r w:rsidR="00FD79A0" w:rsidRPr="00A52F41">
        <w:rPr>
          <w:rFonts w:ascii="Arial" w:hAnsi="Arial" w:cs="Arial"/>
          <w:sz w:val="20"/>
          <w:szCs w:val="20"/>
        </w:rPr>
        <w:t>prenočitev po vrstah občin predstavljajo t.i.</w:t>
      </w:r>
      <w:r w:rsidR="00FD79A0">
        <w:rPr>
          <w:rFonts w:ascii="Arial" w:hAnsi="Arial" w:cs="Arial"/>
          <w:sz w:val="20"/>
          <w:szCs w:val="20"/>
        </w:rPr>
        <w:t xml:space="preserve"> </w:t>
      </w:r>
      <w:r w:rsidR="00FD79A0" w:rsidRPr="00A52F41">
        <w:rPr>
          <w:rFonts w:ascii="Arial" w:hAnsi="Arial" w:cs="Arial"/>
          <w:sz w:val="20"/>
          <w:szCs w:val="20"/>
        </w:rPr>
        <w:t>gorske občine (skoraj 40 %), sledijo zdraviliške občine in obmorske občine s po okoli 20 % vseh prenočitev</w:t>
      </w:r>
      <w:r w:rsidR="00FD79A0">
        <w:rPr>
          <w:rFonts w:ascii="Arial" w:hAnsi="Arial" w:cs="Arial"/>
          <w:sz w:val="20"/>
          <w:szCs w:val="20"/>
        </w:rPr>
        <w:t xml:space="preserve"> (STO, 2020)</w:t>
      </w:r>
      <w:r w:rsidR="00FD79A0" w:rsidRPr="00A52F41">
        <w:rPr>
          <w:rFonts w:ascii="Arial" w:hAnsi="Arial" w:cs="Arial"/>
          <w:sz w:val="20"/>
          <w:szCs w:val="20"/>
        </w:rPr>
        <w:t>.</w:t>
      </w:r>
      <w:r w:rsidR="00FD79A0">
        <w:rPr>
          <w:rFonts w:ascii="Arial" w:hAnsi="Arial" w:cs="Arial"/>
          <w:sz w:val="20"/>
          <w:szCs w:val="20"/>
        </w:rPr>
        <w:t xml:space="preserve"> Kot kaže Slika 34, p</w:t>
      </w:r>
      <w:r w:rsidR="00FD79A0" w:rsidRPr="00A52F41">
        <w:rPr>
          <w:rFonts w:ascii="Arial" w:hAnsi="Arial" w:cs="Arial"/>
          <w:sz w:val="20"/>
          <w:szCs w:val="20"/>
        </w:rPr>
        <w:t xml:space="preserve">o nočitvah turistov glede na število prebivalcev je Slovenija </w:t>
      </w:r>
      <w:r w:rsidR="00FD79A0" w:rsidRPr="00A52F41">
        <w:rPr>
          <w:rFonts w:ascii="Arial" w:hAnsi="Arial" w:cs="Arial"/>
          <w:sz w:val="20"/>
          <w:szCs w:val="20"/>
        </w:rPr>
        <w:lastRenderedPageBreak/>
        <w:t>nad povprečjem držav članic EU-27, kar kaže na pomen turizma v Sloveniji. V Sloveniji je bila večina prenočitev turistov v letu 2018 na podeželju</w:t>
      </w:r>
      <w:r w:rsidR="000B7583">
        <w:rPr>
          <w:rFonts w:ascii="Arial" w:hAnsi="Arial" w:cs="Arial"/>
          <w:sz w:val="20"/>
          <w:szCs w:val="20"/>
        </w:rPr>
        <w:t xml:space="preserve"> (slika 3</w:t>
      </w:r>
      <w:r w:rsidR="00B90C51">
        <w:rPr>
          <w:rFonts w:ascii="Arial" w:hAnsi="Arial" w:cs="Arial"/>
          <w:sz w:val="20"/>
          <w:szCs w:val="20"/>
        </w:rPr>
        <w:t>2</w:t>
      </w:r>
      <w:r w:rsidR="000B7583">
        <w:rPr>
          <w:rFonts w:ascii="Arial" w:hAnsi="Arial" w:cs="Arial"/>
          <w:sz w:val="20"/>
          <w:szCs w:val="20"/>
        </w:rPr>
        <w:t>)</w:t>
      </w:r>
      <w:r w:rsidR="00FD79A0" w:rsidRPr="00A52F41">
        <w:rPr>
          <w:rFonts w:ascii="Arial" w:hAnsi="Arial" w:cs="Arial"/>
          <w:sz w:val="20"/>
          <w:szCs w:val="20"/>
        </w:rPr>
        <w:t xml:space="preserve">. </w:t>
      </w:r>
    </w:p>
    <w:p w14:paraId="718D75F2" w14:textId="1023FF6A" w:rsidR="000B7583" w:rsidRPr="00BE756C" w:rsidRDefault="000B7583" w:rsidP="000B7583">
      <w:pPr>
        <w:pStyle w:val="Default"/>
        <w:keepNext/>
        <w:spacing w:line="360" w:lineRule="auto"/>
        <w:jc w:val="both"/>
        <w:rPr>
          <w:rFonts w:ascii="Arial" w:hAnsi="Arial" w:cs="Arial"/>
          <w:color w:val="auto"/>
          <w:sz w:val="20"/>
          <w:szCs w:val="20"/>
          <w:lang w:val="sl-SI"/>
        </w:rPr>
      </w:pPr>
      <w:r w:rsidRPr="000B7583">
        <w:rPr>
          <w:rFonts w:ascii="Arial" w:hAnsi="Arial" w:cs="Arial"/>
          <w:sz w:val="20"/>
          <w:szCs w:val="20"/>
          <w:lang w:val="sl-SI"/>
        </w:rPr>
        <w:t>Slika 3</w:t>
      </w:r>
      <w:r w:rsidR="00B90C51">
        <w:rPr>
          <w:rFonts w:ascii="Arial" w:hAnsi="Arial" w:cs="Arial"/>
          <w:sz w:val="20"/>
          <w:szCs w:val="20"/>
          <w:lang w:val="sl-SI"/>
        </w:rPr>
        <w:t>1</w:t>
      </w:r>
      <w:r w:rsidRPr="000B7583">
        <w:rPr>
          <w:rFonts w:ascii="Arial" w:hAnsi="Arial" w:cs="Arial"/>
          <w:sz w:val="20"/>
          <w:szCs w:val="20"/>
          <w:lang w:val="sl-SI"/>
        </w:rPr>
        <w:t>: Število prenočitev v turističnih nastanitvenih zmogljivostih na število prebivalcev</w:t>
      </w:r>
    </w:p>
    <w:p w14:paraId="5AF2B707" w14:textId="77777777" w:rsidR="000B7583" w:rsidRPr="00A52F41" w:rsidRDefault="000B7583" w:rsidP="000B7583">
      <w:pPr>
        <w:pStyle w:val="Default"/>
        <w:jc w:val="both"/>
        <w:rPr>
          <w:rFonts w:ascii="Arial" w:hAnsi="Arial" w:cs="Arial"/>
          <w:color w:val="auto"/>
          <w:sz w:val="20"/>
          <w:szCs w:val="20"/>
          <w:lang w:val="sl-SI"/>
        </w:rPr>
      </w:pPr>
      <w:r w:rsidRPr="00A52F41">
        <w:rPr>
          <w:rFonts w:ascii="Arial" w:hAnsi="Arial" w:cs="Arial"/>
          <w:noProof/>
          <w:color w:val="auto"/>
          <w:sz w:val="20"/>
          <w:szCs w:val="20"/>
          <w:lang w:val="sl-SI" w:eastAsia="sl-SI"/>
        </w:rPr>
        <w:drawing>
          <wp:inline distT="0" distB="0" distL="0" distR="0" wp14:anchorId="25A793DB" wp14:editId="28E008F5">
            <wp:extent cx="5692004" cy="4477109"/>
            <wp:effectExtent l="19050" t="19050" r="23495" b="19050"/>
            <wp:docPr id="28" name="Slika 28" descr="C:\Users\marjeta.jeric\Desktop\Predstavitev1\Diapozit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jeta.jeric\Desktop\Predstavitev1\Diapozitiv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1077" t="7795" r="10991" b="10473"/>
                    <a:stretch/>
                  </pic:blipFill>
                  <pic:spPr bwMode="auto">
                    <a:xfrm>
                      <a:off x="0" y="0"/>
                      <a:ext cx="5752833" cy="4524955"/>
                    </a:xfrm>
                    <a:prstGeom prst="rect">
                      <a:avLst/>
                    </a:prstGeom>
                    <a:noFill/>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2C6479F6" w14:textId="500A3CA8" w:rsidR="000B7583" w:rsidRPr="00BE756C" w:rsidRDefault="000B7583" w:rsidP="000B7583">
      <w:pPr>
        <w:spacing w:line="360" w:lineRule="auto"/>
        <w:jc w:val="both"/>
        <w:rPr>
          <w:rFonts w:ascii="Arial" w:hAnsi="Arial" w:cs="Arial"/>
          <w:sz w:val="16"/>
          <w:szCs w:val="16"/>
        </w:rPr>
      </w:pPr>
      <w:r w:rsidRPr="00BE756C">
        <w:rPr>
          <w:rFonts w:ascii="Arial" w:hAnsi="Arial" w:cs="Arial"/>
          <w:sz w:val="16"/>
          <w:szCs w:val="16"/>
        </w:rPr>
        <w:t xml:space="preserve">Vir: Eurostat, 2020 </w:t>
      </w:r>
    </w:p>
    <w:p w14:paraId="50663EC5" w14:textId="33C5C6E2" w:rsidR="00FD79A0" w:rsidRPr="00202F34" w:rsidRDefault="00FD79A0" w:rsidP="00FD79A0">
      <w:pPr>
        <w:pStyle w:val="Default"/>
        <w:keepNext/>
        <w:spacing w:before="200" w:line="360" w:lineRule="auto"/>
        <w:jc w:val="both"/>
        <w:rPr>
          <w:rFonts w:ascii="Arial" w:hAnsi="Arial" w:cs="Arial"/>
          <w:sz w:val="20"/>
          <w:szCs w:val="20"/>
        </w:rPr>
      </w:pPr>
      <w:r w:rsidRPr="00BE756C">
        <w:rPr>
          <w:rFonts w:ascii="Arial" w:hAnsi="Arial" w:cs="Arial"/>
          <w:color w:val="auto"/>
          <w:sz w:val="20"/>
          <w:szCs w:val="20"/>
          <w:lang w:val="sl-SI"/>
        </w:rPr>
        <w:t>Slika 3</w:t>
      </w:r>
      <w:r w:rsidR="00B90C51">
        <w:rPr>
          <w:rFonts w:ascii="Arial" w:hAnsi="Arial" w:cs="Arial"/>
          <w:color w:val="auto"/>
          <w:sz w:val="20"/>
          <w:szCs w:val="20"/>
          <w:lang w:val="sl-SI"/>
        </w:rPr>
        <w:t>2</w:t>
      </w:r>
      <w:r w:rsidRPr="00BE756C">
        <w:rPr>
          <w:rFonts w:ascii="Arial" w:hAnsi="Arial" w:cs="Arial"/>
          <w:color w:val="auto"/>
          <w:sz w:val="20"/>
          <w:szCs w:val="20"/>
          <w:lang w:val="sl-SI"/>
        </w:rPr>
        <w:t>: Prenočitve turistov v letu 2018</w:t>
      </w:r>
    </w:p>
    <w:p w14:paraId="7D82E900" w14:textId="77777777" w:rsidR="00FD79A0" w:rsidRPr="00A52F41" w:rsidRDefault="00FD79A0" w:rsidP="00FD79A0">
      <w:pPr>
        <w:pStyle w:val="Default"/>
        <w:jc w:val="both"/>
        <w:rPr>
          <w:rFonts w:ascii="Arial" w:hAnsi="Arial" w:cs="Arial"/>
          <w:color w:val="auto"/>
          <w:sz w:val="20"/>
          <w:szCs w:val="20"/>
          <w:lang w:val="sl-SI"/>
        </w:rPr>
      </w:pPr>
      <w:r w:rsidRPr="00A52F41">
        <w:rPr>
          <w:rFonts w:ascii="Arial" w:hAnsi="Arial" w:cs="Arial"/>
          <w:noProof/>
          <w:sz w:val="20"/>
          <w:szCs w:val="20"/>
          <w:lang w:val="sl-SI" w:eastAsia="sl-SI"/>
        </w:rPr>
        <w:drawing>
          <wp:inline distT="0" distB="0" distL="0" distR="0" wp14:anchorId="62C44E6E" wp14:editId="2001C01C">
            <wp:extent cx="4365266" cy="2615979"/>
            <wp:effectExtent l="0" t="0" r="16510" b="13335"/>
            <wp:docPr id="26" name="Grafikon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231923F" w14:textId="77777777" w:rsidR="00FD79A0" w:rsidRPr="00A52F41" w:rsidRDefault="00FD79A0" w:rsidP="00FD79A0">
      <w:pPr>
        <w:spacing w:line="360" w:lineRule="auto"/>
        <w:jc w:val="both"/>
        <w:rPr>
          <w:rFonts w:ascii="Arial" w:hAnsi="Arial" w:cs="Arial"/>
          <w:sz w:val="20"/>
          <w:szCs w:val="20"/>
        </w:rPr>
      </w:pPr>
      <w:r w:rsidRPr="00083AB5">
        <w:rPr>
          <w:rFonts w:ascii="Arial" w:hAnsi="Arial" w:cs="Arial"/>
          <w:sz w:val="16"/>
          <w:szCs w:val="16"/>
        </w:rPr>
        <w:t>Vir: SURS</w:t>
      </w:r>
      <w:r>
        <w:rPr>
          <w:rFonts w:ascii="Arial" w:hAnsi="Arial" w:cs="Arial"/>
          <w:sz w:val="16"/>
          <w:szCs w:val="16"/>
        </w:rPr>
        <w:t>, 2020 in l</w:t>
      </w:r>
      <w:r w:rsidRPr="00083AB5">
        <w:rPr>
          <w:rFonts w:ascii="Arial" w:hAnsi="Arial" w:cs="Arial"/>
          <w:sz w:val="16"/>
          <w:szCs w:val="16"/>
        </w:rPr>
        <w:t xml:space="preserve">astni preračuni </w:t>
      </w:r>
    </w:p>
    <w:p w14:paraId="149CEB81" w14:textId="77777777" w:rsidR="000B7583" w:rsidRPr="00A52F41" w:rsidRDefault="000B7583" w:rsidP="000B7583">
      <w:pPr>
        <w:spacing w:before="200" w:line="360" w:lineRule="auto"/>
        <w:jc w:val="both"/>
        <w:rPr>
          <w:rFonts w:ascii="Arial" w:hAnsi="Arial" w:cs="Arial"/>
          <w:sz w:val="20"/>
          <w:szCs w:val="20"/>
        </w:rPr>
      </w:pPr>
      <w:r w:rsidRPr="00A52F41">
        <w:rPr>
          <w:rFonts w:ascii="Arial" w:hAnsi="Arial" w:cs="Arial"/>
          <w:sz w:val="20"/>
          <w:szCs w:val="20"/>
        </w:rPr>
        <w:lastRenderedPageBreak/>
        <w:t xml:space="preserve">Turizem na podeželju je na nacionalni ravni uvrščeno med deset vodilnih turističnih produktov v Sloveniji. Ta produkt je pomemben pospeševalec kmetijske proizvodnje, visokokakovostne </w:t>
      </w:r>
      <w:r>
        <w:rPr>
          <w:rFonts w:ascii="Arial" w:hAnsi="Arial" w:cs="Arial"/>
          <w:sz w:val="20"/>
          <w:szCs w:val="20"/>
        </w:rPr>
        <w:t>pristne</w:t>
      </w:r>
      <w:r w:rsidRPr="00A52F41">
        <w:rPr>
          <w:rFonts w:ascii="Arial" w:hAnsi="Arial" w:cs="Arial"/>
          <w:sz w:val="20"/>
          <w:szCs w:val="20"/>
        </w:rPr>
        <w:t xml:space="preserve"> kulinarike</w:t>
      </w:r>
      <w:r>
        <w:rPr>
          <w:rFonts w:ascii="Arial" w:hAnsi="Arial" w:cs="Arial"/>
          <w:sz w:val="20"/>
          <w:szCs w:val="20"/>
        </w:rPr>
        <w:t xml:space="preserve"> in vinarstva</w:t>
      </w:r>
      <w:r w:rsidRPr="00A52F41">
        <w:rPr>
          <w:rFonts w:ascii="Arial" w:hAnsi="Arial" w:cs="Arial"/>
          <w:sz w:val="20"/>
          <w:szCs w:val="20"/>
        </w:rPr>
        <w:t xml:space="preserve">, </w:t>
      </w:r>
      <w:r>
        <w:rPr>
          <w:rFonts w:ascii="Arial" w:hAnsi="Arial" w:cs="Arial"/>
          <w:sz w:val="20"/>
          <w:szCs w:val="20"/>
        </w:rPr>
        <w:t>pristne oziroma izvirne</w:t>
      </w:r>
      <w:r w:rsidRPr="00A52F41">
        <w:rPr>
          <w:rFonts w:ascii="Arial" w:hAnsi="Arial" w:cs="Arial"/>
          <w:sz w:val="20"/>
          <w:szCs w:val="20"/>
        </w:rPr>
        <w:t xml:space="preserve"> nastanitvene ponudbe in številnih doživetij v stik</w:t>
      </w:r>
      <w:r>
        <w:rPr>
          <w:rFonts w:ascii="Arial" w:hAnsi="Arial" w:cs="Arial"/>
          <w:sz w:val="20"/>
          <w:szCs w:val="20"/>
        </w:rPr>
        <w:t xml:space="preserve">u z naravo, kulturo in ljudmi. </w:t>
      </w:r>
    </w:p>
    <w:p w14:paraId="284A22F1" w14:textId="17E37184" w:rsidR="000B7583" w:rsidRDefault="000B7583" w:rsidP="000B7583">
      <w:pPr>
        <w:spacing w:before="200" w:line="360" w:lineRule="auto"/>
        <w:jc w:val="both"/>
        <w:rPr>
          <w:rFonts w:ascii="Arial" w:hAnsi="Arial" w:cs="Arial"/>
          <w:sz w:val="20"/>
          <w:szCs w:val="20"/>
        </w:rPr>
      </w:pPr>
      <w:r w:rsidRPr="00A52F41">
        <w:rPr>
          <w:rFonts w:ascii="Arial" w:hAnsi="Arial" w:cs="Arial"/>
          <w:sz w:val="20"/>
          <w:szCs w:val="20"/>
        </w:rPr>
        <w:t xml:space="preserve">Strategija trajnostne rasti slovenskega turizma 2017–2021 opredeljuje turizem na podeželju kot turizem, ki temelji na ponudbi turističnih kmetij, manjših ponudnikov in zidanic ter na </w:t>
      </w:r>
      <w:r>
        <w:rPr>
          <w:rFonts w:ascii="Arial" w:hAnsi="Arial" w:cs="Arial"/>
          <w:sz w:val="20"/>
          <w:szCs w:val="20"/>
        </w:rPr>
        <w:t>pristnih</w:t>
      </w:r>
      <w:r w:rsidRPr="00A52F41">
        <w:rPr>
          <w:rFonts w:ascii="Arial" w:hAnsi="Arial" w:cs="Arial"/>
          <w:sz w:val="20"/>
          <w:szCs w:val="20"/>
        </w:rPr>
        <w:t xml:space="preserve"> doživetjih podeželja</w:t>
      </w:r>
      <w:r>
        <w:rPr>
          <w:rFonts w:ascii="Arial" w:hAnsi="Arial" w:cs="Arial"/>
          <w:sz w:val="20"/>
          <w:szCs w:val="20"/>
        </w:rPr>
        <w:t xml:space="preserve"> (MGRT, 2017)</w:t>
      </w:r>
      <w:r w:rsidRPr="00A52F41">
        <w:rPr>
          <w:rFonts w:ascii="Arial" w:hAnsi="Arial" w:cs="Arial"/>
          <w:sz w:val="20"/>
          <w:szCs w:val="20"/>
        </w:rPr>
        <w:t>.</w:t>
      </w:r>
    </w:p>
    <w:bookmarkEnd w:id="72"/>
    <w:p w14:paraId="4CBD0B08" w14:textId="0B07BD79" w:rsidR="009E0216" w:rsidRPr="008D32AC" w:rsidRDefault="00FC16F5" w:rsidP="008D32AC">
      <w:pPr>
        <w:spacing w:before="200" w:line="360" w:lineRule="auto"/>
        <w:jc w:val="both"/>
        <w:rPr>
          <w:sz w:val="20"/>
          <w:szCs w:val="20"/>
        </w:rPr>
      </w:pPr>
      <w:r w:rsidRPr="008D32AC">
        <w:rPr>
          <w:rFonts w:ascii="Arial" w:hAnsi="Arial" w:cs="Arial"/>
          <w:sz w:val="20"/>
          <w:szCs w:val="20"/>
        </w:rPr>
        <w:t>Razgl</w:t>
      </w:r>
      <w:r w:rsidR="00B7149D" w:rsidRPr="008D32AC">
        <w:rPr>
          <w:rFonts w:ascii="Arial" w:hAnsi="Arial" w:cs="Arial"/>
          <w:sz w:val="20"/>
          <w:szCs w:val="20"/>
        </w:rPr>
        <w:t>asitev</w:t>
      </w:r>
      <w:r w:rsidRPr="008D32AC">
        <w:rPr>
          <w:rFonts w:ascii="Arial" w:hAnsi="Arial" w:cs="Arial"/>
          <w:sz w:val="20"/>
          <w:szCs w:val="20"/>
        </w:rPr>
        <w:t xml:space="preserve"> epidemije je bistveno vpli</w:t>
      </w:r>
      <w:r w:rsidR="00B7149D" w:rsidRPr="008D32AC">
        <w:rPr>
          <w:rFonts w:ascii="Arial" w:hAnsi="Arial" w:cs="Arial"/>
          <w:sz w:val="20"/>
          <w:szCs w:val="20"/>
        </w:rPr>
        <w:t xml:space="preserve">valo tudi na slovenski turizem. </w:t>
      </w:r>
      <w:r w:rsidR="00145E90" w:rsidRPr="008D32AC">
        <w:rPr>
          <w:rFonts w:ascii="Arial" w:hAnsi="Arial" w:cs="Arial"/>
          <w:sz w:val="20"/>
          <w:szCs w:val="20"/>
        </w:rPr>
        <w:t>Po podatkih SURS je bilo do konca avgusta 2020 polovico manj prihodov turistov kot v enakem obdobju leta 2019. V primerjavi s preteklimi leti, ko so prevladovali prihodi tujih gostov (okoli 76 % vseh), so konca avgusta leta 2020 prevladovali prihodi slovenskih gostov. Enako velja za prenočitve turistov, ki jih je bilo do vključno avgusta leta 2020 za 30 % manj kot v enakem obdobju leta 2019. Delež prenočitev tujih gostov je predstavljal okoli 40 % (v enakem obdobju leta 2019 73 % vseh), se je pa močno povečal delež domačih gostov, in sicer na 60 % vseh prenočitev (SURS, 2020).</w:t>
      </w:r>
    </w:p>
    <w:p w14:paraId="31AC6EB7" w14:textId="77777777" w:rsidR="00FC16F5" w:rsidRPr="00A52F41" w:rsidRDefault="00FC16F5" w:rsidP="00EA2E4C">
      <w:pPr>
        <w:pStyle w:val="tevilnatoka"/>
        <w:numPr>
          <w:ilvl w:val="0"/>
          <w:numId w:val="0"/>
        </w:numPr>
        <w:spacing w:line="360" w:lineRule="auto"/>
        <w:outlineLvl w:val="1"/>
        <w:rPr>
          <w:sz w:val="20"/>
          <w:szCs w:val="20"/>
          <w:highlight w:val="yellow"/>
        </w:rPr>
      </w:pPr>
    </w:p>
    <w:p w14:paraId="0B5D11E5" w14:textId="26E37909" w:rsidR="009E0216" w:rsidRPr="00BE756C" w:rsidRDefault="004052BC" w:rsidP="008D32AC">
      <w:pPr>
        <w:pStyle w:val="Naslov2"/>
        <w:keepLines w:val="0"/>
        <w:tabs>
          <w:tab w:val="left" w:pos="0"/>
          <w:tab w:val="left" w:pos="567"/>
          <w:tab w:val="left" w:pos="1276"/>
        </w:tabs>
        <w:spacing w:before="0" w:line="360" w:lineRule="auto"/>
        <w:jc w:val="both"/>
        <w:rPr>
          <w:rFonts w:ascii="Arial" w:hAnsi="Arial" w:cs="Arial"/>
          <w:color w:val="000000" w:themeColor="text1"/>
          <w:sz w:val="24"/>
          <w:szCs w:val="24"/>
        </w:rPr>
      </w:pPr>
      <w:bookmarkStart w:id="73" w:name="_Toc55999337"/>
      <w:r>
        <w:rPr>
          <w:rFonts w:ascii="Arial" w:hAnsi="Arial" w:cs="Arial"/>
          <w:color w:val="000000" w:themeColor="text1"/>
          <w:sz w:val="24"/>
          <w:szCs w:val="24"/>
        </w:rPr>
        <w:t xml:space="preserve">3.4 </w:t>
      </w:r>
      <w:r w:rsidR="009E0216" w:rsidRPr="00BE756C">
        <w:rPr>
          <w:rFonts w:ascii="Arial" w:hAnsi="Arial" w:cs="Arial"/>
          <w:color w:val="000000" w:themeColor="text1"/>
          <w:sz w:val="24"/>
          <w:szCs w:val="24"/>
        </w:rPr>
        <w:t>BIOGOSPODARSTVO</w:t>
      </w:r>
      <w:bookmarkEnd w:id="73"/>
    </w:p>
    <w:p w14:paraId="449DB3E0"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Definicija biogospodarstva v EU, iz katere izhajajo tudi številne raziskave in razpoložljivi uradni podatki za države članice, se nanaša na biološke procese, funkcije in načela, bioosnovane proizvode in storitve ter različne sektorje, od tistih usmerjenih v proizvodnjo (kmetijstvo, gozdarstvo, in ribištvo), do drugih usmerjenih v pretvorbo (bioindustrije, energetika), pa tudi na presečne sektorje s področja okolja in narave, raziskav in razvoja, vk</w:t>
      </w:r>
      <w:r w:rsidR="00083AB5">
        <w:rPr>
          <w:rFonts w:ascii="Arial" w:hAnsi="Arial" w:cs="Arial"/>
          <w:sz w:val="20"/>
          <w:szCs w:val="20"/>
        </w:rPr>
        <w:t xml:space="preserve">ljučno z regionalnim razvojem. </w:t>
      </w:r>
    </w:p>
    <w:p w14:paraId="710A5EF4"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Biogospodarstvo je po definiciji torej gospodarstvo, ki temelji na trajnostni proizvodnji obnovljivih bioloških virov in njihovi predelavi v hrano, krmo, vlakna, materiale, kemikalije in bioenergijo, z učinkovitimi oziro</w:t>
      </w:r>
      <w:r w:rsidR="00083AB5">
        <w:rPr>
          <w:rFonts w:ascii="Arial" w:hAnsi="Arial" w:cs="Arial"/>
          <w:sz w:val="20"/>
          <w:szCs w:val="20"/>
        </w:rPr>
        <w:t xml:space="preserve">ma inovativnimi tehnologijami. </w:t>
      </w:r>
    </w:p>
    <w:p w14:paraId="35E9BAE4"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Stranski proizvodi in ostanki predelovalne industrije, katere primarni vir je biomasa, torej postanejo surovine v procesih nadaljnje pretvorbe biomase v različne produkte. Nove tehnologije razklopa biomase in vključevanje nastalih gradnikov v bio-osnovane materiale (npr. ekstrakti, nanomateriali, biopolimeri) omogočajo vstop v nove verige vrednosti (npr. zdravje, pametna embalaža). Kaskadni proces predelave biomase od hrane in bio-osnovanih proizvodov do končne energetske rabe je smotrn tako z vidika trajnostne rabe obnovljivega ogljika (proizvodnja brez odpadkov, zaprte energetske zanke) kot tudi z vidika ekonomske učinkovitosti (doseganje višje skupne dodane vrednosti) in gospodarske rasti.</w:t>
      </w:r>
    </w:p>
    <w:p w14:paraId="62B3873B" w14:textId="1D37455C"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Področje biogospodarstva oziroma njegova načela so naslovljena tudi v Strategiji razvoja Slovenije do leta 2030, ki v dveh ključnih ciljih naslavlja biogospodarski načeli in sicer nizkoogljično krožno gospodarstvo in trajnostno upravljanje naravnih virov, saj je Slovenija pri učinkovitosti rabe virov in energije pod povprečjem EU, prepočasno pa je tudi napredovanje glede produktivnosti rabe ogljika. </w:t>
      </w:r>
      <w:r w:rsidRPr="00A52F41">
        <w:rPr>
          <w:rFonts w:ascii="Arial" w:hAnsi="Arial" w:cs="Arial"/>
          <w:sz w:val="20"/>
          <w:szCs w:val="20"/>
        </w:rPr>
        <w:lastRenderedPageBreak/>
        <w:t>Prehod v nizkoogljično krožno gospodarstvo je zato prednostna razvojna usmeritev za celotno slovensko gospodarstvo</w:t>
      </w:r>
      <w:r w:rsidR="000F7702">
        <w:rPr>
          <w:rFonts w:ascii="Arial" w:hAnsi="Arial" w:cs="Arial"/>
          <w:sz w:val="20"/>
          <w:szCs w:val="20"/>
        </w:rPr>
        <w:t xml:space="preserve"> (SVRK 2017)</w:t>
      </w:r>
      <w:r w:rsidR="00E435D3">
        <w:rPr>
          <w:rFonts w:ascii="Arial" w:hAnsi="Arial" w:cs="Arial"/>
          <w:sz w:val="20"/>
          <w:szCs w:val="20"/>
        </w:rPr>
        <w:t>. V Sloveniji je oblikovano tudi strateško razvojno-inovacijsko partnerstvo – Mreže za prehod v krožno gospodarstvo (SRIP – Krožno gospodarstvo), katerega vizija je trajnostno povečati učinkovitost in konkurenčnost domačega gospodarstva pri prehodu v krožno gospodarstvo</w:t>
      </w:r>
      <w:r w:rsidR="000F7702">
        <w:rPr>
          <w:rFonts w:ascii="Arial" w:hAnsi="Arial" w:cs="Arial"/>
          <w:sz w:val="20"/>
          <w:szCs w:val="20"/>
        </w:rPr>
        <w:t>.</w:t>
      </w:r>
    </w:p>
    <w:p w14:paraId="1C57CA70" w14:textId="1602E991"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Iz osnutka poročila CRP »Družbeni kontekst prehoda v biogospodarstvo«, izhaja, da biogospodarstvo v Sloveniji nima dovolj prepoznavne lastne identitete, po kateri bi se ločilo od drugih povezanih konceptov kot sta npr. zeleno gospodarstvo ali krožno gospodarstvo. V povezavi s tem je problematičen zaostanek na področju kmetijstva in hrane, kot največjim segmentom biogospodarstva v Sloveniji, ki se sooča s strukturnimi problemi po celotni verigi, kjer bi pristop biogospodarstva na ravni velikih in malih proizvodnih sistemov (pilotni projekti s potencialom za razširjanje) spodbudil vključevanje znanja in tehnologije, razvoj novih verig in diverzifikacijo, s koristmi predvsem za podeželsko okolje.</w:t>
      </w:r>
    </w:p>
    <w:p w14:paraId="6EFDE2A8"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S povečanjem rabe pojma »biogospodarstvo« se v javnosti pogosto pojavljata še dva vsebinsko sorodna koncepta in sicer zeleno gospodarstvo in krožno gospodarstvo. Zeleno gospodarstvo je vsebinsko širši koncept. Razumemo ga lahko kot skupek pristopov, ki si prizadeva zmanjšati okoljske in ekološke vplive ter spodbuja trajnostni razvoj, pri čemer je poudarjena ekološka komponenta trajnosti. Pogosto izpostavlja tudi družbeno komponento trajnostnega razvoja, npr. s poudarjanjem ideje pravičnosti (Viaggi, 2018).</w:t>
      </w:r>
    </w:p>
    <w:p w14:paraId="1CED3B2C"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Krožno gospodarstvo gradi na novem vzorcu proizvodnje in potrošnje in temelji na konceptu pozitivnega snovnega kroga, ki se usmerja v ponovno uporabo, popravilo in recikliranje obstoječih materialov in izdelkov. </w:t>
      </w:r>
    </w:p>
    <w:p w14:paraId="5403CF70"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Ob tem se vse bolj razmišlja in tudi že udejanja idejo o kaskadni rabi biomase. Tu gre za koncept, da se iz biomase najprej pridobi komponente z najvišjo dodano vrednostjo, nato se izraba nadaljuje s pridobivanjem komponent z vedno nižjo dodano vrednostjo, vse do končne energetske izrabe preostanka biomase.</w:t>
      </w:r>
    </w:p>
    <w:p w14:paraId="44A01568" w14:textId="08C72D88" w:rsidR="00083AB5" w:rsidRPr="00BE756C" w:rsidRDefault="00083AB5" w:rsidP="00E435D3">
      <w:pPr>
        <w:pStyle w:val="Default"/>
        <w:spacing w:line="360" w:lineRule="auto"/>
        <w:jc w:val="both"/>
        <w:rPr>
          <w:sz w:val="20"/>
          <w:szCs w:val="20"/>
        </w:rPr>
      </w:pPr>
      <w:r w:rsidRPr="00E64CF3">
        <w:rPr>
          <w:rFonts w:ascii="Arial" w:hAnsi="Arial" w:cs="Arial"/>
          <w:color w:val="auto"/>
          <w:sz w:val="20"/>
          <w:szCs w:val="20"/>
          <w:lang w:val="sl-SI"/>
        </w:rPr>
        <w:t xml:space="preserve">Slika </w:t>
      </w:r>
      <w:r w:rsidR="00B83EC8">
        <w:rPr>
          <w:rFonts w:ascii="Arial" w:hAnsi="Arial" w:cs="Arial"/>
          <w:color w:val="auto"/>
          <w:sz w:val="20"/>
          <w:szCs w:val="20"/>
          <w:lang w:val="sl-SI"/>
        </w:rPr>
        <w:t>33</w:t>
      </w:r>
      <w:r w:rsidRPr="00E64CF3">
        <w:rPr>
          <w:rFonts w:ascii="Arial" w:hAnsi="Arial" w:cs="Arial"/>
          <w:color w:val="auto"/>
          <w:sz w:val="20"/>
          <w:szCs w:val="20"/>
          <w:lang w:val="sl-SI"/>
        </w:rPr>
        <w:t>: Biogospodarstvo in krožno gospodarstvo</w:t>
      </w:r>
    </w:p>
    <w:p w14:paraId="4C6220F4" w14:textId="77777777" w:rsidR="009E0216" w:rsidRPr="00A52F41" w:rsidRDefault="009E0216" w:rsidP="00E435D3">
      <w:pPr>
        <w:autoSpaceDE w:val="0"/>
        <w:autoSpaceDN w:val="0"/>
        <w:adjustRightInd w:val="0"/>
        <w:spacing w:line="36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04150921" wp14:editId="360BF99A">
            <wp:extent cx="2751152" cy="198183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772278" cy="1997053"/>
                    </a:xfrm>
                    <a:prstGeom prst="rect">
                      <a:avLst/>
                    </a:prstGeom>
                  </pic:spPr>
                </pic:pic>
              </a:graphicData>
            </a:graphic>
          </wp:inline>
        </w:drawing>
      </w:r>
    </w:p>
    <w:p w14:paraId="6B97193D" w14:textId="5C2A6351" w:rsidR="009E0216" w:rsidRPr="00145296" w:rsidRDefault="00C57228" w:rsidP="00E435D3">
      <w:pPr>
        <w:pStyle w:val="SCslika"/>
        <w:keepNext/>
        <w:keepLines/>
      </w:pPr>
      <w:r w:rsidRPr="00C35272">
        <w:lastRenderedPageBreak/>
        <w:t xml:space="preserve">Tabela </w:t>
      </w:r>
      <w:r w:rsidR="00B83EC8">
        <w:t>26</w:t>
      </w:r>
      <w:r w:rsidRPr="00C35272">
        <w:t>:</w:t>
      </w:r>
      <w:r w:rsidR="009E0216" w:rsidRPr="00C35272">
        <w:t xml:space="preserve"> Bruto dodana vrednost biogospodarstva v Sloveniji (</w:t>
      </w:r>
      <w:r w:rsidR="004052BC">
        <w:t xml:space="preserve">v </w:t>
      </w:r>
      <w:r w:rsidR="009E0216" w:rsidRPr="00C35272">
        <w:t>mio EUR)</w:t>
      </w:r>
      <w:r w:rsidR="009E0216" w:rsidRPr="00C35272" w:rsidDel="008C506B">
        <w:t xml:space="preserve"> </w:t>
      </w:r>
    </w:p>
    <w:tbl>
      <w:tblPr>
        <w:tblW w:w="9579" w:type="dxa"/>
        <w:tblInd w:w="55" w:type="dxa"/>
        <w:tblLayout w:type="fixed"/>
        <w:tblCellMar>
          <w:left w:w="70" w:type="dxa"/>
          <w:right w:w="70" w:type="dxa"/>
        </w:tblCellMar>
        <w:tblLook w:val="04A0" w:firstRow="1" w:lastRow="0" w:firstColumn="1" w:lastColumn="0" w:noHBand="0" w:noVBand="1"/>
      </w:tblPr>
      <w:tblGrid>
        <w:gridCol w:w="2120"/>
        <w:gridCol w:w="745"/>
        <w:gridCol w:w="746"/>
        <w:gridCol w:w="746"/>
        <w:gridCol w:w="746"/>
        <w:gridCol w:w="746"/>
        <w:gridCol w:w="746"/>
        <w:gridCol w:w="746"/>
        <w:gridCol w:w="746"/>
        <w:gridCol w:w="746"/>
        <w:gridCol w:w="746"/>
      </w:tblGrid>
      <w:tr w:rsidR="00092278" w:rsidRPr="00A52F41" w14:paraId="1179EEE9" w14:textId="0BB4A44D" w:rsidTr="00092278">
        <w:trPr>
          <w:trHeight w:val="379"/>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028E1" w14:textId="66F2E042" w:rsidR="00092278" w:rsidRPr="00092278" w:rsidRDefault="00092278" w:rsidP="00092278">
            <w:pPr>
              <w:keepNext/>
              <w:keepLines/>
              <w:spacing w:after="0" w:line="360" w:lineRule="auto"/>
              <w:jc w:val="both"/>
              <w:rPr>
                <w:rFonts w:ascii="Arial" w:hAnsi="Arial" w:cs="Arial"/>
                <w:color w:val="000000"/>
                <w:sz w:val="18"/>
                <w:szCs w:val="18"/>
              </w:rPr>
            </w:pP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14:paraId="671D12FB" w14:textId="77777777"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2008</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14:paraId="616E1FD1" w14:textId="77777777"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2009</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14:paraId="58C77FB3" w14:textId="77777777"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2010</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14:paraId="787AC9A5" w14:textId="77777777"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2011</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14:paraId="1996B40F" w14:textId="77777777"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2012</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14:paraId="45865354" w14:textId="77777777"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2013</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14:paraId="4D3799FA" w14:textId="77777777"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2014</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14:paraId="691AEB34" w14:textId="77777777"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2015</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14:paraId="48BE0C7F" w14:textId="77777777"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2016</w:t>
            </w:r>
          </w:p>
        </w:tc>
        <w:tc>
          <w:tcPr>
            <w:tcW w:w="746" w:type="dxa"/>
            <w:tcBorders>
              <w:top w:val="single" w:sz="4" w:space="0" w:color="auto"/>
              <w:left w:val="nil"/>
              <w:bottom w:val="single" w:sz="4" w:space="0" w:color="auto"/>
              <w:right w:val="single" w:sz="4" w:space="0" w:color="auto"/>
            </w:tcBorders>
            <w:vAlign w:val="bottom"/>
          </w:tcPr>
          <w:p w14:paraId="2C0FE109" w14:textId="56FA2FFB"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2017</w:t>
            </w:r>
          </w:p>
        </w:tc>
      </w:tr>
      <w:tr w:rsidR="00092278" w:rsidRPr="00A52F41" w14:paraId="6C4FD616" w14:textId="41E85519"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DCF0DFB"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Kmetijstvo</w:t>
            </w:r>
          </w:p>
        </w:tc>
        <w:tc>
          <w:tcPr>
            <w:tcW w:w="745" w:type="dxa"/>
            <w:tcBorders>
              <w:top w:val="nil"/>
              <w:left w:val="nil"/>
              <w:bottom w:val="single" w:sz="4" w:space="0" w:color="auto"/>
              <w:right w:val="single" w:sz="4" w:space="0" w:color="auto"/>
            </w:tcBorders>
            <w:shd w:val="clear" w:color="auto" w:fill="auto"/>
            <w:noWrap/>
            <w:vAlign w:val="bottom"/>
            <w:hideMark/>
          </w:tcPr>
          <w:p w14:paraId="5B580589"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434,7</w:t>
            </w:r>
          </w:p>
        </w:tc>
        <w:tc>
          <w:tcPr>
            <w:tcW w:w="746" w:type="dxa"/>
            <w:tcBorders>
              <w:top w:val="nil"/>
              <w:left w:val="nil"/>
              <w:bottom w:val="single" w:sz="4" w:space="0" w:color="auto"/>
              <w:right w:val="single" w:sz="4" w:space="0" w:color="auto"/>
            </w:tcBorders>
            <w:shd w:val="clear" w:color="auto" w:fill="auto"/>
            <w:noWrap/>
            <w:vAlign w:val="bottom"/>
            <w:hideMark/>
          </w:tcPr>
          <w:p w14:paraId="5AD9512E"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422,1</w:t>
            </w:r>
          </w:p>
        </w:tc>
        <w:tc>
          <w:tcPr>
            <w:tcW w:w="746" w:type="dxa"/>
            <w:tcBorders>
              <w:top w:val="nil"/>
              <w:left w:val="nil"/>
              <w:bottom w:val="single" w:sz="4" w:space="0" w:color="auto"/>
              <w:right w:val="single" w:sz="4" w:space="0" w:color="auto"/>
            </w:tcBorders>
            <w:shd w:val="clear" w:color="auto" w:fill="auto"/>
            <w:noWrap/>
            <w:vAlign w:val="bottom"/>
            <w:hideMark/>
          </w:tcPr>
          <w:p w14:paraId="5E0C2794"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440,5</w:t>
            </w:r>
          </w:p>
        </w:tc>
        <w:tc>
          <w:tcPr>
            <w:tcW w:w="746" w:type="dxa"/>
            <w:tcBorders>
              <w:top w:val="nil"/>
              <w:left w:val="nil"/>
              <w:bottom w:val="single" w:sz="4" w:space="0" w:color="auto"/>
              <w:right w:val="single" w:sz="4" w:space="0" w:color="auto"/>
            </w:tcBorders>
            <w:shd w:val="clear" w:color="auto" w:fill="auto"/>
            <w:noWrap/>
            <w:vAlign w:val="bottom"/>
            <w:hideMark/>
          </w:tcPr>
          <w:p w14:paraId="135738C0"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519,9</w:t>
            </w:r>
          </w:p>
        </w:tc>
        <w:tc>
          <w:tcPr>
            <w:tcW w:w="746" w:type="dxa"/>
            <w:tcBorders>
              <w:top w:val="nil"/>
              <w:left w:val="nil"/>
              <w:bottom w:val="single" w:sz="4" w:space="0" w:color="auto"/>
              <w:right w:val="single" w:sz="4" w:space="0" w:color="auto"/>
            </w:tcBorders>
            <w:shd w:val="clear" w:color="auto" w:fill="auto"/>
            <w:noWrap/>
            <w:vAlign w:val="bottom"/>
            <w:hideMark/>
          </w:tcPr>
          <w:p w14:paraId="1428EB61"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431,5</w:t>
            </w:r>
          </w:p>
        </w:tc>
        <w:tc>
          <w:tcPr>
            <w:tcW w:w="746" w:type="dxa"/>
            <w:tcBorders>
              <w:top w:val="nil"/>
              <w:left w:val="nil"/>
              <w:bottom w:val="single" w:sz="4" w:space="0" w:color="auto"/>
              <w:right w:val="single" w:sz="4" w:space="0" w:color="auto"/>
            </w:tcBorders>
            <w:shd w:val="clear" w:color="auto" w:fill="auto"/>
            <w:noWrap/>
            <w:vAlign w:val="bottom"/>
            <w:hideMark/>
          </w:tcPr>
          <w:p w14:paraId="00DAA29D"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425,4</w:t>
            </w:r>
          </w:p>
        </w:tc>
        <w:tc>
          <w:tcPr>
            <w:tcW w:w="746" w:type="dxa"/>
            <w:tcBorders>
              <w:top w:val="nil"/>
              <w:left w:val="nil"/>
              <w:bottom w:val="single" w:sz="4" w:space="0" w:color="auto"/>
              <w:right w:val="single" w:sz="4" w:space="0" w:color="auto"/>
            </w:tcBorders>
            <w:shd w:val="clear" w:color="auto" w:fill="auto"/>
            <w:noWrap/>
            <w:vAlign w:val="bottom"/>
            <w:hideMark/>
          </w:tcPr>
          <w:p w14:paraId="5E9D0141"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513,2</w:t>
            </w:r>
          </w:p>
        </w:tc>
        <w:tc>
          <w:tcPr>
            <w:tcW w:w="746" w:type="dxa"/>
            <w:tcBorders>
              <w:top w:val="nil"/>
              <w:left w:val="nil"/>
              <w:bottom w:val="single" w:sz="4" w:space="0" w:color="auto"/>
              <w:right w:val="single" w:sz="4" w:space="0" w:color="auto"/>
            </w:tcBorders>
            <w:shd w:val="clear" w:color="auto" w:fill="auto"/>
            <w:noWrap/>
            <w:vAlign w:val="bottom"/>
            <w:hideMark/>
          </w:tcPr>
          <w:p w14:paraId="4845F880"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570,5</w:t>
            </w:r>
          </w:p>
        </w:tc>
        <w:tc>
          <w:tcPr>
            <w:tcW w:w="746" w:type="dxa"/>
            <w:tcBorders>
              <w:top w:val="nil"/>
              <w:left w:val="nil"/>
              <w:bottom w:val="single" w:sz="4" w:space="0" w:color="auto"/>
              <w:right w:val="single" w:sz="4" w:space="0" w:color="auto"/>
            </w:tcBorders>
            <w:shd w:val="clear" w:color="auto" w:fill="auto"/>
            <w:noWrap/>
            <w:vAlign w:val="bottom"/>
            <w:hideMark/>
          </w:tcPr>
          <w:p w14:paraId="3F5B1C4B"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539,5</w:t>
            </w:r>
          </w:p>
        </w:tc>
        <w:tc>
          <w:tcPr>
            <w:tcW w:w="746" w:type="dxa"/>
            <w:tcBorders>
              <w:top w:val="nil"/>
              <w:left w:val="nil"/>
              <w:bottom w:val="single" w:sz="4" w:space="0" w:color="auto"/>
              <w:right w:val="single" w:sz="4" w:space="0" w:color="auto"/>
            </w:tcBorders>
            <w:vAlign w:val="bottom"/>
          </w:tcPr>
          <w:p w14:paraId="09156F36" w14:textId="570F9689"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471,2</w:t>
            </w:r>
          </w:p>
        </w:tc>
      </w:tr>
      <w:tr w:rsidR="00092278" w:rsidRPr="00A52F41" w14:paraId="5301E390" w14:textId="00BC3038"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DD4EA59"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Gozdarstvo</w:t>
            </w:r>
          </w:p>
        </w:tc>
        <w:tc>
          <w:tcPr>
            <w:tcW w:w="745" w:type="dxa"/>
            <w:tcBorders>
              <w:top w:val="nil"/>
              <w:left w:val="nil"/>
              <w:bottom w:val="single" w:sz="4" w:space="0" w:color="auto"/>
              <w:right w:val="single" w:sz="4" w:space="0" w:color="auto"/>
            </w:tcBorders>
            <w:shd w:val="clear" w:color="auto" w:fill="auto"/>
            <w:noWrap/>
            <w:vAlign w:val="bottom"/>
            <w:hideMark/>
          </w:tcPr>
          <w:p w14:paraId="7C2F48F2"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255,8</w:t>
            </w:r>
          </w:p>
        </w:tc>
        <w:tc>
          <w:tcPr>
            <w:tcW w:w="746" w:type="dxa"/>
            <w:tcBorders>
              <w:top w:val="nil"/>
              <w:left w:val="nil"/>
              <w:bottom w:val="single" w:sz="4" w:space="0" w:color="auto"/>
              <w:right w:val="single" w:sz="4" w:space="0" w:color="auto"/>
            </w:tcBorders>
            <w:shd w:val="clear" w:color="auto" w:fill="auto"/>
            <w:noWrap/>
            <w:vAlign w:val="bottom"/>
            <w:hideMark/>
          </w:tcPr>
          <w:p w14:paraId="3D0E6C57"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232,2</w:t>
            </w:r>
          </w:p>
        </w:tc>
        <w:tc>
          <w:tcPr>
            <w:tcW w:w="746" w:type="dxa"/>
            <w:tcBorders>
              <w:top w:val="nil"/>
              <w:left w:val="nil"/>
              <w:bottom w:val="single" w:sz="4" w:space="0" w:color="auto"/>
              <w:right w:val="single" w:sz="4" w:space="0" w:color="auto"/>
            </w:tcBorders>
            <w:shd w:val="clear" w:color="auto" w:fill="auto"/>
            <w:noWrap/>
            <w:vAlign w:val="bottom"/>
            <w:hideMark/>
          </w:tcPr>
          <w:p w14:paraId="6D5F2C54"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243,9</w:t>
            </w:r>
          </w:p>
        </w:tc>
        <w:tc>
          <w:tcPr>
            <w:tcW w:w="746" w:type="dxa"/>
            <w:tcBorders>
              <w:top w:val="nil"/>
              <w:left w:val="nil"/>
              <w:bottom w:val="single" w:sz="4" w:space="0" w:color="auto"/>
              <w:right w:val="single" w:sz="4" w:space="0" w:color="auto"/>
            </w:tcBorders>
            <w:shd w:val="clear" w:color="auto" w:fill="auto"/>
            <w:noWrap/>
            <w:vAlign w:val="bottom"/>
            <w:hideMark/>
          </w:tcPr>
          <w:p w14:paraId="773493D7"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270,0</w:t>
            </w:r>
          </w:p>
        </w:tc>
        <w:tc>
          <w:tcPr>
            <w:tcW w:w="746" w:type="dxa"/>
            <w:tcBorders>
              <w:top w:val="nil"/>
              <w:left w:val="nil"/>
              <w:bottom w:val="single" w:sz="4" w:space="0" w:color="auto"/>
              <w:right w:val="single" w:sz="4" w:space="0" w:color="auto"/>
            </w:tcBorders>
            <w:shd w:val="clear" w:color="auto" w:fill="auto"/>
            <w:noWrap/>
            <w:vAlign w:val="bottom"/>
            <w:hideMark/>
          </w:tcPr>
          <w:p w14:paraId="37188CBA"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276,1</w:t>
            </w:r>
          </w:p>
        </w:tc>
        <w:tc>
          <w:tcPr>
            <w:tcW w:w="746" w:type="dxa"/>
            <w:tcBorders>
              <w:top w:val="nil"/>
              <w:left w:val="nil"/>
              <w:bottom w:val="single" w:sz="4" w:space="0" w:color="auto"/>
              <w:right w:val="single" w:sz="4" w:space="0" w:color="auto"/>
            </w:tcBorders>
            <w:shd w:val="clear" w:color="auto" w:fill="auto"/>
            <w:noWrap/>
            <w:vAlign w:val="bottom"/>
            <w:hideMark/>
          </w:tcPr>
          <w:p w14:paraId="43DB8B8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288,5</w:t>
            </w:r>
          </w:p>
        </w:tc>
        <w:tc>
          <w:tcPr>
            <w:tcW w:w="746" w:type="dxa"/>
            <w:tcBorders>
              <w:top w:val="nil"/>
              <w:left w:val="nil"/>
              <w:bottom w:val="single" w:sz="4" w:space="0" w:color="auto"/>
              <w:right w:val="single" w:sz="4" w:space="0" w:color="auto"/>
            </w:tcBorders>
            <w:shd w:val="clear" w:color="auto" w:fill="auto"/>
            <w:noWrap/>
            <w:vAlign w:val="bottom"/>
            <w:hideMark/>
          </w:tcPr>
          <w:p w14:paraId="58843FE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241,4</w:t>
            </w:r>
          </w:p>
        </w:tc>
        <w:tc>
          <w:tcPr>
            <w:tcW w:w="746" w:type="dxa"/>
            <w:tcBorders>
              <w:top w:val="nil"/>
              <w:left w:val="nil"/>
              <w:bottom w:val="single" w:sz="4" w:space="0" w:color="auto"/>
              <w:right w:val="single" w:sz="4" w:space="0" w:color="auto"/>
            </w:tcBorders>
            <w:shd w:val="clear" w:color="auto" w:fill="auto"/>
            <w:noWrap/>
            <w:vAlign w:val="bottom"/>
            <w:hideMark/>
          </w:tcPr>
          <w:p w14:paraId="6493C7BF"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239,2</w:t>
            </w:r>
          </w:p>
        </w:tc>
        <w:tc>
          <w:tcPr>
            <w:tcW w:w="746" w:type="dxa"/>
            <w:tcBorders>
              <w:top w:val="nil"/>
              <w:left w:val="nil"/>
              <w:bottom w:val="single" w:sz="4" w:space="0" w:color="auto"/>
              <w:right w:val="single" w:sz="4" w:space="0" w:color="auto"/>
            </w:tcBorders>
            <w:shd w:val="clear" w:color="auto" w:fill="auto"/>
            <w:noWrap/>
            <w:vAlign w:val="bottom"/>
            <w:hideMark/>
          </w:tcPr>
          <w:p w14:paraId="1462D3E4"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262,5</w:t>
            </w:r>
          </w:p>
        </w:tc>
        <w:tc>
          <w:tcPr>
            <w:tcW w:w="746" w:type="dxa"/>
            <w:tcBorders>
              <w:top w:val="nil"/>
              <w:left w:val="nil"/>
              <w:bottom w:val="single" w:sz="4" w:space="0" w:color="auto"/>
              <w:right w:val="single" w:sz="4" w:space="0" w:color="auto"/>
            </w:tcBorders>
            <w:vAlign w:val="bottom"/>
          </w:tcPr>
          <w:p w14:paraId="4E927E9A" w14:textId="0C0EE442"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320,1</w:t>
            </w:r>
          </w:p>
        </w:tc>
      </w:tr>
      <w:tr w:rsidR="00092278" w:rsidRPr="00A52F41" w14:paraId="753BE5A0" w14:textId="0F4935FA"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A83DB1D"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Hrana, pijača in tobak</w:t>
            </w:r>
          </w:p>
        </w:tc>
        <w:tc>
          <w:tcPr>
            <w:tcW w:w="745" w:type="dxa"/>
            <w:tcBorders>
              <w:top w:val="nil"/>
              <w:left w:val="nil"/>
              <w:bottom w:val="single" w:sz="4" w:space="0" w:color="auto"/>
              <w:right w:val="single" w:sz="4" w:space="0" w:color="auto"/>
            </w:tcBorders>
            <w:shd w:val="clear" w:color="auto" w:fill="auto"/>
            <w:noWrap/>
            <w:vAlign w:val="bottom"/>
            <w:hideMark/>
          </w:tcPr>
          <w:p w14:paraId="7F79AC2A"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469,2</w:t>
            </w:r>
          </w:p>
        </w:tc>
        <w:tc>
          <w:tcPr>
            <w:tcW w:w="746" w:type="dxa"/>
            <w:tcBorders>
              <w:top w:val="nil"/>
              <w:left w:val="nil"/>
              <w:bottom w:val="single" w:sz="4" w:space="0" w:color="auto"/>
              <w:right w:val="single" w:sz="4" w:space="0" w:color="auto"/>
            </w:tcBorders>
            <w:shd w:val="clear" w:color="auto" w:fill="auto"/>
            <w:noWrap/>
            <w:vAlign w:val="bottom"/>
            <w:hideMark/>
          </w:tcPr>
          <w:p w14:paraId="79CED62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453,0</w:t>
            </w:r>
          </w:p>
        </w:tc>
        <w:tc>
          <w:tcPr>
            <w:tcW w:w="746" w:type="dxa"/>
            <w:tcBorders>
              <w:top w:val="nil"/>
              <w:left w:val="nil"/>
              <w:bottom w:val="single" w:sz="4" w:space="0" w:color="auto"/>
              <w:right w:val="single" w:sz="4" w:space="0" w:color="auto"/>
            </w:tcBorders>
            <w:shd w:val="clear" w:color="auto" w:fill="auto"/>
            <w:noWrap/>
            <w:vAlign w:val="bottom"/>
            <w:hideMark/>
          </w:tcPr>
          <w:p w14:paraId="0EFA324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470,6</w:t>
            </w:r>
          </w:p>
        </w:tc>
        <w:tc>
          <w:tcPr>
            <w:tcW w:w="746" w:type="dxa"/>
            <w:tcBorders>
              <w:top w:val="nil"/>
              <w:left w:val="nil"/>
              <w:bottom w:val="single" w:sz="4" w:space="0" w:color="auto"/>
              <w:right w:val="single" w:sz="4" w:space="0" w:color="auto"/>
            </w:tcBorders>
            <w:shd w:val="clear" w:color="auto" w:fill="auto"/>
            <w:noWrap/>
            <w:vAlign w:val="bottom"/>
            <w:hideMark/>
          </w:tcPr>
          <w:p w14:paraId="2F67390A"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469,4</w:t>
            </w:r>
          </w:p>
        </w:tc>
        <w:tc>
          <w:tcPr>
            <w:tcW w:w="746" w:type="dxa"/>
            <w:tcBorders>
              <w:top w:val="nil"/>
              <w:left w:val="nil"/>
              <w:bottom w:val="single" w:sz="4" w:space="0" w:color="auto"/>
              <w:right w:val="single" w:sz="4" w:space="0" w:color="auto"/>
            </w:tcBorders>
            <w:shd w:val="clear" w:color="auto" w:fill="auto"/>
            <w:noWrap/>
            <w:vAlign w:val="bottom"/>
            <w:hideMark/>
          </w:tcPr>
          <w:p w14:paraId="26040269"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446,3</w:t>
            </w:r>
          </w:p>
        </w:tc>
        <w:tc>
          <w:tcPr>
            <w:tcW w:w="746" w:type="dxa"/>
            <w:tcBorders>
              <w:top w:val="nil"/>
              <w:left w:val="nil"/>
              <w:bottom w:val="single" w:sz="4" w:space="0" w:color="auto"/>
              <w:right w:val="single" w:sz="4" w:space="0" w:color="auto"/>
            </w:tcBorders>
            <w:shd w:val="clear" w:color="auto" w:fill="auto"/>
            <w:noWrap/>
            <w:vAlign w:val="bottom"/>
            <w:hideMark/>
          </w:tcPr>
          <w:p w14:paraId="02DD3E74"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439,7</w:t>
            </w:r>
          </w:p>
        </w:tc>
        <w:tc>
          <w:tcPr>
            <w:tcW w:w="746" w:type="dxa"/>
            <w:tcBorders>
              <w:top w:val="nil"/>
              <w:left w:val="nil"/>
              <w:bottom w:val="single" w:sz="4" w:space="0" w:color="auto"/>
              <w:right w:val="single" w:sz="4" w:space="0" w:color="auto"/>
            </w:tcBorders>
            <w:shd w:val="clear" w:color="auto" w:fill="auto"/>
            <w:noWrap/>
            <w:vAlign w:val="bottom"/>
            <w:hideMark/>
          </w:tcPr>
          <w:p w14:paraId="7CB1A67A"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471,6</w:t>
            </w:r>
          </w:p>
        </w:tc>
        <w:tc>
          <w:tcPr>
            <w:tcW w:w="746" w:type="dxa"/>
            <w:tcBorders>
              <w:top w:val="nil"/>
              <w:left w:val="nil"/>
              <w:bottom w:val="single" w:sz="4" w:space="0" w:color="auto"/>
              <w:right w:val="single" w:sz="4" w:space="0" w:color="auto"/>
            </w:tcBorders>
            <w:shd w:val="clear" w:color="auto" w:fill="auto"/>
            <w:noWrap/>
            <w:vAlign w:val="bottom"/>
            <w:hideMark/>
          </w:tcPr>
          <w:p w14:paraId="464C9B52"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505,9</w:t>
            </w:r>
          </w:p>
        </w:tc>
        <w:tc>
          <w:tcPr>
            <w:tcW w:w="746" w:type="dxa"/>
            <w:tcBorders>
              <w:top w:val="nil"/>
              <w:left w:val="nil"/>
              <w:bottom w:val="single" w:sz="4" w:space="0" w:color="auto"/>
              <w:right w:val="single" w:sz="4" w:space="0" w:color="auto"/>
            </w:tcBorders>
            <w:shd w:val="clear" w:color="auto" w:fill="auto"/>
            <w:noWrap/>
            <w:vAlign w:val="bottom"/>
            <w:hideMark/>
          </w:tcPr>
          <w:p w14:paraId="03EF731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523,4</w:t>
            </w:r>
          </w:p>
        </w:tc>
        <w:tc>
          <w:tcPr>
            <w:tcW w:w="746" w:type="dxa"/>
            <w:tcBorders>
              <w:top w:val="nil"/>
              <w:left w:val="nil"/>
              <w:bottom w:val="single" w:sz="4" w:space="0" w:color="auto"/>
              <w:right w:val="single" w:sz="4" w:space="0" w:color="auto"/>
            </w:tcBorders>
            <w:vAlign w:val="bottom"/>
          </w:tcPr>
          <w:p w14:paraId="06A87E08" w14:textId="32576D54"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543,3</w:t>
            </w:r>
          </w:p>
        </w:tc>
      </w:tr>
      <w:tr w:rsidR="00092278" w:rsidRPr="00A52F41" w14:paraId="36BF72E6" w14:textId="437506C7"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5E521F7"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Lesni izdelki in pohištvo</w:t>
            </w:r>
          </w:p>
        </w:tc>
        <w:tc>
          <w:tcPr>
            <w:tcW w:w="745" w:type="dxa"/>
            <w:tcBorders>
              <w:top w:val="nil"/>
              <w:left w:val="nil"/>
              <w:bottom w:val="single" w:sz="4" w:space="0" w:color="auto"/>
              <w:right w:val="single" w:sz="4" w:space="0" w:color="auto"/>
            </w:tcBorders>
            <w:shd w:val="clear" w:color="auto" w:fill="auto"/>
            <w:noWrap/>
            <w:vAlign w:val="bottom"/>
            <w:hideMark/>
          </w:tcPr>
          <w:p w14:paraId="1254B782"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361,7</w:t>
            </w:r>
          </w:p>
        </w:tc>
        <w:tc>
          <w:tcPr>
            <w:tcW w:w="746" w:type="dxa"/>
            <w:tcBorders>
              <w:top w:val="nil"/>
              <w:left w:val="nil"/>
              <w:bottom w:val="single" w:sz="4" w:space="0" w:color="auto"/>
              <w:right w:val="single" w:sz="4" w:space="0" w:color="auto"/>
            </w:tcBorders>
            <w:shd w:val="clear" w:color="auto" w:fill="auto"/>
            <w:noWrap/>
            <w:vAlign w:val="bottom"/>
            <w:hideMark/>
          </w:tcPr>
          <w:p w14:paraId="5710A13C"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248,6</w:t>
            </w:r>
          </w:p>
        </w:tc>
        <w:tc>
          <w:tcPr>
            <w:tcW w:w="746" w:type="dxa"/>
            <w:tcBorders>
              <w:top w:val="nil"/>
              <w:left w:val="nil"/>
              <w:bottom w:val="single" w:sz="4" w:space="0" w:color="auto"/>
              <w:right w:val="single" w:sz="4" w:space="0" w:color="auto"/>
            </w:tcBorders>
            <w:shd w:val="clear" w:color="auto" w:fill="auto"/>
            <w:noWrap/>
            <w:vAlign w:val="bottom"/>
            <w:hideMark/>
          </w:tcPr>
          <w:p w14:paraId="34065EAD"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260,7</w:t>
            </w:r>
          </w:p>
        </w:tc>
        <w:tc>
          <w:tcPr>
            <w:tcW w:w="746" w:type="dxa"/>
            <w:tcBorders>
              <w:top w:val="nil"/>
              <w:left w:val="nil"/>
              <w:bottom w:val="single" w:sz="4" w:space="0" w:color="auto"/>
              <w:right w:val="single" w:sz="4" w:space="0" w:color="auto"/>
            </w:tcBorders>
            <w:shd w:val="clear" w:color="auto" w:fill="auto"/>
            <w:noWrap/>
            <w:vAlign w:val="bottom"/>
            <w:hideMark/>
          </w:tcPr>
          <w:p w14:paraId="736AF18E"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258,4</w:t>
            </w:r>
          </w:p>
        </w:tc>
        <w:tc>
          <w:tcPr>
            <w:tcW w:w="746" w:type="dxa"/>
            <w:tcBorders>
              <w:top w:val="nil"/>
              <w:left w:val="nil"/>
              <w:bottom w:val="single" w:sz="4" w:space="0" w:color="auto"/>
              <w:right w:val="single" w:sz="4" w:space="0" w:color="auto"/>
            </w:tcBorders>
            <w:shd w:val="clear" w:color="auto" w:fill="auto"/>
            <w:noWrap/>
            <w:vAlign w:val="bottom"/>
            <w:hideMark/>
          </w:tcPr>
          <w:p w14:paraId="68C1C53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246,9</w:t>
            </w:r>
          </w:p>
        </w:tc>
        <w:tc>
          <w:tcPr>
            <w:tcW w:w="746" w:type="dxa"/>
            <w:tcBorders>
              <w:top w:val="nil"/>
              <w:left w:val="nil"/>
              <w:bottom w:val="single" w:sz="4" w:space="0" w:color="auto"/>
              <w:right w:val="single" w:sz="4" w:space="0" w:color="auto"/>
            </w:tcBorders>
            <w:shd w:val="clear" w:color="auto" w:fill="auto"/>
            <w:noWrap/>
            <w:vAlign w:val="bottom"/>
            <w:hideMark/>
          </w:tcPr>
          <w:p w14:paraId="6CB73607"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245,0</w:t>
            </w:r>
          </w:p>
        </w:tc>
        <w:tc>
          <w:tcPr>
            <w:tcW w:w="746" w:type="dxa"/>
            <w:tcBorders>
              <w:top w:val="nil"/>
              <w:left w:val="nil"/>
              <w:bottom w:val="single" w:sz="4" w:space="0" w:color="auto"/>
              <w:right w:val="single" w:sz="4" w:space="0" w:color="auto"/>
            </w:tcBorders>
            <w:shd w:val="clear" w:color="auto" w:fill="auto"/>
            <w:noWrap/>
            <w:vAlign w:val="bottom"/>
            <w:hideMark/>
          </w:tcPr>
          <w:p w14:paraId="4BA09816"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271,1</w:t>
            </w:r>
          </w:p>
        </w:tc>
        <w:tc>
          <w:tcPr>
            <w:tcW w:w="746" w:type="dxa"/>
            <w:tcBorders>
              <w:top w:val="nil"/>
              <w:left w:val="nil"/>
              <w:bottom w:val="single" w:sz="4" w:space="0" w:color="auto"/>
              <w:right w:val="single" w:sz="4" w:space="0" w:color="auto"/>
            </w:tcBorders>
            <w:shd w:val="clear" w:color="auto" w:fill="auto"/>
            <w:noWrap/>
            <w:vAlign w:val="bottom"/>
            <w:hideMark/>
          </w:tcPr>
          <w:p w14:paraId="6AF77369"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295,2</w:t>
            </w:r>
          </w:p>
        </w:tc>
        <w:tc>
          <w:tcPr>
            <w:tcW w:w="746" w:type="dxa"/>
            <w:tcBorders>
              <w:top w:val="nil"/>
              <w:left w:val="nil"/>
              <w:bottom w:val="single" w:sz="4" w:space="0" w:color="auto"/>
              <w:right w:val="single" w:sz="4" w:space="0" w:color="auto"/>
            </w:tcBorders>
            <w:shd w:val="clear" w:color="auto" w:fill="auto"/>
            <w:noWrap/>
            <w:vAlign w:val="bottom"/>
            <w:hideMark/>
          </w:tcPr>
          <w:p w14:paraId="321360CE"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307,4</w:t>
            </w:r>
          </w:p>
        </w:tc>
        <w:tc>
          <w:tcPr>
            <w:tcW w:w="746" w:type="dxa"/>
            <w:tcBorders>
              <w:top w:val="nil"/>
              <w:left w:val="nil"/>
              <w:bottom w:val="single" w:sz="4" w:space="0" w:color="auto"/>
              <w:right w:val="single" w:sz="4" w:space="0" w:color="auto"/>
            </w:tcBorders>
            <w:vAlign w:val="bottom"/>
          </w:tcPr>
          <w:p w14:paraId="7B91CDFE" w14:textId="5F09EF94"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326,3</w:t>
            </w:r>
          </w:p>
        </w:tc>
      </w:tr>
      <w:tr w:rsidR="00092278" w:rsidRPr="00A52F41" w14:paraId="722F98CF" w14:textId="7E2C4D6A"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9A7BAA4"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Papir</w:t>
            </w:r>
          </w:p>
        </w:tc>
        <w:tc>
          <w:tcPr>
            <w:tcW w:w="745" w:type="dxa"/>
            <w:tcBorders>
              <w:top w:val="nil"/>
              <w:left w:val="nil"/>
              <w:bottom w:val="single" w:sz="4" w:space="0" w:color="auto"/>
              <w:right w:val="single" w:sz="4" w:space="0" w:color="auto"/>
            </w:tcBorders>
            <w:shd w:val="clear" w:color="auto" w:fill="auto"/>
            <w:noWrap/>
            <w:vAlign w:val="bottom"/>
            <w:hideMark/>
          </w:tcPr>
          <w:p w14:paraId="62B024A8"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146,9</w:t>
            </w:r>
          </w:p>
        </w:tc>
        <w:tc>
          <w:tcPr>
            <w:tcW w:w="746" w:type="dxa"/>
            <w:tcBorders>
              <w:top w:val="nil"/>
              <w:left w:val="nil"/>
              <w:bottom w:val="single" w:sz="4" w:space="0" w:color="auto"/>
              <w:right w:val="single" w:sz="4" w:space="0" w:color="auto"/>
            </w:tcBorders>
            <w:shd w:val="clear" w:color="auto" w:fill="auto"/>
            <w:noWrap/>
            <w:vAlign w:val="bottom"/>
            <w:hideMark/>
          </w:tcPr>
          <w:p w14:paraId="1A7B1D4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150,5</w:t>
            </w:r>
          </w:p>
        </w:tc>
        <w:tc>
          <w:tcPr>
            <w:tcW w:w="746" w:type="dxa"/>
            <w:tcBorders>
              <w:top w:val="nil"/>
              <w:left w:val="nil"/>
              <w:bottom w:val="single" w:sz="4" w:space="0" w:color="auto"/>
              <w:right w:val="single" w:sz="4" w:space="0" w:color="auto"/>
            </w:tcBorders>
            <w:shd w:val="clear" w:color="auto" w:fill="auto"/>
            <w:noWrap/>
            <w:vAlign w:val="bottom"/>
            <w:hideMark/>
          </w:tcPr>
          <w:p w14:paraId="001EAA8D"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124,7</w:t>
            </w:r>
          </w:p>
        </w:tc>
        <w:tc>
          <w:tcPr>
            <w:tcW w:w="746" w:type="dxa"/>
            <w:tcBorders>
              <w:top w:val="nil"/>
              <w:left w:val="nil"/>
              <w:bottom w:val="single" w:sz="4" w:space="0" w:color="auto"/>
              <w:right w:val="single" w:sz="4" w:space="0" w:color="auto"/>
            </w:tcBorders>
            <w:shd w:val="clear" w:color="auto" w:fill="auto"/>
            <w:noWrap/>
            <w:vAlign w:val="bottom"/>
            <w:hideMark/>
          </w:tcPr>
          <w:p w14:paraId="33818577"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122,0</w:t>
            </w:r>
          </w:p>
        </w:tc>
        <w:tc>
          <w:tcPr>
            <w:tcW w:w="746" w:type="dxa"/>
            <w:tcBorders>
              <w:top w:val="nil"/>
              <w:left w:val="nil"/>
              <w:bottom w:val="single" w:sz="4" w:space="0" w:color="auto"/>
              <w:right w:val="single" w:sz="4" w:space="0" w:color="auto"/>
            </w:tcBorders>
            <w:shd w:val="clear" w:color="auto" w:fill="auto"/>
            <w:noWrap/>
            <w:vAlign w:val="bottom"/>
            <w:hideMark/>
          </w:tcPr>
          <w:p w14:paraId="0AEA007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122,2</w:t>
            </w:r>
          </w:p>
        </w:tc>
        <w:tc>
          <w:tcPr>
            <w:tcW w:w="746" w:type="dxa"/>
            <w:tcBorders>
              <w:top w:val="nil"/>
              <w:left w:val="nil"/>
              <w:bottom w:val="single" w:sz="4" w:space="0" w:color="auto"/>
              <w:right w:val="single" w:sz="4" w:space="0" w:color="auto"/>
            </w:tcBorders>
            <w:shd w:val="clear" w:color="auto" w:fill="auto"/>
            <w:noWrap/>
            <w:vAlign w:val="bottom"/>
            <w:hideMark/>
          </w:tcPr>
          <w:p w14:paraId="4E1FF1F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124,4</w:t>
            </w:r>
          </w:p>
        </w:tc>
        <w:tc>
          <w:tcPr>
            <w:tcW w:w="746" w:type="dxa"/>
            <w:tcBorders>
              <w:top w:val="nil"/>
              <w:left w:val="nil"/>
              <w:bottom w:val="single" w:sz="4" w:space="0" w:color="auto"/>
              <w:right w:val="single" w:sz="4" w:space="0" w:color="auto"/>
            </w:tcBorders>
            <w:shd w:val="clear" w:color="auto" w:fill="auto"/>
            <w:noWrap/>
            <w:vAlign w:val="bottom"/>
            <w:hideMark/>
          </w:tcPr>
          <w:p w14:paraId="3A91DDA1"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128,4</w:t>
            </w:r>
          </w:p>
        </w:tc>
        <w:tc>
          <w:tcPr>
            <w:tcW w:w="746" w:type="dxa"/>
            <w:tcBorders>
              <w:top w:val="nil"/>
              <w:left w:val="nil"/>
              <w:bottom w:val="single" w:sz="4" w:space="0" w:color="auto"/>
              <w:right w:val="single" w:sz="4" w:space="0" w:color="auto"/>
            </w:tcBorders>
            <w:shd w:val="clear" w:color="auto" w:fill="auto"/>
            <w:noWrap/>
            <w:vAlign w:val="bottom"/>
            <w:hideMark/>
          </w:tcPr>
          <w:p w14:paraId="08F047FA"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125,2</w:t>
            </w:r>
          </w:p>
        </w:tc>
        <w:tc>
          <w:tcPr>
            <w:tcW w:w="746" w:type="dxa"/>
            <w:tcBorders>
              <w:top w:val="nil"/>
              <w:left w:val="nil"/>
              <w:bottom w:val="single" w:sz="4" w:space="0" w:color="auto"/>
              <w:right w:val="single" w:sz="4" w:space="0" w:color="auto"/>
            </w:tcBorders>
            <w:shd w:val="clear" w:color="auto" w:fill="auto"/>
            <w:noWrap/>
            <w:vAlign w:val="bottom"/>
            <w:hideMark/>
          </w:tcPr>
          <w:p w14:paraId="0505F72C"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125,5</w:t>
            </w:r>
          </w:p>
        </w:tc>
        <w:tc>
          <w:tcPr>
            <w:tcW w:w="746" w:type="dxa"/>
            <w:tcBorders>
              <w:top w:val="nil"/>
              <w:left w:val="nil"/>
              <w:bottom w:val="single" w:sz="4" w:space="0" w:color="auto"/>
              <w:right w:val="single" w:sz="4" w:space="0" w:color="auto"/>
            </w:tcBorders>
            <w:vAlign w:val="bottom"/>
          </w:tcPr>
          <w:p w14:paraId="04A2C8AF" w14:textId="1B38E639"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129,6</w:t>
            </w:r>
          </w:p>
        </w:tc>
      </w:tr>
      <w:tr w:rsidR="00092278" w:rsidRPr="00A52F41" w14:paraId="75B495D3" w14:textId="70928C8A"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7063B28"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Bioosnovan tekstil</w:t>
            </w:r>
          </w:p>
        </w:tc>
        <w:tc>
          <w:tcPr>
            <w:tcW w:w="745" w:type="dxa"/>
            <w:tcBorders>
              <w:top w:val="nil"/>
              <w:left w:val="nil"/>
              <w:bottom w:val="single" w:sz="4" w:space="0" w:color="auto"/>
              <w:right w:val="single" w:sz="4" w:space="0" w:color="auto"/>
            </w:tcBorders>
            <w:shd w:val="clear" w:color="auto" w:fill="auto"/>
            <w:noWrap/>
            <w:vAlign w:val="bottom"/>
            <w:hideMark/>
          </w:tcPr>
          <w:p w14:paraId="35182E0C"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128,4</w:t>
            </w:r>
          </w:p>
        </w:tc>
        <w:tc>
          <w:tcPr>
            <w:tcW w:w="746" w:type="dxa"/>
            <w:tcBorders>
              <w:top w:val="nil"/>
              <w:left w:val="nil"/>
              <w:bottom w:val="single" w:sz="4" w:space="0" w:color="auto"/>
              <w:right w:val="single" w:sz="4" w:space="0" w:color="auto"/>
            </w:tcBorders>
            <w:shd w:val="clear" w:color="auto" w:fill="auto"/>
            <w:noWrap/>
            <w:vAlign w:val="bottom"/>
            <w:hideMark/>
          </w:tcPr>
          <w:p w14:paraId="7BAB44E4"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90,4</w:t>
            </w:r>
          </w:p>
        </w:tc>
        <w:tc>
          <w:tcPr>
            <w:tcW w:w="746" w:type="dxa"/>
            <w:tcBorders>
              <w:top w:val="nil"/>
              <w:left w:val="nil"/>
              <w:bottom w:val="single" w:sz="4" w:space="0" w:color="auto"/>
              <w:right w:val="single" w:sz="4" w:space="0" w:color="auto"/>
            </w:tcBorders>
            <w:shd w:val="clear" w:color="auto" w:fill="auto"/>
            <w:noWrap/>
            <w:vAlign w:val="bottom"/>
            <w:hideMark/>
          </w:tcPr>
          <w:p w14:paraId="747EEA6B"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94,4</w:t>
            </w:r>
          </w:p>
        </w:tc>
        <w:tc>
          <w:tcPr>
            <w:tcW w:w="746" w:type="dxa"/>
            <w:tcBorders>
              <w:top w:val="nil"/>
              <w:left w:val="nil"/>
              <w:bottom w:val="single" w:sz="4" w:space="0" w:color="auto"/>
              <w:right w:val="single" w:sz="4" w:space="0" w:color="auto"/>
            </w:tcBorders>
            <w:shd w:val="clear" w:color="auto" w:fill="auto"/>
            <w:noWrap/>
            <w:vAlign w:val="bottom"/>
            <w:hideMark/>
          </w:tcPr>
          <w:p w14:paraId="43F3F3FF"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95,3</w:t>
            </w:r>
          </w:p>
        </w:tc>
        <w:tc>
          <w:tcPr>
            <w:tcW w:w="746" w:type="dxa"/>
            <w:tcBorders>
              <w:top w:val="nil"/>
              <w:left w:val="nil"/>
              <w:bottom w:val="single" w:sz="4" w:space="0" w:color="auto"/>
              <w:right w:val="single" w:sz="4" w:space="0" w:color="auto"/>
            </w:tcBorders>
            <w:shd w:val="clear" w:color="auto" w:fill="auto"/>
            <w:noWrap/>
            <w:vAlign w:val="bottom"/>
            <w:hideMark/>
          </w:tcPr>
          <w:p w14:paraId="00E4517C"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83,9</w:t>
            </w:r>
          </w:p>
        </w:tc>
        <w:tc>
          <w:tcPr>
            <w:tcW w:w="746" w:type="dxa"/>
            <w:tcBorders>
              <w:top w:val="nil"/>
              <w:left w:val="nil"/>
              <w:bottom w:val="single" w:sz="4" w:space="0" w:color="auto"/>
              <w:right w:val="single" w:sz="4" w:space="0" w:color="auto"/>
            </w:tcBorders>
            <w:shd w:val="clear" w:color="auto" w:fill="auto"/>
            <w:noWrap/>
            <w:vAlign w:val="bottom"/>
            <w:hideMark/>
          </w:tcPr>
          <w:p w14:paraId="5216BF56"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82,1</w:t>
            </w:r>
          </w:p>
        </w:tc>
        <w:tc>
          <w:tcPr>
            <w:tcW w:w="746" w:type="dxa"/>
            <w:tcBorders>
              <w:top w:val="nil"/>
              <w:left w:val="nil"/>
              <w:bottom w:val="single" w:sz="4" w:space="0" w:color="auto"/>
              <w:right w:val="single" w:sz="4" w:space="0" w:color="auto"/>
            </w:tcBorders>
            <w:shd w:val="clear" w:color="auto" w:fill="auto"/>
            <w:noWrap/>
            <w:vAlign w:val="bottom"/>
            <w:hideMark/>
          </w:tcPr>
          <w:p w14:paraId="4DB73669"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91,5</w:t>
            </w:r>
          </w:p>
        </w:tc>
        <w:tc>
          <w:tcPr>
            <w:tcW w:w="746" w:type="dxa"/>
            <w:tcBorders>
              <w:top w:val="nil"/>
              <w:left w:val="nil"/>
              <w:bottom w:val="single" w:sz="4" w:space="0" w:color="auto"/>
              <w:right w:val="single" w:sz="4" w:space="0" w:color="auto"/>
            </w:tcBorders>
            <w:shd w:val="clear" w:color="auto" w:fill="auto"/>
            <w:noWrap/>
            <w:vAlign w:val="bottom"/>
            <w:hideMark/>
          </w:tcPr>
          <w:p w14:paraId="08AF3C3B"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90,4</w:t>
            </w:r>
          </w:p>
        </w:tc>
        <w:tc>
          <w:tcPr>
            <w:tcW w:w="746" w:type="dxa"/>
            <w:tcBorders>
              <w:top w:val="nil"/>
              <w:left w:val="nil"/>
              <w:bottom w:val="single" w:sz="4" w:space="0" w:color="auto"/>
              <w:right w:val="single" w:sz="4" w:space="0" w:color="auto"/>
            </w:tcBorders>
            <w:shd w:val="clear" w:color="auto" w:fill="auto"/>
            <w:noWrap/>
            <w:vAlign w:val="bottom"/>
            <w:hideMark/>
          </w:tcPr>
          <w:p w14:paraId="45A64DFE"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93,2</w:t>
            </w:r>
          </w:p>
        </w:tc>
        <w:tc>
          <w:tcPr>
            <w:tcW w:w="746" w:type="dxa"/>
            <w:tcBorders>
              <w:top w:val="nil"/>
              <w:left w:val="nil"/>
              <w:bottom w:val="single" w:sz="4" w:space="0" w:color="auto"/>
              <w:right w:val="single" w:sz="4" w:space="0" w:color="auto"/>
            </w:tcBorders>
            <w:vAlign w:val="bottom"/>
          </w:tcPr>
          <w:p w14:paraId="412688C3" w14:textId="70E4C9EF"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97,2</w:t>
            </w:r>
          </w:p>
        </w:tc>
      </w:tr>
      <w:tr w:rsidR="00092278" w:rsidRPr="00A52F41" w14:paraId="7F465E7F" w14:textId="5C2D5EF4" w:rsidTr="00092278">
        <w:trPr>
          <w:trHeight w:val="703"/>
        </w:trPr>
        <w:tc>
          <w:tcPr>
            <w:tcW w:w="2120" w:type="dxa"/>
            <w:tcBorders>
              <w:top w:val="nil"/>
              <w:left w:val="single" w:sz="4" w:space="0" w:color="auto"/>
              <w:bottom w:val="single" w:sz="4" w:space="0" w:color="auto"/>
              <w:right w:val="single" w:sz="4" w:space="0" w:color="auto"/>
            </w:tcBorders>
            <w:shd w:val="clear" w:color="auto" w:fill="auto"/>
            <w:vAlign w:val="bottom"/>
            <w:hideMark/>
          </w:tcPr>
          <w:p w14:paraId="2BE4AE06"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Bioosnovane kemikalije, zdravila, plastika in guma (brez biogoriv)</w:t>
            </w:r>
          </w:p>
        </w:tc>
        <w:tc>
          <w:tcPr>
            <w:tcW w:w="745" w:type="dxa"/>
            <w:tcBorders>
              <w:top w:val="nil"/>
              <w:left w:val="nil"/>
              <w:bottom w:val="single" w:sz="4" w:space="0" w:color="auto"/>
              <w:right w:val="single" w:sz="4" w:space="0" w:color="auto"/>
            </w:tcBorders>
            <w:shd w:val="clear" w:color="auto" w:fill="auto"/>
            <w:noWrap/>
            <w:vAlign w:val="bottom"/>
            <w:hideMark/>
          </w:tcPr>
          <w:p w14:paraId="7EF4E51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438,0</w:t>
            </w:r>
          </w:p>
        </w:tc>
        <w:tc>
          <w:tcPr>
            <w:tcW w:w="746" w:type="dxa"/>
            <w:tcBorders>
              <w:top w:val="nil"/>
              <w:left w:val="nil"/>
              <w:bottom w:val="single" w:sz="4" w:space="0" w:color="auto"/>
              <w:right w:val="single" w:sz="4" w:space="0" w:color="auto"/>
            </w:tcBorders>
            <w:shd w:val="clear" w:color="auto" w:fill="auto"/>
            <w:noWrap/>
            <w:vAlign w:val="bottom"/>
            <w:hideMark/>
          </w:tcPr>
          <w:p w14:paraId="14054CB8"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432,4</w:t>
            </w:r>
          </w:p>
        </w:tc>
        <w:tc>
          <w:tcPr>
            <w:tcW w:w="746" w:type="dxa"/>
            <w:tcBorders>
              <w:top w:val="nil"/>
              <w:left w:val="nil"/>
              <w:bottom w:val="single" w:sz="4" w:space="0" w:color="auto"/>
              <w:right w:val="single" w:sz="4" w:space="0" w:color="auto"/>
            </w:tcBorders>
            <w:shd w:val="clear" w:color="auto" w:fill="auto"/>
            <w:noWrap/>
            <w:vAlign w:val="bottom"/>
            <w:hideMark/>
          </w:tcPr>
          <w:p w14:paraId="2A5CEC8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439,7</w:t>
            </w:r>
          </w:p>
        </w:tc>
        <w:tc>
          <w:tcPr>
            <w:tcW w:w="746" w:type="dxa"/>
            <w:tcBorders>
              <w:top w:val="nil"/>
              <w:left w:val="nil"/>
              <w:bottom w:val="single" w:sz="4" w:space="0" w:color="auto"/>
              <w:right w:val="single" w:sz="4" w:space="0" w:color="auto"/>
            </w:tcBorders>
            <w:shd w:val="clear" w:color="auto" w:fill="auto"/>
            <w:noWrap/>
            <w:vAlign w:val="bottom"/>
            <w:hideMark/>
          </w:tcPr>
          <w:p w14:paraId="49EA23DF"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432,1</w:t>
            </w:r>
          </w:p>
        </w:tc>
        <w:tc>
          <w:tcPr>
            <w:tcW w:w="746" w:type="dxa"/>
            <w:tcBorders>
              <w:top w:val="nil"/>
              <w:left w:val="nil"/>
              <w:bottom w:val="single" w:sz="4" w:space="0" w:color="auto"/>
              <w:right w:val="single" w:sz="4" w:space="0" w:color="auto"/>
            </w:tcBorders>
            <w:shd w:val="clear" w:color="auto" w:fill="auto"/>
            <w:noWrap/>
            <w:vAlign w:val="bottom"/>
            <w:hideMark/>
          </w:tcPr>
          <w:p w14:paraId="366F0A6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436,4</w:t>
            </w:r>
          </w:p>
        </w:tc>
        <w:tc>
          <w:tcPr>
            <w:tcW w:w="746" w:type="dxa"/>
            <w:tcBorders>
              <w:top w:val="nil"/>
              <w:left w:val="nil"/>
              <w:bottom w:val="single" w:sz="4" w:space="0" w:color="auto"/>
              <w:right w:val="single" w:sz="4" w:space="0" w:color="auto"/>
            </w:tcBorders>
            <w:shd w:val="clear" w:color="auto" w:fill="auto"/>
            <w:noWrap/>
            <w:vAlign w:val="bottom"/>
            <w:hideMark/>
          </w:tcPr>
          <w:p w14:paraId="5CEE52C7"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437,9</w:t>
            </w:r>
          </w:p>
        </w:tc>
        <w:tc>
          <w:tcPr>
            <w:tcW w:w="746" w:type="dxa"/>
            <w:tcBorders>
              <w:top w:val="nil"/>
              <w:left w:val="nil"/>
              <w:bottom w:val="single" w:sz="4" w:space="0" w:color="auto"/>
              <w:right w:val="single" w:sz="4" w:space="0" w:color="auto"/>
            </w:tcBorders>
            <w:shd w:val="clear" w:color="auto" w:fill="auto"/>
            <w:noWrap/>
            <w:vAlign w:val="bottom"/>
            <w:hideMark/>
          </w:tcPr>
          <w:p w14:paraId="3DEA7BD4"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437,0</w:t>
            </w:r>
          </w:p>
        </w:tc>
        <w:tc>
          <w:tcPr>
            <w:tcW w:w="746" w:type="dxa"/>
            <w:tcBorders>
              <w:top w:val="nil"/>
              <w:left w:val="nil"/>
              <w:bottom w:val="single" w:sz="4" w:space="0" w:color="auto"/>
              <w:right w:val="single" w:sz="4" w:space="0" w:color="auto"/>
            </w:tcBorders>
            <w:shd w:val="clear" w:color="auto" w:fill="auto"/>
            <w:noWrap/>
            <w:vAlign w:val="bottom"/>
            <w:hideMark/>
          </w:tcPr>
          <w:p w14:paraId="679D3E31"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436,4</w:t>
            </w:r>
          </w:p>
        </w:tc>
        <w:tc>
          <w:tcPr>
            <w:tcW w:w="746" w:type="dxa"/>
            <w:tcBorders>
              <w:top w:val="nil"/>
              <w:left w:val="nil"/>
              <w:bottom w:val="single" w:sz="4" w:space="0" w:color="auto"/>
              <w:right w:val="single" w:sz="4" w:space="0" w:color="auto"/>
            </w:tcBorders>
            <w:shd w:val="clear" w:color="auto" w:fill="auto"/>
            <w:noWrap/>
            <w:vAlign w:val="bottom"/>
            <w:hideMark/>
          </w:tcPr>
          <w:p w14:paraId="1667D74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435,5</w:t>
            </w:r>
          </w:p>
        </w:tc>
        <w:tc>
          <w:tcPr>
            <w:tcW w:w="746" w:type="dxa"/>
            <w:tcBorders>
              <w:top w:val="nil"/>
              <w:left w:val="nil"/>
              <w:bottom w:val="single" w:sz="4" w:space="0" w:color="auto"/>
              <w:right w:val="single" w:sz="4" w:space="0" w:color="auto"/>
            </w:tcBorders>
            <w:vAlign w:val="bottom"/>
          </w:tcPr>
          <w:p w14:paraId="53A08E4E" w14:textId="1423BCA1"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435,8</w:t>
            </w:r>
          </w:p>
        </w:tc>
      </w:tr>
      <w:tr w:rsidR="00092278" w:rsidRPr="00A52F41" w14:paraId="1269212C" w14:textId="62EC101F"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9A4275F"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Elektrika iz biomase</w:t>
            </w:r>
          </w:p>
        </w:tc>
        <w:tc>
          <w:tcPr>
            <w:tcW w:w="745" w:type="dxa"/>
            <w:tcBorders>
              <w:top w:val="nil"/>
              <w:left w:val="nil"/>
              <w:bottom w:val="single" w:sz="4" w:space="0" w:color="auto"/>
              <w:right w:val="single" w:sz="4" w:space="0" w:color="auto"/>
            </w:tcBorders>
            <w:shd w:val="clear" w:color="auto" w:fill="auto"/>
            <w:noWrap/>
            <w:vAlign w:val="bottom"/>
            <w:hideMark/>
          </w:tcPr>
          <w:p w14:paraId="39873D7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4,5</w:t>
            </w:r>
          </w:p>
        </w:tc>
        <w:tc>
          <w:tcPr>
            <w:tcW w:w="746" w:type="dxa"/>
            <w:tcBorders>
              <w:top w:val="nil"/>
              <w:left w:val="nil"/>
              <w:bottom w:val="single" w:sz="4" w:space="0" w:color="auto"/>
              <w:right w:val="single" w:sz="4" w:space="0" w:color="auto"/>
            </w:tcBorders>
            <w:shd w:val="clear" w:color="auto" w:fill="auto"/>
            <w:noWrap/>
            <w:vAlign w:val="bottom"/>
            <w:hideMark/>
          </w:tcPr>
          <w:p w14:paraId="144D7218"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2,9</w:t>
            </w:r>
          </w:p>
        </w:tc>
        <w:tc>
          <w:tcPr>
            <w:tcW w:w="746" w:type="dxa"/>
            <w:tcBorders>
              <w:top w:val="nil"/>
              <w:left w:val="nil"/>
              <w:bottom w:val="single" w:sz="4" w:space="0" w:color="auto"/>
              <w:right w:val="single" w:sz="4" w:space="0" w:color="auto"/>
            </w:tcBorders>
            <w:shd w:val="clear" w:color="auto" w:fill="auto"/>
            <w:noWrap/>
            <w:vAlign w:val="bottom"/>
            <w:hideMark/>
          </w:tcPr>
          <w:p w14:paraId="7A1ECC38"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3,4</w:t>
            </w:r>
          </w:p>
        </w:tc>
        <w:tc>
          <w:tcPr>
            <w:tcW w:w="746" w:type="dxa"/>
            <w:tcBorders>
              <w:top w:val="nil"/>
              <w:left w:val="nil"/>
              <w:bottom w:val="single" w:sz="4" w:space="0" w:color="auto"/>
              <w:right w:val="single" w:sz="4" w:space="0" w:color="auto"/>
            </w:tcBorders>
            <w:shd w:val="clear" w:color="auto" w:fill="auto"/>
            <w:noWrap/>
            <w:vAlign w:val="bottom"/>
            <w:hideMark/>
          </w:tcPr>
          <w:p w14:paraId="0A8D87D1"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5,2</w:t>
            </w:r>
          </w:p>
        </w:tc>
        <w:tc>
          <w:tcPr>
            <w:tcW w:w="746" w:type="dxa"/>
            <w:tcBorders>
              <w:top w:val="nil"/>
              <w:left w:val="nil"/>
              <w:bottom w:val="single" w:sz="4" w:space="0" w:color="auto"/>
              <w:right w:val="single" w:sz="4" w:space="0" w:color="auto"/>
            </w:tcBorders>
            <w:shd w:val="clear" w:color="auto" w:fill="auto"/>
            <w:noWrap/>
            <w:vAlign w:val="bottom"/>
            <w:hideMark/>
          </w:tcPr>
          <w:p w14:paraId="72A01FFC"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5,8</w:t>
            </w:r>
          </w:p>
        </w:tc>
        <w:tc>
          <w:tcPr>
            <w:tcW w:w="746" w:type="dxa"/>
            <w:tcBorders>
              <w:top w:val="nil"/>
              <w:left w:val="nil"/>
              <w:bottom w:val="single" w:sz="4" w:space="0" w:color="auto"/>
              <w:right w:val="single" w:sz="4" w:space="0" w:color="auto"/>
            </w:tcBorders>
            <w:shd w:val="clear" w:color="auto" w:fill="auto"/>
            <w:noWrap/>
            <w:vAlign w:val="bottom"/>
            <w:hideMark/>
          </w:tcPr>
          <w:p w14:paraId="03F7F632"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5,0</w:t>
            </w:r>
          </w:p>
        </w:tc>
        <w:tc>
          <w:tcPr>
            <w:tcW w:w="746" w:type="dxa"/>
            <w:tcBorders>
              <w:top w:val="nil"/>
              <w:left w:val="nil"/>
              <w:bottom w:val="single" w:sz="4" w:space="0" w:color="auto"/>
              <w:right w:val="single" w:sz="4" w:space="0" w:color="auto"/>
            </w:tcBorders>
            <w:shd w:val="clear" w:color="auto" w:fill="auto"/>
            <w:noWrap/>
            <w:vAlign w:val="bottom"/>
            <w:hideMark/>
          </w:tcPr>
          <w:p w14:paraId="5AAC8227"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4,4</w:t>
            </w:r>
          </w:p>
        </w:tc>
        <w:tc>
          <w:tcPr>
            <w:tcW w:w="746" w:type="dxa"/>
            <w:tcBorders>
              <w:top w:val="nil"/>
              <w:left w:val="nil"/>
              <w:bottom w:val="single" w:sz="4" w:space="0" w:color="auto"/>
              <w:right w:val="single" w:sz="4" w:space="0" w:color="auto"/>
            </w:tcBorders>
            <w:shd w:val="clear" w:color="auto" w:fill="auto"/>
            <w:noWrap/>
            <w:vAlign w:val="bottom"/>
            <w:hideMark/>
          </w:tcPr>
          <w:p w14:paraId="2709EF88"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5,1</w:t>
            </w:r>
          </w:p>
        </w:tc>
        <w:tc>
          <w:tcPr>
            <w:tcW w:w="746" w:type="dxa"/>
            <w:tcBorders>
              <w:top w:val="nil"/>
              <w:left w:val="nil"/>
              <w:bottom w:val="single" w:sz="4" w:space="0" w:color="auto"/>
              <w:right w:val="single" w:sz="4" w:space="0" w:color="auto"/>
            </w:tcBorders>
            <w:shd w:val="clear" w:color="auto" w:fill="auto"/>
            <w:noWrap/>
            <w:vAlign w:val="bottom"/>
            <w:hideMark/>
          </w:tcPr>
          <w:p w14:paraId="4336F452"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4,9</w:t>
            </w:r>
          </w:p>
        </w:tc>
        <w:tc>
          <w:tcPr>
            <w:tcW w:w="746" w:type="dxa"/>
            <w:tcBorders>
              <w:top w:val="nil"/>
              <w:left w:val="nil"/>
              <w:bottom w:val="single" w:sz="4" w:space="0" w:color="auto"/>
              <w:right w:val="single" w:sz="4" w:space="0" w:color="auto"/>
            </w:tcBorders>
            <w:vAlign w:val="bottom"/>
          </w:tcPr>
          <w:p w14:paraId="15335A6B" w14:textId="3A08280F"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4,9</w:t>
            </w:r>
          </w:p>
        </w:tc>
      </w:tr>
      <w:tr w:rsidR="00092278" w:rsidRPr="00A52F41" w14:paraId="25EE8E5C" w14:textId="326B65BA"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62A54AC"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Ribištvo in akvakultura</w:t>
            </w:r>
          </w:p>
        </w:tc>
        <w:tc>
          <w:tcPr>
            <w:tcW w:w="745" w:type="dxa"/>
            <w:tcBorders>
              <w:top w:val="nil"/>
              <w:left w:val="nil"/>
              <w:bottom w:val="single" w:sz="4" w:space="0" w:color="auto"/>
              <w:right w:val="single" w:sz="4" w:space="0" w:color="auto"/>
            </w:tcBorders>
            <w:shd w:val="clear" w:color="auto" w:fill="auto"/>
            <w:noWrap/>
            <w:vAlign w:val="bottom"/>
            <w:hideMark/>
          </w:tcPr>
          <w:p w14:paraId="00FF3377"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2,7</w:t>
            </w:r>
          </w:p>
        </w:tc>
        <w:tc>
          <w:tcPr>
            <w:tcW w:w="746" w:type="dxa"/>
            <w:tcBorders>
              <w:top w:val="nil"/>
              <w:left w:val="nil"/>
              <w:bottom w:val="single" w:sz="4" w:space="0" w:color="auto"/>
              <w:right w:val="single" w:sz="4" w:space="0" w:color="auto"/>
            </w:tcBorders>
            <w:shd w:val="clear" w:color="auto" w:fill="auto"/>
            <w:noWrap/>
            <w:vAlign w:val="bottom"/>
            <w:hideMark/>
          </w:tcPr>
          <w:p w14:paraId="5965FBB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4,1</w:t>
            </w:r>
          </w:p>
        </w:tc>
        <w:tc>
          <w:tcPr>
            <w:tcW w:w="746" w:type="dxa"/>
            <w:tcBorders>
              <w:top w:val="nil"/>
              <w:left w:val="nil"/>
              <w:bottom w:val="single" w:sz="4" w:space="0" w:color="auto"/>
              <w:right w:val="single" w:sz="4" w:space="0" w:color="auto"/>
            </w:tcBorders>
            <w:shd w:val="clear" w:color="auto" w:fill="auto"/>
            <w:noWrap/>
            <w:vAlign w:val="bottom"/>
            <w:hideMark/>
          </w:tcPr>
          <w:p w14:paraId="3875E6F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w:t>
            </w:r>
          </w:p>
        </w:tc>
        <w:tc>
          <w:tcPr>
            <w:tcW w:w="746" w:type="dxa"/>
            <w:tcBorders>
              <w:top w:val="nil"/>
              <w:left w:val="nil"/>
              <w:bottom w:val="single" w:sz="4" w:space="0" w:color="auto"/>
              <w:right w:val="single" w:sz="4" w:space="0" w:color="auto"/>
            </w:tcBorders>
            <w:shd w:val="clear" w:color="auto" w:fill="auto"/>
            <w:noWrap/>
            <w:vAlign w:val="bottom"/>
            <w:hideMark/>
          </w:tcPr>
          <w:p w14:paraId="1E2A1DA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4,1</w:t>
            </w:r>
          </w:p>
        </w:tc>
        <w:tc>
          <w:tcPr>
            <w:tcW w:w="746" w:type="dxa"/>
            <w:tcBorders>
              <w:top w:val="nil"/>
              <w:left w:val="nil"/>
              <w:bottom w:val="single" w:sz="4" w:space="0" w:color="auto"/>
              <w:right w:val="single" w:sz="4" w:space="0" w:color="auto"/>
            </w:tcBorders>
            <w:shd w:val="clear" w:color="auto" w:fill="auto"/>
            <w:noWrap/>
            <w:vAlign w:val="bottom"/>
            <w:hideMark/>
          </w:tcPr>
          <w:p w14:paraId="50C01836"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4,2</w:t>
            </w:r>
          </w:p>
        </w:tc>
        <w:tc>
          <w:tcPr>
            <w:tcW w:w="746" w:type="dxa"/>
            <w:tcBorders>
              <w:top w:val="nil"/>
              <w:left w:val="nil"/>
              <w:bottom w:val="single" w:sz="4" w:space="0" w:color="auto"/>
              <w:right w:val="single" w:sz="4" w:space="0" w:color="auto"/>
            </w:tcBorders>
            <w:shd w:val="clear" w:color="auto" w:fill="auto"/>
            <w:noWrap/>
            <w:vAlign w:val="bottom"/>
            <w:hideMark/>
          </w:tcPr>
          <w:p w14:paraId="746D9E37"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4,8</w:t>
            </w:r>
          </w:p>
        </w:tc>
        <w:tc>
          <w:tcPr>
            <w:tcW w:w="746" w:type="dxa"/>
            <w:tcBorders>
              <w:top w:val="nil"/>
              <w:left w:val="nil"/>
              <w:bottom w:val="single" w:sz="4" w:space="0" w:color="auto"/>
              <w:right w:val="single" w:sz="4" w:space="0" w:color="auto"/>
            </w:tcBorders>
            <w:shd w:val="clear" w:color="auto" w:fill="auto"/>
            <w:noWrap/>
            <w:vAlign w:val="bottom"/>
            <w:hideMark/>
          </w:tcPr>
          <w:p w14:paraId="2C5B929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4,5</w:t>
            </w:r>
          </w:p>
        </w:tc>
        <w:tc>
          <w:tcPr>
            <w:tcW w:w="746" w:type="dxa"/>
            <w:tcBorders>
              <w:top w:val="nil"/>
              <w:left w:val="nil"/>
              <w:bottom w:val="single" w:sz="4" w:space="0" w:color="auto"/>
              <w:right w:val="single" w:sz="4" w:space="0" w:color="auto"/>
            </w:tcBorders>
            <w:shd w:val="clear" w:color="auto" w:fill="auto"/>
            <w:noWrap/>
            <w:vAlign w:val="bottom"/>
            <w:hideMark/>
          </w:tcPr>
          <w:p w14:paraId="5012EF2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4,9</w:t>
            </w:r>
          </w:p>
        </w:tc>
        <w:tc>
          <w:tcPr>
            <w:tcW w:w="746" w:type="dxa"/>
            <w:tcBorders>
              <w:top w:val="nil"/>
              <w:left w:val="nil"/>
              <w:bottom w:val="single" w:sz="4" w:space="0" w:color="auto"/>
              <w:right w:val="single" w:sz="4" w:space="0" w:color="auto"/>
            </w:tcBorders>
            <w:shd w:val="clear" w:color="auto" w:fill="auto"/>
            <w:noWrap/>
            <w:vAlign w:val="bottom"/>
            <w:hideMark/>
          </w:tcPr>
          <w:p w14:paraId="016CF479"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4,2</w:t>
            </w:r>
          </w:p>
        </w:tc>
        <w:tc>
          <w:tcPr>
            <w:tcW w:w="746" w:type="dxa"/>
            <w:tcBorders>
              <w:top w:val="nil"/>
              <w:left w:val="nil"/>
              <w:bottom w:val="single" w:sz="4" w:space="0" w:color="auto"/>
              <w:right w:val="single" w:sz="4" w:space="0" w:color="auto"/>
            </w:tcBorders>
            <w:vAlign w:val="bottom"/>
          </w:tcPr>
          <w:p w14:paraId="5D2A61B7" w14:textId="65F58A6F"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5,1</w:t>
            </w:r>
          </w:p>
        </w:tc>
      </w:tr>
      <w:tr w:rsidR="00092278" w:rsidRPr="00A52F41" w14:paraId="705B89B2" w14:textId="6D1A0021"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BD818F7"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Tekoča biogoriva</w:t>
            </w:r>
          </w:p>
        </w:tc>
        <w:tc>
          <w:tcPr>
            <w:tcW w:w="745" w:type="dxa"/>
            <w:tcBorders>
              <w:top w:val="nil"/>
              <w:left w:val="nil"/>
              <w:bottom w:val="single" w:sz="4" w:space="0" w:color="auto"/>
              <w:right w:val="single" w:sz="4" w:space="0" w:color="auto"/>
            </w:tcBorders>
            <w:shd w:val="clear" w:color="auto" w:fill="auto"/>
            <w:noWrap/>
            <w:vAlign w:val="bottom"/>
            <w:hideMark/>
          </w:tcPr>
          <w:p w14:paraId="3C42A8C0"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6450B29A"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06E0AA8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73FA6B5B"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68F5875B"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2E568D4B"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49774AEA"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0081D697"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101221B2"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c>
          <w:tcPr>
            <w:tcW w:w="746" w:type="dxa"/>
            <w:tcBorders>
              <w:top w:val="nil"/>
              <w:left w:val="nil"/>
              <w:bottom w:val="single" w:sz="4" w:space="0" w:color="auto"/>
              <w:right w:val="single" w:sz="4" w:space="0" w:color="auto"/>
            </w:tcBorders>
            <w:vAlign w:val="bottom"/>
          </w:tcPr>
          <w:p w14:paraId="1983D69F" w14:textId="17CCAD00"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r>
      <w:tr w:rsidR="00092278" w:rsidRPr="00A52F41" w14:paraId="6F18F46F" w14:textId="05ED5DFC" w:rsidTr="00092278">
        <w:trPr>
          <w:trHeight w:val="33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2BE74FB" w14:textId="77777777" w:rsidR="00092278" w:rsidRPr="00092278" w:rsidRDefault="00092278" w:rsidP="00092278">
            <w:pPr>
              <w:keepNext/>
              <w:keepLines/>
              <w:spacing w:after="0" w:line="360" w:lineRule="auto"/>
              <w:rPr>
                <w:rFonts w:ascii="Arial" w:hAnsi="Arial" w:cs="Arial"/>
                <w:b/>
                <w:bCs/>
                <w:color w:val="000000"/>
                <w:sz w:val="18"/>
                <w:szCs w:val="18"/>
              </w:rPr>
            </w:pPr>
            <w:r w:rsidRPr="00092278">
              <w:rPr>
                <w:rFonts w:ascii="Arial" w:hAnsi="Arial" w:cs="Arial"/>
                <w:b/>
                <w:bCs/>
                <w:color w:val="000000"/>
                <w:sz w:val="18"/>
                <w:szCs w:val="18"/>
              </w:rPr>
              <w:t>Skupaj</w:t>
            </w:r>
          </w:p>
        </w:tc>
        <w:tc>
          <w:tcPr>
            <w:tcW w:w="745" w:type="dxa"/>
            <w:tcBorders>
              <w:top w:val="nil"/>
              <w:left w:val="nil"/>
              <w:bottom w:val="single" w:sz="4" w:space="0" w:color="auto"/>
              <w:right w:val="single" w:sz="4" w:space="0" w:color="auto"/>
            </w:tcBorders>
            <w:shd w:val="clear" w:color="auto" w:fill="auto"/>
            <w:noWrap/>
            <w:vAlign w:val="bottom"/>
            <w:hideMark/>
          </w:tcPr>
          <w:p w14:paraId="5F9A6E10" w14:textId="77777777"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2.241,8</w:t>
            </w:r>
          </w:p>
        </w:tc>
        <w:tc>
          <w:tcPr>
            <w:tcW w:w="746" w:type="dxa"/>
            <w:tcBorders>
              <w:top w:val="nil"/>
              <w:left w:val="nil"/>
              <w:bottom w:val="single" w:sz="4" w:space="0" w:color="auto"/>
              <w:right w:val="single" w:sz="4" w:space="0" w:color="auto"/>
            </w:tcBorders>
            <w:shd w:val="clear" w:color="auto" w:fill="auto"/>
            <w:noWrap/>
            <w:vAlign w:val="bottom"/>
            <w:hideMark/>
          </w:tcPr>
          <w:p w14:paraId="427D5473" w14:textId="77777777"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2.036,2</w:t>
            </w:r>
          </w:p>
        </w:tc>
        <w:tc>
          <w:tcPr>
            <w:tcW w:w="746" w:type="dxa"/>
            <w:tcBorders>
              <w:top w:val="nil"/>
              <w:left w:val="nil"/>
              <w:bottom w:val="single" w:sz="4" w:space="0" w:color="auto"/>
              <w:right w:val="single" w:sz="4" w:space="0" w:color="auto"/>
            </w:tcBorders>
            <w:shd w:val="clear" w:color="auto" w:fill="auto"/>
            <w:noWrap/>
            <w:vAlign w:val="bottom"/>
            <w:hideMark/>
          </w:tcPr>
          <w:p w14:paraId="5D1D9B30" w14:textId="77777777"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2.082,1</w:t>
            </w:r>
          </w:p>
        </w:tc>
        <w:tc>
          <w:tcPr>
            <w:tcW w:w="746" w:type="dxa"/>
            <w:tcBorders>
              <w:top w:val="nil"/>
              <w:left w:val="nil"/>
              <w:bottom w:val="single" w:sz="4" w:space="0" w:color="auto"/>
              <w:right w:val="single" w:sz="4" w:space="0" w:color="auto"/>
            </w:tcBorders>
            <w:shd w:val="clear" w:color="auto" w:fill="auto"/>
            <w:noWrap/>
            <w:vAlign w:val="bottom"/>
            <w:hideMark/>
          </w:tcPr>
          <w:p w14:paraId="53D7715B" w14:textId="77777777"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2.176,4</w:t>
            </w:r>
          </w:p>
        </w:tc>
        <w:tc>
          <w:tcPr>
            <w:tcW w:w="746" w:type="dxa"/>
            <w:tcBorders>
              <w:top w:val="nil"/>
              <w:left w:val="nil"/>
              <w:bottom w:val="single" w:sz="4" w:space="0" w:color="auto"/>
              <w:right w:val="single" w:sz="4" w:space="0" w:color="auto"/>
            </w:tcBorders>
            <w:shd w:val="clear" w:color="auto" w:fill="auto"/>
            <w:noWrap/>
            <w:vAlign w:val="bottom"/>
            <w:hideMark/>
          </w:tcPr>
          <w:p w14:paraId="0B247FA3" w14:textId="77777777"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2.053,3</w:t>
            </w:r>
          </w:p>
        </w:tc>
        <w:tc>
          <w:tcPr>
            <w:tcW w:w="746" w:type="dxa"/>
            <w:tcBorders>
              <w:top w:val="nil"/>
              <w:left w:val="nil"/>
              <w:bottom w:val="single" w:sz="4" w:space="0" w:color="auto"/>
              <w:right w:val="single" w:sz="4" w:space="0" w:color="auto"/>
            </w:tcBorders>
            <w:shd w:val="clear" w:color="auto" w:fill="auto"/>
            <w:noWrap/>
            <w:vAlign w:val="bottom"/>
            <w:hideMark/>
          </w:tcPr>
          <w:p w14:paraId="12413FF3" w14:textId="77777777"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2.052,8</w:t>
            </w:r>
          </w:p>
        </w:tc>
        <w:tc>
          <w:tcPr>
            <w:tcW w:w="746" w:type="dxa"/>
            <w:tcBorders>
              <w:top w:val="nil"/>
              <w:left w:val="nil"/>
              <w:bottom w:val="single" w:sz="4" w:space="0" w:color="auto"/>
              <w:right w:val="single" w:sz="4" w:space="0" w:color="auto"/>
            </w:tcBorders>
            <w:shd w:val="clear" w:color="auto" w:fill="auto"/>
            <w:noWrap/>
            <w:vAlign w:val="bottom"/>
            <w:hideMark/>
          </w:tcPr>
          <w:p w14:paraId="6C3EF570" w14:textId="77777777"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2.163,1</w:t>
            </w:r>
          </w:p>
        </w:tc>
        <w:tc>
          <w:tcPr>
            <w:tcW w:w="746" w:type="dxa"/>
            <w:tcBorders>
              <w:top w:val="nil"/>
              <w:left w:val="nil"/>
              <w:bottom w:val="single" w:sz="4" w:space="0" w:color="auto"/>
              <w:right w:val="single" w:sz="4" w:space="0" w:color="auto"/>
            </w:tcBorders>
            <w:shd w:val="clear" w:color="auto" w:fill="auto"/>
            <w:noWrap/>
            <w:vAlign w:val="bottom"/>
            <w:hideMark/>
          </w:tcPr>
          <w:p w14:paraId="465AB150" w14:textId="77777777"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2.272,8</w:t>
            </w:r>
          </w:p>
        </w:tc>
        <w:tc>
          <w:tcPr>
            <w:tcW w:w="746" w:type="dxa"/>
            <w:tcBorders>
              <w:top w:val="nil"/>
              <w:left w:val="nil"/>
              <w:bottom w:val="single" w:sz="4" w:space="0" w:color="auto"/>
              <w:right w:val="single" w:sz="4" w:space="0" w:color="auto"/>
            </w:tcBorders>
            <w:shd w:val="clear" w:color="auto" w:fill="auto"/>
            <w:noWrap/>
            <w:vAlign w:val="bottom"/>
            <w:hideMark/>
          </w:tcPr>
          <w:p w14:paraId="20512BFF" w14:textId="4947EA43"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2.296,0</w:t>
            </w:r>
          </w:p>
        </w:tc>
        <w:tc>
          <w:tcPr>
            <w:tcW w:w="746" w:type="dxa"/>
            <w:tcBorders>
              <w:top w:val="nil"/>
              <w:left w:val="nil"/>
              <w:bottom w:val="single" w:sz="4" w:space="0" w:color="auto"/>
              <w:right w:val="single" w:sz="4" w:space="0" w:color="auto"/>
            </w:tcBorders>
            <w:vAlign w:val="bottom"/>
          </w:tcPr>
          <w:p w14:paraId="7E3B37DA" w14:textId="7A97BA16"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2.333,4</w:t>
            </w:r>
          </w:p>
        </w:tc>
      </w:tr>
    </w:tbl>
    <w:p w14:paraId="2B663D03" w14:textId="375395CD" w:rsidR="009E0216" w:rsidRPr="00BE756C" w:rsidRDefault="009E0216" w:rsidP="00EA2E4C">
      <w:pPr>
        <w:spacing w:line="360" w:lineRule="auto"/>
        <w:jc w:val="both"/>
        <w:rPr>
          <w:rFonts w:ascii="Arial" w:hAnsi="Arial" w:cs="Arial"/>
          <w:sz w:val="16"/>
          <w:szCs w:val="16"/>
        </w:rPr>
      </w:pPr>
      <w:r w:rsidRPr="00BE756C">
        <w:rPr>
          <w:rFonts w:ascii="Arial" w:hAnsi="Arial" w:cs="Arial"/>
          <w:sz w:val="16"/>
          <w:szCs w:val="16"/>
        </w:rPr>
        <w:t>Vir: E</w:t>
      </w:r>
      <w:r w:rsidR="00390F79" w:rsidRPr="00BE756C">
        <w:rPr>
          <w:rFonts w:ascii="Arial" w:hAnsi="Arial" w:cs="Arial"/>
          <w:sz w:val="16"/>
          <w:szCs w:val="16"/>
        </w:rPr>
        <w:t>K, 2020</w:t>
      </w:r>
    </w:p>
    <w:p w14:paraId="77FE0FC1" w14:textId="143A8CFF" w:rsidR="00390F79" w:rsidRPr="00A52F41" w:rsidRDefault="005A7044" w:rsidP="00BE756C">
      <w:pPr>
        <w:autoSpaceDE w:val="0"/>
        <w:autoSpaceDN w:val="0"/>
        <w:adjustRightInd w:val="0"/>
        <w:spacing w:before="200" w:line="360" w:lineRule="auto"/>
        <w:jc w:val="both"/>
        <w:rPr>
          <w:rFonts w:ascii="Arial" w:hAnsi="Arial" w:cs="Arial"/>
          <w:sz w:val="20"/>
          <w:szCs w:val="20"/>
        </w:rPr>
      </w:pPr>
      <w:r>
        <w:rPr>
          <w:rFonts w:ascii="Arial" w:hAnsi="Arial" w:cs="Arial"/>
          <w:sz w:val="20"/>
          <w:szCs w:val="20"/>
        </w:rPr>
        <w:t>Kot kaže Tabela 2</w:t>
      </w:r>
      <w:r w:rsidR="00B83EC8">
        <w:rPr>
          <w:rFonts w:ascii="Arial" w:hAnsi="Arial" w:cs="Arial"/>
          <w:sz w:val="20"/>
          <w:szCs w:val="20"/>
        </w:rPr>
        <w:t>6</w:t>
      </w:r>
      <w:r>
        <w:rPr>
          <w:rFonts w:ascii="Arial" w:hAnsi="Arial" w:cs="Arial"/>
          <w:sz w:val="20"/>
          <w:szCs w:val="20"/>
        </w:rPr>
        <w:t xml:space="preserve"> d</w:t>
      </w:r>
      <w:r w:rsidR="009E0216" w:rsidRPr="00A52F41">
        <w:rPr>
          <w:rFonts w:ascii="Arial" w:hAnsi="Arial" w:cs="Arial"/>
          <w:sz w:val="20"/>
          <w:szCs w:val="20"/>
        </w:rPr>
        <w:t>odana vrednost v kmetijstvu in gozdarstvu, sodeč po podatkih vozlišča za biogospodarstvo Evropske komisije</w:t>
      </w:r>
      <w:r w:rsidR="00390F79">
        <w:rPr>
          <w:rFonts w:ascii="Arial" w:hAnsi="Arial" w:cs="Arial"/>
          <w:sz w:val="20"/>
          <w:szCs w:val="20"/>
        </w:rPr>
        <w:t xml:space="preserve"> (2020)</w:t>
      </w:r>
      <w:r w:rsidR="009E0216" w:rsidRPr="00A52F41">
        <w:rPr>
          <w:rFonts w:ascii="Arial" w:hAnsi="Arial" w:cs="Arial"/>
          <w:sz w:val="20"/>
          <w:szCs w:val="20"/>
        </w:rPr>
        <w:t xml:space="preserve"> </w:t>
      </w:r>
      <w:r w:rsidR="006075F4">
        <w:rPr>
          <w:rFonts w:ascii="Arial" w:hAnsi="Arial" w:cs="Arial"/>
          <w:sz w:val="20"/>
          <w:szCs w:val="20"/>
        </w:rPr>
        <w:t>v povprečju</w:t>
      </w:r>
      <w:r w:rsidR="006075F4" w:rsidRPr="00A52F41">
        <w:rPr>
          <w:rFonts w:ascii="Arial" w:hAnsi="Arial" w:cs="Arial"/>
          <w:sz w:val="20"/>
          <w:szCs w:val="20"/>
        </w:rPr>
        <w:t xml:space="preserve"> </w:t>
      </w:r>
      <w:r w:rsidR="009E0216" w:rsidRPr="00A52F41">
        <w:rPr>
          <w:rFonts w:ascii="Arial" w:hAnsi="Arial" w:cs="Arial"/>
          <w:sz w:val="20"/>
          <w:szCs w:val="20"/>
        </w:rPr>
        <w:t>narašča</w:t>
      </w:r>
      <w:r w:rsidR="006075F4">
        <w:rPr>
          <w:rFonts w:ascii="Arial" w:hAnsi="Arial" w:cs="Arial"/>
          <w:sz w:val="20"/>
          <w:szCs w:val="20"/>
        </w:rPr>
        <w:t>, njun skupni delež pa je v letu 2017 predstavlja skoraj 34 % celotnega biogospodarstva</w:t>
      </w:r>
      <w:r w:rsidR="009E0216" w:rsidRPr="00A52F41">
        <w:rPr>
          <w:rFonts w:ascii="Arial" w:hAnsi="Arial" w:cs="Arial"/>
          <w:sz w:val="20"/>
          <w:szCs w:val="20"/>
        </w:rPr>
        <w:t xml:space="preserve">. Rast je počasnejša v proizvodnji hrane, pijače in tobaka. Industrija biotekstila je </w:t>
      </w:r>
      <w:r w:rsidR="004A001F">
        <w:rPr>
          <w:rFonts w:ascii="Arial" w:hAnsi="Arial" w:cs="Arial"/>
          <w:sz w:val="20"/>
          <w:szCs w:val="20"/>
        </w:rPr>
        <w:t xml:space="preserve">bila do leta 2015 </w:t>
      </w:r>
      <w:r w:rsidR="009E0216" w:rsidRPr="00A52F41">
        <w:rPr>
          <w:rFonts w:ascii="Arial" w:hAnsi="Arial" w:cs="Arial"/>
          <w:sz w:val="20"/>
          <w:szCs w:val="20"/>
        </w:rPr>
        <w:t>v upadu</w:t>
      </w:r>
      <w:r w:rsidR="004A001F">
        <w:rPr>
          <w:rFonts w:ascii="Arial" w:hAnsi="Arial" w:cs="Arial"/>
          <w:sz w:val="20"/>
          <w:szCs w:val="20"/>
        </w:rPr>
        <w:t xml:space="preserve"> v letih 2016 in 2017, pa je viden manjši porast.</w:t>
      </w:r>
      <w:r w:rsidR="009E0216" w:rsidRPr="00A52F41">
        <w:rPr>
          <w:rFonts w:ascii="Arial" w:hAnsi="Arial" w:cs="Arial"/>
          <w:sz w:val="20"/>
          <w:szCs w:val="20"/>
        </w:rPr>
        <w:t>. Dodana vrednost zmerno narašča tudi v sektorj</w:t>
      </w:r>
      <w:r w:rsidR="004A001F">
        <w:rPr>
          <w:rFonts w:ascii="Arial" w:hAnsi="Arial" w:cs="Arial"/>
          <w:sz w:val="20"/>
          <w:szCs w:val="20"/>
        </w:rPr>
        <w:t>u</w:t>
      </w:r>
      <w:r w:rsidR="009E0216" w:rsidRPr="00A52F41">
        <w:rPr>
          <w:rFonts w:ascii="Arial" w:hAnsi="Arial" w:cs="Arial"/>
          <w:sz w:val="20"/>
          <w:szCs w:val="20"/>
        </w:rPr>
        <w:t xml:space="preserve"> lesnih izdelkov</w:t>
      </w:r>
      <w:r w:rsidR="004A001F">
        <w:rPr>
          <w:rFonts w:ascii="Arial" w:hAnsi="Arial" w:cs="Arial"/>
          <w:sz w:val="20"/>
          <w:szCs w:val="20"/>
        </w:rPr>
        <w:t xml:space="preserve">, sektor </w:t>
      </w:r>
      <w:r w:rsidR="009E0216" w:rsidRPr="00A52F41">
        <w:rPr>
          <w:rFonts w:ascii="Arial" w:hAnsi="Arial" w:cs="Arial"/>
          <w:sz w:val="20"/>
          <w:szCs w:val="20"/>
        </w:rPr>
        <w:t>papirja</w:t>
      </w:r>
      <w:r w:rsidR="004A001F">
        <w:rPr>
          <w:rFonts w:ascii="Arial" w:hAnsi="Arial" w:cs="Arial"/>
          <w:sz w:val="20"/>
          <w:szCs w:val="20"/>
        </w:rPr>
        <w:t xml:space="preserve"> pa je relativno stabilen z manjšimi letnimi vzponi in padci</w:t>
      </w:r>
      <w:r w:rsidR="009E0216" w:rsidRPr="00A52F41">
        <w:rPr>
          <w:rFonts w:ascii="Arial" w:hAnsi="Arial" w:cs="Arial"/>
          <w:sz w:val="20"/>
          <w:szCs w:val="20"/>
        </w:rPr>
        <w:t xml:space="preserve">. </w:t>
      </w:r>
      <w:r w:rsidR="004A001F">
        <w:rPr>
          <w:rFonts w:ascii="Arial" w:hAnsi="Arial" w:cs="Arial"/>
          <w:sz w:val="20"/>
          <w:szCs w:val="20"/>
        </w:rPr>
        <w:t>Stabilna je tudi bruto dodana vrednost</w:t>
      </w:r>
      <w:r w:rsidR="009E0216" w:rsidRPr="00A52F41">
        <w:rPr>
          <w:rFonts w:ascii="Arial" w:hAnsi="Arial" w:cs="Arial"/>
          <w:sz w:val="20"/>
          <w:szCs w:val="20"/>
        </w:rPr>
        <w:t xml:space="preserve"> v bioindustrijah – biokemični industriji, farmacevtiki in proiz</w:t>
      </w:r>
      <w:r w:rsidR="004A001F">
        <w:rPr>
          <w:rFonts w:ascii="Arial" w:hAnsi="Arial" w:cs="Arial"/>
          <w:sz w:val="20"/>
          <w:szCs w:val="20"/>
        </w:rPr>
        <w:t xml:space="preserve">vodnji plastike ter gume, </w:t>
      </w:r>
      <w:r w:rsidR="009E0216" w:rsidRPr="00A52F41">
        <w:rPr>
          <w:rFonts w:ascii="Arial" w:hAnsi="Arial" w:cs="Arial"/>
          <w:sz w:val="20"/>
          <w:szCs w:val="20"/>
        </w:rPr>
        <w:t xml:space="preserve">omenjeni sektorji </w:t>
      </w:r>
      <w:r w:rsidR="004A001F">
        <w:rPr>
          <w:rFonts w:ascii="Arial" w:hAnsi="Arial" w:cs="Arial"/>
          <w:sz w:val="20"/>
          <w:szCs w:val="20"/>
        </w:rPr>
        <w:t xml:space="preserve">pa so ve letu 2017 </w:t>
      </w:r>
      <w:r w:rsidR="009E0216" w:rsidRPr="00A52F41">
        <w:rPr>
          <w:rFonts w:ascii="Arial" w:hAnsi="Arial" w:cs="Arial"/>
          <w:sz w:val="20"/>
          <w:szCs w:val="20"/>
        </w:rPr>
        <w:t>predstavlj</w:t>
      </w:r>
      <w:r w:rsidR="004A001F">
        <w:rPr>
          <w:rFonts w:ascii="Arial" w:hAnsi="Arial" w:cs="Arial"/>
          <w:sz w:val="20"/>
          <w:szCs w:val="20"/>
        </w:rPr>
        <w:t>ali</w:t>
      </w:r>
      <w:r w:rsidR="009E0216" w:rsidRPr="00A52F41">
        <w:rPr>
          <w:rFonts w:ascii="Arial" w:hAnsi="Arial" w:cs="Arial"/>
          <w:sz w:val="20"/>
          <w:szCs w:val="20"/>
        </w:rPr>
        <w:t xml:space="preserve"> </w:t>
      </w:r>
      <w:r w:rsidR="006075F4">
        <w:rPr>
          <w:rFonts w:ascii="Arial" w:hAnsi="Arial" w:cs="Arial"/>
          <w:sz w:val="20"/>
          <w:szCs w:val="20"/>
        </w:rPr>
        <w:t xml:space="preserve"> 18,7</w:t>
      </w:r>
      <w:r w:rsidR="004A001F">
        <w:rPr>
          <w:rFonts w:ascii="Arial" w:hAnsi="Arial" w:cs="Arial"/>
          <w:sz w:val="20"/>
          <w:szCs w:val="20"/>
        </w:rPr>
        <w:t xml:space="preserve"> % celotnega</w:t>
      </w:r>
      <w:r w:rsidR="009E0216" w:rsidRPr="00A52F41">
        <w:rPr>
          <w:rFonts w:ascii="Arial" w:hAnsi="Arial" w:cs="Arial"/>
          <w:sz w:val="20"/>
          <w:szCs w:val="20"/>
        </w:rPr>
        <w:t xml:space="preserve"> biogospodarstva.</w:t>
      </w:r>
    </w:p>
    <w:p w14:paraId="27C95C20" w14:textId="253FDCAB" w:rsidR="009E0216" w:rsidRPr="00C35272" w:rsidRDefault="00C57228" w:rsidP="00E435D3">
      <w:pPr>
        <w:pStyle w:val="SCslika"/>
        <w:keepNext/>
        <w:keepLines/>
      </w:pPr>
      <w:r w:rsidRPr="00C35272">
        <w:lastRenderedPageBreak/>
        <w:t>Tabela 2</w:t>
      </w:r>
      <w:r w:rsidR="00B83EC8">
        <w:t>7</w:t>
      </w:r>
      <w:r w:rsidRPr="00C35272">
        <w:t>:</w:t>
      </w:r>
      <w:r w:rsidR="009E0216" w:rsidRPr="00C35272">
        <w:t xml:space="preserve"> Zaposlenost v biogospodarstvu </w:t>
      </w:r>
    </w:p>
    <w:tbl>
      <w:tblPr>
        <w:tblW w:w="9579" w:type="dxa"/>
        <w:tblInd w:w="55" w:type="dxa"/>
        <w:tblLayout w:type="fixed"/>
        <w:tblCellMar>
          <w:left w:w="70" w:type="dxa"/>
          <w:right w:w="70" w:type="dxa"/>
        </w:tblCellMar>
        <w:tblLook w:val="04A0" w:firstRow="1" w:lastRow="0" w:firstColumn="1" w:lastColumn="0" w:noHBand="0" w:noVBand="1"/>
      </w:tblPr>
      <w:tblGrid>
        <w:gridCol w:w="1587"/>
        <w:gridCol w:w="799"/>
        <w:gridCol w:w="799"/>
        <w:gridCol w:w="799"/>
        <w:gridCol w:w="799"/>
        <w:gridCol w:w="800"/>
        <w:gridCol w:w="799"/>
        <w:gridCol w:w="799"/>
        <w:gridCol w:w="799"/>
        <w:gridCol w:w="799"/>
        <w:gridCol w:w="800"/>
      </w:tblGrid>
      <w:tr w:rsidR="00092278" w:rsidRPr="00A52F41" w14:paraId="363CF38C" w14:textId="77777777" w:rsidTr="00092278">
        <w:trPr>
          <w:trHeight w:val="177"/>
        </w:trPr>
        <w:tc>
          <w:tcPr>
            <w:tcW w:w="1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012BC" w14:textId="77777777" w:rsidR="009E0216" w:rsidRPr="00092278" w:rsidRDefault="009E0216" w:rsidP="00092278">
            <w:pPr>
              <w:keepNext/>
              <w:keepLines/>
              <w:spacing w:before="60" w:after="60" w:line="240" w:lineRule="auto"/>
              <w:jc w:val="both"/>
              <w:rPr>
                <w:rFonts w:ascii="Arial" w:hAnsi="Arial" w:cs="Arial"/>
                <w:b/>
                <w:color w:val="000000"/>
                <w:sz w:val="18"/>
                <w:szCs w:val="18"/>
              </w:rPr>
            </w:pP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193BB1B5"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2008</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221D2687"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2009</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535BBE3E"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2010</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019E2905"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2011</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2B9845C9"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2012</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0BBA06DE"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2013</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7AA61F44"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2014</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520A6721"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2015</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7423431D"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2016</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07D29F7B"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2017</w:t>
            </w:r>
          </w:p>
        </w:tc>
      </w:tr>
      <w:tr w:rsidR="00092278" w:rsidRPr="00A52F41" w14:paraId="11AFE862"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5B580EBC"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Kmetijstvo</w:t>
            </w:r>
          </w:p>
        </w:tc>
        <w:tc>
          <w:tcPr>
            <w:tcW w:w="799" w:type="dxa"/>
            <w:tcBorders>
              <w:top w:val="nil"/>
              <w:left w:val="nil"/>
              <w:bottom w:val="single" w:sz="4" w:space="0" w:color="auto"/>
              <w:right w:val="single" w:sz="4" w:space="0" w:color="auto"/>
            </w:tcBorders>
            <w:shd w:val="clear" w:color="auto" w:fill="auto"/>
            <w:noWrap/>
            <w:vAlign w:val="bottom"/>
            <w:hideMark/>
          </w:tcPr>
          <w:p w14:paraId="5C3A2A1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76.840</w:t>
            </w:r>
          </w:p>
        </w:tc>
        <w:tc>
          <w:tcPr>
            <w:tcW w:w="799" w:type="dxa"/>
            <w:tcBorders>
              <w:top w:val="nil"/>
              <w:left w:val="nil"/>
              <w:bottom w:val="single" w:sz="4" w:space="0" w:color="auto"/>
              <w:right w:val="single" w:sz="4" w:space="0" w:color="auto"/>
            </w:tcBorders>
            <w:shd w:val="clear" w:color="auto" w:fill="auto"/>
            <w:noWrap/>
            <w:vAlign w:val="bottom"/>
            <w:hideMark/>
          </w:tcPr>
          <w:p w14:paraId="3E6CE455"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75.440</w:t>
            </w:r>
          </w:p>
        </w:tc>
        <w:tc>
          <w:tcPr>
            <w:tcW w:w="799" w:type="dxa"/>
            <w:tcBorders>
              <w:top w:val="nil"/>
              <w:left w:val="nil"/>
              <w:bottom w:val="single" w:sz="4" w:space="0" w:color="auto"/>
              <w:right w:val="single" w:sz="4" w:space="0" w:color="auto"/>
            </w:tcBorders>
            <w:shd w:val="clear" w:color="auto" w:fill="auto"/>
            <w:noWrap/>
            <w:vAlign w:val="bottom"/>
            <w:hideMark/>
          </w:tcPr>
          <w:p w14:paraId="72806B04"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73.850</w:t>
            </w:r>
          </w:p>
        </w:tc>
        <w:tc>
          <w:tcPr>
            <w:tcW w:w="799" w:type="dxa"/>
            <w:tcBorders>
              <w:top w:val="nil"/>
              <w:left w:val="nil"/>
              <w:bottom w:val="single" w:sz="4" w:space="0" w:color="auto"/>
              <w:right w:val="single" w:sz="4" w:space="0" w:color="auto"/>
            </w:tcBorders>
            <w:shd w:val="clear" w:color="auto" w:fill="auto"/>
            <w:noWrap/>
            <w:vAlign w:val="bottom"/>
            <w:hideMark/>
          </w:tcPr>
          <w:p w14:paraId="43966600"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71.970</w:t>
            </w:r>
          </w:p>
        </w:tc>
        <w:tc>
          <w:tcPr>
            <w:tcW w:w="800" w:type="dxa"/>
            <w:tcBorders>
              <w:top w:val="nil"/>
              <w:left w:val="nil"/>
              <w:bottom w:val="single" w:sz="4" w:space="0" w:color="auto"/>
              <w:right w:val="single" w:sz="4" w:space="0" w:color="auto"/>
            </w:tcBorders>
            <w:shd w:val="clear" w:color="auto" w:fill="auto"/>
            <w:noWrap/>
            <w:vAlign w:val="bottom"/>
            <w:hideMark/>
          </w:tcPr>
          <w:p w14:paraId="7BD3D70D"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70.860</w:t>
            </w:r>
          </w:p>
        </w:tc>
        <w:tc>
          <w:tcPr>
            <w:tcW w:w="799" w:type="dxa"/>
            <w:tcBorders>
              <w:top w:val="nil"/>
              <w:left w:val="nil"/>
              <w:bottom w:val="single" w:sz="4" w:space="0" w:color="auto"/>
              <w:right w:val="single" w:sz="4" w:space="0" w:color="auto"/>
            </w:tcBorders>
            <w:shd w:val="clear" w:color="auto" w:fill="auto"/>
            <w:noWrap/>
            <w:vAlign w:val="bottom"/>
            <w:hideMark/>
          </w:tcPr>
          <w:p w14:paraId="08EE11C0"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70.610</w:t>
            </w:r>
          </w:p>
        </w:tc>
        <w:tc>
          <w:tcPr>
            <w:tcW w:w="799" w:type="dxa"/>
            <w:tcBorders>
              <w:top w:val="nil"/>
              <w:left w:val="nil"/>
              <w:bottom w:val="single" w:sz="4" w:space="0" w:color="auto"/>
              <w:right w:val="single" w:sz="4" w:space="0" w:color="auto"/>
            </w:tcBorders>
            <w:shd w:val="clear" w:color="auto" w:fill="auto"/>
            <w:noWrap/>
            <w:vAlign w:val="bottom"/>
            <w:hideMark/>
          </w:tcPr>
          <w:p w14:paraId="302BA85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68.990</w:t>
            </w:r>
          </w:p>
        </w:tc>
        <w:tc>
          <w:tcPr>
            <w:tcW w:w="799" w:type="dxa"/>
            <w:tcBorders>
              <w:top w:val="nil"/>
              <w:left w:val="nil"/>
              <w:bottom w:val="single" w:sz="4" w:space="0" w:color="auto"/>
              <w:right w:val="single" w:sz="4" w:space="0" w:color="auto"/>
            </w:tcBorders>
            <w:shd w:val="clear" w:color="auto" w:fill="auto"/>
            <w:noWrap/>
            <w:vAlign w:val="bottom"/>
            <w:hideMark/>
          </w:tcPr>
          <w:p w14:paraId="15E54D20"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68.780</w:t>
            </w:r>
          </w:p>
        </w:tc>
        <w:tc>
          <w:tcPr>
            <w:tcW w:w="799" w:type="dxa"/>
            <w:tcBorders>
              <w:top w:val="nil"/>
              <w:left w:val="nil"/>
              <w:bottom w:val="single" w:sz="4" w:space="0" w:color="auto"/>
              <w:right w:val="single" w:sz="4" w:space="0" w:color="auto"/>
            </w:tcBorders>
            <w:shd w:val="clear" w:color="auto" w:fill="auto"/>
            <w:noWrap/>
            <w:vAlign w:val="bottom"/>
            <w:hideMark/>
          </w:tcPr>
          <w:p w14:paraId="18CC775B"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67.130</w:t>
            </w:r>
          </w:p>
        </w:tc>
        <w:tc>
          <w:tcPr>
            <w:tcW w:w="800" w:type="dxa"/>
            <w:tcBorders>
              <w:top w:val="nil"/>
              <w:left w:val="nil"/>
              <w:bottom w:val="single" w:sz="4" w:space="0" w:color="auto"/>
              <w:right w:val="single" w:sz="4" w:space="0" w:color="auto"/>
            </w:tcBorders>
            <w:shd w:val="clear" w:color="auto" w:fill="auto"/>
            <w:noWrap/>
            <w:vAlign w:val="bottom"/>
            <w:hideMark/>
          </w:tcPr>
          <w:p w14:paraId="770B9068"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66.070</w:t>
            </w:r>
          </w:p>
        </w:tc>
      </w:tr>
      <w:tr w:rsidR="00092278" w:rsidRPr="00A52F41" w14:paraId="42899EF6"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2472C228"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Gozdarstvo</w:t>
            </w:r>
          </w:p>
        </w:tc>
        <w:tc>
          <w:tcPr>
            <w:tcW w:w="799" w:type="dxa"/>
            <w:tcBorders>
              <w:top w:val="nil"/>
              <w:left w:val="nil"/>
              <w:bottom w:val="single" w:sz="4" w:space="0" w:color="auto"/>
              <w:right w:val="single" w:sz="4" w:space="0" w:color="auto"/>
            </w:tcBorders>
            <w:shd w:val="clear" w:color="auto" w:fill="auto"/>
            <w:noWrap/>
            <w:vAlign w:val="bottom"/>
            <w:hideMark/>
          </w:tcPr>
          <w:p w14:paraId="618F481A"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6.100</w:t>
            </w:r>
          </w:p>
        </w:tc>
        <w:tc>
          <w:tcPr>
            <w:tcW w:w="799" w:type="dxa"/>
            <w:tcBorders>
              <w:top w:val="nil"/>
              <w:left w:val="nil"/>
              <w:bottom w:val="single" w:sz="4" w:space="0" w:color="auto"/>
              <w:right w:val="single" w:sz="4" w:space="0" w:color="auto"/>
            </w:tcBorders>
            <w:shd w:val="clear" w:color="auto" w:fill="auto"/>
            <w:noWrap/>
            <w:vAlign w:val="bottom"/>
            <w:hideMark/>
          </w:tcPr>
          <w:p w14:paraId="50CE09E7"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6.000</w:t>
            </w:r>
          </w:p>
        </w:tc>
        <w:tc>
          <w:tcPr>
            <w:tcW w:w="799" w:type="dxa"/>
            <w:tcBorders>
              <w:top w:val="nil"/>
              <w:left w:val="nil"/>
              <w:bottom w:val="single" w:sz="4" w:space="0" w:color="auto"/>
              <w:right w:val="single" w:sz="4" w:space="0" w:color="auto"/>
            </w:tcBorders>
            <w:shd w:val="clear" w:color="auto" w:fill="auto"/>
            <w:noWrap/>
            <w:vAlign w:val="bottom"/>
            <w:hideMark/>
          </w:tcPr>
          <w:p w14:paraId="0B5EB17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5.910</w:t>
            </w:r>
          </w:p>
        </w:tc>
        <w:tc>
          <w:tcPr>
            <w:tcW w:w="799" w:type="dxa"/>
            <w:tcBorders>
              <w:top w:val="nil"/>
              <w:left w:val="nil"/>
              <w:bottom w:val="single" w:sz="4" w:space="0" w:color="auto"/>
              <w:right w:val="single" w:sz="4" w:space="0" w:color="auto"/>
            </w:tcBorders>
            <w:shd w:val="clear" w:color="auto" w:fill="auto"/>
            <w:noWrap/>
            <w:vAlign w:val="bottom"/>
            <w:hideMark/>
          </w:tcPr>
          <w:p w14:paraId="4ACA23AD"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5.830</w:t>
            </w:r>
          </w:p>
        </w:tc>
        <w:tc>
          <w:tcPr>
            <w:tcW w:w="800" w:type="dxa"/>
            <w:tcBorders>
              <w:top w:val="nil"/>
              <w:left w:val="nil"/>
              <w:bottom w:val="single" w:sz="4" w:space="0" w:color="auto"/>
              <w:right w:val="single" w:sz="4" w:space="0" w:color="auto"/>
            </w:tcBorders>
            <w:shd w:val="clear" w:color="auto" w:fill="auto"/>
            <w:noWrap/>
            <w:vAlign w:val="bottom"/>
            <w:hideMark/>
          </w:tcPr>
          <w:p w14:paraId="47C785B4"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6.180</w:t>
            </w:r>
          </w:p>
        </w:tc>
        <w:tc>
          <w:tcPr>
            <w:tcW w:w="799" w:type="dxa"/>
            <w:tcBorders>
              <w:top w:val="nil"/>
              <w:left w:val="nil"/>
              <w:bottom w:val="single" w:sz="4" w:space="0" w:color="auto"/>
              <w:right w:val="single" w:sz="4" w:space="0" w:color="auto"/>
            </w:tcBorders>
            <w:shd w:val="clear" w:color="auto" w:fill="auto"/>
            <w:noWrap/>
            <w:vAlign w:val="bottom"/>
            <w:hideMark/>
          </w:tcPr>
          <w:p w14:paraId="4C612CC5"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6.400</w:t>
            </w:r>
          </w:p>
        </w:tc>
        <w:tc>
          <w:tcPr>
            <w:tcW w:w="799" w:type="dxa"/>
            <w:tcBorders>
              <w:top w:val="nil"/>
              <w:left w:val="nil"/>
              <w:bottom w:val="single" w:sz="4" w:space="0" w:color="auto"/>
              <w:right w:val="single" w:sz="4" w:space="0" w:color="auto"/>
            </w:tcBorders>
            <w:shd w:val="clear" w:color="auto" w:fill="auto"/>
            <w:noWrap/>
            <w:vAlign w:val="bottom"/>
            <w:hideMark/>
          </w:tcPr>
          <w:p w14:paraId="46FF6E5D"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6.690</w:t>
            </w:r>
          </w:p>
        </w:tc>
        <w:tc>
          <w:tcPr>
            <w:tcW w:w="799" w:type="dxa"/>
            <w:tcBorders>
              <w:top w:val="nil"/>
              <w:left w:val="nil"/>
              <w:bottom w:val="single" w:sz="4" w:space="0" w:color="auto"/>
              <w:right w:val="single" w:sz="4" w:space="0" w:color="auto"/>
            </w:tcBorders>
            <w:shd w:val="clear" w:color="auto" w:fill="auto"/>
            <w:noWrap/>
            <w:vAlign w:val="bottom"/>
            <w:hideMark/>
          </w:tcPr>
          <w:p w14:paraId="5039B5BC"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6.210</w:t>
            </w:r>
          </w:p>
        </w:tc>
        <w:tc>
          <w:tcPr>
            <w:tcW w:w="799" w:type="dxa"/>
            <w:tcBorders>
              <w:top w:val="nil"/>
              <w:left w:val="nil"/>
              <w:bottom w:val="single" w:sz="4" w:space="0" w:color="auto"/>
              <w:right w:val="single" w:sz="4" w:space="0" w:color="auto"/>
            </w:tcBorders>
            <w:shd w:val="clear" w:color="auto" w:fill="auto"/>
            <w:noWrap/>
            <w:vAlign w:val="bottom"/>
            <w:hideMark/>
          </w:tcPr>
          <w:p w14:paraId="50FDBFDE"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6.850</w:t>
            </w:r>
          </w:p>
        </w:tc>
        <w:tc>
          <w:tcPr>
            <w:tcW w:w="800" w:type="dxa"/>
            <w:tcBorders>
              <w:top w:val="nil"/>
              <w:left w:val="nil"/>
              <w:bottom w:val="single" w:sz="4" w:space="0" w:color="auto"/>
              <w:right w:val="single" w:sz="4" w:space="0" w:color="auto"/>
            </w:tcBorders>
            <w:shd w:val="clear" w:color="auto" w:fill="auto"/>
            <w:noWrap/>
            <w:vAlign w:val="bottom"/>
            <w:hideMark/>
          </w:tcPr>
          <w:p w14:paraId="31B687EF"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7.160</w:t>
            </w:r>
          </w:p>
        </w:tc>
      </w:tr>
      <w:tr w:rsidR="00092278" w:rsidRPr="00A52F41" w14:paraId="00B0C28F"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34A4139E"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Hrana, pijača in tobak</w:t>
            </w:r>
          </w:p>
        </w:tc>
        <w:tc>
          <w:tcPr>
            <w:tcW w:w="799" w:type="dxa"/>
            <w:tcBorders>
              <w:top w:val="nil"/>
              <w:left w:val="nil"/>
              <w:bottom w:val="single" w:sz="4" w:space="0" w:color="auto"/>
              <w:right w:val="single" w:sz="4" w:space="0" w:color="auto"/>
            </w:tcBorders>
            <w:shd w:val="clear" w:color="auto" w:fill="auto"/>
            <w:noWrap/>
            <w:vAlign w:val="bottom"/>
            <w:hideMark/>
          </w:tcPr>
          <w:p w14:paraId="15915C7B"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17.845</w:t>
            </w:r>
          </w:p>
        </w:tc>
        <w:tc>
          <w:tcPr>
            <w:tcW w:w="799" w:type="dxa"/>
            <w:tcBorders>
              <w:top w:val="nil"/>
              <w:left w:val="nil"/>
              <w:bottom w:val="single" w:sz="4" w:space="0" w:color="auto"/>
              <w:right w:val="single" w:sz="4" w:space="0" w:color="auto"/>
            </w:tcBorders>
            <w:shd w:val="clear" w:color="auto" w:fill="auto"/>
            <w:noWrap/>
            <w:vAlign w:val="bottom"/>
            <w:hideMark/>
          </w:tcPr>
          <w:p w14:paraId="0495AA7C"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17.031</w:t>
            </w:r>
          </w:p>
        </w:tc>
        <w:tc>
          <w:tcPr>
            <w:tcW w:w="799" w:type="dxa"/>
            <w:tcBorders>
              <w:top w:val="nil"/>
              <w:left w:val="nil"/>
              <w:bottom w:val="single" w:sz="4" w:space="0" w:color="auto"/>
              <w:right w:val="single" w:sz="4" w:space="0" w:color="auto"/>
            </w:tcBorders>
            <w:shd w:val="clear" w:color="auto" w:fill="auto"/>
            <w:noWrap/>
            <w:vAlign w:val="bottom"/>
            <w:hideMark/>
          </w:tcPr>
          <w:p w14:paraId="7CBA1BAE"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16.589</w:t>
            </w:r>
          </w:p>
        </w:tc>
        <w:tc>
          <w:tcPr>
            <w:tcW w:w="799" w:type="dxa"/>
            <w:tcBorders>
              <w:top w:val="nil"/>
              <w:left w:val="nil"/>
              <w:bottom w:val="single" w:sz="4" w:space="0" w:color="auto"/>
              <w:right w:val="single" w:sz="4" w:space="0" w:color="auto"/>
            </w:tcBorders>
            <w:shd w:val="clear" w:color="auto" w:fill="auto"/>
            <w:noWrap/>
            <w:vAlign w:val="bottom"/>
            <w:hideMark/>
          </w:tcPr>
          <w:p w14:paraId="0AC4CABD"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15.843</w:t>
            </w:r>
          </w:p>
        </w:tc>
        <w:tc>
          <w:tcPr>
            <w:tcW w:w="800" w:type="dxa"/>
            <w:tcBorders>
              <w:top w:val="nil"/>
              <w:left w:val="nil"/>
              <w:bottom w:val="single" w:sz="4" w:space="0" w:color="auto"/>
              <w:right w:val="single" w:sz="4" w:space="0" w:color="auto"/>
            </w:tcBorders>
            <w:shd w:val="clear" w:color="auto" w:fill="auto"/>
            <w:noWrap/>
            <w:vAlign w:val="bottom"/>
            <w:hideMark/>
          </w:tcPr>
          <w:p w14:paraId="3AA2771F"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15.899</w:t>
            </w:r>
          </w:p>
        </w:tc>
        <w:tc>
          <w:tcPr>
            <w:tcW w:w="799" w:type="dxa"/>
            <w:tcBorders>
              <w:top w:val="nil"/>
              <w:left w:val="nil"/>
              <w:bottom w:val="single" w:sz="4" w:space="0" w:color="auto"/>
              <w:right w:val="single" w:sz="4" w:space="0" w:color="auto"/>
            </w:tcBorders>
            <w:shd w:val="clear" w:color="auto" w:fill="auto"/>
            <w:noWrap/>
            <w:vAlign w:val="bottom"/>
            <w:hideMark/>
          </w:tcPr>
          <w:p w14:paraId="05C0BE86"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16.007</w:t>
            </w:r>
          </w:p>
        </w:tc>
        <w:tc>
          <w:tcPr>
            <w:tcW w:w="799" w:type="dxa"/>
            <w:tcBorders>
              <w:top w:val="nil"/>
              <w:left w:val="nil"/>
              <w:bottom w:val="single" w:sz="4" w:space="0" w:color="auto"/>
              <w:right w:val="single" w:sz="4" w:space="0" w:color="auto"/>
            </w:tcBorders>
            <w:shd w:val="clear" w:color="auto" w:fill="auto"/>
            <w:noWrap/>
            <w:vAlign w:val="bottom"/>
            <w:hideMark/>
          </w:tcPr>
          <w:p w14:paraId="4E59E17D"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16.018</w:t>
            </w:r>
          </w:p>
        </w:tc>
        <w:tc>
          <w:tcPr>
            <w:tcW w:w="799" w:type="dxa"/>
            <w:tcBorders>
              <w:top w:val="nil"/>
              <w:left w:val="nil"/>
              <w:bottom w:val="single" w:sz="4" w:space="0" w:color="auto"/>
              <w:right w:val="single" w:sz="4" w:space="0" w:color="auto"/>
            </w:tcBorders>
            <w:shd w:val="clear" w:color="auto" w:fill="auto"/>
            <w:noWrap/>
            <w:vAlign w:val="bottom"/>
            <w:hideMark/>
          </w:tcPr>
          <w:p w14:paraId="692C44D6"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16.468</w:t>
            </w:r>
          </w:p>
        </w:tc>
        <w:tc>
          <w:tcPr>
            <w:tcW w:w="799" w:type="dxa"/>
            <w:tcBorders>
              <w:top w:val="nil"/>
              <w:left w:val="nil"/>
              <w:bottom w:val="single" w:sz="4" w:space="0" w:color="auto"/>
              <w:right w:val="single" w:sz="4" w:space="0" w:color="auto"/>
            </w:tcBorders>
            <w:shd w:val="clear" w:color="auto" w:fill="auto"/>
            <w:noWrap/>
            <w:vAlign w:val="bottom"/>
            <w:hideMark/>
          </w:tcPr>
          <w:p w14:paraId="6259AA1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16.935</w:t>
            </w:r>
          </w:p>
        </w:tc>
        <w:tc>
          <w:tcPr>
            <w:tcW w:w="800" w:type="dxa"/>
            <w:tcBorders>
              <w:top w:val="nil"/>
              <w:left w:val="nil"/>
              <w:bottom w:val="single" w:sz="4" w:space="0" w:color="auto"/>
              <w:right w:val="single" w:sz="4" w:space="0" w:color="auto"/>
            </w:tcBorders>
            <w:shd w:val="clear" w:color="auto" w:fill="auto"/>
            <w:noWrap/>
            <w:vAlign w:val="bottom"/>
            <w:hideMark/>
          </w:tcPr>
          <w:p w14:paraId="24DE56B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17.539</w:t>
            </w:r>
          </w:p>
        </w:tc>
      </w:tr>
      <w:tr w:rsidR="00092278" w:rsidRPr="00A52F41" w14:paraId="170DF4A7"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18249DE6"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Lesni izdelki in pohištvo</w:t>
            </w:r>
          </w:p>
        </w:tc>
        <w:tc>
          <w:tcPr>
            <w:tcW w:w="799" w:type="dxa"/>
            <w:tcBorders>
              <w:top w:val="nil"/>
              <w:left w:val="nil"/>
              <w:bottom w:val="single" w:sz="4" w:space="0" w:color="auto"/>
              <w:right w:val="single" w:sz="4" w:space="0" w:color="auto"/>
            </w:tcBorders>
            <w:shd w:val="clear" w:color="auto" w:fill="auto"/>
            <w:noWrap/>
            <w:vAlign w:val="bottom"/>
            <w:hideMark/>
          </w:tcPr>
          <w:p w14:paraId="4FCA5201"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19.403</w:t>
            </w:r>
          </w:p>
        </w:tc>
        <w:tc>
          <w:tcPr>
            <w:tcW w:w="799" w:type="dxa"/>
            <w:tcBorders>
              <w:top w:val="nil"/>
              <w:left w:val="nil"/>
              <w:bottom w:val="single" w:sz="4" w:space="0" w:color="auto"/>
              <w:right w:val="single" w:sz="4" w:space="0" w:color="auto"/>
            </w:tcBorders>
            <w:shd w:val="clear" w:color="auto" w:fill="auto"/>
            <w:noWrap/>
            <w:vAlign w:val="bottom"/>
            <w:hideMark/>
          </w:tcPr>
          <w:p w14:paraId="1FB8C05A"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15.248</w:t>
            </w:r>
          </w:p>
        </w:tc>
        <w:tc>
          <w:tcPr>
            <w:tcW w:w="799" w:type="dxa"/>
            <w:tcBorders>
              <w:top w:val="nil"/>
              <w:left w:val="nil"/>
              <w:bottom w:val="single" w:sz="4" w:space="0" w:color="auto"/>
              <w:right w:val="single" w:sz="4" w:space="0" w:color="auto"/>
            </w:tcBorders>
            <w:shd w:val="clear" w:color="auto" w:fill="auto"/>
            <w:noWrap/>
            <w:vAlign w:val="bottom"/>
            <w:hideMark/>
          </w:tcPr>
          <w:p w14:paraId="0DB7FF89"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14.427</w:t>
            </w:r>
          </w:p>
        </w:tc>
        <w:tc>
          <w:tcPr>
            <w:tcW w:w="799" w:type="dxa"/>
            <w:tcBorders>
              <w:top w:val="nil"/>
              <w:left w:val="nil"/>
              <w:bottom w:val="single" w:sz="4" w:space="0" w:color="auto"/>
              <w:right w:val="single" w:sz="4" w:space="0" w:color="auto"/>
            </w:tcBorders>
            <w:shd w:val="clear" w:color="auto" w:fill="auto"/>
            <w:noWrap/>
            <w:vAlign w:val="bottom"/>
            <w:hideMark/>
          </w:tcPr>
          <w:p w14:paraId="66D2DF24"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13.515</w:t>
            </w:r>
          </w:p>
        </w:tc>
        <w:tc>
          <w:tcPr>
            <w:tcW w:w="800" w:type="dxa"/>
            <w:tcBorders>
              <w:top w:val="nil"/>
              <w:left w:val="nil"/>
              <w:bottom w:val="single" w:sz="4" w:space="0" w:color="auto"/>
              <w:right w:val="single" w:sz="4" w:space="0" w:color="auto"/>
            </w:tcBorders>
            <w:shd w:val="clear" w:color="auto" w:fill="auto"/>
            <w:noWrap/>
            <w:vAlign w:val="bottom"/>
            <w:hideMark/>
          </w:tcPr>
          <w:p w14:paraId="42C7670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12.351</w:t>
            </w:r>
          </w:p>
        </w:tc>
        <w:tc>
          <w:tcPr>
            <w:tcW w:w="799" w:type="dxa"/>
            <w:tcBorders>
              <w:top w:val="nil"/>
              <w:left w:val="nil"/>
              <w:bottom w:val="single" w:sz="4" w:space="0" w:color="auto"/>
              <w:right w:val="single" w:sz="4" w:space="0" w:color="auto"/>
            </w:tcBorders>
            <w:shd w:val="clear" w:color="auto" w:fill="auto"/>
            <w:noWrap/>
            <w:vAlign w:val="bottom"/>
            <w:hideMark/>
          </w:tcPr>
          <w:p w14:paraId="76C78606"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11.622</w:t>
            </w:r>
          </w:p>
        </w:tc>
        <w:tc>
          <w:tcPr>
            <w:tcW w:w="799" w:type="dxa"/>
            <w:tcBorders>
              <w:top w:val="nil"/>
              <w:left w:val="nil"/>
              <w:bottom w:val="single" w:sz="4" w:space="0" w:color="auto"/>
              <w:right w:val="single" w:sz="4" w:space="0" w:color="auto"/>
            </w:tcBorders>
            <w:shd w:val="clear" w:color="auto" w:fill="auto"/>
            <w:noWrap/>
            <w:vAlign w:val="bottom"/>
            <w:hideMark/>
          </w:tcPr>
          <w:p w14:paraId="5F6D8D4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11.814</w:t>
            </w:r>
          </w:p>
        </w:tc>
        <w:tc>
          <w:tcPr>
            <w:tcW w:w="799" w:type="dxa"/>
            <w:tcBorders>
              <w:top w:val="nil"/>
              <w:left w:val="nil"/>
              <w:bottom w:val="single" w:sz="4" w:space="0" w:color="auto"/>
              <w:right w:val="single" w:sz="4" w:space="0" w:color="auto"/>
            </w:tcBorders>
            <w:shd w:val="clear" w:color="auto" w:fill="auto"/>
            <w:noWrap/>
            <w:vAlign w:val="bottom"/>
            <w:hideMark/>
          </w:tcPr>
          <w:p w14:paraId="08D13190"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11.868</w:t>
            </w:r>
          </w:p>
        </w:tc>
        <w:tc>
          <w:tcPr>
            <w:tcW w:w="799" w:type="dxa"/>
            <w:tcBorders>
              <w:top w:val="nil"/>
              <w:left w:val="nil"/>
              <w:bottom w:val="single" w:sz="4" w:space="0" w:color="auto"/>
              <w:right w:val="single" w:sz="4" w:space="0" w:color="auto"/>
            </w:tcBorders>
            <w:shd w:val="clear" w:color="auto" w:fill="auto"/>
            <w:noWrap/>
            <w:vAlign w:val="bottom"/>
            <w:hideMark/>
          </w:tcPr>
          <w:p w14:paraId="5C671C34"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11.980</w:t>
            </w:r>
          </w:p>
        </w:tc>
        <w:tc>
          <w:tcPr>
            <w:tcW w:w="800" w:type="dxa"/>
            <w:tcBorders>
              <w:top w:val="nil"/>
              <w:left w:val="nil"/>
              <w:bottom w:val="single" w:sz="4" w:space="0" w:color="auto"/>
              <w:right w:val="single" w:sz="4" w:space="0" w:color="auto"/>
            </w:tcBorders>
            <w:shd w:val="clear" w:color="auto" w:fill="auto"/>
            <w:noWrap/>
            <w:vAlign w:val="bottom"/>
            <w:hideMark/>
          </w:tcPr>
          <w:p w14:paraId="7AB1EE40"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12.115</w:t>
            </w:r>
          </w:p>
        </w:tc>
      </w:tr>
      <w:tr w:rsidR="00092278" w:rsidRPr="00A52F41" w14:paraId="4C1F55DE"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0D6F779F"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Bioosnovan tekstil</w:t>
            </w:r>
          </w:p>
        </w:tc>
        <w:tc>
          <w:tcPr>
            <w:tcW w:w="799" w:type="dxa"/>
            <w:tcBorders>
              <w:top w:val="nil"/>
              <w:left w:val="nil"/>
              <w:bottom w:val="single" w:sz="4" w:space="0" w:color="auto"/>
              <w:right w:val="single" w:sz="4" w:space="0" w:color="auto"/>
            </w:tcBorders>
            <w:shd w:val="clear" w:color="auto" w:fill="auto"/>
            <w:noWrap/>
            <w:vAlign w:val="bottom"/>
            <w:hideMark/>
          </w:tcPr>
          <w:p w14:paraId="084CD725"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8.259</w:t>
            </w:r>
          </w:p>
        </w:tc>
        <w:tc>
          <w:tcPr>
            <w:tcW w:w="799" w:type="dxa"/>
            <w:tcBorders>
              <w:top w:val="nil"/>
              <w:left w:val="nil"/>
              <w:bottom w:val="single" w:sz="4" w:space="0" w:color="auto"/>
              <w:right w:val="single" w:sz="4" w:space="0" w:color="auto"/>
            </w:tcBorders>
            <w:shd w:val="clear" w:color="auto" w:fill="auto"/>
            <w:noWrap/>
            <w:vAlign w:val="bottom"/>
            <w:hideMark/>
          </w:tcPr>
          <w:p w14:paraId="06E66BC1"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6.623</w:t>
            </w:r>
          </w:p>
        </w:tc>
        <w:tc>
          <w:tcPr>
            <w:tcW w:w="799" w:type="dxa"/>
            <w:tcBorders>
              <w:top w:val="nil"/>
              <w:left w:val="nil"/>
              <w:bottom w:val="single" w:sz="4" w:space="0" w:color="auto"/>
              <w:right w:val="single" w:sz="4" w:space="0" w:color="auto"/>
            </w:tcBorders>
            <w:shd w:val="clear" w:color="auto" w:fill="auto"/>
            <w:noWrap/>
            <w:vAlign w:val="bottom"/>
            <w:hideMark/>
          </w:tcPr>
          <w:p w14:paraId="50C07F4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5.153</w:t>
            </w:r>
          </w:p>
        </w:tc>
        <w:tc>
          <w:tcPr>
            <w:tcW w:w="799" w:type="dxa"/>
            <w:tcBorders>
              <w:top w:val="nil"/>
              <w:left w:val="nil"/>
              <w:bottom w:val="single" w:sz="4" w:space="0" w:color="auto"/>
              <w:right w:val="single" w:sz="4" w:space="0" w:color="auto"/>
            </w:tcBorders>
            <w:shd w:val="clear" w:color="auto" w:fill="auto"/>
            <w:noWrap/>
            <w:vAlign w:val="bottom"/>
            <w:hideMark/>
          </w:tcPr>
          <w:p w14:paraId="03DF175E"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4.669</w:t>
            </w:r>
          </w:p>
        </w:tc>
        <w:tc>
          <w:tcPr>
            <w:tcW w:w="800" w:type="dxa"/>
            <w:tcBorders>
              <w:top w:val="nil"/>
              <w:left w:val="nil"/>
              <w:bottom w:val="single" w:sz="4" w:space="0" w:color="auto"/>
              <w:right w:val="single" w:sz="4" w:space="0" w:color="auto"/>
            </w:tcBorders>
            <w:shd w:val="clear" w:color="auto" w:fill="auto"/>
            <w:noWrap/>
            <w:vAlign w:val="bottom"/>
            <w:hideMark/>
          </w:tcPr>
          <w:p w14:paraId="2090257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4.194</w:t>
            </w:r>
          </w:p>
        </w:tc>
        <w:tc>
          <w:tcPr>
            <w:tcW w:w="799" w:type="dxa"/>
            <w:tcBorders>
              <w:top w:val="nil"/>
              <w:left w:val="nil"/>
              <w:bottom w:val="single" w:sz="4" w:space="0" w:color="auto"/>
              <w:right w:val="single" w:sz="4" w:space="0" w:color="auto"/>
            </w:tcBorders>
            <w:shd w:val="clear" w:color="auto" w:fill="auto"/>
            <w:noWrap/>
            <w:vAlign w:val="bottom"/>
            <w:hideMark/>
          </w:tcPr>
          <w:p w14:paraId="54F97E60"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3.896</w:t>
            </w:r>
          </w:p>
        </w:tc>
        <w:tc>
          <w:tcPr>
            <w:tcW w:w="799" w:type="dxa"/>
            <w:tcBorders>
              <w:top w:val="nil"/>
              <w:left w:val="nil"/>
              <w:bottom w:val="single" w:sz="4" w:space="0" w:color="auto"/>
              <w:right w:val="single" w:sz="4" w:space="0" w:color="auto"/>
            </w:tcBorders>
            <w:shd w:val="clear" w:color="auto" w:fill="auto"/>
            <w:noWrap/>
            <w:vAlign w:val="bottom"/>
            <w:hideMark/>
          </w:tcPr>
          <w:p w14:paraId="0271FB4D"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3.739</w:t>
            </w:r>
          </w:p>
        </w:tc>
        <w:tc>
          <w:tcPr>
            <w:tcW w:w="799" w:type="dxa"/>
            <w:tcBorders>
              <w:top w:val="nil"/>
              <w:left w:val="nil"/>
              <w:bottom w:val="single" w:sz="4" w:space="0" w:color="auto"/>
              <w:right w:val="single" w:sz="4" w:space="0" w:color="auto"/>
            </w:tcBorders>
            <w:shd w:val="clear" w:color="auto" w:fill="auto"/>
            <w:noWrap/>
            <w:vAlign w:val="bottom"/>
            <w:hideMark/>
          </w:tcPr>
          <w:p w14:paraId="69C264F4"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3.507</w:t>
            </w:r>
          </w:p>
        </w:tc>
        <w:tc>
          <w:tcPr>
            <w:tcW w:w="799" w:type="dxa"/>
            <w:tcBorders>
              <w:top w:val="nil"/>
              <w:left w:val="nil"/>
              <w:bottom w:val="single" w:sz="4" w:space="0" w:color="auto"/>
              <w:right w:val="single" w:sz="4" w:space="0" w:color="auto"/>
            </w:tcBorders>
            <w:shd w:val="clear" w:color="auto" w:fill="auto"/>
            <w:noWrap/>
            <w:vAlign w:val="bottom"/>
            <w:hideMark/>
          </w:tcPr>
          <w:p w14:paraId="61A7D66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3.306</w:t>
            </w:r>
          </w:p>
        </w:tc>
        <w:tc>
          <w:tcPr>
            <w:tcW w:w="800" w:type="dxa"/>
            <w:tcBorders>
              <w:top w:val="nil"/>
              <w:left w:val="nil"/>
              <w:bottom w:val="single" w:sz="4" w:space="0" w:color="auto"/>
              <w:right w:val="single" w:sz="4" w:space="0" w:color="auto"/>
            </w:tcBorders>
            <w:shd w:val="clear" w:color="auto" w:fill="auto"/>
            <w:noWrap/>
            <w:vAlign w:val="bottom"/>
            <w:hideMark/>
          </w:tcPr>
          <w:p w14:paraId="7ED8541A"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3.317</w:t>
            </w:r>
          </w:p>
        </w:tc>
      </w:tr>
      <w:tr w:rsidR="00092278" w:rsidRPr="00A52F41" w14:paraId="375588C5"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692DF931"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Papir</w:t>
            </w:r>
          </w:p>
        </w:tc>
        <w:tc>
          <w:tcPr>
            <w:tcW w:w="799" w:type="dxa"/>
            <w:tcBorders>
              <w:top w:val="nil"/>
              <w:left w:val="nil"/>
              <w:bottom w:val="single" w:sz="4" w:space="0" w:color="auto"/>
              <w:right w:val="single" w:sz="4" w:space="0" w:color="auto"/>
            </w:tcBorders>
            <w:shd w:val="clear" w:color="auto" w:fill="auto"/>
            <w:noWrap/>
            <w:vAlign w:val="bottom"/>
            <w:hideMark/>
          </w:tcPr>
          <w:p w14:paraId="23BDBAF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5.002</w:t>
            </w:r>
          </w:p>
        </w:tc>
        <w:tc>
          <w:tcPr>
            <w:tcW w:w="799" w:type="dxa"/>
            <w:tcBorders>
              <w:top w:val="nil"/>
              <w:left w:val="nil"/>
              <w:bottom w:val="single" w:sz="4" w:space="0" w:color="auto"/>
              <w:right w:val="single" w:sz="4" w:space="0" w:color="auto"/>
            </w:tcBorders>
            <w:shd w:val="clear" w:color="auto" w:fill="auto"/>
            <w:noWrap/>
            <w:vAlign w:val="bottom"/>
            <w:hideMark/>
          </w:tcPr>
          <w:p w14:paraId="40B9B034"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4.054</w:t>
            </w:r>
          </w:p>
        </w:tc>
        <w:tc>
          <w:tcPr>
            <w:tcW w:w="799" w:type="dxa"/>
            <w:tcBorders>
              <w:top w:val="nil"/>
              <w:left w:val="nil"/>
              <w:bottom w:val="single" w:sz="4" w:space="0" w:color="auto"/>
              <w:right w:val="single" w:sz="4" w:space="0" w:color="auto"/>
            </w:tcBorders>
            <w:shd w:val="clear" w:color="auto" w:fill="auto"/>
            <w:noWrap/>
            <w:vAlign w:val="bottom"/>
            <w:hideMark/>
          </w:tcPr>
          <w:p w14:paraId="2EA9900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3.730</w:t>
            </w:r>
          </w:p>
        </w:tc>
        <w:tc>
          <w:tcPr>
            <w:tcW w:w="799" w:type="dxa"/>
            <w:tcBorders>
              <w:top w:val="nil"/>
              <w:left w:val="nil"/>
              <w:bottom w:val="single" w:sz="4" w:space="0" w:color="auto"/>
              <w:right w:val="single" w:sz="4" w:space="0" w:color="auto"/>
            </w:tcBorders>
            <w:shd w:val="clear" w:color="auto" w:fill="auto"/>
            <w:noWrap/>
            <w:vAlign w:val="bottom"/>
            <w:hideMark/>
          </w:tcPr>
          <w:p w14:paraId="3A0683C1"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3.511</w:t>
            </w:r>
          </w:p>
        </w:tc>
        <w:tc>
          <w:tcPr>
            <w:tcW w:w="800" w:type="dxa"/>
            <w:tcBorders>
              <w:top w:val="nil"/>
              <w:left w:val="nil"/>
              <w:bottom w:val="single" w:sz="4" w:space="0" w:color="auto"/>
              <w:right w:val="single" w:sz="4" w:space="0" w:color="auto"/>
            </w:tcBorders>
            <w:shd w:val="clear" w:color="auto" w:fill="auto"/>
            <w:noWrap/>
            <w:vAlign w:val="bottom"/>
            <w:hideMark/>
          </w:tcPr>
          <w:p w14:paraId="26F95397"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3.543</w:t>
            </w:r>
          </w:p>
        </w:tc>
        <w:tc>
          <w:tcPr>
            <w:tcW w:w="799" w:type="dxa"/>
            <w:tcBorders>
              <w:top w:val="nil"/>
              <w:left w:val="nil"/>
              <w:bottom w:val="single" w:sz="4" w:space="0" w:color="auto"/>
              <w:right w:val="single" w:sz="4" w:space="0" w:color="auto"/>
            </w:tcBorders>
            <w:shd w:val="clear" w:color="auto" w:fill="auto"/>
            <w:noWrap/>
            <w:vAlign w:val="bottom"/>
            <w:hideMark/>
          </w:tcPr>
          <w:p w14:paraId="46087E7A"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3.705</w:t>
            </w:r>
          </w:p>
        </w:tc>
        <w:tc>
          <w:tcPr>
            <w:tcW w:w="799" w:type="dxa"/>
            <w:tcBorders>
              <w:top w:val="nil"/>
              <w:left w:val="nil"/>
              <w:bottom w:val="single" w:sz="4" w:space="0" w:color="auto"/>
              <w:right w:val="single" w:sz="4" w:space="0" w:color="auto"/>
            </w:tcBorders>
            <w:shd w:val="clear" w:color="auto" w:fill="auto"/>
            <w:noWrap/>
            <w:vAlign w:val="bottom"/>
            <w:hideMark/>
          </w:tcPr>
          <w:p w14:paraId="4EE8F81E"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3.601</w:t>
            </w:r>
          </w:p>
        </w:tc>
        <w:tc>
          <w:tcPr>
            <w:tcW w:w="799" w:type="dxa"/>
            <w:tcBorders>
              <w:top w:val="nil"/>
              <w:left w:val="nil"/>
              <w:bottom w:val="single" w:sz="4" w:space="0" w:color="auto"/>
              <w:right w:val="single" w:sz="4" w:space="0" w:color="auto"/>
            </w:tcBorders>
            <w:shd w:val="clear" w:color="auto" w:fill="auto"/>
            <w:noWrap/>
            <w:vAlign w:val="bottom"/>
            <w:hideMark/>
          </w:tcPr>
          <w:p w14:paraId="5A838305"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3.410</w:t>
            </w:r>
          </w:p>
        </w:tc>
        <w:tc>
          <w:tcPr>
            <w:tcW w:w="799" w:type="dxa"/>
            <w:tcBorders>
              <w:top w:val="nil"/>
              <w:left w:val="nil"/>
              <w:bottom w:val="single" w:sz="4" w:space="0" w:color="auto"/>
              <w:right w:val="single" w:sz="4" w:space="0" w:color="auto"/>
            </w:tcBorders>
            <w:shd w:val="clear" w:color="auto" w:fill="auto"/>
            <w:noWrap/>
            <w:vAlign w:val="bottom"/>
            <w:hideMark/>
          </w:tcPr>
          <w:p w14:paraId="024634C8"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3.419</w:t>
            </w:r>
          </w:p>
        </w:tc>
        <w:tc>
          <w:tcPr>
            <w:tcW w:w="800" w:type="dxa"/>
            <w:tcBorders>
              <w:top w:val="nil"/>
              <w:left w:val="nil"/>
              <w:bottom w:val="single" w:sz="4" w:space="0" w:color="auto"/>
              <w:right w:val="single" w:sz="4" w:space="0" w:color="auto"/>
            </w:tcBorders>
            <w:shd w:val="clear" w:color="auto" w:fill="auto"/>
            <w:noWrap/>
            <w:vAlign w:val="bottom"/>
            <w:hideMark/>
          </w:tcPr>
          <w:p w14:paraId="5A638797"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3.556</w:t>
            </w:r>
          </w:p>
        </w:tc>
      </w:tr>
      <w:tr w:rsidR="00092278" w:rsidRPr="00A52F41" w14:paraId="62546414" w14:textId="77777777" w:rsidTr="00092278">
        <w:trPr>
          <w:trHeight w:val="322"/>
        </w:trPr>
        <w:tc>
          <w:tcPr>
            <w:tcW w:w="1587" w:type="dxa"/>
            <w:tcBorders>
              <w:top w:val="nil"/>
              <w:left w:val="single" w:sz="4" w:space="0" w:color="auto"/>
              <w:bottom w:val="single" w:sz="4" w:space="0" w:color="auto"/>
              <w:right w:val="single" w:sz="4" w:space="0" w:color="auto"/>
            </w:tcBorders>
            <w:shd w:val="clear" w:color="auto" w:fill="auto"/>
            <w:vAlign w:val="bottom"/>
            <w:hideMark/>
          </w:tcPr>
          <w:p w14:paraId="676CC109"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Bioosnovane kemikalije, zdravila, plastika in guma (brez biogoriv)</w:t>
            </w:r>
          </w:p>
        </w:tc>
        <w:tc>
          <w:tcPr>
            <w:tcW w:w="799" w:type="dxa"/>
            <w:tcBorders>
              <w:top w:val="nil"/>
              <w:left w:val="nil"/>
              <w:bottom w:val="single" w:sz="4" w:space="0" w:color="auto"/>
              <w:right w:val="single" w:sz="4" w:space="0" w:color="auto"/>
            </w:tcBorders>
            <w:shd w:val="clear" w:color="auto" w:fill="auto"/>
            <w:noWrap/>
            <w:vAlign w:val="bottom"/>
            <w:hideMark/>
          </w:tcPr>
          <w:p w14:paraId="52365D7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3.848</w:t>
            </w:r>
          </w:p>
        </w:tc>
        <w:tc>
          <w:tcPr>
            <w:tcW w:w="799" w:type="dxa"/>
            <w:tcBorders>
              <w:top w:val="nil"/>
              <w:left w:val="nil"/>
              <w:bottom w:val="single" w:sz="4" w:space="0" w:color="auto"/>
              <w:right w:val="single" w:sz="4" w:space="0" w:color="auto"/>
            </w:tcBorders>
            <w:shd w:val="clear" w:color="auto" w:fill="auto"/>
            <w:noWrap/>
            <w:vAlign w:val="bottom"/>
            <w:hideMark/>
          </w:tcPr>
          <w:p w14:paraId="0AABBCD4"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3.712</w:t>
            </w:r>
          </w:p>
        </w:tc>
        <w:tc>
          <w:tcPr>
            <w:tcW w:w="799" w:type="dxa"/>
            <w:tcBorders>
              <w:top w:val="nil"/>
              <w:left w:val="nil"/>
              <w:bottom w:val="single" w:sz="4" w:space="0" w:color="auto"/>
              <w:right w:val="single" w:sz="4" w:space="0" w:color="auto"/>
            </w:tcBorders>
            <w:shd w:val="clear" w:color="auto" w:fill="auto"/>
            <w:noWrap/>
            <w:vAlign w:val="bottom"/>
            <w:hideMark/>
          </w:tcPr>
          <w:p w14:paraId="7977BF65"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3.695</w:t>
            </w:r>
          </w:p>
        </w:tc>
        <w:tc>
          <w:tcPr>
            <w:tcW w:w="799" w:type="dxa"/>
            <w:tcBorders>
              <w:top w:val="nil"/>
              <w:left w:val="nil"/>
              <w:bottom w:val="single" w:sz="4" w:space="0" w:color="auto"/>
              <w:right w:val="single" w:sz="4" w:space="0" w:color="auto"/>
            </w:tcBorders>
            <w:shd w:val="clear" w:color="auto" w:fill="auto"/>
            <w:noWrap/>
            <w:vAlign w:val="bottom"/>
            <w:hideMark/>
          </w:tcPr>
          <w:p w14:paraId="01F6703E"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3.709</w:t>
            </w:r>
          </w:p>
        </w:tc>
        <w:tc>
          <w:tcPr>
            <w:tcW w:w="800" w:type="dxa"/>
            <w:tcBorders>
              <w:top w:val="nil"/>
              <w:left w:val="nil"/>
              <w:bottom w:val="single" w:sz="4" w:space="0" w:color="auto"/>
              <w:right w:val="single" w:sz="4" w:space="0" w:color="auto"/>
            </w:tcBorders>
            <w:shd w:val="clear" w:color="auto" w:fill="auto"/>
            <w:noWrap/>
            <w:vAlign w:val="bottom"/>
            <w:hideMark/>
          </w:tcPr>
          <w:p w14:paraId="663CB96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3.697</w:t>
            </w:r>
          </w:p>
        </w:tc>
        <w:tc>
          <w:tcPr>
            <w:tcW w:w="799" w:type="dxa"/>
            <w:tcBorders>
              <w:top w:val="nil"/>
              <w:left w:val="nil"/>
              <w:bottom w:val="single" w:sz="4" w:space="0" w:color="auto"/>
              <w:right w:val="single" w:sz="4" w:space="0" w:color="auto"/>
            </w:tcBorders>
            <w:shd w:val="clear" w:color="auto" w:fill="auto"/>
            <w:noWrap/>
            <w:vAlign w:val="bottom"/>
            <w:hideMark/>
          </w:tcPr>
          <w:p w14:paraId="42A0F404"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3.691</w:t>
            </w:r>
          </w:p>
        </w:tc>
        <w:tc>
          <w:tcPr>
            <w:tcW w:w="799" w:type="dxa"/>
            <w:tcBorders>
              <w:top w:val="nil"/>
              <w:left w:val="nil"/>
              <w:bottom w:val="single" w:sz="4" w:space="0" w:color="auto"/>
              <w:right w:val="single" w:sz="4" w:space="0" w:color="auto"/>
            </w:tcBorders>
            <w:shd w:val="clear" w:color="auto" w:fill="auto"/>
            <w:noWrap/>
            <w:vAlign w:val="bottom"/>
            <w:hideMark/>
          </w:tcPr>
          <w:p w14:paraId="33BE214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3.676</w:t>
            </w:r>
          </w:p>
        </w:tc>
        <w:tc>
          <w:tcPr>
            <w:tcW w:w="799" w:type="dxa"/>
            <w:tcBorders>
              <w:top w:val="nil"/>
              <w:left w:val="nil"/>
              <w:bottom w:val="single" w:sz="4" w:space="0" w:color="auto"/>
              <w:right w:val="single" w:sz="4" w:space="0" w:color="auto"/>
            </w:tcBorders>
            <w:shd w:val="clear" w:color="auto" w:fill="auto"/>
            <w:noWrap/>
            <w:vAlign w:val="bottom"/>
            <w:hideMark/>
          </w:tcPr>
          <w:p w14:paraId="200EB8B8"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3.677</w:t>
            </w:r>
          </w:p>
        </w:tc>
        <w:tc>
          <w:tcPr>
            <w:tcW w:w="799" w:type="dxa"/>
            <w:tcBorders>
              <w:top w:val="nil"/>
              <w:left w:val="nil"/>
              <w:bottom w:val="single" w:sz="4" w:space="0" w:color="auto"/>
              <w:right w:val="single" w:sz="4" w:space="0" w:color="auto"/>
            </w:tcBorders>
            <w:shd w:val="clear" w:color="auto" w:fill="auto"/>
            <w:noWrap/>
            <w:vAlign w:val="bottom"/>
            <w:hideMark/>
          </w:tcPr>
          <w:p w14:paraId="6FD13937"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3.672</w:t>
            </w:r>
          </w:p>
        </w:tc>
        <w:tc>
          <w:tcPr>
            <w:tcW w:w="800" w:type="dxa"/>
            <w:tcBorders>
              <w:top w:val="nil"/>
              <w:left w:val="nil"/>
              <w:bottom w:val="single" w:sz="4" w:space="0" w:color="auto"/>
              <w:right w:val="single" w:sz="4" w:space="0" w:color="auto"/>
            </w:tcBorders>
            <w:shd w:val="clear" w:color="auto" w:fill="auto"/>
            <w:noWrap/>
            <w:vAlign w:val="bottom"/>
            <w:hideMark/>
          </w:tcPr>
          <w:p w14:paraId="488CF308"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3.678</w:t>
            </w:r>
          </w:p>
        </w:tc>
      </w:tr>
      <w:tr w:rsidR="00092278" w:rsidRPr="00A52F41" w14:paraId="15759392"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5A903BDD"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Ribištvo in akvakultura</w:t>
            </w:r>
          </w:p>
        </w:tc>
        <w:tc>
          <w:tcPr>
            <w:tcW w:w="799" w:type="dxa"/>
            <w:tcBorders>
              <w:top w:val="nil"/>
              <w:left w:val="nil"/>
              <w:bottom w:val="single" w:sz="4" w:space="0" w:color="auto"/>
              <w:right w:val="single" w:sz="4" w:space="0" w:color="auto"/>
            </w:tcBorders>
            <w:shd w:val="clear" w:color="auto" w:fill="auto"/>
            <w:noWrap/>
            <w:vAlign w:val="bottom"/>
            <w:hideMark/>
          </w:tcPr>
          <w:p w14:paraId="6A557D00"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230</w:t>
            </w:r>
          </w:p>
        </w:tc>
        <w:tc>
          <w:tcPr>
            <w:tcW w:w="799" w:type="dxa"/>
            <w:tcBorders>
              <w:top w:val="nil"/>
              <w:left w:val="nil"/>
              <w:bottom w:val="single" w:sz="4" w:space="0" w:color="auto"/>
              <w:right w:val="single" w:sz="4" w:space="0" w:color="auto"/>
            </w:tcBorders>
            <w:shd w:val="clear" w:color="auto" w:fill="auto"/>
            <w:noWrap/>
            <w:vAlign w:val="bottom"/>
            <w:hideMark/>
          </w:tcPr>
          <w:p w14:paraId="6CA96288"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240</w:t>
            </w:r>
          </w:p>
        </w:tc>
        <w:tc>
          <w:tcPr>
            <w:tcW w:w="799" w:type="dxa"/>
            <w:tcBorders>
              <w:top w:val="nil"/>
              <w:left w:val="nil"/>
              <w:bottom w:val="single" w:sz="4" w:space="0" w:color="auto"/>
              <w:right w:val="single" w:sz="4" w:space="0" w:color="auto"/>
            </w:tcBorders>
            <w:shd w:val="clear" w:color="auto" w:fill="auto"/>
            <w:noWrap/>
            <w:vAlign w:val="bottom"/>
            <w:hideMark/>
          </w:tcPr>
          <w:p w14:paraId="3935ED1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250</w:t>
            </w:r>
          </w:p>
        </w:tc>
        <w:tc>
          <w:tcPr>
            <w:tcW w:w="799" w:type="dxa"/>
            <w:tcBorders>
              <w:top w:val="nil"/>
              <w:left w:val="nil"/>
              <w:bottom w:val="single" w:sz="4" w:space="0" w:color="auto"/>
              <w:right w:val="single" w:sz="4" w:space="0" w:color="auto"/>
            </w:tcBorders>
            <w:shd w:val="clear" w:color="auto" w:fill="auto"/>
            <w:noWrap/>
            <w:vAlign w:val="bottom"/>
            <w:hideMark/>
          </w:tcPr>
          <w:p w14:paraId="64D4BA8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240</w:t>
            </w:r>
          </w:p>
        </w:tc>
        <w:tc>
          <w:tcPr>
            <w:tcW w:w="800" w:type="dxa"/>
            <w:tcBorders>
              <w:top w:val="nil"/>
              <w:left w:val="nil"/>
              <w:bottom w:val="single" w:sz="4" w:space="0" w:color="auto"/>
              <w:right w:val="single" w:sz="4" w:space="0" w:color="auto"/>
            </w:tcBorders>
            <w:shd w:val="clear" w:color="auto" w:fill="auto"/>
            <w:noWrap/>
            <w:vAlign w:val="bottom"/>
            <w:hideMark/>
          </w:tcPr>
          <w:p w14:paraId="5003E771"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240</w:t>
            </w:r>
          </w:p>
        </w:tc>
        <w:tc>
          <w:tcPr>
            <w:tcW w:w="799" w:type="dxa"/>
            <w:tcBorders>
              <w:top w:val="nil"/>
              <w:left w:val="nil"/>
              <w:bottom w:val="single" w:sz="4" w:space="0" w:color="auto"/>
              <w:right w:val="single" w:sz="4" w:space="0" w:color="auto"/>
            </w:tcBorders>
            <w:shd w:val="clear" w:color="auto" w:fill="auto"/>
            <w:noWrap/>
            <w:vAlign w:val="bottom"/>
            <w:hideMark/>
          </w:tcPr>
          <w:p w14:paraId="40D2A834"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230</w:t>
            </w:r>
          </w:p>
        </w:tc>
        <w:tc>
          <w:tcPr>
            <w:tcW w:w="799" w:type="dxa"/>
            <w:tcBorders>
              <w:top w:val="nil"/>
              <w:left w:val="nil"/>
              <w:bottom w:val="single" w:sz="4" w:space="0" w:color="auto"/>
              <w:right w:val="single" w:sz="4" w:space="0" w:color="auto"/>
            </w:tcBorders>
            <w:shd w:val="clear" w:color="auto" w:fill="auto"/>
            <w:noWrap/>
            <w:vAlign w:val="bottom"/>
            <w:hideMark/>
          </w:tcPr>
          <w:p w14:paraId="6C8B97AC"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250</w:t>
            </w:r>
          </w:p>
        </w:tc>
        <w:tc>
          <w:tcPr>
            <w:tcW w:w="799" w:type="dxa"/>
            <w:tcBorders>
              <w:top w:val="nil"/>
              <w:left w:val="nil"/>
              <w:bottom w:val="single" w:sz="4" w:space="0" w:color="auto"/>
              <w:right w:val="single" w:sz="4" w:space="0" w:color="auto"/>
            </w:tcBorders>
            <w:shd w:val="clear" w:color="auto" w:fill="auto"/>
            <w:noWrap/>
            <w:vAlign w:val="bottom"/>
            <w:hideMark/>
          </w:tcPr>
          <w:p w14:paraId="424697F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250</w:t>
            </w:r>
          </w:p>
        </w:tc>
        <w:tc>
          <w:tcPr>
            <w:tcW w:w="799" w:type="dxa"/>
            <w:tcBorders>
              <w:top w:val="nil"/>
              <w:left w:val="nil"/>
              <w:bottom w:val="single" w:sz="4" w:space="0" w:color="auto"/>
              <w:right w:val="single" w:sz="4" w:space="0" w:color="auto"/>
            </w:tcBorders>
            <w:shd w:val="clear" w:color="auto" w:fill="auto"/>
            <w:noWrap/>
            <w:vAlign w:val="bottom"/>
            <w:hideMark/>
          </w:tcPr>
          <w:p w14:paraId="293FFF80"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240</w:t>
            </w:r>
          </w:p>
        </w:tc>
        <w:tc>
          <w:tcPr>
            <w:tcW w:w="800" w:type="dxa"/>
            <w:tcBorders>
              <w:top w:val="nil"/>
              <w:left w:val="nil"/>
              <w:bottom w:val="single" w:sz="4" w:space="0" w:color="auto"/>
              <w:right w:val="single" w:sz="4" w:space="0" w:color="auto"/>
            </w:tcBorders>
            <w:shd w:val="clear" w:color="auto" w:fill="auto"/>
            <w:noWrap/>
            <w:vAlign w:val="bottom"/>
            <w:hideMark/>
          </w:tcPr>
          <w:p w14:paraId="17398A26"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230</w:t>
            </w:r>
          </w:p>
        </w:tc>
      </w:tr>
      <w:tr w:rsidR="00092278" w:rsidRPr="00A52F41" w14:paraId="0E67AE56"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5AAB119E"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Elektrika iz biomase</w:t>
            </w:r>
          </w:p>
        </w:tc>
        <w:tc>
          <w:tcPr>
            <w:tcW w:w="799" w:type="dxa"/>
            <w:tcBorders>
              <w:top w:val="nil"/>
              <w:left w:val="nil"/>
              <w:bottom w:val="single" w:sz="4" w:space="0" w:color="auto"/>
              <w:right w:val="single" w:sz="4" w:space="0" w:color="auto"/>
            </w:tcBorders>
            <w:shd w:val="clear" w:color="auto" w:fill="auto"/>
            <w:noWrap/>
            <w:vAlign w:val="bottom"/>
            <w:hideMark/>
          </w:tcPr>
          <w:p w14:paraId="6FCFC279"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47</w:t>
            </w:r>
          </w:p>
        </w:tc>
        <w:tc>
          <w:tcPr>
            <w:tcW w:w="799" w:type="dxa"/>
            <w:tcBorders>
              <w:top w:val="nil"/>
              <w:left w:val="nil"/>
              <w:bottom w:val="single" w:sz="4" w:space="0" w:color="auto"/>
              <w:right w:val="single" w:sz="4" w:space="0" w:color="auto"/>
            </w:tcBorders>
            <w:shd w:val="clear" w:color="auto" w:fill="auto"/>
            <w:noWrap/>
            <w:vAlign w:val="bottom"/>
            <w:hideMark/>
          </w:tcPr>
          <w:p w14:paraId="1064814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32</w:t>
            </w:r>
          </w:p>
        </w:tc>
        <w:tc>
          <w:tcPr>
            <w:tcW w:w="799" w:type="dxa"/>
            <w:tcBorders>
              <w:top w:val="nil"/>
              <w:left w:val="nil"/>
              <w:bottom w:val="single" w:sz="4" w:space="0" w:color="auto"/>
              <w:right w:val="single" w:sz="4" w:space="0" w:color="auto"/>
            </w:tcBorders>
            <w:shd w:val="clear" w:color="auto" w:fill="auto"/>
            <w:noWrap/>
            <w:vAlign w:val="bottom"/>
            <w:hideMark/>
          </w:tcPr>
          <w:p w14:paraId="7ABFB0FE"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40</w:t>
            </w:r>
          </w:p>
        </w:tc>
        <w:tc>
          <w:tcPr>
            <w:tcW w:w="799" w:type="dxa"/>
            <w:tcBorders>
              <w:top w:val="nil"/>
              <w:left w:val="nil"/>
              <w:bottom w:val="single" w:sz="4" w:space="0" w:color="auto"/>
              <w:right w:val="single" w:sz="4" w:space="0" w:color="auto"/>
            </w:tcBorders>
            <w:shd w:val="clear" w:color="auto" w:fill="auto"/>
            <w:noWrap/>
            <w:vAlign w:val="bottom"/>
            <w:hideMark/>
          </w:tcPr>
          <w:p w14:paraId="26F5EF5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50</w:t>
            </w:r>
          </w:p>
        </w:tc>
        <w:tc>
          <w:tcPr>
            <w:tcW w:w="800" w:type="dxa"/>
            <w:tcBorders>
              <w:top w:val="nil"/>
              <w:left w:val="nil"/>
              <w:bottom w:val="single" w:sz="4" w:space="0" w:color="auto"/>
              <w:right w:val="single" w:sz="4" w:space="0" w:color="auto"/>
            </w:tcBorders>
            <w:shd w:val="clear" w:color="auto" w:fill="auto"/>
            <w:noWrap/>
            <w:vAlign w:val="bottom"/>
            <w:hideMark/>
          </w:tcPr>
          <w:p w14:paraId="43EAD7C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60</w:t>
            </w:r>
          </w:p>
        </w:tc>
        <w:tc>
          <w:tcPr>
            <w:tcW w:w="799" w:type="dxa"/>
            <w:tcBorders>
              <w:top w:val="nil"/>
              <w:left w:val="nil"/>
              <w:bottom w:val="single" w:sz="4" w:space="0" w:color="auto"/>
              <w:right w:val="single" w:sz="4" w:space="0" w:color="auto"/>
            </w:tcBorders>
            <w:shd w:val="clear" w:color="auto" w:fill="auto"/>
            <w:noWrap/>
            <w:vAlign w:val="bottom"/>
            <w:hideMark/>
          </w:tcPr>
          <w:p w14:paraId="2364057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61</w:t>
            </w:r>
          </w:p>
        </w:tc>
        <w:tc>
          <w:tcPr>
            <w:tcW w:w="799" w:type="dxa"/>
            <w:tcBorders>
              <w:top w:val="nil"/>
              <w:left w:val="nil"/>
              <w:bottom w:val="single" w:sz="4" w:space="0" w:color="auto"/>
              <w:right w:val="single" w:sz="4" w:space="0" w:color="auto"/>
            </w:tcBorders>
            <w:shd w:val="clear" w:color="auto" w:fill="auto"/>
            <w:noWrap/>
            <w:vAlign w:val="bottom"/>
            <w:hideMark/>
          </w:tcPr>
          <w:p w14:paraId="4F31A355"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52</w:t>
            </w:r>
          </w:p>
        </w:tc>
        <w:tc>
          <w:tcPr>
            <w:tcW w:w="799" w:type="dxa"/>
            <w:tcBorders>
              <w:top w:val="nil"/>
              <w:left w:val="nil"/>
              <w:bottom w:val="single" w:sz="4" w:space="0" w:color="auto"/>
              <w:right w:val="single" w:sz="4" w:space="0" w:color="auto"/>
            </w:tcBorders>
            <w:shd w:val="clear" w:color="auto" w:fill="auto"/>
            <w:noWrap/>
            <w:vAlign w:val="bottom"/>
            <w:hideMark/>
          </w:tcPr>
          <w:p w14:paraId="3E53C135"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59</w:t>
            </w:r>
          </w:p>
        </w:tc>
        <w:tc>
          <w:tcPr>
            <w:tcW w:w="799" w:type="dxa"/>
            <w:tcBorders>
              <w:top w:val="nil"/>
              <w:left w:val="nil"/>
              <w:bottom w:val="single" w:sz="4" w:space="0" w:color="auto"/>
              <w:right w:val="single" w:sz="4" w:space="0" w:color="auto"/>
            </w:tcBorders>
            <w:shd w:val="clear" w:color="auto" w:fill="auto"/>
            <w:noWrap/>
            <w:vAlign w:val="bottom"/>
            <w:hideMark/>
          </w:tcPr>
          <w:p w14:paraId="2E27D31D"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54</w:t>
            </w:r>
          </w:p>
        </w:tc>
        <w:tc>
          <w:tcPr>
            <w:tcW w:w="800" w:type="dxa"/>
            <w:tcBorders>
              <w:top w:val="nil"/>
              <w:left w:val="nil"/>
              <w:bottom w:val="single" w:sz="4" w:space="0" w:color="auto"/>
              <w:right w:val="single" w:sz="4" w:space="0" w:color="auto"/>
            </w:tcBorders>
            <w:shd w:val="clear" w:color="auto" w:fill="auto"/>
            <w:noWrap/>
            <w:vAlign w:val="bottom"/>
            <w:hideMark/>
          </w:tcPr>
          <w:p w14:paraId="48DAD69A"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54</w:t>
            </w:r>
          </w:p>
        </w:tc>
      </w:tr>
      <w:tr w:rsidR="00092278" w:rsidRPr="00A52F41" w14:paraId="33099483"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3A97CB4C"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Tekoča biogoriva</w:t>
            </w:r>
          </w:p>
        </w:tc>
        <w:tc>
          <w:tcPr>
            <w:tcW w:w="799" w:type="dxa"/>
            <w:tcBorders>
              <w:top w:val="nil"/>
              <w:left w:val="nil"/>
              <w:bottom w:val="single" w:sz="4" w:space="0" w:color="auto"/>
              <w:right w:val="single" w:sz="4" w:space="0" w:color="auto"/>
            </w:tcBorders>
            <w:shd w:val="clear" w:color="auto" w:fill="auto"/>
            <w:noWrap/>
            <w:vAlign w:val="bottom"/>
            <w:hideMark/>
          </w:tcPr>
          <w:p w14:paraId="6C5EE2F8"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0F36456C"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3012077E"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3EB63CA6"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c>
          <w:tcPr>
            <w:tcW w:w="800" w:type="dxa"/>
            <w:tcBorders>
              <w:top w:val="nil"/>
              <w:left w:val="nil"/>
              <w:bottom w:val="single" w:sz="4" w:space="0" w:color="auto"/>
              <w:right w:val="single" w:sz="4" w:space="0" w:color="auto"/>
            </w:tcBorders>
            <w:shd w:val="clear" w:color="auto" w:fill="auto"/>
            <w:noWrap/>
            <w:vAlign w:val="bottom"/>
            <w:hideMark/>
          </w:tcPr>
          <w:p w14:paraId="704177E8"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1AA1E3B0"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4FA899B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121D3BCD"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068BDDCD"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c>
          <w:tcPr>
            <w:tcW w:w="800" w:type="dxa"/>
            <w:tcBorders>
              <w:top w:val="nil"/>
              <w:left w:val="nil"/>
              <w:bottom w:val="single" w:sz="4" w:space="0" w:color="auto"/>
              <w:right w:val="single" w:sz="4" w:space="0" w:color="auto"/>
            </w:tcBorders>
            <w:shd w:val="clear" w:color="auto" w:fill="auto"/>
            <w:noWrap/>
            <w:vAlign w:val="bottom"/>
            <w:hideMark/>
          </w:tcPr>
          <w:p w14:paraId="3EC8A909"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r>
      <w:tr w:rsidR="00092278" w:rsidRPr="00A52F41" w14:paraId="679A364C"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1193420E" w14:textId="77777777" w:rsidR="009E0216" w:rsidRPr="00092278" w:rsidRDefault="009E0216" w:rsidP="00092278">
            <w:pPr>
              <w:keepNext/>
              <w:keepLines/>
              <w:spacing w:before="60" w:after="60" w:line="240" w:lineRule="auto"/>
              <w:rPr>
                <w:rFonts w:ascii="Arial" w:hAnsi="Arial" w:cs="Arial"/>
                <w:b/>
                <w:bCs/>
                <w:color w:val="000000"/>
                <w:sz w:val="18"/>
                <w:szCs w:val="18"/>
              </w:rPr>
            </w:pPr>
            <w:r w:rsidRPr="00092278">
              <w:rPr>
                <w:rFonts w:ascii="Arial" w:hAnsi="Arial" w:cs="Arial"/>
                <w:b/>
                <w:bCs/>
                <w:color w:val="000000"/>
                <w:sz w:val="18"/>
                <w:szCs w:val="18"/>
              </w:rPr>
              <w:t>Skupaj</w:t>
            </w:r>
          </w:p>
        </w:tc>
        <w:tc>
          <w:tcPr>
            <w:tcW w:w="799" w:type="dxa"/>
            <w:tcBorders>
              <w:top w:val="nil"/>
              <w:left w:val="nil"/>
              <w:bottom w:val="single" w:sz="4" w:space="0" w:color="auto"/>
              <w:right w:val="single" w:sz="4" w:space="0" w:color="auto"/>
            </w:tcBorders>
            <w:shd w:val="clear" w:color="auto" w:fill="auto"/>
            <w:noWrap/>
            <w:vAlign w:val="bottom"/>
            <w:hideMark/>
          </w:tcPr>
          <w:p w14:paraId="5959CC1B"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137.573</w:t>
            </w:r>
          </w:p>
        </w:tc>
        <w:tc>
          <w:tcPr>
            <w:tcW w:w="799" w:type="dxa"/>
            <w:tcBorders>
              <w:top w:val="nil"/>
              <w:left w:val="nil"/>
              <w:bottom w:val="single" w:sz="4" w:space="0" w:color="auto"/>
              <w:right w:val="single" w:sz="4" w:space="0" w:color="auto"/>
            </w:tcBorders>
            <w:shd w:val="clear" w:color="auto" w:fill="auto"/>
            <w:noWrap/>
            <w:vAlign w:val="bottom"/>
            <w:hideMark/>
          </w:tcPr>
          <w:p w14:paraId="64F80A6A"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128.380</w:t>
            </w:r>
          </w:p>
        </w:tc>
        <w:tc>
          <w:tcPr>
            <w:tcW w:w="799" w:type="dxa"/>
            <w:tcBorders>
              <w:top w:val="nil"/>
              <w:left w:val="nil"/>
              <w:bottom w:val="single" w:sz="4" w:space="0" w:color="auto"/>
              <w:right w:val="single" w:sz="4" w:space="0" w:color="auto"/>
            </w:tcBorders>
            <w:shd w:val="clear" w:color="auto" w:fill="auto"/>
            <w:noWrap/>
            <w:vAlign w:val="bottom"/>
            <w:hideMark/>
          </w:tcPr>
          <w:p w14:paraId="1AB45FD9"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123.643</w:t>
            </w:r>
          </w:p>
        </w:tc>
        <w:tc>
          <w:tcPr>
            <w:tcW w:w="799" w:type="dxa"/>
            <w:tcBorders>
              <w:top w:val="nil"/>
              <w:left w:val="nil"/>
              <w:bottom w:val="single" w:sz="4" w:space="0" w:color="auto"/>
              <w:right w:val="single" w:sz="4" w:space="0" w:color="auto"/>
            </w:tcBorders>
            <w:shd w:val="clear" w:color="auto" w:fill="auto"/>
            <w:noWrap/>
            <w:vAlign w:val="bottom"/>
            <w:hideMark/>
          </w:tcPr>
          <w:p w14:paraId="14CDCB6C"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119.337</w:t>
            </w:r>
          </w:p>
        </w:tc>
        <w:tc>
          <w:tcPr>
            <w:tcW w:w="800" w:type="dxa"/>
            <w:tcBorders>
              <w:top w:val="nil"/>
              <w:left w:val="nil"/>
              <w:bottom w:val="single" w:sz="4" w:space="0" w:color="auto"/>
              <w:right w:val="single" w:sz="4" w:space="0" w:color="auto"/>
            </w:tcBorders>
            <w:shd w:val="clear" w:color="auto" w:fill="auto"/>
            <w:noWrap/>
            <w:vAlign w:val="bottom"/>
            <w:hideMark/>
          </w:tcPr>
          <w:p w14:paraId="36019B91"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117.025</w:t>
            </w:r>
          </w:p>
        </w:tc>
        <w:tc>
          <w:tcPr>
            <w:tcW w:w="799" w:type="dxa"/>
            <w:tcBorders>
              <w:top w:val="nil"/>
              <w:left w:val="nil"/>
              <w:bottom w:val="single" w:sz="4" w:space="0" w:color="auto"/>
              <w:right w:val="single" w:sz="4" w:space="0" w:color="auto"/>
            </w:tcBorders>
            <w:shd w:val="clear" w:color="auto" w:fill="auto"/>
            <w:noWrap/>
            <w:vAlign w:val="bottom"/>
            <w:hideMark/>
          </w:tcPr>
          <w:p w14:paraId="76B9DF64"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116.222</w:t>
            </w:r>
          </w:p>
        </w:tc>
        <w:tc>
          <w:tcPr>
            <w:tcW w:w="799" w:type="dxa"/>
            <w:tcBorders>
              <w:top w:val="nil"/>
              <w:left w:val="nil"/>
              <w:bottom w:val="single" w:sz="4" w:space="0" w:color="auto"/>
              <w:right w:val="single" w:sz="4" w:space="0" w:color="auto"/>
            </w:tcBorders>
            <w:shd w:val="clear" w:color="auto" w:fill="auto"/>
            <w:noWrap/>
            <w:vAlign w:val="bottom"/>
            <w:hideMark/>
          </w:tcPr>
          <w:p w14:paraId="53BBF7BD"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114.831</w:t>
            </w:r>
          </w:p>
        </w:tc>
        <w:tc>
          <w:tcPr>
            <w:tcW w:w="799" w:type="dxa"/>
            <w:tcBorders>
              <w:top w:val="nil"/>
              <w:left w:val="nil"/>
              <w:bottom w:val="single" w:sz="4" w:space="0" w:color="auto"/>
              <w:right w:val="single" w:sz="4" w:space="0" w:color="auto"/>
            </w:tcBorders>
            <w:shd w:val="clear" w:color="auto" w:fill="auto"/>
            <w:noWrap/>
            <w:vAlign w:val="bottom"/>
            <w:hideMark/>
          </w:tcPr>
          <w:p w14:paraId="6D1BE39A"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114.229</w:t>
            </w:r>
          </w:p>
        </w:tc>
        <w:tc>
          <w:tcPr>
            <w:tcW w:w="799" w:type="dxa"/>
            <w:tcBorders>
              <w:top w:val="nil"/>
              <w:left w:val="nil"/>
              <w:bottom w:val="single" w:sz="4" w:space="0" w:color="auto"/>
              <w:right w:val="single" w:sz="4" w:space="0" w:color="auto"/>
            </w:tcBorders>
            <w:shd w:val="clear" w:color="auto" w:fill="auto"/>
            <w:noWrap/>
            <w:vAlign w:val="bottom"/>
            <w:hideMark/>
          </w:tcPr>
          <w:p w14:paraId="61F771E5"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113.585</w:t>
            </w:r>
          </w:p>
        </w:tc>
        <w:tc>
          <w:tcPr>
            <w:tcW w:w="800" w:type="dxa"/>
            <w:tcBorders>
              <w:top w:val="nil"/>
              <w:left w:val="nil"/>
              <w:bottom w:val="single" w:sz="4" w:space="0" w:color="auto"/>
              <w:right w:val="single" w:sz="4" w:space="0" w:color="auto"/>
            </w:tcBorders>
            <w:shd w:val="clear" w:color="auto" w:fill="auto"/>
            <w:noWrap/>
            <w:vAlign w:val="bottom"/>
            <w:hideMark/>
          </w:tcPr>
          <w:p w14:paraId="6CD94E35"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113.719</w:t>
            </w:r>
          </w:p>
        </w:tc>
      </w:tr>
    </w:tbl>
    <w:p w14:paraId="2221E2F2" w14:textId="415212E1" w:rsidR="009E0216" w:rsidRPr="00C57228" w:rsidRDefault="009E0216" w:rsidP="00EA2E4C">
      <w:pPr>
        <w:spacing w:line="360" w:lineRule="auto"/>
        <w:jc w:val="both"/>
        <w:rPr>
          <w:rFonts w:ascii="Arial" w:hAnsi="Arial" w:cs="Arial"/>
          <w:sz w:val="16"/>
          <w:szCs w:val="16"/>
        </w:rPr>
      </w:pPr>
      <w:r w:rsidRPr="00C57228">
        <w:rPr>
          <w:rFonts w:ascii="Arial" w:hAnsi="Arial" w:cs="Arial"/>
          <w:sz w:val="16"/>
          <w:szCs w:val="16"/>
        </w:rPr>
        <w:t xml:space="preserve">Vir: </w:t>
      </w:r>
      <w:r w:rsidR="00390F79">
        <w:rPr>
          <w:rFonts w:ascii="Arial" w:hAnsi="Arial" w:cs="Arial"/>
          <w:sz w:val="16"/>
          <w:szCs w:val="16"/>
        </w:rPr>
        <w:t>EK, 2020</w:t>
      </w:r>
    </w:p>
    <w:p w14:paraId="2EBC1E3C" w14:textId="4CACE202"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Podatki kažejo na precejšnje znižanje zaposlenosti v biogospodarstvu v desetletnem obdobju. Tako se je skupna zaposlenost v biogospodarstvu znižala iz 137.573 na 113.719. Upad zaposlenosti je še poseb</w:t>
      </w:r>
      <w:r w:rsidR="00E435D3">
        <w:rPr>
          <w:rFonts w:ascii="Arial" w:hAnsi="Arial" w:cs="Arial"/>
          <w:sz w:val="20"/>
          <w:szCs w:val="20"/>
        </w:rPr>
        <w:t>no izrazit med leti 2008 in 2011</w:t>
      </w:r>
      <w:r w:rsidRPr="00A52F41">
        <w:rPr>
          <w:rFonts w:ascii="Arial" w:hAnsi="Arial" w:cs="Arial"/>
          <w:sz w:val="20"/>
          <w:szCs w:val="20"/>
        </w:rPr>
        <w:t xml:space="preserve">, kar po vsej verjetnosti posledica vsesplošne gospodarske krize. </w:t>
      </w:r>
    </w:p>
    <w:p w14:paraId="01E0B121" w14:textId="1E015148" w:rsidR="00083AB5" w:rsidRPr="00145296" w:rsidRDefault="00083AB5" w:rsidP="00C35272">
      <w:pPr>
        <w:pStyle w:val="SCslika"/>
        <w:keepNext/>
        <w:keepLines/>
      </w:pPr>
      <w:r w:rsidRPr="00C35272">
        <w:t>Slika 3</w:t>
      </w:r>
      <w:r w:rsidR="00B83EC8">
        <w:t>4</w:t>
      </w:r>
      <w:r w:rsidRPr="00C35272">
        <w:t>: Bruto dodana vrednost na zaposlenega v biogospodarstvu</w:t>
      </w:r>
    </w:p>
    <w:p w14:paraId="23F7DD7C" w14:textId="77777777" w:rsidR="009E0216" w:rsidRPr="00A52F41" w:rsidRDefault="009E0216" w:rsidP="00BE756C">
      <w:pPr>
        <w:autoSpaceDE w:val="0"/>
        <w:autoSpaceDN w:val="0"/>
        <w:adjustRightInd w:val="0"/>
        <w:spacing w:after="0" w:line="36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04734EC8" wp14:editId="56A20D38">
            <wp:extent cx="5764696" cy="3085106"/>
            <wp:effectExtent l="0" t="0" r="7620" b="1270"/>
            <wp:docPr id="1631865542" name="Grafikon 16318655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6F8B51D" w14:textId="77777777" w:rsidR="00C40C4A" w:rsidRPr="00C57228" w:rsidRDefault="00C40C4A" w:rsidP="00C40C4A">
      <w:pPr>
        <w:spacing w:line="360" w:lineRule="auto"/>
        <w:jc w:val="both"/>
        <w:rPr>
          <w:rFonts w:ascii="Arial" w:hAnsi="Arial" w:cs="Arial"/>
          <w:sz w:val="16"/>
          <w:szCs w:val="16"/>
        </w:rPr>
      </w:pPr>
      <w:r w:rsidRPr="00C57228">
        <w:rPr>
          <w:rFonts w:ascii="Arial" w:hAnsi="Arial" w:cs="Arial"/>
          <w:sz w:val="16"/>
          <w:szCs w:val="16"/>
        </w:rPr>
        <w:t xml:space="preserve">Vir: </w:t>
      </w:r>
      <w:r>
        <w:rPr>
          <w:rFonts w:ascii="Arial" w:hAnsi="Arial" w:cs="Arial"/>
          <w:sz w:val="16"/>
          <w:szCs w:val="16"/>
        </w:rPr>
        <w:t>EK, 2020</w:t>
      </w:r>
    </w:p>
    <w:p w14:paraId="3E490CED" w14:textId="339803BC"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lastRenderedPageBreak/>
        <w:t>V obdobju od leta 2008 do 2017 je bruto dodana vrednost na zaposlenega v biogospodarstvu v Sloveniji rasla počasneje kot v povprečju EU</w:t>
      </w:r>
      <w:r w:rsidR="005A7044">
        <w:rPr>
          <w:rFonts w:ascii="Arial" w:hAnsi="Arial" w:cs="Arial"/>
          <w:sz w:val="20"/>
          <w:szCs w:val="20"/>
        </w:rPr>
        <w:t xml:space="preserve"> (Slika 3</w:t>
      </w:r>
      <w:r w:rsidR="00B83EC8">
        <w:rPr>
          <w:rFonts w:ascii="Arial" w:hAnsi="Arial" w:cs="Arial"/>
          <w:sz w:val="20"/>
          <w:szCs w:val="20"/>
        </w:rPr>
        <w:t>4</w:t>
      </w:r>
      <w:r w:rsidR="005A7044">
        <w:rPr>
          <w:rFonts w:ascii="Arial" w:hAnsi="Arial" w:cs="Arial"/>
          <w:sz w:val="20"/>
          <w:szCs w:val="20"/>
        </w:rPr>
        <w:t>)</w:t>
      </w:r>
      <w:r w:rsidRPr="00A52F41">
        <w:rPr>
          <w:rFonts w:ascii="Arial" w:hAnsi="Arial" w:cs="Arial"/>
          <w:sz w:val="20"/>
          <w:szCs w:val="20"/>
        </w:rPr>
        <w:t>. Od leta 2015 je vrednost v Sloveniji praktično stagnirala. Razkorak med povprečjem EU-27 in Slovenijo se tako še povečuje in se je v absolutnih številkah od leta 2008 do leta 2017 skoraj podvojil in sicer je leta 2008 razlika v bruto dodani vrednosti na zaposlenega v biogospodarstvu znašala 8.759 EUR leta 2017 pa</w:t>
      </w:r>
      <w:r w:rsidR="00083AB5">
        <w:rPr>
          <w:rFonts w:ascii="Arial" w:hAnsi="Arial" w:cs="Arial"/>
          <w:sz w:val="20"/>
          <w:szCs w:val="20"/>
        </w:rPr>
        <w:t xml:space="preserve"> že 15.284 EUR na zaposlenega. </w:t>
      </w:r>
    </w:p>
    <w:p w14:paraId="1381AF73" w14:textId="77777777"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Kmetijstvo je skupaj s prehranskim sistemom tudi največji porabnik biomase (okoli 60 odstotkov povpraševanja). Kar 20 odstotkov proizvedene hrane so zavrže. Procesi proizvodnje, predelave in prodaje so potratni – zanje se porabi kar 17 odstotkov vse ustvarjene energije v EU, oziroma po podatkih za leto 2013 kar 26 odstotkov vse končne porabe energije. Čeprav se je od leta 2005 produktivnost v kmetijstvu povečala za 9 odstotkov emisije toplogrednih plinov pa so se od leta 1990 zmanjšale za 21 odstotkov kmetijstvo še vedno globalno prispeva 10–12 odstotkov izpustov toplogrednih plinov in je največji vir emisij metana in NO, več</w:t>
      </w:r>
      <w:r w:rsidR="00083AB5">
        <w:rPr>
          <w:rFonts w:ascii="Arial" w:hAnsi="Arial" w:cs="Arial"/>
          <w:sz w:val="20"/>
          <w:szCs w:val="20"/>
        </w:rPr>
        <w:t xml:space="preserve">inoma na račun prežvekovalcev. </w:t>
      </w:r>
    </w:p>
    <w:p w14:paraId="71348FF6" w14:textId="5E22F398"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Po podatkih SURS je bilo v Sloveniji v letu 2018 proizvedenih skoraj 139.900 ton odpadne hrane od česar je bilo po oceni 38 % užitnega dela, ki bi ga lahko z ozaveščanjem in pravilnim odnosom do hrane zmanjšali ali preprečili in 62 % so bili neužitni deli, ki se jim večinoma ne da izogniti. Delež odpadne hrane, ki se je predelala v bioplinarnah, se je v obdobju 2013-2018 vseskozi povečeval. V letu 2013 je delež odpadne hrane predelane v bioplinarnah predstavljal 35 % vse odpadne hrane</w:t>
      </w:r>
      <w:r w:rsidR="00FC16F5">
        <w:rPr>
          <w:rFonts w:ascii="Arial" w:hAnsi="Arial" w:cs="Arial"/>
          <w:sz w:val="20"/>
          <w:szCs w:val="20"/>
        </w:rPr>
        <w:t xml:space="preserve"> </w:t>
      </w:r>
      <w:r w:rsidRPr="00A52F41">
        <w:rPr>
          <w:rFonts w:ascii="Arial" w:hAnsi="Arial" w:cs="Arial"/>
          <w:sz w:val="20"/>
          <w:szCs w:val="20"/>
        </w:rPr>
        <w:t>v letu 2015 že skoraj 40 % v letu 2018 pa je znašal že dobrih 47 %.</w:t>
      </w:r>
    </w:p>
    <w:p w14:paraId="440D80FA" w14:textId="69D40F32" w:rsidR="00083AB5" w:rsidRPr="00145296" w:rsidRDefault="00083AB5" w:rsidP="00C35272">
      <w:pPr>
        <w:pStyle w:val="SCslika"/>
        <w:keepNext/>
        <w:keepLines/>
      </w:pPr>
      <w:r w:rsidRPr="00C35272">
        <w:t>Slika 3</w:t>
      </w:r>
      <w:r w:rsidR="00B83EC8">
        <w:t>5</w:t>
      </w:r>
      <w:r w:rsidRPr="00C35272">
        <w:t xml:space="preserve">: Ravnanje z odpadno hrano v Sloveniji </w:t>
      </w:r>
    </w:p>
    <w:p w14:paraId="5519C3D8" w14:textId="1DE6993A" w:rsidR="009E0216" w:rsidRPr="00A52F41" w:rsidRDefault="009E0216" w:rsidP="00BE756C">
      <w:pPr>
        <w:autoSpaceDE w:val="0"/>
        <w:autoSpaceDN w:val="0"/>
        <w:adjustRightInd w:val="0"/>
        <w:spacing w:after="0" w:line="36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21E210E3" wp14:editId="65AA1C3A">
            <wp:extent cx="5669280" cy="2999232"/>
            <wp:effectExtent l="0" t="0" r="7620" b="10795"/>
            <wp:docPr id="1631865545" name="Grafikon 1631865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87B2B2E" w14:textId="77777777" w:rsidR="009E0216" w:rsidRPr="00083AB5" w:rsidRDefault="00083AB5" w:rsidP="00EA2E4C">
      <w:pPr>
        <w:spacing w:line="360" w:lineRule="auto"/>
        <w:jc w:val="both"/>
        <w:rPr>
          <w:rFonts w:ascii="Arial" w:hAnsi="Arial" w:cs="Arial"/>
          <w:sz w:val="16"/>
          <w:szCs w:val="16"/>
        </w:rPr>
      </w:pPr>
      <w:r w:rsidRPr="00083AB5">
        <w:rPr>
          <w:rFonts w:ascii="Arial" w:hAnsi="Arial" w:cs="Arial"/>
          <w:sz w:val="16"/>
          <w:szCs w:val="16"/>
        </w:rPr>
        <w:t>Vir: SURS</w:t>
      </w:r>
      <w:r w:rsidR="006F7A97">
        <w:rPr>
          <w:rFonts w:ascii="Arial" w:hAnsi="Arial" w:cs="Arial"/>
          <w:sz w:val="16"/>
          <w:szCs w:val="16"/>
        </w:rPr>
        <w:t>, 2020</w:t>
      </w:r>
    </w:p>
    <w:p w14:paraId="08346B44" w14:textId="36A94658"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Gozd z izkoriščanjem lesne biomase je pomemben vir surovin za številne sektorje, kot so predelava lesnih izdelkov, pohištvena industrija, proizvodnja celuloze in papirja, gradbeništvo in drugi. Tako je eno ključnih področij biogospodarstva področje rabe lesa, ki trenutno prispeva eno tretjino k skupni dodani vrednosti slovenskega biogospodarstva.</w:t>
      </w:r>
      <w:r w:rsidR="00C40C4A">
        <w:rPr>
          <w:rFonts w:ascii="Arial" w:hAnsi="Arial" w:cs="Arial"/>
          <w:sz w:val="20"/>
          <w:szCs w:val="20"/>
        </w:rPr>
        <w:t xml:space="preserve"> (GV, 2019)</w:t>
      </w:r>
      <w:r w:rsidRPr="00A52F41">
        <w:rPr>
          <w:rFonts w:ascii="Arial" w:hAnsi="Arial" w:cs="Arial"/>
          <w:sz w:val="20"/>
          <w:szCs w:val="20"/>
        </w:rPr>
        <w:t xml:space="preserve"> Po podatkih </w:t>
      </w:r>
      <w:r w:rsidR="006F7A97">
        <w:rPr>
          <w:rFonts w:ascii="Arial" w:hAnsi="Arial" w:cs="Arial"/>
          <w:sz w:val="20"/>
          <w:szCs w:val="20"/>
        </w:rPr>
        <w:t xml:space="preserve">ARSO (2020) </w:t>
      </w:r>
      <w:r w:rsidRPr="00A52F41">
        <w:rPr>
          <w:rFonts w:ascii="Arial" w:hAnsi="Arial" w:cs="Arial"/>
          <w:sz w:val="20"/>
          <w:szCs w:val="20"/>
        </w:rPr>
        <w:t xml:space="preserve">se gozdovi z vidika </w:t>
      </w:r>
      <w:r w:rsidRPr="00A52F41">
        <w:rPr>
          <w:rFonts w:ascii="Arial" w:hAnsi="Arial" w:cs="Arial"/>
          <w:sz w:val="20"/>
          <w:szCs w:val="20"/>
        </w:rPr>
        <w:lastRenderedPageBreak/>
        <w:t>lesnih zalog in prirastka že dolgo krepijo. V zadnjih 70 letih sta se povečala za dobrih 140 %. Posek je, poleg naravnih danosti, odvisen še od socialnoekonomskih faktorjev, v zadnjem času pa predvsem od pojavljanja naravnih ujm (vetrolomi, žledolomi) in lubadarja. Do leta 2014 je posek predstavljal približno 50 % prirastka, po tem letu pa se je bistveno povečal in predstavlja od 60 do 75 % skupnega prirastka iglavcev in listavcev.</w:t>
      </w:r>
    </w:p>
    <w:p w14:paraId="5E03C43A" w14:textId="77777777"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 xml:space="preserve">Učinkovita predelava biomase lahko temelji na izboljšanih industrijskih postopkih ekstrakcije in razklopa biomase v enostavnejše polimere, pripravljene za ponovno sintezo v bioosnovane materiale. Ključni pomen pri tem se pripisuje biorafinerijam. </w:t>
      </w:r>
    </w:p>
    <w:p w14:paraId="518BCB92" w14:textId="16FC8167"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Koncept biorafinerij je podoben kot v petrokemični industriji – gre za širok nabor med seboj povezanih fizikalnih in kemijskih industrijskih procesov. V idealnem primeru vhodne dobrine in proizvodi temeljijo na trgu biomase in odpadkov, uporablja se kaskadni princip, na koncu cikla pa ni odpadkov, pri tem pa rafinerija deluje ogljično nevtralno. Biorafinerije je na različne načine mogoče integrirati tudi v manjša oddaljena okolja</w:t>
      </w:r>
      <w:r w:rsidR="006F7A97">
        <w:rPr>
          <w:rFonts w:ascii="Arial" w:hAnsi="Arial" w:cs="Arial"/>
          <w:sz w:val="20"/>
          <w:szCs w:val="20"/>
        </w:rPr>
        <w:t xml:space="preserve"> (EK, 2018)</w:t>
      </w:r>
      <w:r w:rsidRPr="00A52F41">
        <w:rPr>
          <w:rFonts w:ascii="Arial" w:hAnsi="Arial" w:cs="Arial"/>
          <w:sz w:val="20"/>
          <w:szCs w:val="20"/>
        </w:rPr>
        <w:t>.</w:t>
      </w:r>
    </w:p>
    <w:p w14:paraId="7B0D8C75" w14:textId="6FFD0151"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Na področju energetike biološki viri v EU in Sloveniji predstavljajo najpomembnejši obnovljivi vir, ki je ključen v vseh scenarijih defosilizacije. Med to gre prišteti tudi bioplinarne. Obstajajo pa določena tveganja povezana s konkurenco za viri, ki jih je mogoče nasloviti z ustreznimi standardi</w:t>
      </w:r>
      <w:r w:rsidR="006F7A97">
        <w:rPr>
          <w:rFonts w:ascii="Arial" w:hAnsi="Arial" w:cs="Arial"/>
          <w:sz w:val="20"/>
          <w:szCs w:val="20"/>
        </w:rPr>
        <w:t xml:space="preserve"> (EK, 2018)</w:t>
      </w:r>
      <w:r w:rsidRPr="00A52F41">
        <w:rPr>
          <w:rFonts w:ascii="Arial" w:hAnsi="Arial" w:cs="Arial"/>
          <w:sz w:val="20"/>
          <w:szCs w:val="20"/>
        </w:rPr>
        <w:t>.</w:t>
      </w:r>
    </w:p>
    <w:p w14:paraId="51D25E56" w14:textId="58286368"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Lesna in druga trdna biomasa je s 56,5 odstotka najpomembnejši obnovljiv vir energije v Sloveniji, kar je glede na izjemno pokritost z gozdovi, tudi  pričakovano. V zadnjih letih je razvoj najbolj dinamičen prav pri izkoriščanju sončne energije in bioplina.</w:t>
      </w:r>
      <w:r w:rsidR="00751327">
        <w:rPr>
          <w:rFonts w:ascii="Arial" w:hAnsi="Arial" w:cs="Arial"/>
          <w:sz w:val="20"/>
          <w:szCs w:val="20"/>
        </w:rPr>
        <w:t xml:space="preserve"> (ZS, 2020)</w:t>
      </w:r>
    </w:p>
    <w:p w14:paraId="0E79F092" w14:textId="0757F172" w:rsidR="009E0216" w:rsidRDefault="009E0216" w:rsidP="00EA2E4C">
      <w:pPr>
        <w:spacing w:after="160" w:line="360" w:lineRule="auto"/>
        <w:jc w:val="both"/>
        <w:rPr>
          <w:rFonts w:ascii="Arial" w:hAnsi="Arial" w:cs="Arial"/>
          <w:sz w:val="20"/>
          <w:szCs w:val="20"/>
        </w:rPr>
      </w:pPr>
      <w:r w:rsidRPr="00A52F41">
        <w:rPr>
          <w:rFonts w:ascii="Arial" w:hAnsi="Arial" w:cs="Arial"/>
          <w:sz w:val="20"/>
          <w:szCs w:val="20"/>
        </w:rPr>
        <w:t>Glede na podatke Evropskega združenja za bioplin (EBA</w:t>
      </w:r>
      <w:r w:rsidR="00751327">
        <w:rPr>
          <w:rFonts w:ascii="Arial" w:hAnsi="Arial" w:cs="Arial"/>
          <w:sz w:val="20"/>
          <w:szCs w:val="20"/>
        </w:rPr>
        <w:t>, 2018</w:t>
      </w:r>
      <w:r w:rsidRPr="00A52F41">
        <w:rPr>
          <w:rFonts w:ascii="Arial" w:hAnsi="Arial" w:cs="Arial"/>
          <w:sz w:val="20"/>
          <w:szCs w:val="20"/>
        </w:rPr>
        <w:t>) ima Slovenija le 13 bioplinarn na 1 mio prebivalcev, kar jo uvršča v spodnjo polovico evropskih držav</w:t>
      </w:r>
      <w:r w:rsidR="005A7044">
        <w:rPr>
          <w:rFonts w:ascii="Arial" w:hAnsi="Arial" w:cs="Arial"/>
          <w:sz w:val="20"/>
          <w:szCs w:val="20"/>
        </w:rPr>
        <w:t xml:space="preserve"> (Slika 3</w:t>
      </w:r>
      <w:r w:rsidR="00B83EC8">
        <w:rPr>
          <w:rFonts w:ascii="Arial" w:hAnsi="Arial" w:cs="Arial"/>
          <w:sz w:val="20"/>
          <w:szCs w:val="20"/>
        </w:rPr>
        <w:t>6</w:t>
      </w:r>
      <w:r w:rsidR="005A7044">
        <w:rPr>
          <w:rFonts w:ascii="Arial" w:hAnsi="Arial" w:cs="Arial"/>
          <w:sz w:val="20"/>
          <w:szCs w:val="20"/>
        </w:rPr>
        <w:t>)</w:t>
      </w:r>
      <w:r w:rsidRPr="00A52F41">
        <w:rPr>
          <w:rFonts w:ascii="Arial" w:hAnsi="Arial" w:cs="Arial"/>
          <w:sz w:val="20"/>
          <w:szCs w:val="20"/>
        </w:rPr>
        <w:t>. Glede na navedbe iz statističnega poročila EBA obstaja za vse evropske države še vedno velik potencial za nadaljnji razvoj na področju bioplinarn</w:t>
      </w:r>
      <w:r w:rsidR="00751327">
        <w:rPr>
          <w:rFonts w:ascii="Arial" w:hAnsi="Arial" w:cs="Arial"/>
          <w:sz w:val="20"/>
          <w:szCs w:val="20"/>
        </w:rPr>
        <w:t xml:space="preserve">. </w:t>
      </w:r>
      <w:r w:rsidRPr="00A52F41">
        <w:rPr>
          <w:rFonts w:ascii="Arial" w:hAnsi="Arial" w:cs="Arial"/>
          <w:sz w:val="20"/>
          <w:szCs w:val="20"/>
        </w:rPr>
        <w:t>Od leta 2005 do leta 2015 se je sicer izkoriščanje bioplina znatno povečala in sicer je skupna moč prešla iz 5MW do 37MW v letu 2015</w:t>
      </w:r>
      <w:r w:rsidR="00751327">
        <w:rPr>
          <w:rFonts w:ascii="Arial" w:hAnsi="Arial" w:cs="Arial"/>
          <w:sz w:val="20"/>
          <w:szCs w:val="20"/>
        </w:rPr>
        <w:t xml:space="preserve"> (ZS EOL, 2020)</w:t>
      </w:r>
      <w:r w:rsidRPr="00A52F41">
        <w:rPr>
          <w:rFonts w:ascii="Arial" w:hAnsi="Arial" w:cs="Arial"/>
          <w:sz w:val="20"/>
          <w:szCs w:val="20"/>
        </w:rPr>
        <w:t>.</w:t>
      </w:r>
    </w:p>
    <w:p w14:paraId="770ED705" w14:textId="53D654B1" w:rsidR="00083AB5" w:rsidRPr="00145296" w:rsidRDefault="00083AB5" w:rsidP="00C35272">
      <w:pPr>
        <w:pStyle w:val="SCslika"/>
        <w:keepNext/>
        <w:keepLines/>
      </w:pPr>
      <w:r w:rsidRPr="00C35272">
        <w:lastRenderedPageBreak/>
        <w:t>Slika 3</w:t>
      </w:r>
      <w:r w:rsidR="00B83EC8">
        <w:t>6</w:t>
      </w:r>
      <w:r w:rsidRPr="00C35272">
        <w:t>: Število bioplinarn na 1 mio prebivalcev v evropskih državah</w:t>
      </w:r>
    </w:p>
    <w:p w14:paraId="0F5BCDAF" w14:textId="77777777"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5B263446" wp14:editId="63B03D11">
            <wp:extent cx="5760720" cy="3298825"/>
            <wp:effectExtent l="0" t="0" r="0" b="0"/>
            <wp:docPr id="1631865538" name="Slika 163186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760720" cy="3298825"/>
                    </a:xfrm>
                    <a:prstGeom prst="rect">
                      <a:avLst/>
                    </a:prstGeom>
                  </pic:spPr>
                </pic:pic>
              </a:graphicData>
            </a:graphic>
          </wp:inline>
        </w:drawing>
      </w:r>
    </w:p>
    <w:p w14:paraId="4FEE7795" w14:textId="42962FEA" w:rsidR="009E0216" w:rsidRPr="00A52F41" w:rsidRDefault="009E0216" w:rsidP="00EA2E4C">
      <w:pPr>
        <w:autoSpaceDE w:val="0"/>
        <w:autoSpaceDN w:val="0"/>
        <w:adjustRightInd w:val="0"/>
        <w:spacing w:line="360" w:lineRule="auto"/>
        <w:jc w:val="both"/>
        <w:rPr>
          <w:rFonts w:ascii="Arial" w:eastAsia="Calibri" w:hAnsi="Arial" w:cs="Arial"/>
          <w:sz w:val="20"/>
          <w:szCs w:val="20"/>
        </w:rPr>
      </w:pPr>
      <w:r w:rsidRPr="00A52F41">
        <w:rPr>
          <w:rFonts w:ascii="Arial" w:eastAsia="Calibri" w:hAnsi="Arial" w:cs="Arial"/>
          <w:sz w:val="20"/>
          <w:szCs w:val="20"/>
        </w:rPr>
        <w:t>Mikro bioplinske naprave na malih kmetijah nudijo zelo učinkovito rešitev pri odpravljanju težav z organskimi odpadki, učinkovito preprečujejo uhajanje toplogrednih plinov v ozračje ter hkrati prinašajo investitorju mnoge druge koristi. S proizvodnjo električne energije sodijo med proizvajalce električne energije, kar prinaša korist tudi državi pri zagotavljanju deleža proizvedene električne energije iz obnovljivih virov. Mikro bioplinske elektrarne, ki so najbolj primerne za kmetijska področja, tako ponujajo učinkovito možnost predelave in razgradnje živalskih organskih ostankov ter raznih kmetijskih organskih odpadkov, pri čemer se metan učinkovito porabi za proizvodnjo elektrike, toplote ali bioplina kot pogonsko gorivo, s tem pa obvaruje ozračje pred onesnaženjem. Kmetom pa hkrati prinašajo številne ekonomske, agrarne in okoljske koristi.</w:t>
      </w:r>
      <w:r w:rsidR="00A40983">
        <w:rPr>
          <w:rFonts w:ascii="Arial" w:eastAsia="Calibri" w:hAnsi="Arial" w:cs="Arial"/>
          <w:sz w:val="20"/>
          <w:szCs w:val="20"/>
        </w:rPr>
        <w:t xml:space="preserve"> (PMS, 2018)</w:t>
      </w:r>
    </w:p>
    <w:p w14:paraId="0A6E7423" w14:textId="607BDF91" w:rsidR="009E0216" w:rsidRPr="00A52F41" w:rsidRDefault="009E0216" w:rsidP="00EA2E4C">
      <w:pPr>
        <w:autoSpaceDE w:val="0"/>
        <w:autoSpaceDN w:val="0"/>
        <w:adjustRightInd w:val="0"/>
        <w:spacing w:line="360" w:lineRule="auto"/>
        <w:jc w:val="both"/>
        <w:rPr>
          <w:rFonts w:ascii="Arial" w:eastAsia="Calibri" w:hAnsi="Arial" w:cs="Arial"/>
          <w:sz w:val="20"/>
          <w:szCs w:val="20"/>
        </w:rPr>
      </w:pPr>
      <w:r w:rsidRPr="00A52F41">
        <w:rPr>
          <w:rFonts w:ascii="Arial" w:eastAsia="Calibri" w:hAnsi="Arial" w:cs="Arial"/>
          <w:sz w:val="20"/>
          <w:szCs w:val="20"/>
        </w:rPr>
        <w:t xml:space="preserve">Po podatkih Registra kmetijskih gospodarstev je </w:t>
      </w:r>
      <w:r w:rsidR="00F303C8">
        <w:rPr>
          <w:rFonts w:ascii="Arial" w:eastAsia="Calibri" w:hAnsi="Arial" w:cs="Arial"/>
          <w:sz w:val="20"/>
          <w:szCs w:val="20"/>
        </w:rPr>
        <w:t xml:space="preserve">na dan 26. 10. 2020 </w:t>
      </w:r>
      <w:r w:rsidRPr="00A52F41">
        <w:rPr>
          <w:rFonts w:ascii="Arial" w:eastAsia="Calibri" w:hAnsi="Arial" w:cs="Arial"/>
          <w:sz w:val="20"/>
          <w:szCs w:val="20"/>
        </w:rPr>
        <w:t>v Sloveniji zgolj ena kmetija, ki ima registrirano dopolnilno dejavnost na kmetiji, proizvodnja in prodaja energije iz gnoja, gnojevke in gnojnice ter rastlinskega substrata.</w:t>
      </w:r>
    </w:p>
    <w:p w14:paraId="4A6A107F" w14:textId="6F8D0547" w:rsidR="009E0216" w:rsidRPr="00A52F41" w:rsidRDefault="009E0216" w:rsidP="00EA2E4C">
      <w:pPr>
        <w:autoSpaceDE w:val="0"/>
        <w:autoSpaceDN w:val="0"/>
        <w:adjustRightInd w:val="0"/>
        <w:spacing w:line="360" w:lineRule="auto"/>
        <w:jc w:val="both"/>
        <w:rPr>
          <w:rFonts w:ascii="Arial" w:eastAsia="Calibri" w:hAnsi="Arial" w:cs="Arial"/>
          <w:sz w:val="20"/>
          <w:szCs w:val="20"/>
        </w:rPr>
      </w:pPr>
      <w:r w:rsidRPr="00A52F41">
        <w:rPr>
          <w:rFonts w:ascii="Arial" w:eastAsia="Calibri" w:hAnsi="Arial" w:cs="Arial"/>
          <w:sz w:val="20"/>
          <w:szCs w:val="20"/>
        </w:rPr>
        <w:t xml:space="preserve">Vzpostavitev mikro oziroma malih </w:t>
      </w:r>
      <w:r w:rsidR="00025EE6">
        <w:rPr>
          <w:rFonts w:ascii="Arial" w:eastAsia="Calibri" w:hAnsi="Arial" w:cs="Arial"/>
          <w:sz w:val="20"/>
          <w:szCs w:val="20"/>
        </w:rPr>
        <w:t>bioplinskih</w:t>
      </w:r>
      <w:r w:rsidR="00025EE6" w:rsidRPr="00A52F41">
        <w:rPr>
          <w:rFonts w:ascii="Arial" w:eastAsia="Calibri" w:hAnsi="Arial" w:cs="Arial"/>
          <w:sz w:val="20"/>
          <w:szCs w:val="20"/>
        </w:rPr>
        <w:t xml:space="preserve"> </w:t>
      </w:r>
      <w:r w:rsidRPr="00A52F41">
        <w:rPr>
          <w:rFonts w:ascii="Arial" w:eastAsia="Calibri" w:hAnsi="Arial" w:cs="Arial"/>
          <w:sz w:val="20"/>
          <w:szCs w:val="20"/>
        </w:rPr>
        <w:t>elektrarn je povezana tudi z visokimi stroški investicije, ki po nekaterih podatkih iz tujine</w:t>
      </w:r>
      <w:r w:rsidR="002017CE">
        <w:rPr>
          <w:rFonts w:ascii="Arial" w:eastAsia="Calibri" w:hAnsi="Arial" w:cs="Arial"/>
          <w:sz w:val="20"/>
          <w:szCs w:val="20"/>
        </w:rPr>
        <w:t xml:space="preserve"> in lastnih podatkih</w:t>
      </w:r>
      <w:r w:rsidRPr="00A52F41">
        <w:rPr>
          <w:rFonts w:ascii="Arial" w:eastAsia="Calibri" w:hAnsi="Arial" w:cs="Arial"/>
          <w:sz w:val="20"/>
          <w:szCs w:val="20"/>
        </w:rPr>
        <w:t xml:space="preserve"> lahko predstavljajo od 150 tisoč in tudi več sto tisoč evrov odvisno od same specifičnosti oziroma nazivne moči le-te.</w:t>
      </w:r>
      <w:r w:rsidR="00A51AC6">
        <w:rPr>
          <w:rFonts w:ascii="Arial" w:eastAsia="Calibri" w:hAnsi="Arial" w:cs="Arial"/>
          <w:sz w:val="20"/>
          <w:szCs w:val="20"/>
        </w:rPr>
        <w:t xml:space="preserve"> (BEF 2, 2015)</w:t>
      </w:r>
    </w:p>
    <w:p w14:paraId="6207B14D" w14:textId="0CCA1368" w:rsidR="009E0216" w:rsidRPr="00A52F41" w:rsidRDefault="009E0216" w:rsidP="00EA2E4C">
      <w:pPr>
        <w:autoSpaceDE w:val="0"/>
        <w:autoSpaceDN w:val="0"/>
        <w:adjustRightInd w:val="0"/>
        <w:spacing w:line="360" w:lineRule="auto"/>
        <w:jc w:val="both"/>
        <w:rPr>
          <w:rFonts w:ascii="Arial" w:eastAsia="Calibri" w:hAnsi="Arial" w:cs="Arial"/>
          <w:sz w:val="20"/>
          <w:szCs w:val="20"/>
        </w:rPr>
      </w:pPr>
      <w:r w:rsidRPr="00A52F41">
        <w:rPr>
          <w:rFonts w:ascii="Arial" w:eastAsia="Calibri" w:hAnsi="Arial" w:cs="Arial"/>
          <w:sz w:val="20"/>
          <w:szCs w:val="20"/>
        </w:rPr>
        <w:t>V Sloveniji končna poraba energije od leta 2008 do 2018 sicer znižala za 7,3 odstotka vendar pa od leta 2014 le-ta kontinuirano narašča.  Od leta 2008 do leta 2014 pa je bil trend negativen in se je končna poraba energije zmanjševala in je leta 2014 znašala 4.644 kToe. Približno 48 odstotkov energije je odvisne od uvoza,</w:t>
      </w:r>
      <w:r w:rsidR="00E45CFB">
        <w:rPr>
          <w:rFonts w:ascii="Arial" w:eastAsia="Calibri" w:hAnsi="Arial" w:cs="Arial"/>
          <w:sz w:val="20"/>
          <w:szCs w:val="20"/>
        </w:rPr>
        <w:t xml:space="preserve"> </w:t>
      </w:r>
      <w:r w:rsidRPr="00A52F41">
        <w:rPr>
          <w:rFonts w:ascii="Arial" w:eastAsia="Calibri" w:hAnsi="Arial" w:cs="Arial"/>
          <w:sz w:val="20"/>
          <w:szCs w:val="20"/>
        </w:rPr>
        <w:t>v povprečju pa je kar 80 odstotkov vseh emisij toplogrednih plinov posledica emisij povezanih s porabo in proizvodnjo energije</w:t>
      </w:r>
      <w:r w:rsidR="006A050F">
        <w:rPr>
          <w:rFonts w:ascii="Arial" w:eastAsia="Calibri" w:hAnsi="Arial" w:cs="Arial"/>
          <w:sz w:val="20"/>
          <w:szCs w:val="20"/>
        </w:rPr>
        <w:t xml:space="preserve"> </w:t>
      </w:r>
      <w:r w:rsidR="00A51AC6">
        <w:rPr>
          <w:rFonts w:ascii="Arial" w:eastAsia="Calibri" w:hAnsi="Arial" w:cs="Arial"/>
          <w:sz w:val="20"/>
          <w:szCs w:val="20"/>
        </w:rPr>
        <w:t>(UM FE, 2011)</w:t>
      </w:r>
      <w:r w:rsidRPr="00A52F41">
        <w:rPr>
          <w:rFonts w:ascii="Arial" w:eastAsia="Calibri" w:hAnsi="Arial" w:cs="Arial"/>
          <w:sz w:val="20"/>
          <w:szCs w:val="20"/>
        </w:rPr>
        <w:t>.</w:t>
      </w:r>
    </w:p>
    <w:p w14:paraId="5C29B6A8" w14:textId="77777777" w:rsidR="009E0216" w:rsidRPr="00A52F41" w:rsidRDefault="009E0216" w:rsidP="00EA2E4C">
      <w:pPr>
        <w:spacing w:line="360" w:lineRule="auto"/>
        <w:jc w:val="both"/>
        <w:rPr>
          <w:rFonts w:ascii="Arial" w:eastAsia="Calibri" w:hAnsi="Arial" w:cs="Arial"/>
          <w:sz w:val="20"/>
          <w:szCs w:val="20"/>
        </w:rPr>
      </w:pPr>
      <w:r w:rsidRPr="00A52F41">
        <w:rPr>
          <w:rFonts w:ascii="Arial" w:eastAsia="Calibri" w:hAnsi="Arial" w:cs="Arial"/>
          <w:sz w:val="20"/>
          <w:szCs w:val="20"/>
        </w:rPr>
        <w:lastRenderedPageBreak/>
        <w:t xml:space="preserve">Delež obnovljivih virov v končni porabi energije (v nadaljevanju: OVE) se je predvsem v letih od 2008 do 2010 občutno povečal medtem ko od leta 2010 delež ostaja na približno enaki ravni. </w:t>
      </w:r>
    </w:p>
    <w:p w14:paraId="26107B78" w14:textId="0B3CB2A4" w:rsidR="00083AB5" w:rsidRDefault="009E0216" w:rsidP="00EA2E4C">
      <w:pPr>
        <w:spacing w:line="360" w:lineRule="auto"/>
        <w:jc w:val="both"/>
        <w:rPr>
          <w:rFonts w:ascii="Arial" w:hAnsi="Arial" w:cs="Arial"/>
          <w:sz w:val="20"/>
          <w:szCs w:val="20"/>
        </w:rPr>
      </w:pPr>
      <w:r w:rsidRPr="00A52F41">
        <w:rPr>
          <w:rFonts w:ascii="Arial" w:hAnsi="Arial" w:cs="Arial"/>
          <w:sz w:val="20"/>
          <w:szCs w:val="20"/>
        </w:rPr>
        <w:t>V Sloveniji smo v letu 2018 skoraj polovico (46,5 %) končne energije porabili v obliki naftnih proizvodov. Drugi največji delež je bila električna energija (23,5 %). V primerjavi z letom 2008 se je delež končne energije, ki se je porabili v obliki naftnih proizvodov zmanjšal za 6,3 %, pri električni energiji pa se je ta delež povišal za dobre 3 %. Delež obnovljivih virov in odpadko</w:t>
      </w:r>
      <w:r w:rsidR="00E45CFB">
        <w:rPr>
          <w:rFonts w:ascii="Arial" w:hAnsi="Arial" w:cs="Arial"/>
          <w:sz w:val="20"/>
          <w:szCs w:val="20"/>
        </w:rPr>
        <w:t>v</w:t>
      </w:r>
      <w:r w:rsidRPr="00A52F41">
        <w:rPr>
          <w:rFonts w:ascii="Arial" w:hAnsi="Arial" w:cs="Arial"/>
          <w:sz w:val="20"/>
          <w:szCs w:val="20"/>
        </w:rPr>
        <w:t xml:space="preserve"> ter geotermalne, sončne, itd</w:t>
      </w:r>
      <w:r w:rsidR="00E45CFB">
        <w:rPr>
          <w:rFonts w:ascii="Arial" w:hAnsi="Arial" w:cs="Arial"/>
          <w:sz w:val="20"/>
          <w:szCs w:val="20"/>
        </w:rPr>
        <w:t>.</w:t>
      </w:r>
      <w:r w:rsidRPr="00A52F41">
        <w:rPr>
          <w:rFonts w:ascii="Arial" w:hAnsi="Arial" w:cs="Arial"/>
          <w:sz w:val="20"/>
          <w:szCs w:val="20"/>
        </w:rPr>
        <w:t xml:space="preserve"> energije pa se je v tem obdobju v končni porabi energije povečal za 5,4 %. (SURS</w:t>
      </w:r>
      <w:r w:rsidR="00A51AC6">
        <w:rPr>
          <w:rFonts w:ascii="Arial" w:hAnsi="Arial" w:cs="Arial"/>
          <w:sz w:val="20"/>
          <w:szCs w:val="20"/>
        </w:rPr>
        <w:t>, 2020</w:t>
      </w:r>
      <w:r w:rsidRPr="00A52F41">
        <w:rPr>
          <w:rFonts w:ascii="Arial" w:hAnsi="Arial" w:cs="Arial"/>
          <w:sz w:val="20"/>
          <w:szCs w:val="20"/>
        </w:rPr>
        <w:t>)</w:t>
      </w:r>
    </w:p>
    <w:p w14:paraId="615D7752" w14:textId="7351B3EF" w:rsidR="00083AB5" w:rsidRPr="00145296" w:rsidRDefault="00083AB5" w:rsidP="00C35272">
      <w:pPr>
        <w:pStyle w:val="SCslika"/>
        <w:keepNext/>
        <w:keepLines/>
      </w:pPr>
      <w:r w:rsidRPr="00C35272">
        <w:t xml:space="preserve">Slika </w:t>
      </w:r>
      <w:r w:rsidR="006A050F">
        <w:t>37</w:t>
      </w:r>
      <w:r w:rsidRPr="00C35272">
        <w:t>: Končna poraba energije, glede na energetski vir (v 1000 toe)</w:t>
      </w:r>
    </w:p>
    <w:p w14:paraId="59B75EA0" w14:textId="2A61CC9F" w:rsidR="009E0216" w:rsidRPr="00A52F41" w:rsidRDefault="009E0216" w:rsidP="008B69F6">
      <w:pPr>
        <w:autoSpaceDE w:val="0"/>
        <w:autoSpaceDN w:val="0"/>
        <w:adjustRightInd w:val="0"/>
        <w:spacing w:line="24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7B2394A2" wp14:editId="0DE7D972">
            <wp:extent cx="5713171" cy="2874874"/>
            <wp:effectExtent l="0" t="0" r="1905" b="1905"/>
            <wp:docPr id="1631865558" name="Grafikon 1631865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083AB5">
        <w:rPr>
          <w:rFonts w:ascii="Arial" w:hAnsi="Arial" w:cs="Arial"/>
          <w:i/>
          <w:sz w:val="20"/>
          <w:szCs w:val="20"/>
        </w:rPr>
        <w:t xml:space="preserve"> </w:t>
      </w:r>
      <w:r w:rsidR="00083AB5" w:rsidRPr="00BE756C">
        <w:rPr>
          <w:rFonts w:ascii="Arial" w:hAnsi="Arial" w:cs="Arial"/>
          <w:sz w:val="16"/>
          <w:szCs w:val="16"/>
        </w:rPr>
        <w:t>Vir: SURS</w:t>
      </w:r>
      <w:r w:rsidR="009C45C9">
        <w:rPr>
          <w:rFonts w:ascii="Arial" w:hAnsi="Arial" w:cs="Arial"/>
          <w:sz w:val="16"/>
          <w:szCs w:val="16"/>
        </w:rPr>
        <w:t>, 2020</w:t>
      </w:r>
    </w:p>
    <w:p w14:paraId="6AB61828" w14:textId="2070BA95" w:rsidR="009E0216" w:rsidRPr="00A52F41" w:rsidRDefault="009E0216" w:rsidP="00EA2E4C">
      <w:pPr>
        <w:spacing w:line="360" w:lineRule="auto"/>
        <w:jc w:val="both"/>
        <w:rPr>
          <w:rFonts w:ascii="Arial" w:eastAsia="Calibri" w:hAnsi="Arial" w:cs="Arial"/>
          <w:sz w:val="20"/>
          <w:szCs w:val="20"/>
        </w:rPr>
      </w:pPr>
      <w:r w:rsidRPr="00A52F41">
        <w:rPr>
          <w:rFonts w:ascii="Arial" w:eastAsia="Calibri" w:hAnsi="Arial" w:cs="Arial"/>
          <w:sz w:val="20"/>
          <w:szCs w:val="20"/>
        </w:rPr>
        <w:t>Neposredna poraba energije v kmetijstvu in gozdarstvu je v letu 2018 znašala 73,07 kToe in se je v primerjavi z letom 2010 zvišala za 3,53 kToe. Raba energije v kmetijstvu je v letu 2018 znašala 42,34 kg ekvivalenta nafte na ha KZU in se je v primerjavi z letom 2010 zvišala za 5,3 %</w:t>
      </w:r>
      <w:r w:rsidR="005A7044">
        <w:rPr>
          <w:rFonts w:ascii="Arial" w:eastAsia="Calibri" w:hAnsi="Arial" w:cs="Arial"/>
          <w:sz w:val="20"/>
          <w:szCs w:val="20"/>
        </w:rPr>
        <w:t xml:space="preserve"> (Tabela 2</w:t>
      </w:r>
      <w:r w:rsidR="006A050F">
        <w:rPr>
          <w:rFonts w:ascii="Arial" w:eastAsia="Calibri" w:hAnsi="Arial" w:cs="Arial"/>
          <w:sz w:val="20"/>
          <w:szCs w:val="20"/>
        </w:rPr>
        <w:t>8</w:t>
      </w:r>
      <w:r w:rsidR="005A7044">
        <w:rPr>
          <w:rFonts w:ascii="Arial" w:eastAsia="Calibri" w:hAnsi="Arial" w:cs="Arial"/>
          <w:sz w:val="20"/>
          <w:szCs w:val="20"/>
        </w:rPr>
        <w:t>)</w:t>
      </w:r>
      <w:r w:rsidRPr="00A52F41">
        <w:rPr>
          <w:rFonts w:ascii="Arial" w:eastAsia="Calibri" w:hAnsi="Arial" w:cs="Arial"/>
          <w:sz w:val="20"/>
          <w:szCs w:val="20"/>
        </w:rPr>
        <w:t>. Raba energije v prehrambni industriji pa je v letu 2018 znašala 79,32 kToe in bila v primerjavi z letom 2010 višja za 7,8 %.</w:t>
      </w:r>
      <w:r w:rsidR="006A050F">
        <w:rPr>
          <w:rFonts w:ascii="Arial" w:eastAsia="Calibri" w:hAnsi="Arial" w:cs="Arial"/>
          <w:sz w:val="20"/>
          <w:szCs w:val="20"/>
        </w:rPr>
        <w:t xml:space="preserve"> </w:t>
      </w:r>
      <w:r w:rsidR="009C45C9">
        <w:rPr>
          <w:rFonts w:ascii="Arial" w:eastAsia="Calibri" w:hAnsi="Arial" w:cs="Arial"/>
          <w:sz w:val="20"/>
          <w:szCs w:val="20"/>
        </w:rPr>
        <w:t>(EK Data, 2020)</w:t>
      </w:r>
    </w:p>
    <w:p w14:paraId="66C9B648" w14:textId="1FB2A931" w:rsidR="009E0216" w:rsidRPr="00145296" w:rsidRDefault="00C57228" w:rsidP="00C35272">
      <w:pPr>
        <w:pStyle w:val="SCslika"/>
        <w:keepNext/>
        <w:keepLines/>
      </w:pPr>
      <w:r w:rsidRPr="00C35272">
        <w:t>Tabela 2</w:t>
      </w:r>
      <w:r w:rsidR="006A050F">
        <w:t>8</w:t>
      </w:r>
      <w:r w:rsidR="009E0216" w:rsidRPr="00C35272">
        <w:t>: Raba energije v kmetijstvu, gozdarstvu in živilski industriji</w:t>
      </w:r>
    </w:p>
    <w:tbl>
      <w:tblPr>
        <w:tblW w:w="9062" w:type="dxa"/>
        <w:tblLayout w:type="fixed"/>
        <w:tblCellMar>
          <w:left w:w="0" w:type="dxa"/>
          <w:right w:w="0" w:type="dxa"/>
        </w:tblCellMar>
        <w:tblLook w:val="04A0" w:firstRow="1" w:lastRow="0" w:firstColumn="1" w:lastColumn="0" w:noHBand="0" w:noVBand="1"/>
      </w:tblPr>
      <w:tblGrid>
        <w:gridCol w:w="2972"/>
        <w:gridCol w:w="676"/>
        <w:gridCol w:w="677"/>
        <w:gridCol w:w="677"/>
        <w:gridCol w:w="676"/>
        <w:gridCol w:w="677"/>
        <w:gridCol w:w="677"/>
        <w:gridCol w:w="676"/>
        <w:gridCol w:w="677"/>
        <w:gridCol w:w="677"/>
      </w:tblGrid>
      <w:tr w:rsidR="009E0216" w:rsidRPr="00A52F41" w14:paraId="07EB68C5" w14:textId="77777777" w:rsidTr="008B69F6">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2DCBE" w14:textId="77777777" w:rsidR="009E0216" w:rsidRPr="00A52F41" w:rsidRDefault="009E0216" w:rsidP="00EA73AB">
            <w:pPr>
              <w:spacing w:before="60" w:after="0" w:line="312" w:lineRule="auto"/>
              <w:jc w:val="both"/>
              <w:rPr>
                <w:rFonts w:ascii="Arial" w:hAnsi="Arial" w:cs="Arial"/>
                <w:color w:val="000000"/>
                <w:sz w:val="20"/>
                <w:szCs w:val="20"/>
              </w:rPr>
            </w:pPr>
          </w:p>
        </w:tc>
        <w:tc>
          <w:tcPr>
            <w:tcW w:w="6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B5723" w14:textId="77777777" w:rsidR="009E0216" w:rsidRPr="00A52F41" w:rsidRDefault="009E0216" w:rsidP="00EA73AB">
            <w:pPr>
              <w:spacing w:before="60" w:after="0" w:line="312" w:lineRule="auto"/>
              <w:jc w:val="center"/>
              <w:rPr>
                <w:rFonts w:ascii="Arial" w:hAnsi="Arial" w:cs="Arial"/>
                <w:b/>
                <w:bCs/>
                <w:color w:val="000000"/>
                <w:sz w:val="20"/>
                <w:szCs w:val="20"/>
              </w:rPr>
            </w:pPr>
            <w:r w:rsidRPr="00A52F41">
              <w:rPr>
                <w:rFonts w:ascii="Arial" w:hAnsi="Arial" w:cs="Arial"/>
                <w:b/>
                <w:bCs/>
                <w:color w:val="000000"/>
                <w:sz w:val="20"/>
                <w:szCs w:val="20"/>
              </w:rPr>
              <w:t>2010</w:t>
            </w:r>
          </w:p>
        </w:tc>
        <w:tc>
          <w:tcPr>
            <w:tcW w:w="6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ACC0E" w14:textId="77777777" w:rsidR="009E0216" w:rsidRPr="00A52F41" w:rsidRDefault="009E0216" w:rsidP="00EA73AB">
            <w:pPr>
              <w:spacing w:before="60" w:after="0" w:line="312" w:lineRule="auto"/>
              <w:jc w:val="center"/>
              <w:rPr>
                <w:rFonts w:ascii="Arial" w:hAnsi="Arial" w:cs="Arial"/>
                <w:b/>
                <w:bCs/>
                <w:color w:val="000000"/>
                <w:sz w:val="20"/>
                <w:szCs w:val="20"/>
              </w:rPr>
            </w:pPr>
            <w:r w:rsidRPr="00A52F41">
              <w:rPr>
                <w:rFonts w:ascii="Arial" w:hAnsi="Arial" w:cs="Arial"/>
                <w:b/>
                <w:bCs/>
                <w:color w:val="000000"/>
                <w:sz w:val="20"/>
                <w:szCs w:val="20"/>
              </w:rPr>
              <w:t>2011</w:t>
            </w:r>
          </w:p>
        </w:tc>
        <w:tc>
          <w:tcPr>
            <w:tcW w:w="6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315F7" w14:textId="77777777" w:rsidR="009E0216" w:rsidRPr="00A52F41" w:rsidRDefault="009E0216" w:rsidP="00EA73AB">
            <w:pPr>
              <w:spacing w:before="60" w:after="0" w:line="312" w:lineRule="auto"/>
              <w:jc w:val="center"/>
              <w:rPr>
                <w:rFonts w:ascii="Arial" w:hAnsi="Arial" w:cs="Arial"/>
                <w:b/>
                <w:bCs/>
                <w:color w:val="000000"/>
                <w:sz w:val="20"/>
                <w:szCs w:val="20"/>
              </w:rPr>
            </w:pPr>
            <w:r w:rsidRPr="00A52F41">
              <w:rPr>
                <w:rFonts w:ascii="Arial" w:hAnsi="Arial" w:cs="Arial"/>
                <w:b/>
                <w:bCs/>
                <w:color w:val="000000"/>
                <w:sz w:val="20"/>
                <w:szCs w:val="20"/>
              </w:rPr>
              <w:t>2012</w:t>
            </w:r>
          </w:p>
        </w:tc>
        <w:tc>
          <w:tcPr>
            <w:tcW w:w="6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E9F9C" w14:textId="77777777" w:rsidR="009E0216" w:rsidRPr="00A52F41" w:rsidRDefault="009E0216" w:rsidP="00EA73AB">
            <w:pPr>
              <w:spacing w:before="60" w:after="0" w:line="312" w:lineRule="auto"/>
              <w:jc w:val="center"/>
              <w:rPr>
                <w:rFonts w:ascii="Arial" w:hAnsi="Arial" w:cs="Arial"/>
                <w:b/>
                <w:bCs/>
                <w:color w:val="000000"/>
                <w:sz w:val="20"/>
                <w:szCs w:val="20"/>
              </w:rPr>
            </w:pPr>
            <w:r w:rsidRPr="00A52F41">
              <w:rPr>
                <w:rFonts w:ascii="Arial" w:hAnsi="Arial" w:cs="Arial"/>
                <w:b/>
                <w:bCs/>
                <w:color w:val="000000"/>
                <w:sz w:val="20"/>
                <w:szCs w:val="20"/>
              </w:rPr>
              <w:t>2013</w:t>
            </w:r>
          </w:p>
        </w:tc>
        <w:tc>
          <w:tcPr>
            <w:tcW w:w="6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E1FAD" w14:textId="77777777" w:rsidR="009E0216" w:rsidRPr="00A52F41" w:rsidRDefault="009E0216" w:rsidP="00EA73AB">
            <w:pPr>
              <w:spacing w:before="60" w:after="0" w:line="312" w:lineRule="auto"/>
              <w:jc w:val="center"/>
              <w:rPr>
                <w:rFonts w:ascii="Arial" w:hAnsi="Arial" w:cs="Arial"/>
                <w:b/>
                <w:bCs/>
                <w:color w:val="000000"/>
                <w:sz w:val="20"/>
                <w:szCs w:val="20"/>
              </w:rPr>
            </w:pPr>
            <w:r w:rsidRPr="00A52F41">
              <w:rPr>
                <w:rFonts w:ascii="Arial" w:hAnsi="Arial" w:cs="Arial"/>
                <w:b/>
                <w:bCs/>
                <w:color w:val="000000"/>
                <w:sz w:val="20"/>
                <w:szCs w:val="20"/>
              </w:rPr>
              <w:t>2014</w:t>
            </w:r>
          </w:p>
        </w:tc>
        <w:tc>
          <w:tcPr>
            <w:tcW w:w="6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2214A" w14:textId="77777777" w:rsidR="009E0216" w:rsidRPr="00A52F41" w:rsidRDefault="009E0216" w:rsidP="00EA73AB">
            <w:pPr>
              <w:spacing w:before="60" w:after="0" w:line="312" w:lineRule="auto"/>
              <w:jc w:val="center"/>
              <w:rPr>
                <w:rFonts w:ascii="Arial" w:hAnsi="Arial" w:cs="Arial"/>
                <w:b/>
                <w:bCs/>
                <w:color w:val="000000"/>
                <w:sz w:val="20"/>
                <w:szCs w:val="20"/>
              </w:rPr>
            </w:pPr>
            <w:r w:rsidRPr="00A52F41">
              <w:rPr>
                <w:rFonts w:ascii="Arial" w:hAnsi="Arial" w:cs="Arial"/>
                <w:b/>
                <w:bCs/>
                <w:color w:val="000000"/>
                <w:sz w:val="20"/>
                <w:szCs w:val="20"/>
              </w:rPr>
              <w:t>2015</w:t>
            </w:r>
          </w:p>
        </w:tc>
        <w:tc>
          <w:tcPr>
            <w:tcW w:w="6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3EE05" w14:textId="77777777" w:rsidR="009E0216" w:rsidRPr="00A52F41" w:rsidRDefault="009E0216" w:rsidP="00EA73AB">
            <w:pPr>
              <w:spacing w:before="60" w:after="0" w:line="312" w:lineRule="auto"/>
              <w:jc w:val="center"/>
              <w:rPr>
                <w:rFonts w:ascii="Arial" w:hAnsi="Arial" w:cs="Arial"/>
                <w:b/>
                <w:bCs/>
                <w:color w:val="000000"/>
                <w:sz w:val="20"/>
                <w:szCs w:val="20"/>
              </w:rPr>
            </w:pPr>
            <w:r w:rsidRPr="00A52F41">
              <w:rPr>
                <w:rFonts w:ascii="Arial" w:hAnsi="Arial" w:cs="Arial"/>
                <w:b/>
                <w:bCs/>
                <w:color w:val="000000"/>
                <w:sz w:val="20"/>
                <w:szCs w:val="20"/>
              </w:rPr>
              <w:t>2016</w:t>
            </w:r>
          </w:p>
        </w:tc>
        <w:tc>
          <w:tcPr>
            <w:tcW w:w="6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F235D" w14:textId="77777777" w:rsidR="009E0216" w:rsidRPr="00A52F41" w:rsidRDefault="009E0216" w:rsidP="00EA73AB">
            <w:pPr>
              <w:spacing w:before="60" w:after="0" w:line="312" w:lineRule="auto"/>
              <w:jc w:val="center"/>
              <w:rPr>
                <w:rFonts w:ascii="Arial" w:hAnsi="Arial" w:cs="Arial"/>
                <w:b/>
                <w:bCs/>
                <w:color w:val="000000"/>
                <w:sz w:val="20"/>
                <w:szCs w:val="20"/>
              </w:rPr>
            </w:pPr>
            <w:r w:rsidRPr="00A52F41">
              <w:rPr>
                <w:rFonts w:ascii="Arial" w:hAnsi="Arial" w:cs="Arial"/>
                <w:b/>
                <w:bCs/>
                <w:color w:val="000000"/>
                <w:sz w:val="20"/>
                <w:szCs w:val="20"/>
              </w:rPr>
              <w:t>2017</w:t>
            </w:r>
          </w:p>
        </w:tc>
        <w:tc>
          <w:tcPr>
            <w:tcW w:w="6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C6FD7" w14:textId="77777777" w:rsidR="009E0216" w:rsidRPr="00A52F41" w:rsidRDefault="009E0216" w:rsidP="00EA73AB">
            <w:pPr>
              <w:spacing w:before="60" w:after="0" w:line="312" w:lineRule="auto"/>
              <w:jc w:val="center"/>
              <w:rPr>
                <w:rFonts w:ascii="Arial" w:hAnsi="Arial" w:cs="Arial"/>
                <w:b/>
                <w:bCs/>
                <w:color w:val="000000"/>
                <w:sz w:val="20"/>
                <w:szCs w:val="20"/>
              </w:rPr>
            </w:pPr>
            <w:r w:rsidRPr="00A52F41">
              <w:rPr>
                <w:rFonts w:ascii="Arial" w:hAnsi="Arial" w:cs="Arial"/>
                <w:b/>
                <w:bCs/>
                <w:color w:val="000000"/>
                <w:sz w:val="20"/>
                <w:szCs w:val="20"/>
              </w:rPr>
              <w:t>2018</w:t>
            </w:r>
          </w:p>
        </w:tc>
      </w:tr>
      <w:tr w:rsidR="009E0216" w:rsidRPr="00A52F41" w14:paraId="41882FF1" w14:textId="77777777" w:rsidTr="008B69F6">
        <w:trPr>
          <w:trHeight w:val="735"/>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D1F02FD" w14:textId="77777777" w:rsidR="009E0216" w:rsidRPr="00A52F41" w:rsidRDefault="009E0216" w:rsidP="008B69F6">
            <w:pPr>
              <w:spacing w:before="60" w:after="0" w:line="312" w:lineRule="auto"/>
              <w:rPr>
                <w:rFonts w:ascii="Arial" w:hAnsi="Arial" w:cs="Arial"/>
                <w:color w:val="000000"/>
                <w:sz w:val="20"/>
                <w:szCs w:val="20"/>
              </w:rPr>
            </w:pPr>
            <w:r w:rsidRPr="00A52F41">
              <w:rPr>
                <w:rFonts w:ascii="Arial" w:hAnsi="Arial" w:cs="Arial"/>
                <w:color w:val="000000"/>
                <w:sz w:val="20"/>
                <w:szCs w:val="20"/>
              </w:rPr>
              <w:t>Neposredna raba energije v kmetijstvu/gozdarstvu na ha KZU (kg ekvivalenta nafte na KZU)</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2914E"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40,21</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D3EAC"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39,59</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9FE16"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41,13</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57547"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40,56</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0CBC2"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43,54</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59656"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43,00</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53850"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42,52</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E2216"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42,16</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E9BB4"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42,34</w:t>
            </w:r>
          </w:p>
        </w:tc>
      </w:tr>
      <w:tr w:rsidR="009E0216" w:rsidRPr="00A52F41" w14:paraId="24C4D007" w14:textId="77777777" w:rsidTr="008B69F6">
        <w:trPr>
          <w:trHeight w:val="495"/>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0A40B71" w14:textId="77777777" w:rsidR="009E0216" w:rsidRPr="00A52F41" w:rsidRDefault="009E0216" w:rsidP="008B69F6">
            <w:pPr>
              <w:spacing w:before="60" w:after="0" w:line="312" w:lineRule="auto"/>
              <w:rPr>
                <w:rFonts w:ascii="Arial" w:hAnsi="Arial" w:cs="Arial"/>
                <w:color w:val="000000"/>
                <w:sz w:val="20"/>
                <w:szCs w:val="20"/>
              </w:rPr>
            </w:pPr>
            <w:r w:rsidRPr="00A52F41">
              <w:rPr>
                <w:rFonts w:ascii="Arial" w:hAnsi="Arial" w:cs="Arial"/>
                <w:color w:val="000000"/>
                <w:sz w:val="20"/>
                <w:szCs w:val="20"/>
              </w:rPr>
              <w:t>Neposredna raba energije v kmetijstvu/gozdarstvu skupaj (kToe)</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7AE30"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69,54</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253DC"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67,51</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7F265"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71,01</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ACD82"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70,00</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AAC45"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75,29</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FCE2C"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74,17</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56F88"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73,38</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4B6DB"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72,92</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7D28A"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73,07</w:t>
            </w:r>
          </w:p>
        </w:tc>
      </w:tr>
      <w:tr w:rsidR="009E0216" w:rsidRPr="00A52F41" w14:paraId="65045517" w14:textId="77777777" w:rsidTr="008B69F6">
        <w:trPr>
          <w:trHeight w:val="495"/>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D6D527E" w14:textId="77777777" w:rsidR="009E0216" w:rsidRPr="00A52F41" w:rsidRDefault="009E0216" w:rsidP="008B69F6">
            <w:pPr>
              <w:spacing w:before="60" w:after="0" w:line="312" w:lineRule="auto"/>
              <w:rPr>
                <w:rFonts w:ascii="Arial" w:hAnsi="Arial" w:cs="Arial"/>
                <w:color w:val="000000"/>
                <w:sz w:val="20"/>
                <w:szCs w:val="20"/>
              </w:rPr>
            </w:pPr>
            <w:r w:rsidRPr="00A52F41">
              <w:rPr>
                <w:rFonts w:ascii="Arial" w:hAnsi="Arial" w:cs="Arial"/>
                <w:color w:val="000000"/>
                <w:sz w:val="20"/>
                <w:szCs w:val="20"/>
              </w:rPr>
              <w:t>Neposredna raba energije v živiski industriji (kToe)</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27D38"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72,51</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AB831"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67,92</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90A64"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61,63</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068F6"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62,60</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7558C"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72,81</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9ADD4"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67,05</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E9347"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64,70</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4EEE6"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66,48</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DBACE"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79,32</w:t>
            </w:r>
          </w:p>
        </w:tc>
      </w:tr>
    </w:tbl>
    <w:p w14:paraId="72412EB1" w14:textId="72F32B06" w:rsidR="009E0216" w:rsidRPr="00BE756C" w:rsidRDefault="009E0216" w:rsidP="00EA2E4C">
      <w:pPr>
        <w:spacing w:line="360" w:lineRule="auto"/>
        <w:jc w:val="both"/>
        <w:rPr>
          <w:rFonts w:ascii="Arial" w:eastAsia="Arial" w:hAnsi="Arial" w:cs="Arial"/>
          <w:sz w:val="20"/>
          <w:szCs w:val="20"/>
        </w:rPr>
      </w:pPr>
      <w:r w:rsidRPr="00BE756C">
        <w:rPr>
          <w:rFonts w:ascii="Arial" w:hAnsi="Arial" w:cs="Arial"/>
          <w:color w:val="000000"/>
          <w:sz w:val="16"/>
          <w:szCs w:val="16"/>
          <w:lang w:eastAsia="sl-SI"/>
        </w:rPr>
        <w:t xml:space="preserve">Vir: </w:t>
      </w:r>
      <w:r w:rsidR="009C45C9">
        <w:rPr>
          <w:rFonts w:ascii="Arial" w:hAnsi="Arial" w:cs="Arial"/>
          <w:color w:val="000000"/>
          <w:sz w:val="16"/>
          <w:szCs w:val="16"/>
          <w:lang w:eastAsia="sl-SI"/>
        </w:rPr>
        <w:t>EK Data, 2020</w:t>
      </w:r>
    </w:p>
    <w:p w14:paraId="49A92640" w14:textId="24118615" w:rsidR="009E0216" w:rsidRPr="00A52F41" w:rsidRDefault="009E0216" w:rsidP="00BE756C">
      <w:pPr>
        <w:spacing w:before="200" w:line="360" w:lineRule="auto"/>
        <w:jc w:val="both"/>
        <w:rPr>
          <w:rFonts w:ascii="Arial" w:eastAsia="Arial" w:hAnsi="Arial" w:cs="Arial"/>
          <w:sz w:val="20"/>
          <w:szCs w:val="20"/>
        </w:rPr>
      </w:pPr>
      <w:r w:rsidRPr="00A52F41">
        <w:rPr>
          <w:rFonts w:ascii="Arial" w:eastAsia="Arial" w:hAnsi="Arial" w:cs="Arial"/>
          <w:sz w:val="20"/>
          <w:szCs w:val="20"/>
        </w:rPr>
        <w:lastRenderedPageBreak/>
        <w:t>V Sloveniji zajema večji del energijske porabe v kmetijstvu plinsko olje za pogon kmetijskih strojev (56,2 %), sledi energija za proizvodnjo mineralnih dušikovih gnojil (36,4 %) in električna energija (4,4 %). Pri tem od leta 2012 poraba plinskega olja ostaja na približno enaki ravni oziroma je zaznati malenkosten trend zniževanja porabe in sicer se giba od približno 2.450 TJ/leto do 2.470 TJ/leto. V daljšem časovnem obdobju pa se je ta poraba nekoliko znižala in sicer leta 2000 je poraba plinskega olja znašala 2612 TJ v letu 2018 pa 2.449 TJ. Tudi skupna poraba energije za proizvodnjo dušikovih in fosforjevih gnojil v zadnjih letih ostaja konstantna in sicer približno 3,6 GJ na ha KZU, opazen pa je negativni trend na daljše časovno obdobje</w:t>
      </w:r>
      <w:r w:rsidR="005A7044">
        <w:rPr>
          <w:rFonts w:ascii="Arial" w:eastAsia="Arial" w:hAnsi="Arial" w:cs="Arial"/>
          <w:sz w:val="20"/>
          <w:szCs w:val="20"/>
        </w:rPr>
        <w:t xml:space="preserve"> (Slika </w:t>
      </w:r>
      <w:r w:rsidR="006A050F">
        <w:rPr>
          <w:rFonts w:ascii="Arial" w:eastAsia="Arial" w:hAnsi="Arial" w:cs="Arial"/>
          <w:sz w:val="20"/>
          <w:szCs w:val="20"/>
        </w:rPr>
        <w:t>38</w:t>
      </w:r>
      <w:r w:rsidR="005A7044">
        <w:rPr>
          <w:rFonts w:ascii="Arial" w:eastAsia="Arial" w:hAnsi="Arial" w:cs="Arial"/>
          <w:sz w:val="20"/>
          <w:szCs w:val="20"/>
        </w:rPr>
        <w:t>)</w:t>
      </w:r>
      <w:r w:rsidRPr="00A52F41">
        <w:rPr>
          <w:rFonts w:ascii="Arial" w:eastAsia="Arial" w:hAnsi="Arial" w:cs="Arial"/>
          <w:sz w:val="20"/>
          <w:szCs w:val="20"/>
        </w:rPr>
        <w:t>.</w:t>
      </w:r>
    </w:p>
    <w:p w14:paraId="792D3917" w14:textId="77777777" w:rsidR="009E0216" w:rsidRPr="00A52F41" w:rsidRDefault="009E0216" w:rsidP="00BE756C">
      <w:pPr>
        <w:spacing w:before="200" w:line="360" w:lineRule="auto"/>
        <w:jc w:val="both"/>
        <w:rPr>
          <w:rFonts w:ascii="Arial" w:eastAsia="Arial" w:hAnsi="Arial" w:cs="Arial"/>
          <w:sz w:val="20"/>
          <w:szCs w:val="20"/>
        </w:rPr>
      </w:pPr>
      <w:r w:rsidRPr="00A52F41">
        <w:rPr>
          <w:rFonts w:ascii="Arial" w:eastAsia="Arial" w:hAnsi="Arial" w:cs="Arial"/>
          <w:sz w:val="20"/>
          <w:szCs w:val="20"/>
        </w:rPr>
        <w:t>Pri primerjavi s povprečjem 28 evropskih držav je imela Slovenija v letu 2016 za 9,5 % večjo neposredno porabo energije na hektar kmetijskih zemljišč v uporabi in za 13,5 % manjšo posredno porabo energije v kmetijstvu.</w:t>
      </w:r>
    </w:p>
    <w:p w14:paraId="56F4315F" w14:textId="4F519FD5" w:rsidR="009E0216" w:rsidRPr="00C35272" w:rsidRDefault="00083AB5" w:rsidP="00C35272">
      <w:pPr>
        <w:pStyle w:val="SCslika"/>
        <w:keepNext/>
        <w:keepLines/>
      </w:pPr>
      <w:r w:rsidRPr="00C35272">
        <w:t xml:space="preserve">Slika </w:t>
      </w:r>
      <w:r w:rsidR="006A050F">
        <w:t>38</w:t>
      </w:r>
      <w:r w:rsidRPr="00C35272">
        <w:t>: Poraba energije za proizvodnjo porabljenih dušikovih in fosforjevih gnojil (v GJ/ha KZU) in plinskega olja v kmetijstvu (v TJ/leto)</w:t>
      </w:r>
    </w:p>
    <w:p w14:paraId="7116F9D4" w14:textId="75C6744C" w:rsidR="009E0216" w:rsidRPr="00A52F41" w:rsidRDefault="009E0216" w:rsidP="007C53EF">
      <w:pPr>
        <w:spacing w:after="0" w:line="240" w:lineRule="auto"/>
        <w:jc w:val="both"/>
        <w:rPr>
          <w:rFonts w:ascii="Arial" w:eastAsia="Arial" w:hAnsi="Arial" w:cs="Arial"/>
          <w:sz w:val="20"/>
          <w:szCs w:val="20"/>
        </w:rPr>
      </w:pPr>
      <w:r w:rsidRPr="00A52F41">
        <w:rPr>
          <w:rFonts w:ascii="Arial" w:hAnsi="Arial" w:cs="Arial"/>
          <w:noProof/>
          <w:sz w:val="20"/>
          <w:szCs w:val="20"/>
          <w:lang w:eastAsia="sl-SI"/>
        </w:rPr>
        <w:drawing>
          <wp:inline distT="0" distB="0" distL="0" distR="0" wp14:anchorId="5BF2D0E3" wp14:editId="0D4485C3">
            <wp:extent cx="5756744" cy="3379304"/>
            <wp:effectExtent l="0" t="0" r="15875" b="12065"/>
            <wp:docPr id="34" name="Grafikon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97B1E92" w14:textId="77777777" w:rsidR="009E0216" w:rsidRPr="00BE756C" w:rsidRDefault="00083AB5" w:rsidP="00EA2E4C">
      <w:pPr>
        <w:spacing w:line="360" w:lineRule="auto"/>
        <w:jc w:val="both"/>
        <w:rPr>
          <w:rFonts w:ascii="Arial" w:eastAsia="Arial" w:hAnsi="Arial" w:cs="Arial"/>
          <w:sz w:val="16"/>
          <w:szCs w:val="16"/>
        </w:rPr>
      </w:pPr>
      <w:r w:rsidRPr="00BE756C">
        <w:rPr>
          <w:rFonts w:ascii="Arial" w:eastAsia="Arial" w:hAnsi="Arial" w:cs="Arial"/>
          <w:sz w:val="16"/>
          <w:szCs w:val="16"/>
        </w:rPr>
        <w:t>Vir:</w:t>
      </w:r>
      <w:r w:rsidR="009C45C9" w:rsidRPr="00BE756C">
        <w:rPr>
          <w:rFonts w:ascii="Arial" w:eastAsia="Arial" w:hAnsi="Arial" w:cs="Arial"/>
          <w:sz w:val="16"/>
          <w:szCs w:val="16"/>
        </w:rPr>
        <w:t xml:space="preserve"> </w:t>
      </w:r>
      <w:r w:rsidR="009E0216" w:rsidRPr="00BE756C">
        <w:rPr>
          <w:rFonts w:ascii="Arial" w:eastAsia="Arial" w:hAnsi="Arial" w:cs="Arial"/>
          <w:sz w:val="16"/>
          <w:szCs w:val="16"/>
        </w:rPr>
        <w:t>SURS</w:t>
      </w:r>
      <w:r w:rsidR="009C45C9" w:rsidRPr="00BE756C">
        <w:rPr>
          <w:rFonts w:ascii="Arial" w:eastAsia="Arial" w:hAnsi="Arial" w:cs="Arial"/>
          <w:sz w:val="16"/>
          <w:szCs w:val="16"/>
        </w:rPr>
        <w:t>, 2020</w:t>
      </w:r>
    </w:p>
    <w:p w14:paraId="235097E4" w14:textId="77777777" w:rsidR="009E0216" w:rsidRPr="00A52F41" w:rsidRDefault="009E0216" w:rsidP="00BE756C">
      <w:pPr>
        <w:spacing w:before="200" w:line="360" w:lineRule="auto"/>
        <w:jc w:val="both"/>
        <w:rPr>
          <w:rFonts w:ascii="Arial" w:eastAsia="Arial" w:hAnsi="Arial" w:cs="Arial"/>
          <w:sz w:val="20"/>
          <w:szCs w:val="20"/>
        </w:rPr>
      </w:pPr>
      <w:r w:rsidRPr="00A52F41">
        <w:rPr>
          <w:rFonts w:ascii="Arial" w:eastAsia="Arial" w:hAnsi="Arial" w:cs="Arial"/>
          <w:sz w:val="20"/>
          <w:szCs w:val="20"/>
        </w:rPr>
        <w:t xml:space="preserve">Na podlagi </w:t>
      </w:r>
      <w:hyperlink r:id="rId53" w:tgtFrame="_blank" w:history="1">
        <w:r w:rsidRPr="00A52F41">
          <w:rPr>
            <w:rFonts w:ascii="Arial" w:eastAsia="Arial" w:hAnsi="Arial" w:cs="Arial"/>
            <w:sz w:val="20"/>
            <w:szCs w:val="20"/>
          </w:rPr>
          <w:t>Direktive 2009/28/ES Evropskega parlamenta in Sveta</w:t>
        </w:r>
      </w:hyperlink>
      <w:r w:rsidRPr="00A52F41">
        <w:rPr>
          <w:rFonts w:ascii="Arial" w:eastAsia="Arial" w:hAnsi="Arial" w:cs="Arial"/>
          <w:sz w:val="20"/>
          <w:szCs w:val="20"/>
        </w:rPr>
        <w:t xml:space="preserve"> z dne 23. aprila 2009 o spodbujanju uporabe energije iz obnovljivih virov, spremembi in poznejši razveljavitvi direktiv 2001/77/ES in 2003/30/ES in Odločbe Komisije Evropske skupnosti št. C(2009) 5174 je morala vsaka država članica sprejeti AN OVE za obdobje 2010–2020. V teh načrtih je potrebno določiti letne nacionalne cilje držav članic za deleže energije iz obnovljivih virov, porabljene v prometu, elektroenergetiki ter za ogrevanje in hlajenje v letu 2020 in predvidene ukrepe s katerimi bodo države članice dosegle predpisan cilj v letu 2020.</w:t>
      </w:r>
    </w:p>
    <w:p w14:paraId="65DFB8ED" w14:textId="77777777" w:rsidR="009E0216" w:rsidRPr="00A52F41" w:rsidRDefault="009E0216" w:rsidP="00BE756C">
      <w:pPr>
        <w:spacing w:after="0" w:line="360" w:lineRule="auto"/>
        <w:jc w:val="both"/>
        <w:rPr>
          <w:rFonts w:ascii="Arial" w:eastAsia="Arial" w:hAnsi="Arial" w:cs="Arial"/>
          <w:sz w:val="20"/>
          <w:szCs w:val="20"/>
        </w:rPr>
      </w:pPr>
      <w:r w:rsidRPr="00A52F41">
        <w:rPr>
          <w:rFonts w:ascii="Arial" w:eastAsia="Arial" w:hAnsi="Arial" w:cs="Arial"/>
          <w:sz w:val="20"/>
          <w:szCs w:val="20"/>
        </w:rPr>
        <w:lastRenderedPageBreak/>
        <w:t>Za Slovenijo je določeno, da mora do leta 2020 doseči najmanj 25 % delež obnovljivih virov energije (v nadaljevanju: OVE) v končni bruto rabi energije. Dodatno pa Direktiva 2009/28/ES določa, da se najmanj 10-odstotni cilj za OVE v prometu določi na enaki ravni za vsako državo članico. AN OVE obsega:</w:t>
      </w:r>
    </w:p>
    <w:p w14:paraId="52C657A7" w14:textId="77777777" w:rsidR="009E0216" w:rsidRPr="00A52F41" w:rsidRDefault="009E0216" w:rsidP="00A05198">
      <w:pPr>
        <w:numPr>
          <w:ilvl w:val="0"/>
          <w:numId w:val="38"/>
        </w:numPr>
        <w:spacing w:after="0" w:line="360" w:lineRule="auto"/>
        <w:ind w:left="357" w:hanging="357"/>
        <w:jc w:val="both"/>
        <w:rPr>
          <w:rFonts w:ascii="Arial" w:eastAsia="Arial" w:hAnsi="Arial" w:cs="Arial"/>
          <w:sz w:val="20"/>
          <w:szCs w:val="20"/>
        </w:rPr>
      </w:pPr>
      <w:r w:rsidRPr="00A52F41">
        <w:rPr>
          <w:rFonts w:ascii="Arial" w:eastAsia="Arial" w:hAnsi="Arial" w:cs="Arial"/>
          <w:sz w:val="20"/>
          <w:szCs w:val="20"/>
        </w:rPr>
        <w:t>nacionalno politiko obnovljivih virov energije;</w:t>
      </w:r>
    </w:p>
    <w:p w14:paraId="1E1D8FAA" w14:textId="77777777" w:rsidR="009E0216" w:rsidRPr="00A52F41" w:rsidRDefault="009E0216" w:rsidP="00A05198">
      <w:pPr>
        <w:numPr>
          <w:ilvl w:val="0"/>
          <w:numId w:val="38"/>
        </w:numPr>
        <w:spacing w:after="0" w:line="360" w:lineRule="auto"/>
        <w:ind w:left="357" w:hanging="357"/>
        <w:jc w:val="both"/>
        <w:rPr>
          <w:rFonts w:ascii="Arial" w:eastAsia="Arial" w:hAnsi="Arial" w:cs="Arial"/>
          <w:sz w:val="20"/>
          <w:szCs w:val="20"/>
        </w:rPr>
      </w:pPr>
      <w:r w:rsidRPr="00A52F41">
        <w:rPr>
          <w:rFonts w:ascii="Arial" w:eastAsia="Arial" w:hAnsi="Arial" w:cs="Arial"/>
          <w:sz w:val="20"/>
          <w:szCs w:val="20"/>
        </w:rPr>
        <w:t>pričakovano rabo bruto končne energije v obdobju 2010–2020;</w:t>
      </w:r>
    </w:p>
    <w:p w14:paraId="6F1D391B" w14:textId="77777777" w:rsidR="009E0216" w:rsidRPr="00A52F41" w:rsidRDefault="009E0216" w:rsidP="00A05198">
      <w:pPr>
        <w:numPr>
          <w:ilvl w:val="0"/>
          <w:numId w:val="38"/>
        </w:numPr>
        <w:spacing w:after="0" w:line="360" w:lineRule="auto"/>
        <w:ind w:left="357" w:hanging="357"/>
        <w:jc w:val="both"/>
        <w:rPr>
          <w:rFonts w:ascii="Arial" w:eastAsia="Arial" w:hAnsi="Arial" w:cs="Arial"/>
          <w:sz w:val="20"/>
          <w:szCs w:val="20"/>
        </w:rPr>
      </w:pPr>
      <w:r w:rsidRPr="00A52F41">
        <w:rPr>
          <w:rFonts w:ascii="Arial" w:eastAsia="Arial" w:hAnsi="Arial" w:cs="Arial"/>
          <w:sz w:val="20"/>
          <w:szCs w:val="20"/>
        </w:rPr>
        <w:t>cilje in usmeritve glede OVE;</w:t>
      </w:r>
    </w:p>
    <w:p w14:paraId="4F24C488" w14:textId="77777777" w:rsidR="009E0216" w:rsidRPr="00A52F41" w:rsidRDefault="009E0216" w:rsidP="00A05198">
      <w:pPr>
        <w:numPr>
          <w:ilvl w:val="0"/>
          <w:numId w:val="38"/>
        </w:numPr>
        <w:spacing w:after="0" w:line="360" w:lineRule="auto"/>
        <w:ind w:left="357" w:hanging="357"/>
        <w:jc w:val="both"/>
        <w:rPr>
          <w:rFonts w:ascii="Arial" w:eastAsia="Arial" w:hAnsi="Arial" w:cs="Arial"/>
          <w:sz w:val="20"/>
          <w:szCs w:val="20"/>
        </w:rPr>
      </w:pPr>
      <w:r w:rsidRPr="00A52F41">
        <w:rPr>
          <w:rFonts w:ascii="Arial" w:eastAsia="Arial" w:hAnsi="Arial" w:cs="Arial"/>
          <w:sz w:val="20"/>
          <w:szCs w:val="20"/>
        </w:rPr>
        <w:t>ukrepe za doseganje zavezujočih ciljnih deležev OVE,</w:t>
      </w:r>
    </w:p>
    <w:p w14:paraId="50947BD5" w14:textId="77777777" w:rsidR="009E0216" w:rsidRPr="00A52F41" w:rsidRDefault="009E0216" w:rsidP="00A05198">
      <w:pPr>
        <w:numPr>
          <w:ilvl w:val="0"/>
          <w:numId w:val="38"/>
        </w:numPr>
        <w:spacing w:after="0" w:line="360" w:lineRule="auto"/>
        <w:ind w:left="357" w:hanging="357"/>
        <w:jc w:val="both"/>
        <w:rPr>
          <w:rFonts w:ascii="Arial" w:eastAsia="Arial" w:hAnsi="Arial" w:cs="Arial"/>
          <w:sz w:val="20"/>
          <w:szCs w:val="20"/>
        </w:rPr>
      </w:pPr>
      <w:r w:rsidRPr="00A52F41">
        <w:rPr>
          <w:rFonts w:ascii="Arial" w:eastAsia="Arial" w:hAnsi="Arial" w:cs="Arial"/>
          <w:sz w:val="20"/>
          <w:szCs w:val="20"/>
        </w:rPr>
        <w:t>ocene prispevka posamezne tehnologije k doseganju ciljnih deležev OVE in ocene stroškov izvedbe ukrepov, vplivov na okolje ter na ustvarjanje delovnih mest.</w:t>
      </w:r>
    </w:p>
    <w:p w14:paraId="49B7E5F8" w14:textId="096D7DCE" w:rsidR="009E0216" w:rsidRPr="00BE756C" w:rsidRDefault="009E0216" w:rsidP="00BE756C">
      <w:pPr>
        <w:spacing w:before="200" w:line="360" w:lineRule="auto"/>
        <w:jc w:val="both"/>
        <w:rPr>
          <w:rFonts w:ascii="Arial" w:eastAsia="Arial" w:hAnsi="Arial" w:cs="Arial"/>
          <w:sz w:val="20"/>
          <w:szCs w:val="20"/>
        </w:rPr>
      </w:pPr>
      <w:r w:rsidRPr="00BE756C">
        <w:rPr>
          <w:rFonts w:ascii="Arial" w:eastAsia="Arial" w:hAnsi="Arial" w:cs="Arial"/>
          <w:sz w:val="20"/>
          <w:szCs w:val="20"/>
        </w:rPr>
        <w:t>Delež energije iz obnovljivih virov energije v bruto končni porabi energije v Sloveniji skozi obdobje 2008 do 2018 narašča, in je v letu 2018 je znašal 21,44 %. V zadnjih letih pa je opazen rahel padec oziroma stagnacija deleža energije iz obnovljivih virov</w:t>
      </w:r>
      <w:r w:rsidR="005A7044" w:rsidRPr="00BE756C">
        <w:rPr>
          <w:rFonts w:ascii="Arial" w:eastAsia="Arial" w:hAnsi="Arial" w:cs="Arial"/>
          <w:sz w:val="20"/>
          <w:szCs w:val="20"/>
        </w:rPr>
        <w:t xml:space="preserve"> (Slika </w:t>
      </w:r>
      <w:r w:rsidR="006A050F">
        <w:rPr>
          <w:rFonts w:ascii="Arial" w:eastAsia="Arial" w:hAnsi="Arial" w:cs="Arial"/>
          <w:sz w:val="20"/>
          <w:szCs w:val="20"/>
        </w:rPr>
        <w:t>39</w:t>
      </w:r>
      <w:r w:rsidR="005A7044" w:rsidRPr="00BE756C">
        <w:rPr>
          <w:rFonts w:ascii="Arial" w:eastAsia="Arial" w:hAnsi="Arial" w:cs="Arial"/>
          <w:sz w:val="20"/>
          <w:szCs w:val="20"/>
        </w:rPr>
        <w:t>)</w:t>
      </w:r>
      <w:r w:rsidRPr="00BE756C">
        <w:rPr>
          <w:rFonts w:ascii="Arial" w:eastAsia="Arial" w:hAnsi="Arial" w:cs="Arial"/>
          <w:sz w:val="20"/>
          <w:szCs w:val="20"/>
        </w:rPr>
        <w:t>.</w:t>
      </w:r>
    </w:p>
    <w:p w14:paraId="2EFE41F9" w14:textId="48800FFE" w:rsidR="009E0216" w:rsidRPr="00C35272" w:rsidRDefault="00083AB5" w:rsidP="00C35272">
      <w:pPr>
        <w:pStyle w:val="SCslika"/>
        <w:keepNext/>
        <w:keepLines/>
      </w:pPr>
      <w:r w:rsidRPr="00C35272">
        <w:t xml:space="preserve">Slika </w:t>
      </w:r>
      <w:r w:rsidR="006A050F">
        <w:t>39</w:t>
      </w:r>
      <w:r w:rsidRPr="00C35272">
        <w:t>: Delež energije iz obnovljivih virov v bruto končni porabi energije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9E0216" w:rsidRPr="00A52F41" w14:paraId="05AD8881" w14:textId="77777777" w:rsidTr="00C0502F">
        <w:tc>
          <w:tcPr>
            <w:tcW w:w="9892" w:type="dxa"/>
          </w:tcPr>
          <w:p w14:paraId="6B35AFFE" w14:textId="77777777" w:rsidR="009E0216" w:rsidRPr="00A52F41" w:rsidRDefault="009E0216" w:rsidP="007C53EF">
            <w:pPr>
              <w:jc w:val="both"/>
              <w:rPr>
                <w:rFonts w:ascii="Arial" w:hAnsi="Arial" w:cs="Arial"/>
                <w:sz w:val="20"/>
                <w:szCs w:val="20"/>
              </w:rPr>
            </w:pPr>
            <w:r w:rsidRPr="00A52F41">
              <w:rPr>
                <w:rFonts w:ascii="Arial" w:hAnsi="Arial" w:cs="Arial"/>
                <w:noProof/>
                <w:sz w:val="20"/>
                <w:szCs w:val="20"/>
                <w:lang w:eastAsia="sl-SI"/>
              </w:rPr>
              <w:drawing>
                <wp:inline distT="0" distB="0" distL="0" distR="0" wp14:anchorId="18CC2F88" wp14:editId="6C4835E4">
                  <wp:extent cx="5534108" cy="2782956"/>
                  <wp:effectExtent l="0" t="0" r="9525" b="17780"/>
                  <wp:docPr id="1631865560" name="Grafikon 1631865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9E0216" w:rsidRPr="009C45C9" w14:paraId="43DEF0E5" w14:textId="77777777" w:rsidTr="00C0502F">
        <w:tc>
          <w:tcPr>
            <w:tcW w:w="9892" w:type="dxa"/>
          </w:tcPr>
          <w:p w14:paraId="6D5A7F9F" w14:textId="77777777" w:rsidR="009E0216" w:rsidRPr="00BE756C" w:rsidRDefault="009E0216" w:rsidP="00BE756C">
            <w:pPr>
              <w:spacing w:line="360" w:lineRule="auto"/>
              <w:jc w:val="both"/>
              <w:rPr>
                <w:rFonts w:ascii="Arial" w:hAnsi="Arial" w:cs="Arial"/>
                <w:b/>
                <w:sz w:val="16"/>
                <w:szCs w:val="16"/>
              </w:rPr>
            </w:pPr>
            <w:r w:rsidRPr="00BE756C">
              <w:rPr>
                <w:rFonts w:ascii="Arial" w:hAnsi="Arial" w:cs="Arial"/>
                <w:sz w:val="16"/>
                <w:szCs w:val="16"/>
              </w:rPr>
              <w:t xml:space="preserve"> Vir: SURS</w:t>
            </w:r>
            <w:r w:rsidR="009C45C9">
              <w:rPr>
                <w:rFonts w:ascii="Arial" w:hAnsi="Arial" w:cs="Arial"/>
                <w:sz w:val="16"/>
                <w:szCs w:val="16"/>
              </w:rPr>
              <w:t>, 2020</w:t>
            </w:r>
          </w:p>
        </w:tc>
      </w:tr>
    </w:tbl>
    <w:p w14:paraId="6D400E67" w14:textId="77777777" w:rsidR="009E0216" w:rsidRPr="00BE756C" w:rsidRDefault="009E0216" w:rsidP="00BE756C">
      <w:pPr>
        <w:spacing w:before="200" w:line="360" w:lineRule="auto"/>
        <w:jc w:val="both"/>
        <w:rPr>
          <w:rFonts w:ascii="Arial" w:eastAsia="Arial" w:hAnsi="Arial" w:cs="Arial"/>
          <w:sz w:val="20"/>
          <w:szCs w:val="20"/>
        </w:rPr>
      </w:pPr>
      <w:r w:rsidRPr="00BE756C">
        <w:rPr>
          <w:rFonts w:ascii="Arial" w:eastAsia="Arial" w:hAnsi="Arial" w:cs="Arial"/>
          <w:sz w:val="20"/>
          <w:szCs w:val="20"/>
        </w:rPr>
        <w:t xml:space="preserve">V strukturi oskrbe z energijo so v letu 2018 prevladovali naftni proizvodi (33,3 %), delež jedrske energije je znašal 22,0 %, delež energije iz OVE (vključno s hidroenergijo) je znašal 17,7 %, delež premoga vsak po 16,4 % in delež zemeljskega plina 10,6 %. </w:t>
      </w:r>
    </w:p>
    <w:p w14:paraId="7D70C268" w14:textId="73F25A0A" w:rsidR="009E0216" w:rsidRPr="00C35272" w:rsidRDefault="00C01FEA" w:rsidP="00C35272">
      <w:pPr>
        <w:pStyle w:val="SCslika"/>
        <w:keepNext/>
        <w:keepLines/>
      </w:pPr>
      <w:r w:rsidRPr="00C35272">
        <w:lastRenderedPageBreak/>
        <w:t>Slika 4</w:t>
      </w:r>
      <w:r w:rsidR="006A050F">
        <w:t>0</w:t>
      </w:r>
      <w:r w:rsidRPr="00C35272">
        <w:t>: Raba obnovljivih virov energije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6"/>
        <w:gridCol w:w="36"/>
      </w:tblGrid>
      <w:tr w:rsidR="009E0216" w:rsidRPr="00A52F41" w14:paraId="2A10EF5A" w14:textId="77777777" w:rsidTr="00C0502F">
        <w:tc>
          <w:tcPr>
            <w:tcW w:w="9966" w:type="dxa"/>
            <w:gridSpan w:val="2"/>
          </w:tcPr>
          <w:p w14:paraId="69DEF95A" w14:textId="36B5D89F" w:rsidR="009E0216" w:rsidRPr="00A52F41" w:rsidRDefault="009E0216" w:rsidP="007C53EF">
            <w:pPr>
              <w:jc w:val="center"/>
              <w:rPr>
                <w:rFonts w:ascii="Arial" w:hAnsi="Arial" w:cs="Arial"/>
                <w:sz w:val="20"/>
                <w:szCs w:val="20"/>
              </w:rPr>
            </w:pPr>
            <w:r w:rsidRPr="00A52F41">
              <w:rPr>
                <w:rFonts w:ascii="Arial" w:hAnsi="Arial" w:cs="Arial"/>
                <w:noProof/>
                <w:sz w:val="20"/>
                <w:szCs w:val="20"/>
                <w:lang w:eastAsia="sl-SI"/>
              </w:rPr>
              <w:drawing>
                <wp:inline distT="0" distB="0" distL="0" distR="0" wp14:anchorId="29486297" wp14:editId="147C79D6">
                  <wp:extent cx="5573033" cy="3554730"/>
                  <wp:effectExtent l="19050" t="19050" r="27940" b="26670"/>
                  <wp:docPr id="1631865565" name="Slika 163186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42892" cy="3599289"/>
                          </a:xfrm>
                          <a:prstGeom prst="rect">
                            <a:avLst/>
                          </a:prstGeom>
                          <a:ln w="1905">
                            <a:solidFill>
                              <a:schemeClr val="tx1"/>
                            </a:solidFill>
                          </a:ln>
                        </pic:spPr>
                      </pic:pic>
                    </a:graphicData>
                  </a:graphic>
                </wp:inline>
              </w:drawing>
            </w:r>
          </w:p>
        </w:tc>
      </w:tr>
      <w:tr w:rsidR="009E0216" w:rsidRPr="009C45C9" w14:paraId="32F9382E" w14:textId="77777777" w:rsidTr="00C0502F">
        <w:trPr>
          <w:gridAfter w:val="1"/>
          <w:wAfter w:w="74" w:type="dxa"/>
        </w:trPr>
        <w:tc>
          <w:tcPr>
            <w:tcW w:w="9892" w:type="dxa"/>
          </w:tcPr>
          <w:p w14:paraId="66BB1A9F" w14:textId="77777777" w:rsidR="009E0216" w:rsidRPr="00BE756C" w:rsidRDefault="009C45C9" w:rsidP="00EA2E4C">
            <w:pPr>
              <w:spacing w:line="360" w:lineRule="auto"/>
              <w:jc w:val="both"/>
              <w:rPr>
                <w:rFonts w:ascii="Arial" w:hAnsi="Arial" w:cs="Arial"/>
                <w:sz w:val="16"/>
                <w:szCs w:val="16"/>
              </w:rPr>
            </w:pPr>
            <w:r w:rsidRPr="00BE756C">
              <w:rPr>
                <w:rFonts w:ascii="Arial" w:hAnsi="Arial" w:cs="Arial"/>
                <w:sz w:val="16"/>
                <w:szCs w:val="16"/>
              </w:rPr>
              <w:t>Vir: ARSO, 2017</w:t>
            </w:r>
          </w:p>
        </w:tc>
      </w:tr>
    </w:tbl>
    <w:p w14:paraId="1DECFE33" w14:textId="33751883" w:rsidR="009E0216" w:rsidRPr="00A52F41" w:rsidRDefault="009E0216" w:rsidP="00BE756C">
      <w:pPr>
        <w:spacing w:before="200" w:line="360" w:lineRule="auto"/>
        <w:jc w:val="both"/>
        <w:rPr>
          <w:rFonts w:ascii="Arial" w:eastAsia="Arial" w:hAnsi="Arial" w:cs="Arial"/>
          <w:sz w:val="20"/>
          <w:szCs w:val="20"/>
        </w:rPr>
      </w:pPr>
      <w:r w:rsidRPr="00A52F41">
        <w:rPr>
          <w:rFonts w:ascii="Arial" w:eastAsia="Arial" w:hAnsi="Arial" w:cs="Arial"/>
          <w:sz w:val="20"/>
          <w:szCs w:val="20"/>
        </w:rPr>
        <w:t>Skupna količina domačih virov energije v Sloveniji v letu 2017 je bila 3,7 mio Toe, kar je za 2 % več kot v letu 2016. Povečala se je predvsem količina jedrske energije (za 10 %) ter geotermalne in sončne energije (za 2 %). Z domačimi viri energije je Slovenija v letu 2017 zadovoljila 52 % potreb po energiji.</w:t>
      </w:r>
    </w:p>
    <w:p w14:paraId="27E0BAED" w14:textId="2E3A1C34" w:rsidR="009E0216" w:rsidRPr="00A52F41" w:rsidRDefault="009E0216" w:rsidP="00BE756C">
      <w:pPr>
        <w:spacing w:before="200" w:line="360" w:lineRule="auto"/>
        <w:jc w:val="both"/>
        <w:rPr>
          <w:rFonts w:ascii="Arial" w:eastAsia="Arial" w:hAnsi="Arial" w:cs="Arial"/>
          <w:sz w:val="20"/>
          <w:szCs w:val="20"/>
        </w:rPr>
      </w:pPr>
      <w:r w:rsidRPr="00A52F41">
        <w:rPr>
          <w:rFonts w:ascii="Arial" w:eastAsia="Arial" w:hAnsi="Arial" w:cs="Arial"/>
          <w:sz w:val="20"/>
          <w:szCs w:val="20"/>
        </w:rPr>
        <w:t>V kmetijstvu je lahko proizvodnja biomase kot obnovljivega vira energije primarni namen (gozdarstvo) ali kot stranski proizvod (ostanki pridelkov ali gnoj). Proizvodnja OVE iz kmetijstva v Sloveniji je leta 2016 znašala 24 kToe, t.j. 2 % vse proizvodnje OVE</w:t>
      </w:r>
      <w:r w:rsidR="00763F76">
        <w:rPr>
          <w:rFonts w:ascii="Arial" w:eastAsia="Arial" w:hAnsi="Arial" w:cs="Arial"/>
          <w:sz w:val="20"/>
          <w:szCs w:val="20"/>
        </w:rPr>
        <w:t xml:space="preserve"> (Tabela 2</w:t>
      </w:r>
      <w:r w:rsidR="006A050F">
        <w:rPr>
          <w:rFonts w:ascii="Arial" w:eastAsia="Arial" w:hAnsi="Arial" w:cs="Arial"/>
          <w:sz w:val="20"/>
          <w:szCs w:val="20"/>
        </w:rPr>
        <w:t>9</w:t>
      </w:r>
      <w:r w:rsidR="00763F76">
        <w:rPr>
          <w:rFonts w:ascii="Arial" w:eastAsia="Arial" w:hAnsi="Arial" w:cs="Arial"/>
          <w:sz w:val="20"/>
          <w:szCs w:val="20"/>
        </w:rPr>
        <w:t>)</w:t>
      </w:r>
      <w:r w:rsidRPr="00A52F41">
        <w:rPr>
          <w:rFonts w:ascii="Arial" w:eastAsia="Arial" w:hAnsi="Arial" w:cs="Arial"/>
          <w:sz w:val="20"/>
          <w:szCs w:val="20"/>
        </w:rPr>
        <w:t>.</w:t>
      </w:r>
      <w:r w:rsidR="00F62C73">
        <w:rPr>
          <w:rFonts w:ascii="Arial" w:eastAsia="Arial" w:hAnsi="Arial" w:cs="Arial"/>
          <w:sz w:val="20"/>
          <w:szCs w:val="20"/>
        </w:rPr>
        <w:t xml:space="preserve"> (</w:t>
      </w:r>
      <w:r w:rsidR="00F62C73" w:rsidRPr="00BE756C">
        <w:rPr>
          <w:rFonts w:ascii="Arial" w:eastAsia="Arial" w:hAnsi="Arial" w:cs="Arial"/>
          <w:sz w:val="20"/>
          <w:szCs w:val="20"/>
        </w:rPr>
        <w:t>EK CAP Indicators, 2020)</w:t>
      </w:r>
      <w:r w:rsidRPr="00A52F41">
        <w:rPr>
          <w:rFonts w:ascii="Arial" w:eastAsia="Arial" w:hAnsi="Arial" w:cs="Arial"/>
          <w:sz w:val="20"/>
          <w:szCs w:val="20"/>
        </w:rPr>
        <w:t xml:space="preserve"> Proizvodnja OVE na ha iz gozdarstva je v Sloveniji naraščala med leti 2000 in 2016 in je bila višja od povprečja EU. 55 % (609 kToe) vse proizvodnje OVE zavzema proizvodnja OVE iz gozdarstva, med tem ko v povprečju EU ta znaša 45 %. Uporaba OVE v kmetijstvu in gozdarstvu v Sloveniji je stabilna pri 4 %.</w:t>
      </w:r>
      <w:r w:rsidR="00F62C73">
        <w:rPr>
          <w:rFonts w:ascii="Arial" w:eastAsia="Arial" w:hAnsi="Arial" w:cs="Arial"/>
          <w:sz w:val="20"/>
          <w:szCs w:val="20"/>
        </w:rPr>
        <w:t xml:space="preserve"> (EK Factsheet, 2019)</w:t>
      </w:r>
    </w:p>
    <w:p w14:paraId="736FEC1D" w14:textId="0658BCBA" w:rsidR="009E0216" w:rsidRDefault="00C57228" w:rsidP="00C35272">
      <w:pPr>
        <w:pStyle w:val="SCslika"/>
        <w:keepNext/>
        <w:keepLines/>
      </w:pPr>
      <w:r w:rsidRPr="00C35272">
        <w:t>Tabela 2</w:t>
      </w:r>
      <w:r w:rsidR="006A050F">
        <w:t>9</w:t>
      </w:r>
      <w:r w:rsidR="009E0216" w:rsidRPr="00C35272">
        <w:t>: Proizvodnja obnovljive energije v kmetijstvu in gozdarstvu</w:t>
      </w:r>
    </w:p>
    <w:tbl>
      <w:tblPr>
        <w:tblW w:w="9276" w:type="dxa"/>
        <w:tblInd w:w="75" w:type="dxa"/>
        <w:tblLayout w:type="fixed"/>
        <w:tblCellMar>
          <w:left w:w="70" w:type="dxa"/>
          <w:right w:w="70" w:type="dxa"/>
        </w:tblCellMar>
        <w:tblLook w:val="04A0" w:firstRow="1" w:lastRow="0" w:firstColumn="1" w:lastColumn="0" w:noHBand="0" w:noVBand="1"/>
      </w:tblPr>
      <w:tblGrid>
        <w:gridCol w:w="3397"/>
        <w:gridCol w:w="653"/>
        <w:gridCol w:w="653"/>
        <w:gridCol w:w="653"/>
        <w:gridCol w:w="653"/>
        <w:gridCol w:w="654"/>
        <w:gridCol w:w="653"/>
        <w:gridCol w:w="653"/>
        <w:gridCol w:w="653"/>
        <w:gridCol w:w="654"/>
      </w:tblGrid>
      <w:tr w:rsidR="004D173D" w:rsidRPr="004D173D" w14:paraId="54FC7CF8" w14:textId="77777777" w:rsidTr="007C53EF">
        <w:trPr>
          <w:trHeight w:val="55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16E73" w14:textId="77777777" w:rsidR="004D173D" w:rsidRPr="004D173D" w:rsidRDefault="004D173D" w:rsidP="004D173D">
            <w:pPr>
              <w:spacing w:before="60" w:after="60" w:line="240" w:lineRule="auto"/>
              <w:jc w:val="center"/>
              <w:rPr>
                <w:rFonts w:ascii="Calibri" w:eastAsia="Times New Roman" w:hAnsi="Calibri" w:cs="Calibri"/>
                <w:b/>
                <w:bCs/>
                <w:color w:val="000000"/>
                <w:lang w:eastAsia="sl-SI"/>
              </w:rPr>
            </w:pPr>
            <w:r w:rsidRPr="004D173D">
              <w:rPr>
                <w:rFonts w:ascii="Calibri" w:eastAsia="Times New Roman" w:hAnsi="Calibri" w:cs="Calibri"/>
                <w:b/>
                <w:bCs/>
                <w:color w:val="000000"/>
                <w:lang w:eastAsia="sl-SI"/>
              </w:rPr>
              <w:t>C.41 Proizvodnja obnovljive energije v kmetijstvu in gozdarstvu</w:t>
            </w:r>
          </w:p>
        </w:tc>
        <w:tc>
          <w:tcPr>
            <w:tcW w:w="653" w:type="dxa"/>
            <w:tcBorders>
              <w:top w:val="single" w:sz="4" w:space="0" w:color="auto"/>
              <w:left w:val="nil"/>
              <w:bottom w:val="single" w:sz="4" w:space="0" w:color="auto"/>
              <w:right w:val="single" w:sz="4" w:space="0" w:color="auto"/>
            </w:tcBorders>
            <w:shd w:val="clear" w:color="auto" w:fill="auto"/>
            <w:noWrap/>
            <w:vAlign w:val="center"/>
            <w:hideMark/>
          </w:tcPr>
          <w:p w14:paraId="30371C8D" w14:textId="77777777" w:rsidR="004D173D" w:rsidRPr="004D173D" w:rsidRDefault="004D173D" w:rsidP="004D173D">
            <w:pPr>
              <w:spacing w:before="60" w:after="60" w:line="240" w:lineRule="auto"/>
              <w:jc w:val="center"/>
              <w:rPr>
                <w:rFonts w:ascii="Calibri" w:eastAsia="Times New Roman" w:hAnsi="Calibri" w:cs="Calibri"/>
                <w:b/>
                <w:bCs/>
                <w:color w:val="000000"/>
                <w:lang w:eastAsia="sl-SI"/>
              </w:rPr>
            </w:pPr>
            <w:r w:rsidRPr="004D173D">
              <w:rPr>
                <w:rFonts w:ascii="Calibri" w:eastAsia="Times New Roman" w:hAnsi="Calibri" w:cs="Calibri"/>
                <w:b/>
                <w:bCs/>
                <w:color w:val="000000"/>
                <w:lang w:eastAsia="sl-SI"/>
              </w:rPr>
              <w:t>2010</w:t>
            </w:r>
          </w:p>
        </w:tc>
        <w:tc>
          <w:tcPr>
            <w:tcW w:w="653" w:type="dxa"/>
            <w:tcBorders>
              <w:top w:val="single" w:sz="4" w:space="0" w:color="auto"/>
              <w:left w:val="nil"/>
              <w:bottom w:val="single" w:sz="4" w:space="0" w:color="auto"/>
              <w:right w:val="single" w:sz="4" w:space="0" w:color="auto"/>
            </w:tcBorders>
            <w:shd w:val="clear" w:color="auto" w:fill="auto"/>
            <w:noWrap/>
            <w:vAlign w:val="center"/>
            <w:hideMark/>
          </w:tcPr>
          <w:p w14:paraId="4D4F20EB" w14:textId="77777777" w:rsidR="004D173D" w:rsidRPr="004D173D" w:rsidRDefault="004D173D" w:rsidP="004D173D">
            <w:pPr>
              <w:spacing w:before="60" w:after="60" w:line="240" w:lineRule="auto"/>
              <w:jc w:val="center"/>
              <w:rPr>
                <w:rFonts w:ascii="Calibri" w:eastAsia="Times New Roman" w:hAnsi="Calibri" w:cs="Calibri"/>
                <w:b/>
                <w:bCs/>
                <w:color w:val="000000"/>
                <w:lang w:eastAsia="sl-SI"/>
              </w:rPr>
            </w:pPr>
            <w:r w:rsidRPr="004D173D">
              <w:rPr>
                <w:rFonts w:ascii="Calibri" w:eastAsia="Times New Roman" w:hAnsi="Calibri" w:cs="Calibri"/>
                <w:b/>
                <w:bCs/>
                <w:color w:val="000000"/>
                <w:lang w:eastAsia="sl-SI"/>
              </w:rPr>
              <w:t>2011</w:t>
            </w:r>
          </w:p>
        </w:tc>
        <w:tc>
          <w:tcPr>
            <w:tcW w:w="653" w:type="dxa"/>
            <w:tcBorders>
              <w:top w:val="single" w:sz="4" w:space="0" w:color="auto"/>
              <w:left w:val="nil"/>
              <w:bottom w:val="single" w:sz="4" w:space="0" w:color="auto"/>
              <w:right w:val="single" w:sz="4" w:space="0" w:color="auto"/>
            </w:tcBorders>
            <w:shd w:val="clear" w:color="auto" w:fill="auto"/>
            <w:noWrap/>
            <w:vAlign w:val="center"/>
            <w:hideMark/>
          </w:tcPr>
          <w:p w14:paraId="6FAEAD16" w14:textId="77777777" w:rsidR="004D173D" w:rsidRPr="004D173D" w:rsidRDefault="004D173D" w:rsidP="004D173D">
            <w:pPr>
              <w:spacing w:before="60" w:after="60" w:line="240" w:lineRule="auto"/>
              <w:jc w:val="center"/>
              <w:rPr>
                <w:rFonts w:ascii="Calibri" w:eastAsia="Times New Roman" w:hAnsi="Calibri" w:cs="Calibri"/>
                <w:b/>
                <w:bCs/>
                <w:color w:val="000000"/>
                <w:lang w:eastAsia="sl-SI"/>
              </w:rPr>
            </w:pPr>
            <w:r w:rsidRPr="004D173D">
              <w:rPr>
                <w:rFonts w:ascii="Calibri" w:eastAsia="Times New Roman" w:hAnsi="Calibri" w:cs="Calibri"/>
                <w:b/>
                <w:bCs/>
                <w:color w:val="000000"/>
                <w:lang w:eastAsia="sl-SI"/>
              </w:rPr>
              <w:t>2012</w:t>
            </w:r>
          </w:p>
        </w:tc>
        <w:tc>
          <w:tcPr>
            <w:tcW w:w="653" w:type="dxa"/>
            <w:tcBorders>
              <w:top w:val="single" w:sz="4" w:space="0" w:color="auto"/>
              <w:left w:val="nil"/>
              <w:bottom w:val="single" w:sz="4" w:space="0" w:color="auto"/>
              <w:right w:val="single" w:sz="4" w:space="0" w:color="auto"/>
            </w:tcBorders>
            <w:shd w:val="clear" w:color="auto" w:fill="auto"/>
            <w:noWrap/>
            <w:vAlign w:val="center"/>
            <w:hideMark/>
          </w:tcPr>
          <w:p w14:paraId="1B331D68" w14:textId="77777777" w:rsidR="004D173D" w:rsidRPr="004D173D" w:rsidRDefault="004D173D" w:rsidP="004D173D">
            <w:pPr>
              <w:spacing w:before="60" w:after="60" w:line="240" w:lineRule="auto"/>
              <w:jc w:val="center"/>
              <w:rPr>
                <w:rFonts w:ascii="Calibri" w:eastAsia="Times New Roman" w:hAnsi="Calibri" w:cs="Calibri"/>
                <w:b/>
                <w:bCs/>
                <w:color w:val="000000"/>
                <w:lang w:eastAsia="sl-SI"/>
              </w:rPr>
            </w:pPr>
            <w:r w:rsidRPr="004D173D">
              <w:rPr>
                <w:rFonts w:ascii="Calibri" w:eastAsia="Times New Roman" w:hAnsi="Calibri" w:cs="Calibri"/>
                <w:b/>
                <w:bCs/>
                <w:color w:val="000000"/>
                <w:lang w:eastAsia="sl-SI"/>
              </w:rPr>
              <w:t>2013</w:t>
            </w:r>
          </w:p>
        </w:tc>
        <w:tc>
          <w:tcPr>
            <w:tcW w:w="654" w:type="dxa"/>
            <w:tcBorders>
              <w:top w:val="single" w:sz="4" w:space="0" w:color="auto"/>
              <w:left w:val="nil"/>
              <w:bottom w:val="single" w:sz="4" w:space="0" w:color="auto"/>
              <w:right w:val="single" w:sz="4" w:space="0" w:color="auto"/>
            </w:tcBorders>
            <w:shd w:val="clear" w:color="auto" w:fill="auto"/>
            <w:noWrap/>
            <w:vAlign w:val="center"/>
            <w:hideMark/>
          </w:tcPr>
          <w:p w14:paraId="12FBCE5D" w14:textId="77777777" w:rsidR="004D173D" w:rsidRPr="004D173D" w:rsidRDefault="004D173D" w:rsidP="004D173D">
            <w:pPr>
              <w:spacing w:before="60" w:after="60" w:line="240" w:lineRule="auto"/>
              <w:jc w:val="center"/>
              <w:rPr>
                <w:rFonts w:ascii="Calibri" w:eastAsia="Times New Roman" w:hAnsi="Calibri" w:cs="Calibri"/>
                <w:b/>
                <w:bCs/>
                <w:color w:val="000000"/>
                <w:lang w:eastAsia="sl-SI"/>
              </w:rPr>
            </w:pPr>
            <w:r w:rsidRPr="004D173D">
              <w:rPr>
                <w:rFonts w:ascii="Calibri" w:eastAsia="Times New Roman" w:hAnsi="Calibri" w:cs="Calibri"/>
                <w:b/>
                <w:bCs/>
                <w:color w:val="000000"/>
                <w:lang w:eastAsia="sl-SI"/>
              </w:rPr>
              <w:t>2014</w:t>
            </w:r>
          </w:p>
        </w:tc>
        <w:tc>
          <w:tcPr>
            <w:tcW w:w="653" w:type="dxa"/>
            <w:tcBorders>
              <w:top w:val="single" w:sz="4" w:space="0" w:color="auto"/>
              <w:left w:val="nil"/>
              <w:bottom w:val="single" w:sz="4" w:space="0" w:color="auto"/>
              <w:right w:val="single" w:sz="4" w:space="0" w:color="auto"/>
            </w:tcBorders>
            <w:shd w:val="clear" w:color="auto" w:fill="auto"/>
            <w:noWrap/>
            <w:vAlign w:val="center"/>
            <w:hideMark/>
          </w:tcPr>
          <w:p w14:paraId="6128865F" w14:textId="77777777" w:rsidR="004D173D" w:rsidRPr="004D173D" w:rsidRDefault="004D173D" w:rsidP="004D173D">
            <w:pPr>
              <w:spacing w:before="60" w:after="60" w:line="240" w:lineRule="auto"/>
              <w:jc w:val="center"/>
              <w:rPr>
                <w:rFonts w:ascii="Calibri" w:eastAsia="Times New Roman" w:hAnsi="Calibri" w:cs="Calibri"/>
                <w:b/>
                <w:bCs/>
                <w:color w:val="000000"/>
                <w:lang w:eastAsia="sl-SI"/>
              </w:rPr>
            </w:pPr>
            <w:r w:rsidRPr="004D173D">
              <w:rPr>
                <w:rFonts w:ascii="Calibri" w:eastAsia="Times New Roman" w:hAnsi="Calibri" w:cs="Calibri"/>
                <w:b/>
                <w:bCs/>
                <w:color w:val="000000"/>
                <w:lang w:eastAsia="sl-SI"/>
              </w:rPr>
              <w:t>2015</w:t>
            </w:r>
          </w:p>
        </w:tc>
        <w:tc>
          <w:tcPr>
            <w:tcW w:w="653" w:type="dxa"/>
            <w:tcBorders>
              <w:top w:val="single" w:sz="4" w:space="0" w:color="auto"/>
              <w:left w:val="nil"/>
              <w:bottom w:val="single" w:sz="4" w:space="0" w:color="auto"/>
              <w:right w:val="single" w:sz="4" w:space="0" w:color="auto"/>
            </w:tcBorders>
            <w:shd w:val="clear" w:color="auto" w:fill="auto"/>
            <w:noWrap/>
            <w:vAlign w:val="center"/>
            <w:hideMark/>
          </w:tcPr>
          <w:p w14:paraId="6AB7DA61" w14:textId="77777777" w:rsidR="004D173D" w:rsidRPr="004D173D" w:rsidRDefault="004D173D" w:rsidP="004D173D">
            <w:pPr>
              <w:spacing w:before="60" w:after="60" w:line="240" w:lineRule="auto"/>
              <w:jc w:val="center"/>
              <w:rPr>
                <w:rFonts w:ascii="Calibri" w:eastAsia="Times New Roman" w:hAnsi="Calibri" w:cs="Calibri"/>
                <w:b/>
                <w:bCs/>
                <w:color w:val="000000"/>
                <w:lang w:eastAsia="sl-SI"/>
              </w:rPr>
            </w:pPr>
            <w:r w:rsidRPr="004D173D">
              <w:rPr>
                <w:rFonts w:ascii="Calibri" w:eastAsia="Times New Roman" w:hAnsi="Calibri" w:cs="Calibri"/>
                <w:b/>
                <w:bCs/>
                <w:color w:val="000000"/>
                <w:lang w:eastAsia="sl-SI"/>
              </w:rPr>
              <w:t>2016</w:t>
            </w:r>
          </w:p>
        </w:tc>
        <w:tc>
          <w:tcPr>
            <w:tcW w:w="653" w:type="dxa"/>
            <w:tcBorders>
              <w:top w:val="single" w:sz="4" w:space="0" w:color="auto"/>
              <w:left w:val="nil"/>
              <w:bottom w:val="single" w:sz="4" w:space="0" w:color="auto"/>
              <w:right w:val="single" w:sz="4" w:space="0" w:color="auto"/>
            </w:tcBorders>
            <w:shd w:val="clear" w:color="auto" w:fill="auto"/>
            <w:noWrap/>
            <w:vAlign w:val="center"/>
            <w:hideMark/>
          </w:tcPr>
          <w:p w14:paraId="2A419C59" w14:textId="77777777" w:rsidR="004D173D" w:rsidRPr="004D173D" w:rsidRDefault="004D173D" w:rsidP="004D173D">
            <w:pPr>
              <w:spacing w:before="60" w:after="60" w:line="240" w:lineRule="auto"/>
              <w:jc w:val="center"/>
              <w:rPr>
                <w:rFonts w:ascii="Calibri" w:eastAsia="Times New Roman" w:hAnsi="Calibri" w:cs="Calibri"/>
                <w:b/>
                <w:bCs/>
                <w:color w:val="000000"/>
                <w:lang w:eastAsia="sl-SI"/>
              </w:rPr>
            </w:pPr>
            <w:r w:rsidRPr="004D173D">
              <w:rPr>
                <w:rFonts w:ascii="Calibri" w:eastAsia="Times New Roman" w:hAnsi="Calibri" w:cs="Calibri"/>
                <w:b/>
                <w:bCs/>
                <w:color w:val="000000"/>
                <w:lang w:eastAsia="sl-SI"/>
              </w:rPr>
              <w:t>2017</w:t>
            </w:r>
          </w:p>
        </w:tc>
        <w:tc>
          <w:tcPr>
            <w:tcW w:w="654" w:type="dxa"/>
            <w:tcBorders>
              <w:top w:val="single" w:sz="4" w:space="0" w:color="auto"/>
              <w:left w:val="nil"/>
              <w:bottom w:val="single" w:sz="4" w:space="0" w:color="auto"/>
              <w:right w:val="single" w:sz="4" w:space="0" w:color="auto"/>
            </w:tcBorders>
            <w:shd w:val="clear" w:color="auto" w:fill="auto"/>
            <w:noWrap/>
            <w:vAlign w:val="center"/>
            <w:hideMark/>
          </w:tcPr>
          <w:p w14:paraId="3217C565" w14:textId="77777777" w:rsidR="004D173D" w:rsidRPr="004D173D" w:rsidRDefault="004D173D" w:rsidP="004D173D">
            <w:pPr>
              <w:spacing w:before="60" w:after="60" w:line="240" w:lineRule="auto"/>
              <w:jc w:val="center"/>
              <w:rPr>
                <w:rFonts w:ascii="Calibri" w:eastAsia="Times New Roman" w:hAnsi="Calibri" w:cs="Calibri"/>
                <w:b/>
                <w:bCs/>
                <w:color w:val="000000"/>
                <w:lang w:eastAsia="sl-SI"/>
              </w:rPr>
            </w:pPr>
            <w:r w:rsidRPr="004D173D">
              <w:rPr>
                <w:rFonts w:ascii="Calibri" w:eastAsia="Times New Roman" w:hAnsi="Calibri" w:cs="Calibri"/>
                <w:b/>
                <w:bCs/>
                <w:color w:val="000000"/>
                <w:lang w:eastAsia="sl-SI"/>
              </w:rPr>
              <w:t>2018</w:t>
            </w:r>
          </w:p>
        </w:tc>
      </w:tr>
      <w:tr w:rsidR="004D173D" w:rsidRPr="004D173D" w14:paraId="2116ED34" w14:textId="77777777" w:rsidTr="007C53EF">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755328A8" w14:textId="77777777" w:rsidR="004D173D" w:rsidRPr="004D173D" w:rsidRDefault="004D173D" w:rsidP="004D173D">
            <w:pPr>
              <w:spacing w:before="60" w:after="60" w:line="240" w:lineRule="auto"/>
              <w:rPr>
                <w:rFonts w:ascii="Calibri" w:eastAsia="Times New Roman" w:hAnsi="Calibri" w:cs="Calibri"/>
                <w:color w:val="000000"/>
                <w:lang w:eastAsia="sl-SI"/>
              </w:rPr>
            </w:pPr>
            <w:r w:rsidRPr="004D173D">
              <w:rPr>
                <w:rFonts w:ascii="Calibri" w:eastAsia="Times New Roman" w:hAnsi="Calibri" w:cs="Calibri"/>
                <w:color w:val="000000"/>
                <w:lang w:eastAsia="sl-SI"/>
              </w:rPr>
              <w:t>Proizvodnja obnovljive energije v kmetijstvu (kToe)</w:t>
            </w:r>
          </w:p>
        </w:tc>
        <w:tc>
          <w:tcPr>
            <w:tcW w:w="653" w:type="dxa"/>
            <w:tcBorders>
              <w:top w:val="nil"/>
              <w:left w:val="nil"/>
              <w:bottom w:val="single" w:sz="4" w:space="0" w:color="auto"/>
              <w:right w:val="single" w:sz="4" w:space="0" w:color="auto"/>
            </w:tcBorders>
            <w:shd w:val="clear" w:color="auto" w:fill="auto"/>
            <w:noWrap/>
            <w:vAlign w:val="bottom"/>
            <w:hideMark/>
          </w:tcPr>
          <w:p w14:paraId="124BAAD2" w14:textId="52F28FBD" w:rsidR="004D173D" w:rsidRPr="004D173D" w:rsidRDefault="004D173D" w:rsidP="0055580C">
            <w:pPr>
              <w:spacing w:before="60" w:after="60" w:line="240" w:lineRule="auto"/>
              <w:jc w:val="right"/>
              <w:rPr>
                <w:rFonts w:ascii="Calibri" w:eastAsia="Times New Roman" w:hAnsi="Calibri" w:cs="Calibri"/>
                <w:color w:val="000000"/>
                <w:lang w:eastAsia="sl-SI"/>
              </w:rPr>
            </w:pPr>
            <w:r>
              <w:rPr>
                <w:rFonts w:ascii="Calibri" w:eastAsia="Times New Roman" w:hAnsi="Calibri" w:cs="Calibri"/>
                <w:color w:val="000000"/>
                <w:lang w:eastAsia="sl-SI"/>
              </w:rPr>
              <w:t>/</w:t>
            </w:r>
          </w:p>
        </w:tc>
        <w:tc>
          <w:tcPr>
            <w:tcW w:w="653" w:type="dxa"/>
            <w:tcBorders>
              <w:top w:val="nil"/>
              <w:left w:val="nil"/>
              <w:bottom w:val="single" w:sz="4" w:space="0" w:color="auto"/>
              <w:right w:val="single" w:sz="4" w:space="0" w:color="auto"/>
            </w:tcBorders>
            <w:shd w:val="clear" w:color="auto" w:fill="auto"/>
            <w:noWrap/>
            <w:vAlign w:val="bottom"/>
            <w:hideMark/>
          </w:tcPr>
          <w:p w14:paraId="7BE50271" w14:textId="77777777" w:rsidR="004D173D" w:rsidRPr="004D173D" w:rsidRDefault="004D173D" w:rsidP="004D173D">
            <w:pPr>
              <w:spacing w:before="60" w:after="60" w:line="240" w:lineRule="auto"/>
              <w:jc w:val="right"/>
              <w:rPr>
                <w:rFonts w:ascii="Calibri" w:eastAsia="Times New Roman" w:hAnsi="Calibri" w:cs="Calibri"/>
                <w:color w:val="000000"/>
                <w:lang w:eastAsia="sl-SI"/>
              </w:rPr>
            </w:pPr>
            <w:r w:rsidRPr="004D173D">
              <w:rPr>
                <w:rFonts w:ascii="Calibri" w:eastAsia="Times New Roman" w:hAnsi="Calibri" w:cs="Calibri"/>
                <w:color w:val="000000"/>
                <w:lang w:eastAsia="sl-SI"/>
              </w:rPr>
              <w:t>26,2</w:t>
            </w:r>
          </w:p>
        </w:tc>
        <w:tc>
          <w:tcPr>
            <w:tcW w:w="653" w:type="dxa"/>
            <w:tcBorders>
              <w:top w:val="nil"/>
              <w:left w:val="nil"/>
              <w:bottom w:val="single" w:sz="4" w:space="0" w:color="auto"/>
              <w:right w:val="single" w:sz="4" w:space="0" w:color="auto"/>
            </w:tcBorders>
            <w:shd w:val="clear" w:color="auto" w:fill="auto"/>
            <w:noWrap/>
            <w:vAlign w:val="bottom"/>
            <w:hideMark/>
          </w:tcPr>
          <w:p w14:paraId="1B9BA62F" w14:textId="77777777" w:rsidR="004D173D" w:rsidRPr="004D173D" w:rsidRDefault="004D173D" w:rsidP="004D173D">
            <w:pPr>
              <w:spacing w:before="60" w:after="60" w:line="240" w:lineRule="auto"/>
              <w:jc w:val="right"/>
              <w:rPr>
                <w:rFonts w:ascii="Calibri" w:eastAsia="Times New Roman" w:hAnsi="Calibri" w:cs="Calibri"/>
                <w:color w:val="000000"/>
                <w:lang w:eastAsia="sl-SI"/>
              </w:rPr>
            </w:pPr>
            <w:r w:rsidRPr="004D173D">
              <w:rPr>
                <w:rFonts w:ascii="Calibri" w:eastAsia="Times New Roman" w:hAnsi="Calibri" w:cs="Calibri"/>
                <w:color w:val="000000"/>
                <w:lang w:eastAsia="sl-SI"/>
              </w:rPr>
              <w:t>28,2</w:t>
            </w:r>
          </w:p>
        </w:tc>
        <w:tc>
          <w:tcPr>
            <w:tcW w:w="653" w:type="dxa"/>
            <w:tcBorders>
              <w:top w:val="nil"/>
              <w:left w:val="nil"/>
              <w:bottom w:val="single" w:sz="4" w:space="0" w:color="auto"/>
              <w:right w:val="single" w:sz="4" w:space="0" w:color="auto"/>
            </w:tcBorders>
            <w:shd w:val="clear" w:color="auto" w:fill="auto"/>
            <w:noWrap/>
            <w:vAlign w:val="bottom"/>
            <w:hideMark/>
          </w:tcPr>
          <w:p w14:paraId="3D4319BD" w14:textId="77777777" w:rsidR="004D173D" w:rsidRPr="004D173D" w:rsidRDefault="004D173D" w:rsidP="004D173D">
            <w:pPr>
              <w:spacing w:before="60" w:after="60" w:line="240" w:lineRule="auto"/>
              <w:jc w:val="right"/>
              <w:rPr>
                <w:rFonts w:ascii="Calibri" w:eastAsia="Times New Roman" w:hAnsi="Calibri" w:cs="Calibri"/>
                <w:color w:val="000000"/>
                <w:lang w:eastAsia="sl-SI"/>
              </w:rPr>
            </w:pPr>
            <w:r w:rsidRPr="004D173D">
              <w:rPr>
                <w:rFonts w:ascii="Calibri" w:eastAsia="Times New Roman" w:hAnsi="Calibri" w:cs="Calibri"/>
                <w:color w:val="000000"/>
                <w:lang w:eastAsia="sl-SI"/>
              </w:rPr>
              <w:t>26,6</w:t>
            </w:r>
          </w:p>
        </w:tc>
        <w:tc>
          <w:tcPr>
            <w:tcW w:w="654" w:type="dxa"/>
            <w:tcBorders>
              <w:top w:val="nil"/>
              <w:left w:val="nil"/>
              <w:bottom w:val="single" w:sz="4" w:space="0" w:color="auto"/>
              <w:right w:val="single" w:sz="4" w:space="0" w:color="auto"/>
            </w:tcBorders>
            <w:shd w:val="clear" w:color="auto" w:fill="auto"/>
            <w:noWrap/>
            <w:vAlign w:val="bottom"/>
            <w:hideMark/>
          </w:tcPr>
          <w:p w14:paraId="523F3822" w14:textId="44D2821E" w:rsidR="004D173D" w:rsidRPr="004D173D" w:rsidRDefault="004D173D" w:rsidP="0055580C">
            <w:pPr>
              <w:spacing w:before="60" w:after="60" w:line="240" w:lineRule="auto"/>
              <w:jc w:val="right"/>
              <w:rPr>
                <w:rFonts w:ascii="Calibri" w:eastAsia="Times New Roman" w:hAnsi="Calibri" w:cs="Calibri"/>
                <w:color w:val="000000"/>
                <w:lang w:eastAsia="sl-SI"/>
              </w:rPr>
            </w:pPr>
            <w:r>
              <w:rPr>
                <w:rFonts w:ascii="Calibri" w:eastAsia="Times New Roman" w:hAnsi="Calibri" w:cs="Calibri"/>
                <w:color w:val="000000"/>
                <w:lang w:eastAsia="sl-SI"/>
              </w:rPr>
              <w:t>/</w:t>
            </w:r>
          </w:p>
        </w:tc>
        <w:tc>
          <w:tcPr>
            <w:tcW w:w="653" w:type="dxa"/>
            <w:tcBorders>
              <w:top w:val="nil"/>
              <w:left w:val="nil"/>
              <w:bottom w:val="single" w:sz="4" w:space="0" w:color="auto"/>
              <w:right w:val="single" w:sz="4" w:space="0" w:color="auto"/>
            </w:tcBorders>
            <w:shd w:val="clear" w:color="auto" w:fill="auto"/>
            <w:noWrap/>
            <w:vAlign w:val="bottom"/>
            <w:hideMark/>
          </w:tcPr>
          <w:p w14:paraId="5E594D56" w14:textId="77777777" w:rsidR="004D173D" w:rsidRPr="004D173D" w:rsidRDefault="004D173D" w:rsidP="004D173D">
            <w:pPr>
              <w:spacing w:before="60" w:after="60" w:line="240" w:lineRule="auto"/>
              <w:jc w:val="right"/>
              <w:rPr>
                <w:rFonts w:ascii="Calibri" w:eastAsia="Times New Roman" w:hAnsi="Calibri" w:cs="Calibri"/>
                <w:color w:val="000000"/>
                <w:lang w:eastAsia="sl-SI"/>
              </w:rPr>
            </w:pPr>
            <w:r w:rsidRPr="004D173D">
              <w:rPr>
                <w:rFonts w:ascii="Calibri" w:eastAsia="Times New Roman" w:hAnsi="Calibri" w:cs="Calibri"/>
                <w:color w:val="000000"/>
                <w:lang w:eastAsia="sl-SI"/>
              </w:rPr>
              <w:t>22,2</w:t>
            </w:r>
          </w:p>
        </w:tc>
        <w:tc>
          <w:tcPr>
            <w:tcW w:w="653" w:type="dxa"/>
            <w:tcBorders>
              <w:top w:val="nil"/>
              <w:left w:val="nil"/>
              <w:bottom w:val="single" w:sz="4" w:space="0" w:color="auto"/>
              <w:right w:val="single" w:sz="4" w:space="0" w:color="auto"/>
            </w:tcBorders>
            <w:shd w:val="clear" w:color="auto" w:fill="auto"/>
            <w:noWrap/>
            <w:vAlign w:val="bottom"/>
            <w:hideMark/>
          </w:tcPr>
          <w:p w14:paraId="22F8C60B" w14:textId="77777777" w:rsidR="004D173D" w:rsidRPr="004D173D" w:rsidRDefault="004D173D" w:rsidP="004D173D">
            <w:pPr>
              <w:spacing w:before="60" w:after="60" w:line="240" w:lineRule="auto"/>
              <w:jc w:val="right"/>
              <w:rPr>
                <w:rFonts w:ascii="Calibri" w:eastAsia="Times New Roman" w:hAnsi="Calibri" w:cs="Calibri"/>
                <w:color w:val="000000"/>
                <w:lang w:eastAsia="sl-SI"/>
              </w:rPr>
            </w:pPr>
            <w:r w:rsidRPr="004D173D">
              <w:rPr>
                <w:rFonts w:ascii="Calibri" w:eastAsia="Times New Roman" w:hAnsi="Calibri" w:cs="Calibri"/>
                <w:color w:val="000000"/>
                <w:lang w:eastAsia="sl-SI"/>
              </w:rPr>
              <w:t>24,0</w:t>
            </w:r>
          </w:p>
        </w:tc>
        <w:tc>
          <w:tcPr>
            <w:tcW w:w="653" w:type="dxa"/>
            <w:tcBorders>
              <w:top w:val="nil"/>
              <w:left w:val="nil"/>
              <w:bottom w:val="single" w:sz="4" w:space="0" w:color="auto"/>
              <w:right w:val="single" w:sz="4" w:space="0" w:color="auto"/>
            </w:tcBorders>
            <w:shd w:val="clear" w:color="auto" w:fill="auto"/>
            <w:noWrap/>
            <w:vAlign w:val="bottom"/>
            <w:hideMark/>
          </w:tcPr>
          <w:p w14:paraId="3CD259C1" w14:textId="2D215DD9" w:rsidR="004D173D" w:rsidRPr="004D173D" w:rsidRDefault="004D173D" w:rsidP="0055580C">
            <w:pPr>
              <w:spacing w:before="60" w:after="60" w:line="240" w:lineRule="auto"/>
              <w:jc w:val="right"/>
              <w:rPr>
                <w:rFonts w:ascii="Calibri" w:eastAsia="Times New Roman" w:hAnsi="Calibri" w:cs="Calibri"/>
                <w:color w:val="000000"/>
                <w:lang w:eastAsia="sl-SI"/>
              </w:rPr>
            </w:pPr>
            <w:r>
              <w:rPr>
                <w:rFonts w:ascii="Calibri" w:eastAsia="Times New Roman" w:hAnsi="Calibri" w:cs="Calibri"/>
                <w:color w:val="000000"/>
                <w:lang w:eastAsia="sl-SI"/>
              </w:rPr>
              <w:t>/</w:t>
            </w:r>
          </w:p>
        </w:tc>
        <w:tc>
          <w:tcPr>
            <w:tcW w:w="654" w:type="dxa"/>
            <w:tcBorders>
              <w:top w:val="nil"/>
              <w:left w:val="nil"/>
              <w:bottom w:val="single" w:sz="4" w:space="0" w:color="auto"/>
              <w:right w:val="single" w:sz="4" w:space="0" w:color="auto"/>
            </w:tcBorders>
            <w:shd w:val="clear" w:color="auto" w:fill="auto"/>
            <w:noWrap/>
            <w:vAlign w:val="bottom"/>
            <w:hideMark/>
          </w:tcPr>
          <w:p w14:paraId="6CCA1F12" w14:textId="77777777" w:rsidR="004D173D" w:rsidRPr="004D173D" w:rsidRDefault="004D173D" w:rsidP="004D173D">
            <w:pPr>
              <w:spacing w:before="60" w:after="60" w:line="240" w:lineRule="auto"/>
              <w:jc w:val="right"/>
              <w:rPr>
                <w:rFonts w:ascii="Calibri" w:eastAsia="Times New Roman" w:hAnsi="Calibri" w:cs="Calibri"/>
                <w:color w:val="000000"/>
                <w:lang w:eastAsia="sl-SI"/>
              </w:rPr>
            </w:pPr>
            <w:r w:rsidRPr="004D173D">
              <w:rPr>
                <w:rFonts w:ascii="Calibri" w:eastAsia="Times New Roman" w:hAnsi="Calibri" w:cs="Calibri"/>
                <w:color w:val="000000"/>
                <w:lang w:eastAsia="sl-SI"/>
              </w:rPr>
              <w:t>20,4</w:t>
            </w:r>
          </w:p>
        </w:tc>
      </w:tr>
      <w:tr w:rsidR="004D173D" w:rsidRPr="004D173D" w14:paraId="6EC4ACF2" w14:textId="77777777" w:rsidTr="007C53EF">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7969A84" w14:textId="77777777" w:rsidR="004D173D" w:rsidRPr="004D173D" w:rsidRDefault="004D173D" w:rsidP="004D173D">
            <w:pPr>
              <w:spacing w:before="60" w:after="60" w:line="240" w:lineRule="auto"/>
              <w:rPr>
                <w:rFonts w:ascii="Calibri" w:eastAsia="Times New Roman" w:hAnsi="Calibri" w:cs="Calibri"/>
                <w:color w:val="000000"/>
                <w:lang w:eastAsia="sl-SI"/>
              </w:rPr>
            </w:pPr>
            <w:r w:rsidRPr="004D173D">
              <w:rPr>
                <w:rFonts w:ascii="Calibri" w:eastAsia="Times New Roman" w:hAnsi="Calibri" w:cs="Calibri"/>
                <w:color w:val="000000"/>
                <w:lang w:eastAsia="sl-SI"/>
              </w:rPr>
              <w:t>Proizvodnja obnovljive energije v gozdarstvu (kToe)</w:t>
            </w:r>
          </w:p>
        </w:tc>
        <w:tc>
          <w:tcPr>
            <w:tcW w:w="653" w:type="dxa"/>
            <w:tcBorders>
              <w:top w:val="nil"/>
              <w:left w:val="nil"/>
              <w:bottom w:val="single" w:sz="4" w:space="0" w:color="auto"/>
              <w:right w:val="single" w:sz="4" w:space="0" w:color="auto"/>
            </w:tcBorders>
            <w:shd w:val="clear" w:color="auto" w:fill="auto"/>
            <w:noWrap/>
            <w:vAlign w:val="bottom"/>
            <w:hideMark/>
          </w:tcPr>
          <w:p w14:paraId="37B27D64" w14:textId="77777777" w:rsidR="004D173D" w:rsidRPr="004D173D" w:rsidRDefault="004D173D" w:rsidP="004D173D">
            <w:pPr>
              <w:spacing w:before="60" w:after="60" w:line="240" w:lineRule="auto"/>
              <w:jc w:val="right"/>
              <w:rPr>
                <w:rFonts w:ascii="Calibri" w:eastAsia="Times New Roman" w:hAnsi="Calibri" w:cs="Calibri"/>
                <w:color w:val="000000"/>
                <w:lang w:eastAsia="sl-SI"/>
              </w:rPr>
            </w:pPr>
            <w:r w:rsidRPr="004D173D">
              <w:rPr>
                <w:rFonts w:ascii="Calibri" w:eastAsia="Times New Roman" w:hAnsi="Calibri" w:cs="Calibri"/>
                <w:color w:val="000000"/>
                <w:lang w:eastAsia="sl-SI"/>
              </w:rPr>
              <w:t>619,0</w:t>
            </w:r>
          </w:p>
        </w:tc>
        <w:tc>
          <w:tcPr>
            <w:tcW w:w="653" w:type="dxa"/>
            <w:tcBorders>
              <w:top w:val="nil"/>
              <w:left w:val="nil"/>
              <w:bottom w:val="single" w:sz="4" w:space="0" w:color="auto"/>
              <w:right w:val="single" w:sz="4" w:space="0" w:color="auto"/>
            </w:tcBorders>
            <w:shd w:val="clear" w:color="auto" w:fill="auto"/>
            <w:noWrap/>
            <w:vAlign w:val="bottom"/>
            <w:hideMark/>
          </w:tcPr>
          <w:p w14:paraId="55812B16" w14:textId="77777777" w:rsidR="004D173D" w:rsidRPr="004D173D" w:rsidRDefault="004D173D" w:rsidP="004D173D">
            <w:pPr>
              <w:spacing w:before="60" w:after="60" w:line="240" w:lineRule="auto"/>
              <w:jc w:val="right"/>
              <w:rPr>
                <w:rFonts w:ascii="Calibri" w:eastAsia="Times New Roman" w:hAnsi="Calibri" w:cs="Calibri"/>
                <w:color w:val="000000"/>
                <w:lang w:eastAsia="sl-SI"/>
              </w:rPr>
            </w:pPr>
            <w:r w:rsidRPr="004D173D">
              <w:rPr>
                <w:rFonts w:ascii="Calibri" w:eastAsia="Times New Roman" w:hAnsi="Calibri" w:cs="Calibri"/>
                <w:color w:val="000000"/>
                <w:lang w:eastAsia="sl-SI"/>
              </w:rPr>
              <w:t>616,6</w:t>
            </w:r>
          </w:p>
        </w:tc>
        <w:tc>
          <w:tcPr>
            <w:tcW w:w="653" w:type="dxa"/>
            <w:tcBorders>
              <w:top w:val="nil"/>
              <w:left w:val="nil"/>
              <w:bottom w:val="single" w:sz="4" w:space="0" w:color="auto"/>
              <w:right w:val="single" w:sz="4" w:space="0" w:color="auto"/>
            </w:tcBorders>
            <w:shd w:val="clear" w:color="auto" w:fill="auto"/>
            <w:noWrap/>
            <w:vAlign w:val="bottom"/>
            <w:hideMark/>
          </w:tcPr>
          <w:p w14:paraId="575EC8F3" w14:textId="77777777" w:rsidR="004D173D" w:rsidRPr="004D173D" w:rsidRDefault="004D173D" w:rsidP="004D173D">
            <w:pPr>
              <w:spacing w:before="60" w:after="60" w:line="240" w:lineRule="auto"/>
              <w:jc w:val="right"/>
              <w:rPr>
                <w:rFonts w:ascii="Calibri" w:eastAsia="Times New Roman" w:hAnsi="Calibri" w:cs="Calibri"/>
                <w:color w:val="000000"/>
                <w:lang w:eastAsia="sl-SI"/>
              </w:rPr>
            </w:pPr>
            <w:r w:rsidRPr="004D173D">
              <w:rPr>
                <w:rFonts w:ascii="Calibri" w:eastAsia="Times New Roman" w:hAnsi="Calibri" w:cs="Calibri"/>
                <w:color w:val="000000"/>
                <w:lang w:eastAsia="sl-SI"/>
              </w:rPr>
              <w:t>588,6</w:t>
            </w:r>
          </w:p>
        </w:tc>
        <w:tc>
          <w:tcPr>
            <w:tcW w:w="653" w:type="dxa"/>
            <w:tcBorders>
              <w:top w:val="nil"/>
              <w:left w:val="nil"/>
              <w:bottom w:val="single" w:sz="4" w:space="0" w:color="auto"/>
              <w:right w:val="single" w:sz="4" w:space="0" w:color="auto"/>
            </w:tcBorders>
            <w:shd w:val="clear" w:color="auto" w:fill="auto"/>
            <w:noWrap/>
            <w:vAlign w:val="bottom"/>
            <w:hideMark/>
          </w:tcPr>
          <w:p w14:paraId="6A5009F0" w14:textId="77777777" w:rsidR="004D173D" w:rsidRPr="004D173D" w:rsidRDefault="004D173D" w:rsidP="004D173D">
            <w:pPr>
              <w:spacing w:before="60" w:after="60" w:line="240" w:lineRule="auto"/>
              <w:jc w:val="right"/>
              <w:rPr>
                <w:rFonts w:ascii="Calibri" w:eastAsia="Times New Roman" w:hAnsi="Calibri" w:cs="Calibri"/>
                <w:color w:val="000000"/>
                <w:lang w:eastAsia="sl-SI"/>
              </w:rPr>
            </w:pPr>
            <w:r w:rsidRPr="004D173D">
              <w:rPr>
                <w:rFonts w:ascii="Calibri" w:eastAsia="Times New Roman" w:hAnsi="Calibri" w:cs="Calibri"/>
                <w:color w:val="000000"/>
                <w:lang w:eastAsia="sl-SI"/>
              </w:rPr>
              <w:t>616,1</w:t>
            </w:r>
          </w:p>
        </w:tc>
        <w:tc>
          <w:tcPr>
            <w:tcW w:w="654" w:type="dxa"/>
            <w:tcBorders>
              <w:top w:val="nil"/>
              <w:left w:val="nil"/>
              <w:bottom w:val="single" w:sz="4" w:space="0" w:color="auto"/>
              <w:right w:val="single" w:sz="4" w:space="0" w:color="auto"/>
            </w:tcBorders>
            <w:shd w:val="clear" w:color="auto" w:fill="auto"/>
            <w:noWrap/>
            <w:vAlign w:val="bottom"/>
            <w:hideMark/>
          </w:tcPr>
          <w:p w14:paraId="1B9A191A" w14:textId="77777777" w:rsidR="004D173D" w:rsidRPr="004D173D" w:rsidRDefault="004D173D" w:rsidP="004D173D">
            <w:pPr>
              <w:spacing w:before="60" w:after="60" w:line="240" w:lineRule="auto"/>
              <w:jc w:val="right"/>
              <w:rPr>
                <w:rFonts w:ascii="Calibri" w:eastAsia="Times New Roman" w:hAnsi="Calibri" w:cs="Calibri"/>
                <w:color w:val="000000"/>
                <w:lang w:eastAsia="sl-SI"/>
              </w:rPr>
            </w:pPr>
            <w:r w:rsidRPr="004D173D">
              <w:rPr>
                <w:rFonts w:ascii="Calibri" w:eastAsia="Times New Roman" w:hAnsi="Calibri" w:cs="Calibri"/>
                <w:color w:val="000000"/>
                <w:lang w:eastAsia="sl-SI"/>
              </w:rPr>
              <w:t>532,6</w:t>
            </w:r>
          </w:p>
        </w:tc>
        <w:tc>
          <w:tcPr>
            <w:tcW w:w="653" w:type="dxa"/>
            <w:tcBorders>
              <w:top w:val="nil"/>
              <w:left w:val="nil"/>
              <w:bottom w:val="single" w:sz="4" w:space="0" w:color="auto"/>
              <w:right w:val="single" w:sz="4" w:space="0" w:color="auto"/>
            </w:tcBorders>
            <w:shd w:val="clear" w:color="auto" w:fill="auto"/>
            <w:noWrap/>
            <w:vAlign w:val="bottom"/>
            <w:hideMark/>
          </w:tcPr>
          <w:p w14:paraId="01C1B6EB" w14:textId="77777777" w:rsidR="004D173D" w:rsidRPr="004D173D" w:rsidRDefault="004D173D" w:rsidP="004D173D">
            <w:pPr>
              <w:spacing w:before="60" w:after="60" w:line="240" w:lineRule="auto"/>
              <w:jc w:val="right"/>
              <w:rPr>
                <w:rFonts w:ascii="Calibri" w:eastAsia="Times New Roman" w:hAnsi="Calibri" w:cs="Calibri"/>
                <w:color w:val="000000"/>
                <w:lang w:eastAsia="sl-SI"/>
              </w:rPr>
            </w:pPr>
            <w:r w:rsidRPr="004D173D">
              <w:rPr>
                <w:rFonts w:ascii="Calibri" w:eastAsia="Times New Roman" w:hAnsi="Calibri" w:cs="Calibri"/>
                <w:color w:val="000000"/>
                <w:lang w:eastAsia="sl-SI"/>
              </w:rPr>
              <w:t>590,2</w:t>
            </w:r>
          </w:p>
        </w:tc>
        <w:tc>
          <w:tcPr>
            <w:tcW w:w="653" w:type="dxa"/>
            <w:tcBorders>
              <w:top w:val="nil"/>
              <w:left w:val="nil"/>
              <w:bottom w:val="single" w:sz="4" w:space="0" w:color="auto"/>
              <w:right w:val="single" w:sz="4" w:space="0" w:color="auto"/>
            </w:tcBorders>
            <w:shd w:val="clear" w:color="auto" w:fill="auto"/>
            <w:noWrap/>
            <w:vAlign w:val="bottom"/>
            <w:hideMark/>
          </w:tcPr>
          <w:p w14:paraId="7F92F8E2" w14:textId="77777777" w:rsidR="004D173D" w:rsidRPr="004D173D" w:rsidRDefault="004D173D" w:rsidP="004D173D">
            <w:pPr>
              <w:spacing w:before="60" w:after="60" w:line="240" w:lineRule="auto"/>
              <w:jc w:val="right"/>
              <w:rPr>
                <w:rFonts w:ascii="Calibri" w:eastAsia="Times New Roman" w:hAnsi="Calibri" w:cs="Calibri"/>
                <w:color w:val="000000"/>
                <w:lang w:eastAsia="sl-SI"/>
              </w:rPr>
            </w:pPr>
            <w:r w:rsidRPr="004D173D">
              <w:rPr>
                <w:rFonts w:ascii="Calibri" w:eastAsia="Times New Roman" w:hAnsi="Calibri" w:cs="Calibri"/>
                <w:color w:val="000000"/>
                <w:lang w:eastAsia="sl-SI"/>
              </w:rPr>
              <w:t>608,5</w:t>
            </w:r>
          </w:p>
        </w:tc>
        <w:tc>
          <w:tcPr>
            <w:tcW w:w="653" w:type="dxa"/>
            <w:tcBorders>
              <w:top w:val="nil"/>
              <w:left w:val="nil"/>
              <w:bottom w:val="single" w:sz="4" w:space="0" w:color="auto"/>
              <w:right w:val="single" w:sz="4" w:space="0" w:color="auto"/>
            </w:tcBorders>
            <w:shd w:val="clear" w:color="auto" w:fill="auto"/>
            <w:noWrap/>
            <w:vAlign w:val="bottom"/>
            <w:hideMark/>
          </w:tcPr>
          <w:p w14:paraId="4462FA0D" w14:textId="3C7DF966" w:rsidR="004D173D" w:rsidRPr="004D173D" w:rsidRDefault="004D173D" w:rsidP="0055580C">
            <w:pPr>
              <w:spacing w:before="60" w:after="60" w:line="240" w:lineRule="auto"/>
              <w:jc w:val="right"/>
              <w:rPr>
                <w:rFonts w:ascii="Calibri" w:eastAsia="Times New Roman" w:hAnsi="Calibri" w:cs="Calibri"/>
                <w:color w:val="000000"/>
                <w:lang w:eastAsia="sl-SI"/>
              </w:rPr>
            </w:pPr>
            <w:r>
              <w:rPr>
                <w:rFonts w:ascii="Calibri" w:eastAsia="Times New Roman" w:hAnsi="Calibri" w:cs="Calibri"/>
                <w:color w:val="000000"/>
                <w:lang w:eastAsia="sl-SI"/>
              </w:rPr>
              <w:t>/</w:t>
            </w:r>
          </w:p>
        </w:tc>
        <w:tc>
          <w:tcPr>
            <w:tcW w:w="654" w:type="dxa"/>
            <w:tcBorders>
              <w:top w:val="nil"/>
              <w:left w:val="nil"/>
              <w:bottom w:val="single" w:sz="4" w:space="0" w:color="auto"/>
              <w:right w:val="single" w:sz="4" w:space="0" w:color="auto"/>
            </w:tcBorders>
            <w:shd w:val="clear" w:color="auto" w:fill="auto"/>
            <w:noWrap/>
            <w:vAlign w:val="bottom"/>
            <w:hideMark/>
          </w:tcPr>
          <w:p w14:paraId="241FB08C" w14:textId="77777777" w:rsidR="004D173D" w:rsidRPr="004D173D" w:rsidRDefault="004D173D" w:rsidP="004D173D">
            <w:pPr>
              <w:spacing w:before="60" w:after="60" w:line="240" w:lineRule="auto"/>
              <w:jc w:val="right"/>
              <w:rPr>
                <w:rFonts w:ascii="Calibri" w:eastAsia="Times New Roman" w:hAnsi="Calibri" w:cs="Calibri"/>
                <w:color w:val="000000"/>
                <w:lang w:eastAsia="sl-SI"/>
              </w:rPr>
            </w:pPr>
            <w:r w:rsidRPr="004D173D">
              <w:rPr>
                <w:rFonts w:ascii="Calibri" w:eastAsia="Times New Roman" w:hAnsi="Calibri" w:cs="Calibri"/>
                <w:color w:val="000000"/>
                <w:lang w:eastAsia="sl-SI"/>
              </w:rPr>
              <w:t>549,0</w:t>
            </w:r>
          </w:p>
        </w:tc>
      </w:tr>
    </w:tbl>
    <w:p w14:paraId="58E507F6" w14:textId="77777777" w:rsidR="00F62C73" w:rsidRPr="00BE756C" w:rsidRDefault="00F62C73" w:rsidP="00EA2E4C">
      <w:pPr>
        <w:spacing w:line="360" w:lineRule="auto"/>
        <w:jc w:val="both"/>
        <w:rPr>
          <w:rFonts w:ascii="Arial" w:eastAsia="Arial" w:hAnsi="Arial" w:cs="Arial"/>
          <w:sz w:val="16"/>
          <w:szCs w:val="16"/>
        </w:rPr>
      </w:pPr>
      <w:r w:rsidRPr="00BE756C">
        <w:rPr>
          <w:rFonts w:ascii="Arial" w:eastAsia="Arial" w:hAnsi="Arial" w:cs="Arial"/>
          <w:sz w:val="16"/>
          <w:szCs w:val="16"/>
        </w:rPr>
        <w:t>Vir: EK CAP Indicators, 2020</w:t>
      </w:r>
    </w:p>
    <w:p w14:paraId="656F50D1" w14:textId="39A895F0" w:rsidR="009E0216" w:rsidRPr="00C35272" w:rsidRDefault="00C01FEA" w:rsidP="00C35272">
      <w:pPr>
        <w:pStyle w:val="SCslika"/>
        <w:keepNext/>
        <w:keepLines/>
        <w:spacing w:before="200"/>
      </w:pPr>
      <w:bookmarkStart w:id="74" w:name="_Toc51758570"/>
      <w:r w:rsidRPr="00C35272">
        <w:lastRenderedPageBreak/>
        <w:t xml:space="preserve">Slika </w:t>
      </w:r>
      <w:r w:rsidR="006A050F">
        <w:t>1</w:t>
      </w:r>
      <w:r w:rsidRPr="00C35272">
        <w:t>: Proizvodnja obnovljivih virov energije iz kmetijstva in gozdarstva (Toe/1000 ha) in poraba obnovljivih virov energije v kmetijstvu in gozdarstvu (%)</w:t>
      </w:r>
      <w:bookmarkEnd w:id="74"/>
    </w:p>
    <w:p w14:paraId="7A7C43B4" w14:textId="77777777" w:rsidR="009E0216" w:rsidRPr="00A52F41" w:rsidRDefault="009E0216" w:rsidP="00BE756C">
      <w:pPr>
        <w:spacing w:after="0" w:line="24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7D0E08EF" wp14:editId="1E79C1B8">
            <wp:extent cx="5774673" cy="3116911"/>
            <wp:effectExtent l="0" t="0" r="0" b="7620"/>
            <wp:docPr id="1631865566" name="Slika 163186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97444" cy="3129202"/>
                    </a:xfrm>
                    <a:prstGeom prst="rect">
                      <a:avLst/>
                    </a:prstGeom>
                  </pic:spPr>
                </pic:pic>
              </a:graphicData>
            </a:graphic>
          </wp:inline>
        </w:drawing>
      </w:r>
    </w:p>
    <w:p w14:paraId="0C3E522B" w14:textId="77777777" w:rsidR="00B131E6" w:rsidRPr="00BE756C" w:rsidRDefault="00C01FEA" w:rsidP="00EA2E4C">
      <w:pPr>
        <w:spacing w:line="360" w:lineRule="auto"/>
        <w:jc w:val="both"/>
        <w:rPr>
          <w:rFonts w:ascii="Arial" w:eastAsia="Arial" w:hAnsi="Arial" w:cs="Arial"/>
          <w:sz w:val="16"/>
          <w:szCs w:val="16"/>
        </w:rPr>
      </w:pPr>
      <w:r w:rsidRPr="00BE756C">
        <w:rPr>
          <w:rFonts w:ascii="Arial" w:hAnsi="Arial" w:cs="Arial"/>
          <w:sz w:val="16"/>
          <w:szCs w:val="16"/>
        </w:rPr>
        <w:t xml:space="preserve">Vir: </w:t>
      </w:r>
      <w:r w:rsidR="00B131E6" w:rsidRPr="00BE756C">
        <w:rPr>
          <w:rFonts w:ascii="Arial" w:eastAsia="Arial" w:hAnsi="Arial" w:cs="Arial"/>
          <w:sz w:val="16"/>
          <w:szCs w:val="16"/>
        </w:rPr>
        <w:t>EK Factsheet, 2019</w:t>
      </w:r>
    </w:p>
    <w:p w14:paraId="1970BBED"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Strategija izkoriščanja biomase iz kmetijstva in gozdarstva v energetske namene MKGP  obravnava rabe gozdne in kmetijske biomase za proizvodnjo toplotne in električne energije in pridelovanje oljnic za pridobivanje biodizla in pogonskih olj. Izhodišče strategije je, da je treba v največjem obsegu izkoristiti potencial za proizvodnjo energije iz kmetijske in gozdne biomase, ob tem pa upoštevati družbeno, gospodarsko in okoljsko sprejemljivost rabe omenjenih virov, s poudarkom na zavedanju, da je primarna naloga kmetijstva pridelava hrane, primarna vloga gozdarstva pa zagotavljanje surovine za izdelke iz lesa.</w:t>
      </w:r>
    </w:p>
    <w:p w14:paraId="14E622D4" w14:textId="3F10F213" w:rsidR="009E0216" w:rsidRPr="00A52F41" w:rsidRDefault="009E0216" w:rsidP="00BE756C">
      <w:pPr>
        <w:autoSpaceDE w:val="0"/>
        <w:autoSpaceDN w:val="0"/>
        <w:adjustRightInd w:val="0"/>
        <w:spacing w:before="200" w:after="0" w:line="360" w:lineRule="auto"/>
        <w:jc w:val="both"/>
        <w:rPr>
          <w:rFonts w:ascii="Arial" w:hAnsi="Arial" w:cs="Arial"/>
          <w:sz w:val="20"/>
          <w:szCs w:val="20"/>
        </w:rPr>
      </w:pPr>
      <w:r w:rsidRPr="00A52F41">
        <w:rPr>
          <w:rFonts w:ascii="Arial" w:hAnsi="Arial" w:cs="Arial"/>
          <w:sz w:val="20"/>
          <w:szCs w:val="20"/>
        </w:rPr>
        <w:t xml:space="preserve">Strateške usmeritve na področju rabe kmetijske in gozdne biomase v energetske namene </w:t>
      </w:r>
      <w:r w:rsidR="001B435D">
        <w:rPr>
          <w:rFonts w:ascii="Arial" w:hAnsi="Arial" w:cs="Arial"/>
          <w:sz w:val="20"/>
          <w:szCs w:val="20"/>
        </w:rPr>
        <w:t>sta</w:t>
      </w:r>
      <w:r w:rsidR="001B435D" w:rsidRPr="00A52F41">
        <w:rPr>
          <w:rFonts w:ascii="Arial" w:hAnsi="Arial" w:cs="Arial"/>
          <w:sz w:val="20"/>
          <w:szCs w:val="20"/>
        </w:rPr>
        <w:t xml:space="preserve"> </w:t>
      </w:r>
      <w:r w:rsidRPr="00A52F41">
        <w:rPr>
          <w:rFonts w:ascii="Arial" w:hAnsi="Arial" w:cs="Arial"/>
          <w:sz w:val="20"/>
          <w:szCs w:val="20"/>
        </w:rPr>
        <w:t>naslednj</w:t>
      </w:r>
      <w:r w:rsidR="001B435D">
        <w:rPr>
          <w:rFonts w:ascii="Arial" w:hAnsi="Arial" w:cs="Arial"/>
          <w:sz w:val="20"/>
          <w:szCs w:val="20"/>
        </w:rPr>
        <w:t>i</w:t>
      </w:r>
      <w:r w:rsidRPr="00A52F41">
        <w:rPr>
          <w:rFonts w:ascii="Arial" w:hAnsi="Arial" w:cs="Arial"/>
          <w:sz w:val="20"/>
          <w:szCs w:val="20"/>
        </w:rPr>
        <w:t>:</w:t>
      </w:r>
    </w:p>
    <w:p w14:paraId="5BD2ED8A" w14:textId="77777777" w:rsidR="009E0216" w:rsidRPr="00BE756C" w:rsidRDefault="009E0216" w:rsidP="00A05198">
      <w:pPr>
        <w:pStyle w:val="Odstavekseznama"/>
        <w:numPr>
          <w:ilvl w:val="0"/>
          <w:numId w:val="42"/>
        </w:numPr>
        <w:autoSpaceDE w:val="0"/>
        <w:autoSpaceDN w:val="0"/>
        <w:adjustRightInd w:val="0"/>
        <w:spacing w:after="0" w:line="360" w:lineRule="auto"/>
        <w:jc w:val="both"/>
        <w:rPr>
          <w:rFonts w:ascii="Arial" w:hAnsi="Arial" w:cs="Arial"/>
          <w:sz w:val="20"/>
          <w:szCs w:val="20"/>
        </w:rPr>
      </w:pPr>
      <w:r w:rsidRPr="00BE756C">
        <w:rPr>
          <w:rFonts w:ascii="Arial" w:hAnsi="Arial" w:cs="Arial"/>
          <w:sz w:val="20"/>
          <w:szCs w:val="20"/>
        </w:rPr>
        <w:t>Spodbujati izkoriščanje kmetijske in gozdne biomase v energetske namene na način, ki ne ogroža oskrbe prebivalstva s hrano in lesno-predelovalne industrije s potrebnimi lesnimi sortimenti.</w:t>
      </w:r>
    </w:p>
    <w:p w14:paraId="45EFAEC2" w14:textId="77777777" w:rsidR="009E0216" w:rsidRPr="00BE756C" w:rsidRDefault="009E0216" w:rsidP="00A05198">
      <w:pPr>
        <w:pStyle w:val="Odstavekseznama"/>
        <w:numPr>
          <w:ilvl w:val="0"/>
          <w:numId w:val="42"/>
        </w:numPr>
        <w:autoSpaceDE w:val="0"/>
        <w:autoSpaceDN w:val="0"/>
        <w:adjustRightInd w:val="0"/>
        <w:spacing w:after="0" w:line="360" w:lineRule="auto"/>
        <w:jc w:val="both"/>
        <w:rPr>
          <w:rFonts w:ascii="Arial" w:hAnsi="Arial" w:cs="Arial"/>
          <w:sz w:val="20"/>
          <w:szCs w:val="20"/>
        </w:rPr>
      </w:pPr>
      <w:r w:rsidRPr="00BE756C">
        <w:rPr>
          <w:rFonts w:ascii="Arial" w:hAnsi="Arial" w:cs="Arial"/>
          <w:sz w:val="20"/>
          <w:szCs w:val="20"/>
        </w:rPr>
        <w:t>Spodbujati izkoriščanje kmetijske in gozdne biomase v energetske namene na način, ki bo zmanjšal izpuste toplogrednih plinov, ki bo ohranjal pridelovalni potencial kmetijskih zemljišč in proizvodni potencial gozdov in ki, v primerjavi z obstoječimi kmetijskimi praksami, ne bo povečal negativnih učinkov na zdravje in počutje ljudi, na okolje in na naravo.</w:t>
      </w:r>
    </w:p>
    <w:p w14:paraId="17102A56" w14:textId="77777777" w:rsidR="009E0216" w:rsidRPr="00A52F41" w:rsidRDefault="009E0216" w:rsidP="00BE756C">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 xml:space="preserve">Nove tehnologije in usmeritve k obnovljivim virom energije omogočajo izkoriščanje potenciala, ki je bil do sedaj neizkoriščen. Gre za do sedaj preslabo izkoriščen pridelovalni potencial strnišč, za skorajda neizkoriščen energetski potencial živinskih gnojil in za preslabo izkoriščen potencial lesne biomase. Priložnosti se nanašajo tako na primarni sektor kmetijstva in gozdarstva, kot na sektor proizvodnje električne energije, toplote in tekočih biogoriv. Proizvodnja energije ima lahko ugodne povratne učinke na kmetijstvo (npr. toplota za ogrevanje rastlinjakov, oljne pogače za krmljenje domačih živali itd.). Proizvodnja surovin in pridobivanje energije lahko ob pravilnih usmeritvah pomembno prispevata k </w:t>
      </w:r>
      <w:r w:rsidRPr="00A52F41">
        <w:rPr>
          <w:rFonts w:ascii="Arial" w:hAnsi="Arial" w:cs="Arial"/>
          <w:sz w:val="20"/>
          <w:szCs w:val="20"/>
        </w:rPr>
        <w:lastRenderedPageBreak/>
        <w:t>ohranjanju in odpiranju novih delovnih mest na podeželju. To velja še posebej za gozdarski sektor, kjer se glede na neizkoriščen potencial predvideva precejšnje povečanje poseka lesa. Povečanje proizvodnje energije iz kmetijske in gozdne biomase bo prispevalo tudi k povečanju samooskrbe Slovenije z energijo in s tem zmanjšalo tveganje v primeru motenj pri dobavi energije.</w:t>
      </w:r>
    </w:p>
    <w:p w14:paraId="6234E142" w14:textId="1782F28A"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Pri virih biomase se upošteva etično načelo, da naj se biomasa prvenstveno uporablja za hrano ljudi, nato pa za krmo. Bioplin naj bo proizveden le iz ostankov, odpadkov in viškov, ki jih ni mogoče uporabiti za druge namene. Druga vrsta plina je biometan, ki je proizveden iz organskih snovi s procesi anaerobne presnove ali uplinjanja biomase. Naslednjo vrsto predstavlja sintetični obnovljivi biometan, ki se proizvaja iz vodika, pridobljenega z elektrolizo z uporabo (obnovljive) električne energije, in ogljikovega dioksida, ki se zajema pri organskih procesih ali iz zraka. Zadnji delež v omrežju predstavlja vodik, proizveden z elektrolizo z uporabo (obnovljive) električne energije. Poleg tega, da ima bioplin</w:t>
      </w:r>
      <w:r w:rsidR="00A74714">
        <w:rPr>
          <w:rFonts w:ascii="Arial" w:hAnsi="Arial" w:cs="Arial"/>
          <w:sz w:val="20"/>
          <w:szCs w:val="20"/>
        </w:rPr>
        <w:t xml:space="preserve"> (biometan)</w:t>
      </w:r>
      <w:r w:rsidRPr="00A52F41">
        <w:rPr>
          <w:rFonts w:ascii="Arial" w:hAnsi="Arial" w:cs="Arial"/>
          <w:sz w:val="20"/>
          <w:szCs w:val="20"/>
        </w:rPr>
        <w:t xml:space="preserve"> pomembno vlogo v energetski oskrbi gospodinjstev in industrije ob prehodu v brezogljično družbo preko nadomeščanja tradicionalnega zemeljskega plina, predstavlja tudi okolju prijazno pogonsko sredstvo za uporabo v transportu na daljše razdalje. S povečevanjem deleža bioplina se hkrati pomembno dviguje delež obnovljivih virov energije v kmetijstvu.</w:t>
      </w:r>
    </w:p>
    <w:p w14:paraId="21B28DC6" w14:textId="7089AB80"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Ocenjeni potencial gozdne biomase v bruto končni rabi energije za leto 2020 znaša 6.420 GWh, potencial kmetijske biomase pa 1.683 GWh. Oba vira skupaj predstavljata 51,5 % potreb po obnovljivih virih energije, ki jih za leto 2020 predvideva Akcijski načrt za obnovljive vire energije. Ocenjen gozdni potencial temelji na možnem poseku brez hlodovine, s tem, da strategija upošteva načelo, da se tudi z okroglim lesom slabše kakovosti najprej pokrijejo potrebe lesnopredelovalne industrije. Lesne zaloge se v Sloveniji povečujejo, in so v letu 2017 znašale 299 m</w:t>
      </w:r>
      <w:r w:rsidRPr="00A52F41">
        <w:rPr>
          <w:rFonts w:ascii="Arial" w:hAnsi="Arial" w:cs="Arial"/>
          <w:sz w:val="20"/>
          <w:szCs w:val="20"/>
          <w:vertAlign w:val="superscript"/>
        </w:rPr>
        <w:t>3</w:t>
      </w:r>
      <w:r w:rsidRPr="00A52F41">
        <w:rPr>
          <w:rFonts w:ascii="Arial" w:hAnsi="Arial" w:cs="Arial"/>
          <w:sz w:val="20"/>
          <w:szCs w:val="20"/>
        </w:rPr>
        <w:t>/ha (</w:t>
      </w:r>
      <w:r w:rsidR="008E6C7E">
        <w:rPr>
          <w:rFonts w:ascii="Arial" w:hAnsi="Arial" w:cs="Arial"/>
          <w:sz w:val="20"/>
          <w:szCs w:val="20"/>
        </w:rPr>
        <w:t xml:space="preserve">Tabela </w:t>
      </w:r>
      <w:r w:rsidR="006A050F">
        <w:rPr>
          <w:rFonts w:ascii="Arial" w:hAnsi="Arial" w:cs="Arial"/>
          <w:sz w:val="20"/>
          <w:szCs w:val="20"/>
        </w:rPr>
        <w:t>30</w:t>
      </w:r>
      <w:r w:rsidRPr="00A52F41">
        <w:rPr>
          <w:rFonts w:ascii="Arial" w:hAnsi="Arial" w:cs="Arial"/>
          <w:sz w:val="20"/>
          <w:szCs w:val="20"/>
        </w:rPr>
        <w:t>).</w:t>
      </w:r>
    </w:p>
    <w:p w14:paraId="59F5B4E0" w14:textId="6C8531FA" w:rsidR="009E0216" w:rsidRPr="00C35272" w:rsidRDefault="002D6764" w:rsidP="00C35272">
      <w:pPr>
        <w:pStyle w:val="SCslika"/>
        <w:keepNext/>
        <w:keepLines/>
        <w:spacing w:before="200"/>
      </w:pPr>
      <w:bookmarkStart w:id="75" w:name="_Ref29914104"/>
      <w:r w:rsidRPr="00C35272">
        <w:t xml:space="preserve">Tabela </w:t>
      </w:r>
      <w:r w:rsidR="006A050F">
        <w:t>30</w:t>
      </w:r>
      <w:r w:rsidRPr="00C35272">
        <w:t>:</w:t>
      </w:r>
      <w:bookmarkEnd w:id="75"/>
      <w:r w:rsidR="009E0216" w:rsidRPr="00C35272">
        <w:t xml:space="preserve"> Lesna zaloga (m3/ha) po letih </w:t>
      </w:r>
    </w:p>
    <w:tbl>
      <w:tblPr>
        <w:tblW w:w="8660" w:type="dxa"/>
        <w:tblInd w:w="65" w:type="dxa"/>
        <w:tblCellMar>
          <w:left w:w="70" w:type="dxa"/>
          <w:right w:w="70" w:type="dxa"/>
        </w:tblCellMar>
        <w:tblLook w:val="04A0" w:firstRow="1" w:lastRow="0" w:firstColumn="1" w:lastColumn="0" w:noHBand="0" w:noVBand="1"/>
      </w:tblPr>
      <w:tblGrid>
        <w:gridCol w:w="2273"/>
        <w:gridCol w:w="585"/>
        <w:gridCol w:w="600"/>
        <w:gridCol w:w="600"/>
        <w:gridCol w:w="600"/>
        <w:gridCol w:w="600"/>
        <w:gridCol w:w="600"/>
        <w:gridCol w:w="600"/>
        <w:gridCol w:w="600"/>
        <w:gridCol w:w="600"/>
        <w:gridCol w:w="600"/>
        <w:gridCol w:w="600"/>
      </w:tblGrid>
      <w:tr w:rsidR="009E0216" w:rsidRPr="00A52F41" w14:paraId="5794A4AE" w14:textId="77777777" w:rsidTr="00C0502F">
        <w:trPr>
          <w:trHeight w:val="300"/>
        </w:trPr>
        <w:tc>
          <w:tcPr>
            <w:tcW w:w="2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8EE4F"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w:t>
            </w:r>
          </w:p>
        </w:tc>
        <w:tc>
          <w:tcPr>
            <w:tcW w:w="387" w:type="dxa"/>
            <w:tcBorders>
              <w:top w:val="single" w:sz="4" w:space="0" w:color="auto"/>
              <w:left w:val="nil"/>
              <w:bottom w:val="single" w:sz="4" w:space="0" w:color="auto"/>
              <w:right w:val="single" w:sz="4" w:space="0" w:color="auto"/>
            </w:tcBorders>
            <w:shd w:val="clear" w:color="auto" w:fill="auto"/>
            <w:noWrap/>
            <w:vAlign w:val="bottom"/>
            <w:hideMark/>
          </w:tcPr>
          <w:p w14:paraId="374B2CFC"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2008</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5A0982AE"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2009</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39E743D3"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2010</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7821BDBB"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2011</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4178A519"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2012</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4C6274CA"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2013</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782758DF"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2014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18896E02"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2015</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6B4DF41A"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2016</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289A7E2F"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2017</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49E7AAEA"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2018</w:t>
            </w:r>
          </w:p>
        </w:tc>
      </w:tr>
      <w:tr w:rsidR="009E0216" w:rsidRPr="00A52F41" w14:paraId="0C51601E" w14:textId="77777777" w:rsidTr="00C0502F">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hideMark/>
          </w:tcPr>
          <w:p w14:paraId="7C7E8099"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250D58">
              <w:rPr>
                <w:rFonts w:ascii="Arial" w:hAnsi="Arial" w:cs="Arial"/>
                <w:b/>
                <w:color w:val="000000"/>
                <w:sz w:val="20"/>
                <w:szCs w:val="20"/>
                <w:lang w:eastAsia="sl-SI"/>
              </w:rPr>
              <w:t>Lesna zaloga (m3/ha</w:t>
            </w:r>
            <w:r w:rsidRPr="00A52F41">
              <w:rPr>
                <w:rFonts w:ascii="Arial" w:hAnsi="Arial" w:cs="Arial"/>
                <w:color w:val="000000"/>
                <w:sz w:val="20"/>
                <w:szCs w:val="20"/>
                <w:lang w:eastAsia="sl-SI"/>
              </w:rPr>
              <w:t>)</w:t>
            </w:r>
          </w:p>
        </w:tc>
        <w:tc>
          <w:tcPr>
            <w:tcW w:w="387" w:type="dxa"/>
            <w:tcBorders>
              <w:top w:val="nil"/>
              <w:left w:val="nil"/>
              <w:bottom w:val="single" w:sz="4" w:space="0" w:color="auto"/>
              <w:right w:val="single" w:sz="4" w:space="0" w:color="auto"/>
            </w:tcBorders>
            <w:shd w:val="clear" w:color="auto" w:fill="auto"/>
            <w:noWrap/>
            <w:vAlign w:val="bottom"/>
            <w:hideMark/>
          </w:tcPr>
          <w:p w14:paraId="1C18622C"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272</w:t>
            </w:r>
          </w:p>
        </w:tc>
        <w:tc>
          <w:tcPr>
            <w:tcW w:w="600" w:type="dxa"/>
            <w:tcBorders>
              <w:top w:val="nil"/>
              <w:left w:val="nil"/>
              <w:bottom w:val="single" w:sz="4" w:space="0" w:color="auto"/>
              <w:right w:val="single" w:sz="4" w:space="0" w:color="auto"/>
            </w:tcBorders>
            <w:shd w:val="clear" w:color="auto" w:fill="auto"/>
            <w:noWrap/>
            <w:vAlign w:val="bottom"/>
            <w:hideMark/>
          </w:tcPr>
          <w:p w14:paraId="6E7AFDBC"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276</w:t>
            </w:r>
          </w:p>
        </w:tc>
        <w:tc>
          <w:tcPr>
            <w:tcW w:w="600" w:type="dxa"/>
            <w:tcBorders>
              <w:top w:val="nil"/>
              <w:left w:val="nil"/>
              <w:bottom w:val="single" w:sz="4" w:space="0" w:color="auto"/>
              <w:right w:val="single" w:sz="4" w:space="0" w:color="auto"/>
            </w:tcBorders>
            <w:shd w:val="clear" w:color="auto" w:fill="auto"/>
            <w:noWrap/>
            <w:vAlign w:val="bottom"/>
            <w:hideMark/>
          </w:tcPr>
          <w:p w14:paraId="7F6507A2"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279</w:t>
            </w:r>
          </w:p>
        </w:tc>
        <w:tc>
          <w:tcPr>
            <w:tcW w:w="600" w:type="dxa"/>
            <w:tcBorders>
              <w:top w:val="nil"/>
              <w:left w:val="nil"/>
              <w:bottom w:val="single" w:sz="4" w:space="0" w:color="auto"/>
              <w:right w:val="single" w:sz="4" w:space="0" w:color="auto"/>
            </w:tcBorders>
            <w:shd w:val="clear" w:color="auto" w:fill="auto"/>
            <w:noWrap/>
            <w:vAlign w:val="bottom"/>
            <w:hideMark/>
          </w:tcPr>
          <w:p w14:paraId="61E2D93F"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282</w:t>
            </w:r>
          </w:p>
        </w:tc>
        <w:tc>
          <w:tcPr>
            <w:tcW w:w="600" w:type="dxa"/>
            <w:tcBorders>
              <w:top w:val="nil"/>
              <w:left w:val="nil"/>
              <w:bottom w:val="single" w:sz="4" w:space="0" w:color="auto"/>
              <w:right w:val="single" w:sz="4" w:space="0" w:color="auto"/>
            </w:tcBorders>
            <w:shd w:val="clear" w:color="auto" w:fill="auto"/>
            <w:noWrap/>
            <w:vAlign w:val="bottom"/>
            <w:hideMark/>
          </w:tcPr>
          <w:p w14:paraId="56B5286B"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285</w:t>
            </w:r>
          </w:p>
        </w:tc>
        <w:tc>
          <w:tcPr>
            <w:tcW w:w="600" w:type="dxa"/>
            <w:tcBorders>
              <w:top w:val="nil"/>
              <w:left w:val="nil"/>
              <w:bottom w:val="single" w:sz="4" w:space="0" w:color="auto"/>
              <w:right w:val="single" w:sz="4" w:space="0" w:color="auto"/>
            </w:tcBorders>
            <w:shd w:val="clear" w:color="auto" w:fill="auto"/>
            <w:noWrap/>
            <w:vAlign w:val="bottom"/>
            <w:hideMark/>
          </w:tcPr>
          <w:p w14:paraId="7EDC653D"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289</w:t>
            </w:r>
          </w:p>
        </w:tc>
        <w:tc>
          <w:tcPr>
            <w:tcW w:w="600" w:type="dxa"/>
            <w:tcBorders>
              <w:top w:val="nil"/>
              <w:left w:val="nil"/>
              <w:bottom w:val="single" w:sz="4" w:space="0" w:color="auto"/>
              <w:right w:val="single" w:sz="4" w:space="0" w:color="auto"/>
            </w:tcBorders>
            <w:shd w:val="clear" w:color="auto" w:fill="auto"/>
            <w:noWrap/>
            <w:vAlign w:val="bottom"/>
            <w:hideMark/>
          </w:tcPr>
          <w:p w14:paraId="6824C33A"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293</w:t>
            </w:r>
          </w:p>
        </w:tc>
        <w:tc>
          <w:tcPr>
            <w:tcW w:w="600" w:type="dxa"/>
            <w:tcBorders>
              <w:top w:val="nil"/>
              <w:left w:val="nil"/>
              <w:bottom w:val="single" w:sz="4" w:space="0" w:color="auto"/>
              <w:right w:val="single" w:sz="4" w:space="0" w:color="auto"/>
            </w:tcBorders>
            <w:shd w:val="clear" w:color="auto" w:fill="auto"/>
            <w:noWrap/>
            <w:vAlign w:val="bottom"/>
            <w:hideMark/>
          </w:tcPr>
          <w:p w14:paraId="656281D4"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295</w:t>
            </w:r>
          </w:p>
        </w:tc>
        <w:tc>
          <w:tcPr>
            <w:tcW w:w="600" w:type="dxa"/>
            <w:tcBorders>
              <w:top w:val="nil"/>
              <w:left w:val="nil"/>
              <w:bottom w:val="single" w:sz="4" w:space="0" w:color="auto"/>
              <w:right w:val="single" w:sz="4" w:space="0" w:color="auto"/>
            </w:tcBorders>
            <w:shd w:val="clear" w:color="auto" w:fill="auto"/>
            <w:noWrap/>
            <w:vAlign w:val="bottom"/>
            <w:hideMark/>
          </w:tcPr>
          <w:p w14:paraId="0F1B823A"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296</w:t>
            </w:r>
          </w:p>
        </w:tc>
        <w:tc>
          <w:tcPr>
            <w:tcW w:w="600" w:type="dxa"/>
            <w:tcBorders>
              <w:top w:val="nil"/>
              <w:left w:val="nil"/>
              <w:bottom w:val="single" w:sz="4" w:space="0" w:color="auto"/>
              <w:right w:val="single" w:sz="4" w:space="0" w:color="auto"/>
            </w:tcBorders>
            <w:shd w:val="clear" w:color="auto" w:fill="auto"/>
            <w:noWrap/>
            <w:vAlign w:val="bottom"/>
            <w:hideMark/>
          </w:tcPr>
          <w:p w14:paraId="2D5FA73D"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299</w:t>
            </w:r>
          </w:p>
        </w:tc>
        <w:tc>
          <w:tcPr>
            <w:tcW w:w="600" w:type="dxa"/>
            <w:tcBorders>
              <w:top w:val="nil"/>
              <w:left w:val="nil"/>
              <w:bottom w:val="single" w:sz="4" w:space="0" w:color="auto"/>
              <w:right w:val="single" w:sz="4" w:space="0" w:color="auto"/>
            </w:tcBorders>
            <w:shd w:val="clear" w:color="auto" w:fill="auto"/>
            <w:noWrap/>
            <w:vAlign w:val="bottom"/>
            <w:hideMark/>
          </w:tcPr>
          <w:p w14:paraId="499FA387"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302</w:t>
            </w:r>
          </w:p>
        </w:tc>
      </w:tr>
    </w:tbl>
    <w:p w14:paraId="28E10BDB" w14:textId="1C33F7CC" w:rsidR="009E0216" w:rsidRPr="00BE756C" w:rsidRDefault="009E0216" w:rsidP="00EA2E4C">
      <w:pPr>
        <w:spacing w:line="360" w:lineRule="auto"/>
        <w:jc w:val="both"/>
        <w:rPr>
          <w:rFonts w:ascii="Arial" w:hAnsi="Arial" w:cs="Arial"/>
          <w:iCs/>
          <w:sz w:val="16"/>
          <w:szCs w:val="16"/>
          <w:highlight w:val="yellow"/>
        </w:rPr>
      </w:pPr>
      <w:r w:rsidRPr="00BE756C">
        <w:rPr>
          <w:rFonts w:ascii="Arial" w:hAnsi="Arial" w:cs="Arial"/>
          <w:iCs/>
          <w:sz w:val="16"/>
          <w:szCs w:val="16"/>
        </w:rPr>
        <w:t>Vir: SURS</w:t>
      </w:r>
      <w:r w:rsidR="001B435D">
        <w:rPr>
          <w:rFonts w:ascii="Arial" w:hAnsi="Arial" w:cs="Arial"/>
          <w:iCs/>
          <w:sz w:val="16"/>
          <w:szCs w:val="16"/>
        </w:rPr>
        <w:t xml:space="preserve"> Kazalniki</w:t>
      </w:r>
      <w:r w:rsidR="001B435D" w:rsidRPr="00BE756C">
        <w:rPr>
          <w:rFonts w:ascii="Arial" w:hAnsi="Arial" w:cs="Arial"/>
          <w:iCs/>
          <w:sz w:val="16"/>
          <w:szCs w:val="16"/>
        </w:rPr>
        <w:t>, 2020</w:t>
      </w:r>
    </w:p>
    <w:p w14:paraId="5C90A9CC" w14:textId="77777777"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Lesna biomasa je nekontaminiran les, ki je lahko pridobljen iz gozda, kmetijskih in urbanih površin, ostankov lesno predelovalne industrije in odsluženega lesa. Les slabše kakovosti, ki nastaja kot stranski produkt (ostanek) pri primarni predelavi lesa v lesnopredelovalnih obratih (kemično neobdelan les), in lesni ostanki, ki nastajajo pri rednem gospodarjenju z gozdom (grmovje, vejevina, vrhači), ter okrogli les slabše kakovosti, nastopa na trgu kot energent za proizvodnjo toplotne in električne energije. Letno se v Sloveniji za toplotne energetske namene porabi </w:t>
      </w:r>
      <w:r w:rsidRPr="00A52F41">
        <w:rPr>
          <w:rFonts w:ascii="Arial" w:hAnsi="Arial" w:cs="Arial"/>
          <w:bCs/>
          <w:sz w:val="20"/>
          <w:szCs w:val="20"/>
        </w:rPr>
        <w:t>1,3 milijona m</w:t>
      </w:r>
      <w:r w:rsidRPr="00A52F41">
        <w:rPr>
          <w:rFonts w:ascii="Arial" w:hAnsi="Arial" w:cs="Arial"/>
          <w:bCs/>
          <w:sz w:val="20"/>
          <w:szCs w:val="20"/>
          <w:vertAlign w:val="superscript"/>
        </w:rPr>
        <w:t xml:space="preserve">3 </w:t>
      </w:r>
      <w:r w:rsidRPr="00A52F41">
        <w:rPr>
          <w:rFonts w:ascii="Arial" w:hAnsi="Arial" w:cs="Arial"/>
          <w:bCs/>
          <w:sz w:val="20"/>
          <w:szCs w:val="20"/>
        </w:rPr>
        <w:t>lesa bruto (biomase), s katerim se proizvede 415 PJ toplotne energije (</w:t>
      </w:r>
      <w:r w:rsidRPr="00A52F41">
        <w:rPr>
          <w:rFonts w:ascii="Arial" w:hAnsi="Arial" w:cs="Arial"/>
          <w:bCs/>
          <w:i/>
          <w:sz w:val="20"/>
          <w:szCs w:val="20"/>
        </w:rPr>
        <w:t>SURS</w:t>
      </w:r>
      <w:r w:rsidRPr="00A52F41">
        <w:rPr>
          <w:rFonts w:ascii="Arial" w:hAnsi="Arial" w:cs="Arial"/>
          <w:bCs/>
          <w:sz w:val="20"/>
          <w:szCs w:val="20"/>
        </w:rPr>
        <w:t xml:space="preserve">). </w:t>
      </w:r>
      <w:r w:rsidRPr="00A52F41">
        <w:rPr>
          <w:rFonts w:ascii="Arial" w:hAnsi="Arial" w:cs="Arial"/>
          <w:sz w:val="20"/>
          <w:szCs w:val="20"/>
        </w:rPr>
        <w:t>Proizvodnja OVE, ki izvirajo iz gozdarstva, je v letu 2016 znašala 608,5 kToe, kar je 90 kToe več kot v preteklem programskem obdobju 2007–2013 (</w:t>
      </w:r>
      <w:r w:rsidRPr="00A52F41">
        <w:rPr>
          <w:rFonts w:ascii="Arial" w:hAnsi="Arial" w:cs="Arial"/>
          <w:i/>
          <w:sz w:val="20"/>
          <w:szCs w:val="20"/>
        </w:rPr>
        <w:t>EUROSTAT</w:t>
      </w:r>
      <w:r w:rsidRPr="00A52F41">
        <w:rPr>
          <w:rFonts w:ascii="Arial" w:hAnsi="Arial" w:cs="Arial"/>
          <w:sz w:val="20"/>
          <w:szCs w:val="20"/>
        </w:rPr>
        <w:t xml:space="preserve">). Slednje je verjetno posledica večjega poseka zaradi žledoloma v letu 2014 ter namnožitve podlubnikov v letih 2015. Ti so povzročali škodo še v letu 2016, kar je pripomoglo k dostopnosti surovin za večjo proizvodnjo OVE v tekočem programskem obdobju 2014–2020. </w:t>
      </w:r>
    </w:p>
    <w:p w14:paraId="34CEDDC3" w14:textId="374D48A1" w:rsidR="009E0216"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Dopolnilno dejavnost </w:t>
      </w:r>
      <w:r w:rsidR="00A74714">
        <w:rPr>
          <w:rFonts w:ascii="Arial" w:hAnsi="Arial" w:cs="Arial"/>
          <w:sz w:val="20"/>
          <w:szCs w:val="20"/>
        </w:rPr>
        <w:t>»p</w:t>
      </w:r>
      <w:r w:rsidRPr="00A52F41">
        <w:rPr>
          <w:rFonts w:ascii="Arial" w:hAnsi="Arial" w:cs="Arial"/>
          <w:sz w:val="20"/>
          <w:szCs w:val="20"/>
        </w:rPr>
        <w:t>ridobivanje in prodaja energije iz obnovljivih virov</w:t>
      </w:r>
      <w:r w:rsidR="00A74714">
        <w:rPr>
          <w:rFonts w:ascii="Arial" w:hAnsi="Arial" w:cs="Arial"/>
          <w:sz w:val="20"/>
          <w:szCs w:val="20"/>
        </w:rPr>
        <w:t>«</w:t>
      </w:r>
      <w:r w:rsidRPr="00A52F41">
        <w:rPr>
          <w:rFonts w:ascii="Arial" w:hAnsi="Arial" w:cs="Arial"/>
          <w:sz w:val="20"/>
          <w:szCs w:val="20"/>
        </w:rPr>
        <w:t xml:space="preserve"> ima v letu 2020 registriranih kar </w:t>
      </w:r>
      <w:r w:rsidR="007E0CD5">
        <w:rPr>
          <w:rFonts w:ascii="Arial" w:hAnsi="Arial" w:cs="Arial"/>
          <w:sz w:val="20"/>
          <w:szCs w:val="20"/>
        </w:rPr>
        <w:t>566</w:t>
      </w:r>
      <w:r w:rsidR="007E0CD5" w:rsidRPr="00A52F41">
        <w:rPr>
          <w:rFonts w:ascii="Arial" w:hAnsi="Arial" w:cs="Arial"/>
          <w:sz w:val="20"/>
          <w:szCs w:val="20"/>
        </w:rPr>
        <w:t xml:space="preserve"> </w:t>
      </w:r>
      <w:r w:rsidR="007E0CD5">
        <w:rPr>
          <w:rFonts w:ascii="Arial" w:hAnsi="Arial" w:cs="Arial"/>
          <w:sz w:val="20"/>
          <w:szCs w:val="20"/>
        </w:rPr>
        <w:t>kmetij</w:t>
      </w:r>
      <w:r w:rsidR="00763F76">
        <w:rPr>
          <w:rFonts w:ascii="Arial" w:hAnsi="Arial" w:cs="Arial"/>
          <w:sz w:val="20"/>
          <w:szCs w:val="20"/>
        </w:rPr>
        <w:t xml:space="preserve"> (Tabela 28)</w:t>
      </w:r>
      <w:r w:rsidRPr="00A52F41">
        <w:rPr>
          <w:rFonts w:ascii="Arial" w:hAnsi="Arial" w:cs="Arial"/>
          <w:sz w:val="20"/>
          <w:szCs w:val="20"/>
        </w:rPr>
        <w:t>. Od teh se s proizvodnjo in trženjem iz sončnega vira ukvarja 77,</w:t>
      </w:r>
      <w:r w:rsidR="007E0CD5">
        <w:rPr>
          <w:rFonts w:ascii="Arial" w:hAnsi="Arial" w:cs="Arial"/>
          <w:sz w:val="20"/>
          <w:szCs w:val="20"/>
        </w:rPr>
        <w:t>2</w:t>
      </w:r>
      <w:r w:rsidRPr="00A52F41">
        <w:rPr>
          <w:rFonts w:ascii="Arial" w:hAnsi="Arial" w:cs="Arial"/>
          <w:sz w:val="20"/>
          <w:szCs w:val="20"/>
        </w:rPr>
        <w:t xml:space="preserve"> % </w:t>
      </w:r>
      <w:r w:rsidR="007E0CD5">
        <w:rPr>
          <w:rFonts w:ascii="Arial" w:hAnsi="Arial" w:cs="Arial"/>
          <w:sz w:val="20"/>
          <w:szCs w:val="20"/>
        </w:rPr>
        <w:t>kmetij</w:t>
      </w:r>
      <w:r w:rsidRPr="00A52F41">
        <w:rPr>
          <w:rFonts w:ascii="Arial" w:hAnsi="Arial" w:cs="Arial"/>
          <w:sz w:val="20"/>
          <w:szCs w:val="20"/>
        </w:rPr>
        <w:t xml:space="preserve">, </w:t>
      </w:r>
      <w:r w:rsidRPr="00A52F41">
        <w:rPr>
          <w:rFonts w:ascii="Arial" w:hAnsi="Arial" w:cs="Arial"/>
          <w:sz w:val="20"/>
          <w:szCs w:val="20"/>
        </w:rPr>
        <w:lastRenderedPageBreak/>
        <w:t xml:space="preserve">iz vodnega vira 15,0 % </w:t>
      </w:r>
      <w:r w:rsidR="007E0CD5">
        <w:rPr>
          <w:rFonts w:ascii="Arial" w:hAnsi="Arial" w:cs="Arial"/>
          <w:sz w:val="20"/>
          <w:szCs w:val="20"/>
        </w:rPr>
        <w:t>kmetij</w:t>
      </w:r>
      <w:r w:rsidR="007E0CD5" w:rsidRPr="00A52F41">
        <w:rPr>
          <w:rFonts w:ascii="Arial" w:hAnsi="Arial" w:cs="Arial"/>
          <w:sz w:val="20"/>
          <w:szCs w:val="20"/>
        </w:rPr>
        <w:t xml:space="preserve"> </w:t>
      </w:r>
      <w:r w:rsidRPr="00A52F41">
        <w:rPr>
          <w:rFonts w:ascii="Arial" w:hAnsi="Arial" w:cs="Arial"/>
          <w:sz w:val="20"/>
          <w:szCs w:val="20"/>
        </w:rPr>
        <w:t>in lesne biomase 5,</w:t>
      </w:r>
      <w:r w:rsidR="007E0CD5">
        <w:rPr>
          <w:rFonts w:ascii="Arial" w:hAnsi="Arial" w:cs="Arial"/>
          <w:sz w:val="20"/>
          <w:szCs w:val="20"/>
        </w:rPr>
        <w:t>8</w:t>
      </w:r>
      <w:r w:rsidRPr="00A52F41">
        <w:rPr>
          <w:rFonts w:ascii="Arial" w:hAnsi="Arial" w:cs="Arial"/>
          <w:sz w:val="20"/>
          <w:szCs w:val="20"/>
        </w:rPr>
        <w:t xml:space="preserve"> % </w:t>
      </w:r>
      <w:r w:rsidR="007E0CD5">
        <w:rPr>
          <w:rFonts w:ascii="Arial" w:hAnsi="Arial" w:cs="Arial"/>
          <w:sz w:val="20"/>
          <w:szCs w:val="20"/>
        </w:rPr>
        <w:t>kmetij</w:t>
      </w:r>
      <w:r w:rsidR="007E0CD5" w:rsidRPr="00A52F41">
        <w:rPr>
          <w:rFonts w:ascii="Arial" w:hAnsi="Arial" w:cs="Arial"/>
          <w:sz w:val="20"/>
          <w:szCs w:val="20"/>
        </w:rPr>
        <w:t xml:space="preserve"> </w:t>
      </w:r>
      <w:r w:rsidRPr="00A52F41">
        <w:rPr>
          <w:rFonts w:ascii="Arial" w:hAnsi="Arial" w:cs="Arial"/>
          <w:sz w:val="20"/>
          <w:szCs w:val="20"/>
        </w:rPr>
        <w:t xml:space="preserve">in vetrnega vira 1,8 % </w:t>
      </w:r>
      <w:r w:rsidR="007E0CD5">
        <w:rPr>
          <w:rFonts w:ascii="Arial" w:hAnsi="Arial" w:cs="Arial"/>
          <w:sz w:val="20"/>
          <w:szCs w:val="20"/>
        </w:rPr>
        <w:t>kmetij</w:t>
      </w:r>
      <w:r w:rsidRPr="00A52F41">
        <w:rPr>
          <w:rFonts w:ascii="Arial" w:hAnsi="Arial" w:cs="Arial"/>
          <w:sz w:val="20"/>
          <w:szCs w:val="20"/>
        </w:rPr>
        <w:t xml:space="preserve"> ter iz bioplina (uporabljena gnojevka, gnoj in drugi substrati) 0,2 % oziroma </w:t>
      </w:r>
      <w:r w:rsidR="007E0CD5">
        <w:rPr>
          <w:rFonts w:ascii="Arial" w:hAnsi="Arial" w:cs="Arial"/>
          <w:sz w:val="20"/>
          <w:szCs w:val="20"/>
        </w:rPr>
        <w:t>ena kmetija.</w:t>
      </w:r>
      <w:r w:rsidRPr="00A52F41">
        <w:rPr>
          <w:rFonts w:ascii="Arial" w:hAnsi="Arial" w:cs="Arial"/>
          <w:sz w:val="20"/>
          <w:szCs w:val="20"/>
        </w:rPr>
        <w:t xml:space="preserve"> V primerjavi s predhodnimi leti število dopolnilnih dejavnosti, ki se nanašajo na proizvodnjo in prodajo energijo iz obnovljivih virov ostaja približno enako oziroma se malenkostno povečuje. </w:t>
      </w:r>
      <w:r w:rsidRPr="001B435D">
        <w:rPr>
          <w:rFonts w:ascii="Arial" w:hAnsi="Arial" w:cs="Arial"/>
          <w:sz w:val="20"/>
          <w:szCs w:val="20"/>
        </w:rPr>
        <w:t>(</w:t>
      </w:r>
      <w:r w:rsidRPr="00BE756C">
        <w:rPr>
          <w:rFonts w:ascii="Arial" w:hAnsi="Arial" w:cs="Arial"/>
          <w:sz w:val="20"/>
          <w:szCs w:val="20"/>
        </w:rPr>
        <w:t>MKGP</w:t>
      </w:r>
      <w:r w:rsidR="001B435D" w:rsidRPr="00BE756C">
        <w:rPr>
          <w:rFonts w:ascii="Arial" w:hAnsi="Arial" w:cs="Arial"/>
          <w:sz w:val="20"/>
          <w:szCs w:val="20"/>
        </w:rPr>
        <w:t>, 2020</w:t>
      </w:r>
      <w:r w:rsidRPr="001B435D">
        <w:rPr>
          <w:rFonts w:ascii="Arial" w:hAnsi="Arial" w:cs="Arial"/>
          <w:sz w:val="20"/>
          <w:szCs w:val="20"/>
        </w:rPr>
        <w:t>)</w:t>
      </w:r>
    </w:p>
    <w:p w14:paraId="7F1E55D5" w14:textId="055C5A1D" w:rsidR="002D6764" w:rsidRPr="00C35272" w:rsidRDefault="002D6764" w:rsidP="00DD34DF">
      <w:pPr>
        <w:pStyle w:val="SCslika"/>
        <w:keepNext/>
        <w:keepLines/>
        <w:spacing w:before="200"/>
      </w:pPr>
      <w:r w:rsidRPr="00C35272">
        <w:t xml:space="preserve">Tabela </w:t>
      </w:r>
      <w:r w:rsidR="006A050F">
        <w:t>31</w:t>
      </w:r>
      <w:r w:rsidRPr="00C35272">
        <w:t xml:space="preserve">: </w:t>
      </w:r>
      <w:r w:rsidR="00A74714">
        <w:t xml:space="preserve">Število registriranih </w:t>
      </w:r>
      <w:r w:rsidRPr="00C35272">
        <w:t>dopolnilnih dejavnosti po letih</w:t>
      </w:r>
    </w:p>
    <w:tbl>
      <w:tblPr>
        <w:tblW w:w="9012" w:type="dxa"/>
        <w:tblInd w:w="55" w:type="dxa"/>
        <w:tblLayout w:type="fixed"/>
        <w:tblCellMar>
          <w:left w:w="70" w:type="dxa"/>
          <w:right w:w="70" w:type="dxa"/>
        </w:tblCellMar>
        <w:tblLook w:val="04A0" w:firstRow="1" w:lastRow="0" w:firstColumn="1" w:lastColumn="0" w:noHBand="0" w:noVBand="1"/>
      </w:tblPr>
      <w:tblGrid>
        <w:gridCol w:w="4476"/>
        <w:gridCol w:w="907"/>
        <w:gridCol w:w="907"/>
        <w:gridCol w:w="907"/>
        <w:gridCol w:w="907"/>
        <w:gridCol w:w="908"/>
      </w:tblGrid>
      <w:tr w:rsidR="009E0216" w:rsidRPr="00A52F41" w14:paraId="7BF1B4AD" w14:textId="77777777" w:rsidTr="009D2C9D">
        <w:trPr>
          <w:trHeight w:val="345"/>
        </w:trPr>
        <w:tc>
          <w:tcPr>
            <w:tcW w:w="4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FBDF8" w14:textId="77777777" w:rsidR="009E0216" w:rsidRPr="00A52F41" w:rsidRDefault="009E0216" w:rsidP="00DD34DF">
            <w:pPr>
              <w:keepNext/>
              <w:keepLines/>
              <w:spacing w:before="60"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Dopolnilna dejavnost</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41B7BB05" w14:textId="77777777" w:rsidR="009E0216" w:rsidRPr="00A52F41" w:rsidRDefault="009E0216" w:rsidP="009D2C9D">
            <w:pPr>
              <w:keepNext/>
              <w:keepLines/>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2016</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408E862F" w14:textId="77777777" w:rsidR="009E0216" w:rsidRPr="00A52F41" w:rsidRDefault="009E0216" w:rsidP="009D2C9D">
            <w:pPr>
              <w:keepNext/>
              <w:keepLines/>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2017</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36BE8AF9" w14:textId="77777777" w:rsidR="009E0216" w:rsidRPr="00A52F41" w:rsidRDefault="009E0216" w:rsidP="009D2C9D">
            <w:pPr>
              <w:keepNext/>
              <w:keepLines/>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2018</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46E63A63" w14:textId="77777777" w:rsidR="009E0216" w:rsidRPr="00A52F41" w:rsidRDefault="009E0216" w:rsidP="009D2C9D">
            <w:pPr>
              <w:keepNext/>
              <w:keepLines/>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2019</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14:paraId="095AD032" w14:textId="77777777" w:rsidR="009E0216" w:rsidRPr="00A52F41" w:rsidRDefault="009E0216" w:rsidP="009D2C9D">
            <w:pPr>
              <w:keepNext/>
              <w:keepLines/>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2020</w:t>
            </w:r>
          </w:p>
        </w:tc>
      </w:tr>
      <w:tr w:rsidR="009E0216" w:rsidRPr="00A52F41" w14:paraId="38DC2131" w14:textId="77777777" w:rsidTr="009D2C9D">
        <w:trPr>
          <w:trHeight w:val="330"/>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02AD38A1" w14:textId="77777777" w:rsidR="009E0216" w:rsidRPr="00A52F41" w:rsidRDefault="009E0216" w:rsidP="00DD34DF">
            <w:pPr>
              <w:keepNext/>
              <w:keepLines/>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xml:space="preserve">Proizvodnja in prodaja energije iz lesne biomase </w:t>
            </w:r>
          </w:p>
        </w:tc>
        <w:tc>
          <w:tcPr>
            <w:tcW w:w="907" w:type="dxa"/>
            <w:tcBorders>
              <w:top w:val="nil"/>
              <w:left w:val="nil"/>
              <w:bottom w:val="single" w:sz="4" w:space="0" w:color="auto"/>
              <w:right w:val="single" w:sz="4" w:space="0" w:color="auto"/>
            </w:tcBorders>
            <w:shd w:val="clear" w:color="auto" w:fill="auto"/>
            <w:noWrap/>
            <w:vAlign w:val="bottom"/>
            <w:hideMark/>
          </w:tcPr>
          <w:p w14:paraId="4A621BA1"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35</w:t>
            </w:r>
          </w:p>
        </w:tc>
        <w:tc>
          <w:tcPr>
            <w:tcW w:w="907" w:type="dxa"/>
            <w:tcBorders>
              <w:top w:val="nil"/>
              <w:left w:val="nil"/>
              <w:bottom w:val="single" w:sz="4" w:space="0" w:color="auto"/>
              <w:right w:val="single" w:sz="4" w:space="0" w:color="auto"/>
            </w:tcBorders>
            <w:shd w:val="clear" w:color="auto" w:fill="auto"/>
            <w:noWrap/>
            <w:vAlign w:val="bottom"/>
            <w:hideMark/>
          </w:tcPr>
          <w:p w14:paraId="30CAD099"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35</w:t>
            </w:r>
          </w:p>
        </w:tc>
        <w:tc>
          <w:tcPr>
            <w:tcW w:w="907" w:type="dxa"/>
            <w:tcBorders>
              <w:top w:val="nil"/>
              <w:left w:val="nil"/>
              <w:bottom w:val="single" w:sz="4" w:space="0" w:color="auto"/>
              <w:right w:val="single" w:sz="4" w:space="0" w:color="auto"/>
            </w:tcBorders>
            <w:shd w:val="clear" w:color="auto" w:fill="auto"/>
            <w:noWrap/>
            <w:vAlign w:val="bottom"/>
            <w:hideMark/>
          </w:tcPr>
          <w:p w14:paraId="6FB157A5"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35</w:t>
            </w:r>
          </w:p>
        </w:tc>
        <w:tc>
          <w:tcPr>
            <w:tcW w:w="907" w:type="dxa"/>
            <w:tcBorders>
              <w:top w:val="nil"/>
              <w:left w:val="nil"/>
              <w:bottom w:val="single" w:sz="4" w:space="0" w:color="auto"/>
              <w:right w:val="single" w:sz="4" w:space="0" w:color="auto"/>
            </w:tcBorders>
            <w:shd w:val="clear" w:color="auto" w:fill="auto"/>
            <w:noWrap/>
            <w:vAlign w:val="bottom"/>
            <w:hideMark/>
          </w:tcPr>
          <w:p w14:paraId="017C3B86"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33</w:t>
            </w:r>
          </w:p>
        </w:tc>
        <w:tc>
          <w:tcPr>
            <w:tcW w:w="908" w:type="dxa"/>
            <w:tcBorders>
              <w:top w:val="nil"/>
              <w:left w:val="nil"/>
              <w:bottom w:val="single" w:sz="4" w:space="0" w:color="auto"/>
              <w:right w:val="single" w:sz="4" w:space="0" w:color="auto"/>
            </w:tcBorders>
            <w:shd w:val="clear" w:color="auto" w:fill="auto"/>
            <w:noWrap/>
            <w:vAlign w:val="bottom"/>
            <w:hideMark/>
          </w:tcPr>
          <w:p w14:paraId="16042A6C" w14:textId="145D429A" w:rsidR="009E0216" w:rsidRPr="00A52F41" w:rsidRDefault="007E0CD5" w:rsidP="009D2C9D">
            <w:pPr>
              <w:keepNext/>
              <w:keepLines/>
              <w:spacing w:before="60" w:after="0" w:line="312" w:lineRule="auto"/>
              <w:jc w:val="right"/>
              <w:rPr>
                <w:rFonts w:ascii="Arial" w:hAnsi="Arial" w:cs="Arial"/>
                <w:sz w:val="20"/>
                <w:szCs w:val="20"/>
                <w:lang w:eastAsia="sl-SI"/>
              </w:rPr>
            </w:pPr>
            <w:r>
              <w:rPr>
                <w:rFonts w:ascii="Arial" w:hAnsi="Arial" w:cs="Arial"/>
                <w:sz w:val="20"/>
                <w:szCs w:val="20"/>
                <w:lang w:eastAsia="sl-SI"/>
              </w:rPr>
              <w:t>33</w:t>
            </w:r>
          </w:p>
        </w:tc>
      </w:tr>
      <w:tr w:rsidR="009E0216" w:rsidRPr="00A52F41" w14:paraId="2AD8A2DA" w14:textId="77777777" w:rsidTr="009D2C9D">
        <w:trPr>
          <w:trHeight w:val="600"/>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6FF21D5E" w14:textId="77777777" w:rsidR="009E0216" w:rsidRPr="00A52F41" w:rsidRDefault="009E0216" w:rsidP="00DD34DF">
            <w:pPr>
              <w:keepNext/>
              <w:keepLines/>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xml:space="preserve">Proizvodnja in prodaja energije iz gnoja, gnojevke in gnojnice ter rastlinskega substrata </w:t>
            </w:r>
          </w:p>
        </w:tc>
        <w:tc>
          <w:tcPr>
            <w:tcW w:w="907" w:type="dxa"/>
            <w:tcBorders>
              <w:top w:val="nil"/>
              <w:left w:val="nil"/>
              <w:bottom w:val="single" w:sz="4" w:space="0" w:color="auto"/>
              <w:right w:val="single" w:sz="4" w:space="0" w:color="auto"/>
            </w:tcBorders>
            <w:shd w:val="clear" w:color="auto" w:fill="auto"/>
            <w:noWrap/>
            <w:vAlign w:val="bottom"/>
            <w:hideMark/>
          </w:tcPr>
          <w:p w14:paraId="365D8919"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1</w:t>
            </w:r>
          </w:p>
        </w:tc>
        <w:tc>
          <w:tcPr>
            <w:tcW w:w="907" w:type="dxa"/>
            <w:tcBorders>
              <w:top w:val="nil"/>
              <w:left w:val="nil"/>
              <w:bottom w:val="single" w:sz="4" w:space="0" w:color="auto"/>
              <w:right w:val="single" w:sz="4" w:space="0" w:color="auto"/>
            </w:tcBorders>
            <w:shd w:val="clear" w:color="auto" w:fill="auto"/>
            <w:noWrap/>
            <w:vAlign w:val="bottom"/>
            <w:hideMark/>
          </w:tcPr>
          <w:p w14:paraId="3D6157ED"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1</w:t>
            </w:r>
          </w:p>
        </w:tc>
        <w:tc>
          <w:tcPr>
            <w:tcW w:w="907" w:type="dxa"/>
            <w:tcBorders>
              <w:top w:val="nil"/>
              <w:left w:val="nil"/>
              <w:bottom w:val="single" w:sz="4" w:space="0" w:color="auto"/>
              <w:right w:val="single" w:sz="4" w:space="0" w:color="auto"/>
            </w:tcBorders>
            <w:shd w:val="clear" w:color="auto" w:fill="auto"/>
            <w:noWrap/>
            <w:vAlign w:val="bottom"/>
            <w:hideMark/>
          </w:tcPr>
          <w:p w14:paraId="5A7702C0"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1</w:t>
            </w:r>
          </w:p>
        </w:tc>
        <w:tc>
          <w:tcPr>
            <w:tcW w:w="907" w:type="dxa"/>
            <w:tcBorders>
              <w:top w:val="nil"/>
              <w:left w:val="nil"/>
              <w:bottom w:val="single" w:sz="4" w:space="0" w:color="auto"/>
              <w:right w:val="single" w:sz="4" w:space="0" w:color="auto"/>
            </w:tcBorders>
            <w:shd w:val="clear" w:color="auto" w:fill="auto"/>
            <w:noWrap/>
            <w:vAlign w:val="bottom"/>
            <w:hideMark/>
          </w:tcPr>
          <w:p w14:paraId="22B16FEB"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1</w:t>
            </w:r>
          </w:p>
        </w:tc>
        <w:tc>
          <w:tcPr>
            <w:tcW w:w="908" w:type="dxa"/>
            <w:tcBorders>
              <w:top w:val="nil"/>
              <w:left w:val="nil"/>
              <w:bottom w:val="single" w:sz="4" w:space="0" w:color="auto"/>
              <w:right w:val="single" w:sz="4" w:space="0" w:color="auto"/>
            </w:tcBorders>
            <w:shd w:val="clear" w:color="auto" w:fill="auto"/>
            <w:noWrap/>
            <w:vAlign w:val="bottom"/>
            <w:hideMark/>
          </w:tcPr>
          <w:p w14:paraId="0C1F60FE"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1</w:t>
            </w:r>
          </w:p>
        </w:tc>
      </w:tr>
      <w:tr w:rsidR="009E0216" w:rsidRPr="00A52F41" w14:paraId="5381C114" w14:textId="77777777" w:rsidTr="009D2C9D">
        <w:trPr>
          <w:trHeight w:val="345"/>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53EC4FF9" w14:textId="77777777" w:rsidR="009E0216" w:rsidRPr="00A52F41" w:rsidRDefault="009E0216" w:rsidP="00DD34DF">
            <w:pPr>
              <w:keepNext/>
              <w:keepLines/>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Proizvodnja in prodaja energije iz sončnega vira</w:t>
            </w:r>
          </w:p>
        </w:tc>
        <w:tc>
          <w:tcPr>
            <w:tcW w:w="907" w:type="dxa"/>
            <w:tcBorders>
              <w:top w:val="nil"/>
              <w:left w:val="nil"/>
              <w:bottom w:val="single" w:sz="4" w:space="0" w:color="auto"/>
              <w:right w:val="single" w:sz="4" w:space="0" w:color="auto"/>
            </w:tcBorders>
            <w:shd w:val="clear" w:color="auto" w:fill="auto"/>
            <w:noWrap/>
            <w:vAlign w:val="bottom"/>
            <w:hideMark/>
          </w:tcPr>
          <w:p w14:paraId="2BC4E7F0"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415</w:t>
            </w:r>
          </w:p>
        </w:tc>
        <w:tc>
          <w:tcPr>
            <w:tcW w:w="907" w:type="dxa"/>
            <w:tcBorders>
              <w:top w:val="nil"/>
              <w:left w:val="nil"/>
              <w:bottom w:val="single" w:sz="4" w:space="0" w:color="auto"/>
              <w:right w:val="single" w:sz="4" w:space="0" w:color="auto"/>
            </w:tcBorders>
            <w:shd w:val="clear" w:color="auto" w:fill="auto"/>
            <w:noWrap/>
            <w:vAlign w:val="bottom"/>
            <w:hideMark/>
          </w:tcPr>
          <w:p w14:paraId="3C02ABEB"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426</w:t>
            </w:r>
          </w:p>
        </w:tc>
        <w:tc>
          <w:tcPr>
            <w:tcW w:w="907" w:type="dxa"/>
            <w:tcBorders>
              <w:top w:val="nil"/>
              <w:left w:val="nil"/>
              <w:bottom w:val="single" w:sz="4" w:space="0" w:color="auto"/>
              <w:right w:val="single" w:sz="4" w:space="0" w:color="auto"/>
            </w:tcBorders>
            <w:shd w:val="clear" w:color="auto" w:fill="auto"/>
            <w:noWrap/>
            <w:vAlign w:val="bottom"/>
            <w:hideMark/>
          </w:tcPr>
          <w:p w14:paraId="4D8A2605"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428</w:t>
            </w:r>
          </w:p>
        </w:tc>
        <w:tc>
          <w:tcPr>
            <w:tcW w:w="907" w:type="dxa"/>
            <w:tcBorders>
              <w:top w:val="nil"/>
              <w:left w:val="nil"/>
              <w:bottom w:val="single" w:sz="4" w:space="0" w:color="auto"/>
              <w:right w:val="single" w:sz="4" w:space="0" w:color="auto"/>
            </w:tcBorders>
            <w:shd w:val="clear" w:color="auto" w:fill="auto"/>
            <w:noWrap/>
            <w:vAlign w:val="bottom"/>
            <w:hideMark/>
          </w:tcPr>
          <w:p w14:paraId="47E16AE1"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430</w:t>
            </w:r>
          </w:p>
        </w:tc>
        <w:tc>
          <w:tcPr>
            <w:tcW w:w="908" w:type="dxa"/>
            <w:tcBorders>
              <w:top w:val="nil"/>
              <w:left w:val="nil"/>
              <w:bottom w:val="single" w:sz="4" w:space="0" w:color="auto"/>
              <w:right w:val="single" w:sz="4" w:space="0" w:color="auto"/>
            </w:tcBorders>
            <w:shd w:val="clear" w:color="auto" w:fill="auto"/>
            <w:noWrap/>
            <w:vAlign w:val="bottom"/>
            <w:hideMark/>
          </w:tcPr>
          <w:p w14:paraId="2DCE0425" w14:textId="43BB7257" w:rsidR="009E0216" w:rsidRPr="00A52F41" w:rsidRDefault="007E0CD5" w:rsidP="009D2C9D">
            <w:pPr>
              <w:keepNext/>
              <w:keepLines/>
              <w:spacing w:before="60" w:after="0" w:line="312" w:lineRule="auto"/>
              <w:jc w:val="right"/>
              <w:rPr>
                <w:rFonts w:ascii="Arial" w:hAnsi="Arial" w:cs="Arial"/>
                <w:sz w:val="20"/>
                <w:szCs w:val="20"/>
                <w:lang w:eastAsia="sl-SI"/>
              </w:rPr>
            </w:pPr>
            <w:r>
              <w:rPr>
                <w:rFonts w:ascii="Arial" w:hAnsi="Arial" w:cs="Arial"/>
                <w:sz w:val="20"/>
                <w:szCs w:val="20"/>
                <w:lang w:eastAsia="sl-SI"/>
              </w:rPr>
              <w:t>437</w:t>
            </w:r>
          </w:p>
        </w:tc>
      </w:tr>
      <w:tr w:rsidR="009E0216" w:rsidRPr="00A52F41" w14:paraId="3CDD0A26" w14:textId="77777777" w:rsidTr="009D2C9D">
        <w:trPr>
          <w:trHeight w:val="345"/>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33D8FA9A"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xml:space="preserve">Proizvodnja in prodaja energije iz vodnega vira </w:t>
            </w:r>
          </w:p>
        </w:tc>
        <w:tc>
          <w:tcPr>
            <w:tcW w:w="907" w:type="dxa"/>
            <w:tcBorders>
              <w:top w:val="nil"/>
              <w:left w:val="nil"/>
              <w:bottom w:val="single" w:sz="4" w:space="0" w:color="auto"/>
              <w:right w:val="single" w:sz="4" w:space="0" w:color="auto"/>
            </w:tcBorders>
            <w:shd w:val="clear" w:color="auto" w:fill="auto"/>
            <w:noWrap/>
            <w:vAlign w:val="bottom"/>
            <w:hideMark/>
          </w:tcPr>
          <w:p w14:paraId="2612B3B9" w14:textId="77777777" w:rsidR="009E0216" w:rsidRPr="00A52F41" w:rsidRDefault="009E0216" w:rsidP="009D2C9D">
            <w:pPr>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74</w:t>
            </w:r>
          </w:p>
        </w:tc>
        <w:tc>
          <w:tcPr>
            <w:tcW w:w="907" w:type="dxa"/>
            <w:tcBorders>
              <w:top w:val="nil"/>
              <w:left w:val="nil"/>
              <w:bottom w:val="single" w:sz="4" w:space="0" w:color="auto"/>
              <w:right w:val="single" w:sz="4" w:space="0" w:color="auto"/>
            </w:tcBorders>
            <w:shd w:val="clear" w:color="auto" w:fill="auto"/>
            <w:noWrap/>
            <w:vAlign w:val="bottom"/>
            <w:hideMark/>
          </w:tcPr>
          <w:p w14:paraId="36858884" w14:textId="77777777" w:rsidR="009E0216" w:rsidRPr="00A52F41" w:rsidRDefault="009E0216" w:rsidP="009D2C9D">
            <w:pPr>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79</w:t>
            </w:r>
          </w:p>
        </w:tc>
        <w:tc>
          <w:tcPr>
            <w:tcW w:w="907" w:type="dxa"/>
            <w:tcBorders>
              <w:top w:val="nil"/>
              <w:left w:val="nil"/>
              <w:bottom w:val="single" w:sz="4" w:space="0" w:color="auto"/>
              <w:right w:val="single" w:sz="4" w:space="0" w:color="auto"/>
            </w:tcBorders>
            <w:shd w:val="clear" w:color="auto" w:fill="auto"/>
            <w:noWrap/>
            <w:vAlign w:val="bottom"/>
            <w:hideMark/>
          </w:tcPr>
          <w:p w14:paraId="3BD2EE4B" w14:textId="77777777" w:rsidR="009E0216" w:rsidRPr="00A52F41" w:rsidRDefault="009E0216" w:rsidP="009D2C9D">
            <w:pPr>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83</w:t>
            </w:r>
          </w:p>
        </w:tc>
        <w:tc>
          <w:tcPr>
            <w:tcW w:w="907" w:type="dxa"/>
            <w:tcBorders>
              <w:top w:val="nil"/>
              <w:left w:val="nil"/>
              <w:bottom w:val="single" w:sz="4" w:space="0" w:color="auto"/>
              <w:right w:val="single" w:sz="4" w:space="0" w:color="auto"/>
            </w:tcBorders>
            <w:shd w:val="clear" w:color="auto" w:fill="auto"/>
            <w:noWrap/>
            <w:vAlign w:val="bottom"/>
            <w:hideMark/>
          </w:tcPr>
          <w:p w14:paraId="260C91E2" w14:textId="77777777" w:rsidR="009E0216" w:rsidRPr="00A52F41" w:rsidRDefault="009E0216" w:rsidP="009D2C9D">
            <w:pPr>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84</w:t>
            </w:r>
          </w:p>
        </w:tc>
        <w:tc>
          <w:tcPr>
            <w:tcW w:w="908" w:type="dxa"/>
            <w:tcBorders>
              <w:top w:val="nil"/>
              <w:left w:val="nil"/>
              <w:bottom w:val="single" w:sz="4" w:space="0" w:color="auto"/>
              <w:right w:val="single" w:sz="4" w:space="0" w:color="auto"/>
            </w:tcBorders>
            <w:shd w:val="clear" w:color="auto" w:fill="auto"/>
            <w:noWrap/>
            <w:vAlign w:val="bottom"/>
            <w:hideMark/>
          </w:tcPr>
          <w:p w14:paraId="4B454E63" w14:textId="65186B41" w:rsidR="009E0216" w:rsidRPr="00A52F41" w:rsidRDefault="007E0CD5" w:rsidP="009D2C9D">
            <w:pPr>
              <w:spacing w:before="60" w:after="0" w:line="312" w:lineRule="auto"/>
              <w:jc w:val="right"/>
              <w:rPr>
                <w:rFonts w:ascii="Arial" w:hAnsi="Arial" w:cs="Arial"/>
                <w:sz w:val="20"/>
                <w:szCs w:val="20"/>
                <w:lang w:eastAsia="sl-SI"/>
              </w:rPr>
            </w:pPr>
            <w:r>
              <w:rPr>
                <w:rFonts w:ascii="Arial" w:hAnsi="Arial" w:cs="Arial"/>
                <w:sz w:val="20"/>
                <w:szCs w:val="20"/>
                <w:lang w:eastAsia="sl-SI"/>
              </w:rPr>
              <w:t>85</w:t>
            </w:r>
          </w:p>
        </w:tc>
      </w:tr>
      <w:tr w:rsidR="009E0216" w:rsidRPr="00A52F41" w14:paraId="736966D7" w14:textId="77777777" w:rsidTr="009D2C9D">
        <w:trPr>
          <w:trHeight w:val="345"/>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06DB3A03"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xml:space="preserve">Proizvodnja in prodaja energije iz vetrnega vira </w:t>
            </w:r>
          </w:p>
        </w:tc>
        <w:tc>
          <w:tcPr>
            <w:tcW w:w="907" w:type="dxa"/>
            <w:tcBorders>
              <w:top w:val="nil"/>
              <w:left w:val="nil"/>
              <w:bottom w:val="single" w:sz="4" w:space="0" w:color="auto"/>
              <w:right w:val="single" w:sz="4" w:space="0" w:color="auto"/>
            </w:tcBorders>
            <w:shd w:val="clear" w:color="auto" w:fill="auto"/>
            <w:noWrap/>
            <w:vAlign w:val="bottom"/>
            <w:hideMark/>
          </w:tcPr>
          <w:p w14:paraId="234D2F47" w14:textId="77777777" w:rsidR="009E0216" w:rsidRPr="00A52F41" w:rsidRDefault="009E0216" w:rsidP="009D2C9D">
            <w:pPr>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9</w:t>
            </w:r>
          </w:p>
        </w:tc>
        <w:tc>
          <w:tcPr>
            <w:tcW w:w="907" w:type="dxa"/>
            <w:tcBorders>
              <w:top w:val="nil"/>
              <w:left w:val="nil"/>
              <w:bottom w:val="single" w:sz="4" w:space="0" w:color="auto"/>
              <w:right w:val="single" w:sz="4" w:space="0" w:color="auto"/>
            </w:tcBorders>
            <w:shd w:val="clear" w:color="auto" w:fill="auto"/>
            <w:noWrap/>
            <w:vAlign w:val="bottom"/>
            <w:hideMark/>
          </w:tcPr>
          <w:p w14:paraId="631B7462" w14:textId="77777777" w:rsidR="009E0216" w:rsidRPr="00A52F41" w:rsidRDefault="009E0216" w:rsidP="009D2C9D">
            <w:pPr>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9</w:t>
            </w:r>
          </w:p>
        </w:tc>
        <w:tc>
          <w:tcPr>
            <w:tcW w:w="907" w:type="dxa"/>
            <w:tcBorders>
              <w:top w:val="nil"/>
              <w:left w:val="nil"/>
              <w:bottom w:val="single" w:sz="4" w:space="0" w:color="auto"/>
              <w:right w:val="single" w:sz="4" w:space="0" w:color="auto"/>
            </w:tcBorders>
            <w:shd w:val="clear" w:color="auto" w:fill="auto"/>
            <w:noWrap/>
            <w:vAlign w:val="bottom"/>
            <w:hideMark/>
          </w:tcPr>
          <w:p w14:paraId="2F4CB948" w14:textId="77777777" w:rsidR="009E0216" w:rsidRPr="00A52F41" w:rsidRDefault="009E0216" w:rsidP="009D2C9D">
            <w:pPr>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9</w:t>
            </w:r>
          </w:p>
        </w:tc>
        <w:tc>
          <w:tcPr>
            <w:tcW w:w="907" w:type="dxa"/>
            <w:tcBorders>
              <w:top w:val="nil"/>
              <w:left w:val="nil"/>
              <w:bottom w:val="single" w:sz="4" w:space="0" w:color="auto"/>
              <w:right w:val="single" w:sz="4" w:space="0" w:color="auto"/>
            </w:tcBorders>
            <w:shd w:val="clear" w:color="auto" w:fill="auto"/>
            <w:noWrap/>
            <w:vAlign w:val="bottom"/>
            <w:hideMark/>
          </w:tcPr>
          <w:p w14:paraId="2D6CC54A" w14:textId="77777777" w:rsidR="009E0216" w:rsidRPr="00A52F41" w:rsidRDefault="009E0216" w:rsidP="009D2C9D">
            <w:pPr>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10</w:t>
            </w:r>
          </w:p>
        </w:tc>
        <w:tc>
          <w:tcPr>
            <w:tcW w:w="908" w:type="dxa"/>
            <w:tcBorders>
              <w:top w:val="nil"/>
              <w:left w:val="nil"/>
              <w:bottom w:val="single" w:sz="4" w:space="0" w:color="auto"/>
              <w:right w:val="single" w:sz="4" w:space="0" w:color="auto"/>
            </w:tcBorders>
            <w:shd w:val="clear" w:color="auto" w:fill="auto"/>
            <w:noWrap/>
            <w:vAlign w:val="bottom"/>
            <w:hideMark/>
          </w:tcPr>
          <w:p w14:paraId="40D98252" w14:textId="77777777" w:rsidR="009E0216" w:rsidRPr="00A52F41" w:rsidRDefault="009E0216" w:rsidP="009D2C9D">
            <w:pPr>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10</w:t>
            </w:r>
          </w:p>
        </w:tc>
      </w:tr>
      <w:tr w:rsidR="009E0216" w:rsidRPr="00A52F41" w14:paraId="47EDA2CD" w14:textId="77777777" w:rsidTr="009D2C9D">
        <w:trPr>
          <w:trHeight w:val="300"/>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2D9B4B41" w14:textId="77777777" w:rsidR="009E0216" w:rsidRPr="00A52F41" w:rsidRDefault="009E0216" w:rsidP="00250D58">
            <w:pPr>
              <w:spacing w:before="60"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Skupaj</w:t>
            </w:r>
          </w:p>
        </w:tc>
        <w:tc>
          <w:tcPr>
            <w:tcW w:w="907" w:type="dxa"/>
            <w:tcBorders>
              <w:top w:val="nil"/>
              <w:left w:val="nil"/>
              <w:bottom w:val="single" w:sz="4" w:space="0" w:color="auto"/>
              <w:right w:val="single" w:sz="4" w:space="0" w:color="auto"/>
            </w:tcBorders>
            <w:shd w:val="clear" w:color="auto" w:fill="auto"/>
            <w:noWrap/>
            <w:vAlign w:val="bottom"/>
            <w:hideMark/>
          </w:tcPr>
          <w:p w14:paraId="39A2CDE9" w14:textId="77777777" w:rsidR="009E0216" w:rsidRPr="00A52F41" w:rsidRDefault="009E0216" w:rsidP="009D2C9D">
            <w:pPr>
              <w:spacing w:before="60" w:after="0" w:line="312" w:lineRule="auto"/>
              <w:jc w:val="right"/>
              <w:rPr>
                <w:rFonts w:ascii="Arial" w:hAnsi="Arial" w:cs="Arial"/>
                <w:b/>
                <w:bCs/>
                <w:color w:val="000000"/>
                <w:sz w:val="20"/>
                <w:szCs w:val="20"/>
                <w:lang w:eastAsia="sl-SI"/>
              </w:rPr>
            </w:pPr>
            <w:r w:rsidRPr="00A52F41">
              <w:rPr>
                <w:rFonts w:ascii="Arial" w:hAnsi="Arial" w:cs="Arial"/>
                <w:b/>
                <w:bCs/>
                <w:color w:val="000000"/>
                <w:sz w:val="20"/>
                <w:szCs w:val="20"/>
                <w:lang w:eastAsia="sl-SI"/>
              </w:rPr>
              <w:t>534</w:t>
            </w:r>
          </w:p>
        </w:tc>
        <w:tc>
          <w:tcPr>
            <w:tcW w:w="907" w:type="dxa"/>
            <w:tcBorders>
              <w:top w:val="nil"/>
              <w:left w:val="nil"/>
              <w:bottom w:val="single" w:sz="4" w:space="0" w:color="auto"/>
              <w:right w:val="single" w:sz="4" w:space="0" w:color="auto"/>
            </w:tcBorders>
            <w:shd w:val="clear" w:color="auto" w:fill="auto"/>
            <w:noWrap/>
            <w:vAlign w:val="bottom"/>
            <w:hideMark/>
          </w:tcPr>
          <w:p w14:paraId="35C2408E" w14:textId="77777777" w:rsidR="009E0216" w:rsidRPr="00A52F41" w:rsidRDefault="009E0216" w:rsidP="009D2C9D">
            <w:pPr>
              <w:spacing w:before="60" w:after="0" w:line="312" w:lineRule="auto"/>
              <w:jc w:val="right"/>
              <w:rPr>
                <w:rFonts w:ascii="Arial" w:hAnsi="Arial" w:cs="Arial"/>
                <w:b/>
                <w:bCs/>
                <w:color w:val="000000"/>
                <w:sz w:val="20"/>
                <w:szCs w:val="20"/>
                <w:lang w:eastAsia="sl-SI"/>
              </w:rPr>
            </w:pPr>
            <w:r w:rsidRPr="00A52F41">
              <w:rPr>
                <w:rFonts w:ascii="Arial" w:hAnsi="Arial" w:cs="Arial"/>
                <w:b/>
                <w:bCs/>
                <w:color w:val="000000"/>
                <w:sz w:val="20"/>
                <w:szCs w:val="20"/>
                <w:lang w:eastAsia="sl-SI"/>
              </w:rPr>
              <w:t>550</w:t>
            </w:r>
          </w:p>
        </w:tc>
        <w:tc>
          <w:tcPr>
            <w:tcW w:w="907" w:type="dxa"/>
            <w:tcBorders>
              <w:top w:val="nil"/>
              <w:left w:val="nil"/>
              <w:bottom w:val="single" w:sz="4" w:space="0" w:color="auto"/>
              <w:right w:val="single" w:sz="4" w:space="0" w:color="auto"/>
            </w:tcBorders>
            <w:shd w:val="clear" w:color="auto" w:fill="auto"/>
            <w:noWrap/>
            <w:vAlign w:val="bottom"/>
            <w:hideMark/>
          </w:tcPr>
          <w:p w14:paraId="78336A6A" w14:textId="77777777" w:rsidR="009E0216" w:rsidRPr="00A52F41" w:rsidRDefault="009E0216" w:rsidP="009D2C9D">
            <w:pPr>
              <w:spacing w:before="60" w:after="0" w:line="312" w:lineRule="auto"/>
              <w:jc w:val="right"/>
              <w:rPr>
                <w:rFonts w:ascii="Arial" w:hAnsi="Arial" w:cs="Arial"/>
                <w:b/>
                <w:bCs/>
                <w:color w:val="000000"/>
                <w:sz w:val="20"/>
                <w:szCs w:val="20"/>
                <w:lang w:eastAsia="sl-SI"/>
              </w:rPr>
            </w:pPr>
            <w:r w:rsidRPr="00A52F41">
              <w:rPr>
                <w:rFonts w:ascii="Arial" w:hAnsi="Arial" w:cs="Arial"/>
                <w:b/>
                <w:bCs/>
                <w:color w:val="000000"/>
                <w:sz w:val="20"/>
                <w:szCs w:val="20"/>
                <w:lang w:eastAsia="sl-SI"/>
              </w:rPr>
              <w:t>556</w:t>
            </w:r>
          </w:p>
        </w:tc>
        <w:tc>
          <w:tcPr>
            <w:tcW w:w="907" w:type="dxa"/>
            <w:tcBorders>
              <w:top w:val="nil"/>
              <w:left w:val="nil"/>
              <w:bottom w:val="single" w:sz="4" w:space="0" w:color="auto"/>
              <w:right w:val="single" w:sz="4" w:space="0" w:color="auto"/>
            </w:tcBorders>
            <w:shd w:val="clear" w:color="auto" w:fill="auto"/>
            <w:noWrap/>
            <w:vAlign w:val="bottom"/>
            <w:hideMark/>
          </w:tcPr>
          <w:p w14:paraId="678654C0" w14:textId="77777777" w:rsidR="009E0216" w:rsidRPr="00A52F41" w:rsidRDefault="009E0216" w:rsidP="009D2C9D">
            <w:pPr>
              <w:spacing w:before="60" w:after="0" w:line="312" w:lineRule="auto"/>
              <w:jc w:val="right"/>
              <w:rPr>
                <w:rFonts w:ascii="Arial" w:hAnsi="Arial" w:cs="Arial"/>
                <w:b/>
                <w:bCs/>
                <w:color w:val="000000"/>
                <w:sz w:val="20"/>
                <w:szCs w:val="20"/>
                <w:lang w:eastAsia="sl-SI"/>
              </w:rPr>
            </w:pPr>
            <w:r w:rsidRPr="00A52F41">
              <w:rPr>
                <w:rFonts w:ascii="Arial" w:hAnsi="Arial" w:cs="Arial"/>
                <w:b/>
                <w:bCs/>
                <w:color w:val="000000"/>
                <w:sz w:val="20"/>
                <w:szCs w:val="20"/>
                <w:lang w:eastAsia="sl-SI"/>
              </w:rPr>
              <w:t>558</w:t>
            </w:r>
          </w:p>
        </w:tc>
        <w:tc>
          <w:tcPr>
            <w:tcW w:w="908" w:type="dxa"/>
            <w:tcBorders>
              <w:top w:val="nil"/>
              <w:left w:val="nil"/>
              <w:bottom w:val="single" w:sz="4" w:space="0" w:color="auto"/>
              <w:right w:val="single" w:sz="4" w:space="0" w:color="auto"/>
            </w:tcBorders>
            <w:shd w:val="clear" w:color="auto" w:fill="auto"/>
            <w:noWrap/>
            <w:vAlign w:val="bottom"/>
            <w:hideMark/>
          </w:tcPr>
          <w:p w14:paraId="276E277D" w14:textId="16A4EFB7" w:rsidR="009E0216" w:rsidRPr="00A52F41" w:rsidRDefault="007E0CD5" w:rsidP="009D2C9D">
            <w:pPr>
              <w:spacing w:before="60" w:after="0" w:line="312" w:lineRule="auto"/>
              <w:jc w:val="right"/>
              <w:rPr>
                <w:rFonts w:ascii="Arial" w:hAnsi="Arial" w:cs="Arial"/>
                <w:b/>
                <w:bCs/>
                <w:color w:val="000000"/>
                <w:sz w:val="20"/>
                <w:szCs w:val="20"/>
                <w:lang w:eastAsia="sl-SI"/>
              </w:rPr>
            </w:pPr>
            <w:r>
              <w:rPr>
                <w:rFonts w:ascii="Arial" w:hAnsi="Arial" w:cs="Arial"/>
                <w:b/>
                <w:bCs/>
                <w:color w:val="000000"/>
                <w:sz w:val="20"/>
                <w:szCs w:val="20"/>
                <w:lang w:eastAsia="sl-SI"/>
              </w:rPr>
              <w:t>566</w:t>
            </w:r>
          </w:p>
        </w:tc>
      </w:tr>
    </w:tbl>
    <w:p w14:paraId="028B7BC0" w14:textId="77777777" w:rsidR="009E0216" w:rsidRPr="002D6764" w:rsidRDefault="002D6764" w:rsidP="00EA2E4C">
      <w:pPr>
        <w:spacing w:line="360" w:lineRule="auto"/>
        <w:jc w:val="both"/>
        <w:rPr>
          <w:rFonts w:ascii="Arial" w:hAnsi="Arial" w:cs="Arial"/>
          <w:sz w:val="16"/>
          <w:szCs w:val="16"/>
        </w:rPr>
      </w:pPr>
      <w:r w:rsidRPr="002D6764">
        <w:rPr>
          <w:rFonts w:ascii="Arial" w:hAnsi="Arial" w:cs="Arial"/>
          <w:sz w:val="16"/>
          <w:szCs w:val="16"/>
        </w:rPr>
        <w:t>Vir: MKGP</w:t>
      </w:r>
      <w:r>
        <w:rPr>
          <w:rFonts w:ascii="Arial" w:hAnsi="Arial" w:cs="Arial"/>
          <w:sz w:val="16"/>
          <w:szCs w:val="16"/>
        </w:rPr>
        <w:t>, 2020</w:t>
      </w:r>
    </w:p>
    <w:p w14:paraId="3C173018" w14:textId="42F9C415"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Glavni obnovljivi vir energije, ki ga proizvedejo </w:t>
      </w:r>
      <w:r w:rsidR="007E0CD5">
        <w:rPr>
          <w:rFonts w:ascii="Arial" w:hAnsi="Arial" w:cs="Arial"/>
          <w:sz w:val="20"/>
          <w:szCs w:val="20"/>
        </w:rPr>
        <w:t>kmetije</w:t>
      </w:r>
      <w:r w:rsidRPr="00A52F41">
        <w:rPr>
          <w:rFonts w:ascii="Arial" w:hAnsi="Arial" w:cs="Arial"/>
          <w:sz w:val="20"/>
          <w:szCs w:val="20"/>
        </w:rPr>
        <w:t xml:space="preserve"> je tako sončna energija. Proizvodnja obnovljivih virov energije (v nadaljevanju: OVE), ki izvirajo iz kmetijstva, je v letu 2015 znašala 24 kToe, kar je nekoliko manj kot v preteklem programskem obdobju 2007–2013 (v letu 2013: 26,6 kToe)</w:t>
      </w:r>
      <w:r w:rsidR="001B435D">
        <w:rPr>
          <w:rFonts w:ascii="Arial" w:hAnsi="Arial" w:cs="Arial"/>
          <w:sz w:val="20"/>
          <w:szCs w:val="20"/>
        </w:rPr>
        <w:t xml:space="preserve"> (</w:t>
      </w:r>
      <w:r w:rsidR="001B435D">
        <w:t>EK CAP Indicators, 2020).</w:t>
      </w:r>
    </w:p>
    <w:p w14:paraId="7CDD79EF" w14:textId="02E4204A" w:rsidR="009E0216" w:rsidRPr="00A52F41" w:rsidRDefault="009E0216" w:rsidP="00EA2E4C">
      <w:pPr>
        <w:spacing w:line="360" w:lineRule="auto"/>
        <w:jc w:val="both"/>
        <w:rPr>
          <w:rFonts w:ascii="Arial" w:eastAsia="Calibri" w:hAnsi="Arial" w:cs="Arial"/>
          <w:sz w:val="20"/>
          <w:szCs w:val="20"/>
        </w:rPr>
      </w:pPr>
      <w:r w:rsidRPr="00A52F41">
        <w:rPr>
          <w:rFonts w:ascii="Arial" w:eastAsia="Calibri" w:hAnsi="Arial" w:cs="Arial"/>
          <w:sz w:val="20"/>
          <w:szCs w:val="20"/>
        </w:rPr>
        <w:t xml:space="preserve">V tekočem programskem obdobju je bilo do konca leta 2019 za naložbe v KMG, odobrenih 13 vlog, kjer se prevladujoč namen naložbe navezuje na OVE. Višina odobrenih sredstev je znašala 2.151.203 </w:t>
      </w:r>
      <w:r w:rsidR="00FF2A8E">
        <w:rPr>
          <w:rFonts w:ascii="Arial" w:eastAsia="Calibri" w:hAnsi="Arial" w:cs="Arial"/>
          <w:sz w:val="20"/>
          <w:szCs w:val="20"/>
        </w:rPr>
        <w:t>EUR</w:t>
      </w:r>
      <w:r w:rsidRPr="00A52F41">
        <w:rPr>
          <w:rFonts w:ascii="Arial" w:eastAsia="Calibri" w:hAnsi="Arial" w:cs="Arial"/>
          <w:sz w:val="20"/>
          <w:szCs w:val="20"/>
        </w:rPr>
        <w:t>.</w:t>
      </w:r>
    </w:p>
    <w:p w14:paraId="579BB252" w14:textId="04B77561" w:rsidR="009E0216" w:rsidRPr="00C35272" w:rsidRDefault="002D6764" w:rsidP="00DD34DF">
      <w:pPr>
        <w:pStyle w:val="SCslika"/>
        <w:keepNext/>
        <w:keepLines/>
        <w:spacing w:before="200"/>
      </w:pPr>
      <w:bookmarkStart w:id="76" w:name="_Ref29914204"/>
      <w:r w:rsidRPr="00C35272">
        <w:t xml:space="preserve">Tabela </w:t>
      </w:r>
      <w:r w:rsidR="006A050F">
        <w:t>32</w:t>
      </w:r>
      <w:r w:rsidRPr="00C35272">
        <w:t>:</w:t>
      </w:r>
      <w:bookmarkEnd w:id="76"/>
      <w:r w:rsidR="009E0216" w:rsidRPr="00C35272">
        <w:t xml:space="preserve"> Naložbe v KMG iz PRP 2014–2020</w:t>
      </w:r>
    </w:p>
    <w:tbl>
      <w:tblPr>
        <w:tblW w:w="0" w:type="auto"/>
        <w:tblLayout w:type="fixed"/>
        <w:tblCellMar>
          <w:left w:w="30" w:type="dxa"/>
          <w:right w:w="30" w:type="dxa"/>
        </w:tblCellMar>
        <w:tblLook w:val="00A0" w:firstRow="1" w:lastRow="0" w:firstColumn="1" w:lastColumn="0" w:noHBand="0" w:noVBand="0"/>
      </w:tblPr>
      <w:tblGrid>
        <w:gridCol w:w="4850"/>
        <w:gridCol w:w="1701"/>
        <w:gridCol w:w="2372"/>
      </w:tblGrid>
      <w:tr w:rsidR="009E0216" w:rsidRPr="00A52F41" w14:paraId="7050895D" w14:textId="77777777" w:rsidTr="009D2C9D">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auto"/>
          </w:tcPr>
          <w:p w14:paraId="0B14CE3B" w14:textId="77777777" w:rsidR="009E0216" w:rsidRPr="00A52F41" w:rsidRDefault="009E0216" w:rsidP="00F1211D">
            <w:pPr>
              <w:keepNext/>
              <w:keepLines/>
              <w:autoSpaceDE w:val="0"/>
              <w:autoSpaceDN w:val="0"/>
              <w:adjustRightInd w:val="0"/>
              <w:spacing w:before="60" w:after="0" w:line="312" w:lineRule="auto"/>
              <w:jc w:val="both"/>
              <w:rPr>
                <w:rFonts w:ascii="Arial" w:hAnsi="Arial" w:cs="Arial"/>
                <w:color w:val="000000"/>
                <w:sz w:val="20"/>
                <w:szCs w:val="20"/>
              </w:rPr>
            </w:pPr>
            <w:r w:rsidRPr="00A52F41">
              <w:rPr>
                <w:rFonts w:ascii="Arial" w:hAnsi="Arial" w:cs="Arial"/>
                <w:color w:val="000000"/>
                <w:sz w:val="20"/>
                <w:szCs w:val="20"/>
              </w:rPr>
              <w:t>Prevladujoča vrsta naložbe</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38386A20" w14:textId="77777777" w:rsidR="009E0216" w:rsidRPr="00A52F41" w:rsidRDefault="009E0216">
            <w:pPr>
              <w:keepNext/>
              <w:keepLines/>
              <w:autoSpaceDE w:val="0"/>
              <w:autoSpaceDN w:val="0"/>
              <w:adjustRightInd w:val="0"/>
              <w:spacing w:before="60" w:after="0" w:line="312" w:lineRule="auto"/>
              <w:jc w:val="both"/>
              <w:rPr>
                <w:rFonts w:ascii="Arial" w:hAnsi="Arial" w:cs="Arial"/>
                <w:color w:val="000000"/>
                <w:sz w:val="20"/>
                <w:szCs w:val="20"/>
              </w:rPr>
            </w:pPr>
            <w:r w:rsidRPr="00A52F41">
              <w:rPr>
                <w:rFonts w:ascii="Arial" w:hAnsi="Arial" w:cs="Arial"/>
                <w:color w:val="000000"/>
                <w:sz w:val="20"/>
                <w:szCs w:val="20"/>
              </w:rPr>
              <w:t>Št. odobrenih vlog</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14:paraId="674C2C68" w14:textId="77777777" w:rsidR="009E0216" w:rsidRPr="00A52F41" w:rsidRDefault="009E0216">
            <w:pPr>
              <w:keepNext/>
              <w:keepLines/>
              <w:autoSpaceDE w:val="0"/>
              <w:autoSpaceDN w:val="0"/>
              <w:adjustRightInd w:val="0"/>
              <w:spacing w:before="60" w:after="0" w:line="312" w:lineRule="auto"/>
              <w:jc w:val="both"/>
              <w:rPr>
                <w:rFonts w:ascii="Arial" w:hAnsi="Arial" w:cs="Arial"/>
                <w:color w:val="000000"/>
                <w:sz w:val="20"/>
                <w:szCs w:val="20"/>
              </w:rPr>
            </w:pPr>
            <w:r w:rsidRPr="00A52F41">
              <w:rPr>
                <w:rFonts w:ascii="Arial" w:hAnsi="Arial" w:cs="Arial"/>
                <w:color w:val="000000"/>
                <w:sz w:val="20"/>
                <w:szCs w:val="20"/>
              </w:rPr>
              <w:t>Odobrena sredstva (EUR)</w:t>
            </w:r>
          </w:p>
        </w:tc>
      </w:tr>
      <w:tr w:rsidR="009E0216" w:rsidRPr="00A52F41" w14:paraId="0E5D8BE4" w14:textId="77777777" w:rsidTr="009D2C9D">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auto"/>
          </w:tcPr>
          <w:p w14:paraId="5CB2B117" w14:textId="77777777" w:rsidR="009E0216" w:rsidRPr="00A52F41" w:rsidRDefault="009E0216" w:rsidP="00DD34DF">
            <w:pPr>
              <w:keepNext/>
              <w:keepLines/>
              <w:autoSpaceDE w:val="0"/>
              <w:autoSpaceDN w:val="0"/>
              <w:adjustRightInd w:val="0"/>
              <w:spacing w:before="60" w:after="0" w:line="312" w:lineRule="auto"/>
              <w:jc w:val="both"/>
              <w:rPr>
                <w:rFonts w:ascii="Arial" w:hAnsi="Arial" w:cs="Arial"/>
                <w:color w:val="000000"/>
                <w:sz w:val="20"/>
                <w:szCs w:val="20"/>
              </w:rPr>
            </w:pPr>
            <w:r w:rsidRPr="00A52F41">
              <w:rPr>
                <w:rFonts w:ascii="Arial" w:hAnsi="Arial" w:cs="Arial"/>
                <w:color w:val="000000"/>
                <w:sz w:val="20"/>
                <w:szCs w:val="20"/>
              </w:rPr>
              <w:t>Stroški naložb, namenjenih učinkoviti rabi energije</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4E40A662" w14:textId="77777777" w:rsidR="009E0216" w:rsidRPr="00A52F41" w:rsidRDefault="009E0216" w:rsidP="009D2C9D">
            <w:pPr>
              <w:keepNext/>
              <w:keepLines/>
              <w:autoSpaceDE w:val="0"/>
              <w:autoSpaceDN w:val="0"/>
              <w:adjustRightInd w:val="0"/>
              <w:spacing w:before="60" w:after="0" w:line="312" w:lineRule="auto"/>
              <w:jc w:val="right"/>
              <w:rPr>
                <w:rFonts w:ascii="Arial" w:hAnsi="Arial" w:cs="Arial"/>
                <w:color w:val="000000"/>
                <w:sz w:val="20"/>
                <w:szCs w:val="20"/>
              </w:rPr>
            </w:pPr>
            <w:r w:rsidRPr="00A52F41">
              <w:rPr>
                <w:rFonts w:ascii="Arial" w:hAnsi="Arial" w:cs="Arial"/>
                <w:color w:val="000000"/>
                <w:sz w:val="20"/>
                <w:szCs w:val="20"/>
              </w:rPr>
              <w:t>5</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14:paraId="213BCE14" w14:textId="77777777" w:rsidR="009E0216" w:rsidRPr="00A52F41" w:rsidRDefault="009E0216" w:rsidP="009D2C9D">
            <w:pPr>
              <w:keepNext/>
              <w:keepLines/>
              <w:autoSpaceDE w:val="0"/>
              <w:autoSpaceDN w:val="0"/>
              <w:adjustRightInd w:val="0"/>
              <w:spacing w:before="60" w:after="0" w:line="312" w:lineRule="auto"/>
              <w:jc w:val="right"/>
              <w:rPr>
                <w:rFonts w:ascii="Arial" w:hAnsi="Arial" w:cs="Arial"/>
                <w:color w:val="000000"/>
                <w:sz w:val="20"/>
                <w:szCs w:val="20"/>
              </w:rPr>
            </w:pPr>
            <w:r w:rsidRPr="00A52F41">
              <w:rPr>
                <w:rFonts w:ascii="Arial" w:hAnsi="Arial" w:cs="Arial"/>
                <w:color w:val="000000"/>
                <w:sz w:val="20"/>
                <w:szCs w:val="20"/>
              </w:rPr>
              <w:t>772.944</w:t>
            </w:r>
          </w:p>
        </w:tc>
      </w:tr>
      <w:tr w:rsidR="009E0216" w:rsidRPr="00A52F41" w14:paraId="59D8B976" w14:textId="77777777" w:rsidTr="009D2C9D">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auto"/>
          </w:tcPr>
          <w:p w14:paraId="35CC6D44" w14:textId="77777777" w:rsidR="009E0216" w:rsidRPr="00A52F41" w:rsidRDefault="009E0216" w:rsidP="00DD34DF">
            <w:pPr>
              <w:keepNext/>
              <w:keepLines/>
              <w:autoSpaceDE w:val="0"/>
              <w:autoSpaceDN w:val="0"/>
              <w:adjustRightInd w:val="0"/>
              <w:spacing w:before="60" w:after="0" w:line="312" w:lineRule="auto"/>
              <w:jc w:val="both"/>
              <w:rPr>
                <w:rFonts w:ascii="Arial" w:hAnsi="Arial" w:cs="Arial"/>
                <w:color w:val="000000"/>
                <w:sz w:val="20"/>
                <w:szCs w:val="20"/>
              </w:rPr>
            </w:pPr>
            <w:r w:rsidRPr="00A52F41">
              <w:rPr>
                <w:rFonts w:ascii="Arial" w:hAnsi="Arial" w:cs="Arial"/>
                <w:color w:val="000000"/>
                <w:sz w:val="20"/>
                <w:szCs w:val="20"/>
              </w:rPr>
              <w:t>Stroški pridobivanja energije iz obnovljivih virov  na kmetijskih gospodarstvih</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7E888F75" w14:textId="77777777" w:rsidR="009E0216" w:rsidRPr="00A52F41" w:rsidRDefault="009E0216" w:rsidP="009D2C9D">
            <w:pPr>
              <w:keepNext/>
              <w:keepLines/>
              <w:autoSpaceDE w:val="0"/>
              <w:autoSpaceDN w:val="0"/>
              <w:adjustRightInd w:val="0"/>
              <w:spacing w:before="60" w:after="0" w:line="312" w:lineRule="auto"/>
              <w:jc w:val="right"/>
              <w:rPr>
                <w:rFonts w:ascii="Arial" w:hAnsi="Arial" w:cs="Arial"/>
                <w:color w:val="000000"/>
                <w:sz w:val="20"/>
                <w:szCs w:val="20"/>
              </w:rPr>
            </w:pPr>
            <w:r w:rsidRPr="00A52F41">
              <w:rPr>
                <w:rFonts w:ascii="Arial" w:hAnsi="Arial" w:cs="Arial"/>
                <w:color w:val="000000"/>
                <w:sz w:val="20"/>
                <w:szCs w:val="20"/>
              </w:rPr>
              <w:t>6</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14:paraId="57F47FD3" w14:textId="77777777" w:rsidR="009E0216" w:rsidRPr="00A52F41" w:rsidRDefault="009E0216" w:rsidP="009D2C9D">
            <w:pPr>
              <w:keepNext/>
              <w:keepLines/>
              <w:autoSpaceDE w:val="0"/>
              <w:autoSpaceDN w:val="0"/>
              <w:adjustRightInd w:val="0"/>
              <w:spacing w:before="60" w:after="0" w:line="312" w:lineRule="auto"/>
              <w:jc w:val="right"/>
              <w:rPr>
                <w:rFonts w:ascii="Arial" w:hAnsi="Arial" w:cs="Arial"/>
                <w:color w:val="000000"/>
                <w:sz w:val="20"/>
                <w:szCs w:val="20"/>
              </w:rPr>
            </w:pPr>
            <w:r w:rsidRPr="00A52F41">
              <w:rPr>
                <w:rFonts w:ascii="Arial" w:hAnsi="Arial" w:cs="Arial"/>
                <w:color w:val="000000"/>
                <w:sz w:val="20"/>
                <w:szCs w:val="20"/>
              </w:rPr>
              <w:t>930.216</w:t>
            </w:r>
          </w:p>
        </w:tc>
      </w:tr>
      <w:tr w:rsidR="009E0216" w:rsidRPr="00A52F41" w14:paraId="7ACB7629" w14:textId="77777777" w:rsidTr="009D2C9D">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auto"/>
          </w:tcPr>
          <w:p w14:paraId="6A4FCEB6" w14:textId="77777777" w:rsidR="009E0216" w:rsidRPr="00A52F41" w:rsidRDefault="009E0216" w:rsidP="00250D58">
            <w:pPr>
              <w:autoSpaceDE w:val="0"/>
              <w:autoSpaceDN w:val="0"/>
              <w:adjustRightInd w:val="0"/>
              <w:spacing w:before="60" w:after="0" w:line="312" w:lineRule="auto"/>
              <w:jc w:val="both"/>
              <w:rPr>
                <w:rFonts w:ascii="Arial" w:hAnsi="Arial" w:cs="Arial"/>
                <w:color w:val="000000"/>
                <w:sz w:val="20"/>
                <w:szCs w:val="20"/>
              </w:rPr>
            </w:pPr>
            <w:r w:rsidRPr="00A52F41">
              <w:rPr>
                <w:rFonts w:ascii="Arial" w:hAnsi="Arial" w:cs="Arial"/>
                <w:color w:val="000000"/>
                <w:sz w:val="20"/>
                <w:szCs w:val="20"/>
              </w:rPr>
              <w:t>Pridobivanje energije iz biomase</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12BA1D12" w14:textId="77777777" w:rsidR="009E0216" w:rsidRPr="00A52F41" w:rsidRDefault="009E0216" w:rsidP="009D2C9D">
            <w:pPr>
              <w:autoSpaceDE w:val="0"/>
              <w:autoSpaceDN w:val="0"/>
              <w:adjustRightInd w:val="0"/>
              <w:spacing w:before="60" w:after="0" w:line="312" w:lineRule="auto"/>
              <w:jc w:val="right"/>
              <w:rPr>
                <w:rFonts w:ascii="Arial" w:hAnsi="Arial" w:cs="Arial"/>
                <w:color w:val="000000"/>
                <w:sz w:val="20"/>
                <w:szCs w:val="20"/>
              </w:rPr>
            </w:pPr>
            <w:r w:rsidRPr="00A52F41">
              <w:rPr>
                <w:rFonts w:ascii="Arial" w:hAnsi="Arial" w:cs="Arial"/>
                <w:color w:val="000000"/>
                <w:sz w:val="20"/>
                <w:szCs w:val="20"/>
              </w:rPr>
              <w:t>2</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14:paraId="08FA062C" w14:textId="77777777" w:rsidR="009E0216" w:rsidRPr="00A52F41" w:rsidRDefault="009E0216" w:rsidP="009D2C9D">
            <w:pPr>
              <w:autoSpaceDE w:val="0"/>
              <w:autoSpaceDN w:val="0"/>
              <w:adjustRightInd w:val="0"/>
              <w:spacing w:before="60" w:after="0" w:line="312" w:lineRule="auto"/>
              <w:jc w:val="right"/>
              <w:rPr>
                <w:rFonts w:ascii="Arial" w:hAnsi="Arial" w:cs="Arial"/>
                <w:color w:val="000000"/>
                <w:sz w:val="20"/>
                <w:szCs w:val="20"/>
              </w:rPr>
            </w:pPr>
            <w:r w:rsidRPr="00A52F41">
              <w:rPr>
                <w:rFonts w:ascii="Arial" w:hAnsi="Arial" w:cs="Arial"/>
                <w:color w:val="000000"/>
                <w:sz w:val="20"/>
                <w:szCs w:val="20"/>
              </w:rPr>
              <w:t>448.044</w:t>
            </w:r>
          </w:p>
        </w:tc>
      </w:tr>
      <w:tr w:rsidR="009E0216" w:rsidRPr="00A52F41" w14:paraId="70F8C1BA" w14:textId="77777777" w:rsidTr="009D2C9D">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auto"/>
          </w:tcPr>
          <w:p w14:paraId="6A80FB3A" w14:textId="77777777" w:rsidR="009E0216" w:rsidRPr="00A52F41" w:rsidRDefault="009E0216" w:rsidP="00250D58">
            <w:pPr>
              <w:autoSpaceDE w:val="0"/>
              <w:autoSpaceDN w:val="0"/>
              <w:adjustRightInd w:val="0"/>
              <w:spacing w:before="60" w:after="0" w:line="312" w:lineRule="auto"/>
              <w:jc w:val="both"/>
              <w:rPr>
                <w:rFonts w:ascii="Arial" w:hAnsi="Arial" w:cs="Arial"/>
                <w:b/>
                <w:bCs/>
                <w:color w:val="000000"/>
                <w:sz w:val="20"/>
                <w:szCs w:val="20"/>
              </w:rPr>
            </w:pPr>
            <w:r w:rsidRPr="00A52F41">
              <w:rPr>
                <w:rFonts w:ascii="Arial" w:hAnsi="Arial" w:cs="Arial"/>
                <w:b/>
                <w:bCs/>
                <w:color w:val="000000"/>
                <w:sz w:val="20"/>
                <w:szCs w:val="20"/>
              </w:rPr>
              <w:t>Skupaj</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7132D57B" w14:textId="77777777" w:rsidR="009E0216" w:rsidRPr="00A52F41" w:rsidRDefault="009E0216" w:rsidP="009D2C9D">
            <w:pPr>
              <w:autoSpaceDE w:val="0"/>
              <w:autoSpaceDN w:val="0"/>
              <w:adjustRightInd w:val="0"/>
              <w:spacing w:before="60" w:after="0" w:line="312" w:lineRule="auto"/>
              <w:jc w:val="right"/>
              <w:rPr>
                <w:rFonts w:ascii="Arial" w:hAnsi="Arial" w:cs="Arial"/>
                <w:b/>
                <w:bCs/>
                <w:color w:val="000000"/>
                <w:sz w:val="20"/>
                <w:szCs w:val="20"/>
              </w:rPr>
            </w:pPr>
            <w:r w:rsidRPr="00A52F41">
              <w:rPr>
                <w:rFonts w:ascii="Arial" w:hAnsi="Arial" w:cs="Arial"/>
                <w:b/>
                <w:bCs/>
                <w:color w:val="000000"/>
                <w:sz w:val="20"/>
                <w:szCs w:val="20"/>
              </w:rPr>
              <w:t>13</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14:paraId="4634C1B9" w14:textId="77777777" w:rsidR="009E0216" w:rsidRPr="00A52F41" w:rsidRDefault="009E0216" w:rsidP="009D2C9D">
            <w:pPr>
              <w:autoSpaceDE w:val="0"/>
              <w:autoSpaceDN w:val="0"/>
              <w:adjustRightInd w:val="0"/>
              <w:spacing w:before="60" w:after="0" w:line="312" w:lineRule="auto"/>
              <w:jc w:val="right"/>
              <w:rPr>
                <w:rFonts w:ascii="Arial" w:hAnsi="Arial" w:cs="Arial"/>
                <w:b/>
                <w:bCs/>
                <w:color w:val="000000"/>
                <w:sz w:val="20"/>
                <w:szCs w:val="20"/>
              </w:rPr>
            </w:pPr>
            <w:r w:rsidRPr="00A52F41">
              <w:rPr>
                <w:rFonts w:ascii="Arial" w:hAnsi="Arial" w:cs="Arial"/>
                <w:b/>
                <w:bCs/>
                <w:color w:val="000000"/>
                <w:sz w:val="20"/>
                <w:szCs w:val="20"/>
              </w:rPr>
              <w:t>2.151.203</w:t>
            </w:r>
          </w:p>
        </w:tc>
      </w:tr>
    </w:tbl>
    <w:p w14:paraId="122CEF83" w14:textId="77777777" w:rsidR="009E0216" w:rsidRPr="008D32AC" w:rsidRDefault="002D6764" w:rsidP="008D32AC">
      <w:pPr>
        <w:pStyle w:val="1"/>
        <w:rPr>
          <w:sz w:val="16"/>
        </w:rPr>
      </w:pPr>
      <w:bookmarkStart w:id="77" w:name="_Toc51758571"/>
      <w:r w:rsidRPr="008D32AC">
        <w:rPr>
          <w:sz w:val="16"/>
        </w:rPr>
        <w:t>Vir: MKGP, 2020</w:t>
      </w:r>
      <w:bookmarkEnd w:id="77"/>
    </w:p>
    <w:p w14:paraId="60ED40A4" w14:textId="77777777" w:rsidR="009E0216" w:rsidRPr="00A52F41" w:rsidRDefault="009E0216" w:rsidP="00EA2E4C">
      <w:pPr>
        <w:spacing w:line="360" w:lineRule="auto"/>
        <w:jc w:val="both"/>
        <w:rPr>
          <w:rFonts w:ascii="Arial" w:hAnsi="Arial" w:cs="Arial"/>
          <w:sz w:val="20"/>
          <w:szCs w:val="20"/>
        </w:rPr>
      </w:pPr>
    </w:p>
    <w:p w14:paraId="08D5BB6F" w14:textId="7986C20D" w:rsidR="009E0216" w:rsidRPr="00BE756C" w:rsidRDefault="009E0216" w:rsidP="00BE756C">
      <w:pPr>
        <w:pStyle w:val="Naslov2"/>
        <w:spacing w:after="200" w:line="360" w:lineRule="auto"/>
        <w:jc w:val="both"/>
        <w:rPr>
          <w:rFonts w:ascii="Arial" w:hAnsi="Arial" w:cs="Arial"/>
          <w:color w:val="auto"/>
          <w:sz w:val="24"/>
          <w:szCs w:val="24"/>
        </w:rPr>
      </w:pPr>
      <w:bookmarkStart w:id="78" w:name="_Toc55999338"/>
      <w:r w:rsidRPr="00BE756C">
        <w:rPr>
          <w:rFonts w:ascii="Arial" w:hAnsi="Arial" w:cs="Arial"/>
          <w:color w:val="auto"/>
          <w:sz w:val="24"/>
          <w:szCs w:val="24"/>
        </w:rPr>
        <w:t>3.</w:t>
      </w:r>
      <w:r w:rsidR="006A050F">
        <w:rPr>
          <w:rFonts w:ascii="Arial" w:hAnsi="Arial" w:cs="Arial"/>
          <w:color w:val="auto"/>
          <w:sz w:val="24"/>
          <w:szCs w:val="24"/>
        </w:rPr>
        <w:t>5</w:t>
      </w:r>
      <w:r w:rsidRPr="00BE756C">
        <w:rPr>
          <w:rFonts w:ascii="Arial" w:hAnsi="Arial" w:cs="Arial"/>
          <w:color w:val="auto"/>
          <w:sz w:val="24"/>
          <w:szCs w:val="24"/>
        </w:rPr>
        <w:t xml:space="preserve"> KLJUČNE UGOTOVITVE</w:t>
      </w:r>
      <w:bookmarkEnd w:id="78"/>
    </w:p>
    <w:p w14:paraId="0DE60E71" w14:textId="77777777" w:rsidR="009E0216" w:rsidRPr="00A52F41"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b/>
          <w:color w:val="auto"/>
          <w:sz w:val="20"/>
          <w:szCs w:val="20"/>
          <w:lang w:val="sl-SI"/>
        </w:rPr>
        <w:t>Gospodarski kazalniki se po letu 2013 izboljšujejo</w:t>
      </w:r>
      <w:r w:rsidRPr="00A52F41">
        <w:rPr>
          <w:rFonts w:ascii="Arial" w:hAnsi="Arial" w:cs="Arial"/>
          <w:color w:val="auto"/>
          <w:sz w:val="20"/>
          <w:szCs w:val="20"/>
          <w:lang w:val="sl-SI"/>
        </w:rPr>
        <w:t>. Bruto domači proizvod se je v Sloveniji leta 2018 šesto leto zapored povečal (45.755 mio EUR), njegova rast, ki se je začela umirjati leta 2018, pa se je opazno upočasnila. BDP na prebivalca je lata 2018 znašala 22.083 EUR. Stopnja zaposlenosti je v Sloveniji vsa leta nad povprečjem EU, med tem ko je produktivnost dela ostala nizka (leta 2018: 82 % povprečja EU).</w:t>
      </w:r>
    </w:p>
    <w:p w14:paraId="4DC4CC9B" w14:textId="66C855E7" w:rsidR="009E0216" w:rsidRPr="00A52F41"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b/>
          <w:color w:val="auto"/>
          <w:sz w:val="20"/>
          <w:szCs w:val="20"/>
          <w:lang w:val="sl-SI"/>
        </w:rPr>
        <w:lastRenderedPageBreak/>
        <w:t>Obstajajo regionalne razlike po gospodarski razvitosti</w:t>
      </w:r>
      <w:r w:rsidRPr="00A52F41">
        <w:rPr>
          <w:rFonts w:ascii="Arial" w:hAnsi="Arial" w:cs="Arial"/>
          <w:color w:val="auto"/>
          <w:sz w:val="20"/>
          <w:szCs w:val="20"/>
          <w:lang w:val="sl-SI"/>
        </w:rPr>
        <w:t>. Najvišji BDP na prebivalca ima osrednjeslovenska regija, ki je leta 2018 za več kot 40 % presegala slovensko povprečje. Regija ima največ delovnih mest in posledično veliko delovnih migracij, kar ji viša BDP na prebivalca. Slovensko povprečje po BDP na prebivalca presega le še obalno-kraška regija. Najnižji BDP pa imajo zasavska, pomurska in primorsko-notranjska regija.</w:t>
      </w:r>
    </w:p>
    <w:p w14:paraId="11EA420F" w14:textId="77777777" w:rsidR="009E0216" w:rsidRPr="00A52F41"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b/>
          <w:color w:val="auto"/>
          <w:sz w:val="20"/>
          <w:szCs w:val="20"/>
          <w:lang w:val="sl-SI"/>
        </w:rPr>
        <w:t>V Sloveniji se je stopnja zaposlenosti od leta 2014-2019 ponovno povečevala</w:t>
      </w:r>
      <w:r w:rsidRPr="00A52F41">
        <w:rPr>
          <w:rFonts w:ascii="Arial" w:hAnsi="Arial" w:cs="Arial"/>
          <w:color w:val="auto"/>
          <w:sz w:val="20"/>
          <w:szCs w:val="20"/>
          <w:lang w:val="sl-SI"/>
        </w:rPr>
        <w:t xml:space="preserve"> in je leta 2019 dosegla najvišjo stopnjo v zadnjih desetih letih (71,8 %), kar je višje od povprečja članic EU-27. </w:t>
      </w:r>
      <w:r w:rsidRPr="00A52F41">
        <w:rPr>
          <w:rFonts w:ascii="Arial" w:hAnsi="Arial" w:cs="Arial"/>
          <w:b/>
          <w:color w:val="auto"/>
          <w:sz w:val="20"/>
          <w:szCs w:val="20"/>
          <w:lang w:val="sl-SI"/>
        </w:rPr>
        <w:t>Stopnja anketne brezposelnosti se je po letu 2013 pet let zniževala</w:t>
      </w:r>
      <w:r w:rsidRPr="00A52F41">
        <w:rPr>
          <w:rFonts w:ascii="Arial" w:hAnsi="Arial" w:cs="Arial"/>
          <w:color w:val="auto"/>
          <w:sz w:val="20"/>
          <w:szCs w:val="20"/>
          <w:lang w:val="sl-SI"/>
        </w:rPr>
        <w:t xml:space="preserve"> in v let 2018 dosegla že 5,1 %, v </w:t>
      </w:r>
      <w:r w:rsidRPr="00A52F41">
        <w:rPr>
          <w:rFonts w:ascii="Arial" w:hAnsi="Arial" w:cs="Arial"/>
          <w:b/>
          <w:color w:val="auto"/>
          <w:sz w:val="20"/>
          <w:szCs w:val="20"/>
          <w:lang w:val="sl-SI"/>
        </w:rPr>
        <w:t>prvi polovici leta 2020 pa se je ponovno dvignila na 9,3 %,</w:t>
      </w:r>
      <w:r w:rsidRPr="00A52F41">
        <w:rPr>
          <w:rFonts w:ascii="Arial" w:hAnsi="Arial" w:cs="Arial"/>
          <w:color w:val="auto"/>
          <w:sz w:val="20"/>
          <w:szCs w:val="20"/>
          <w:lang w:val="sl-SI"/>
        </w:rPr>
        <w:t xml:space="preserve"> na kar je vplivalo ohlajanje gospodarstva in koronakriza. </w:t>
      </w:r>
      <w:r w:rsidRPr="00A52F41">
        <w:rPr>
          <w:rFonts w:ascii="Arial" w:hAnsi="Arial" w:cs="Arial"/>
          <w:b/>
          <w:color w:val="auto"/>
          <w:sz w:val="20"/>
          <w:szCs w:val="20"/>
          <w:lang w:val="sl-SI"/>
        </w:rPr>
        <w:t>Največ brezposelnih je med mladimi do 29 let</w:t>
      </w:r>
      <w:r w:rsidRPr="00A52F41">
        <w:rPr>
          <w:rFonts w:ascii="Arial" w:hAnsi="Arial" w:cs="Arial"/>
          <w:color w:val="auto"/>
          <w:sz w:val="20"/>
          <w:szCs w:val="20"/>
          <w:lang w:val="sl-SI"/>
        </w:rPr>
        <w:t xml:space="preserve"> (v skupini 15-24 let kar 17,5 %) in </w:t>
      </w:r>
      <w:r w:rsidRPr="00A52F41">
        <w:rPr>
          <w:rFonts w:ascii="Arial" w:hAnsi="Arial" w:cs="Arial"/>
          <w:b/>
          <w:color w:val="auto"/>
          <w:sz w:val="20"/>
          <w:szCs w:val="20"/>
          <w:lang w:val="sl-SI"/>
        </w:rPr>
        <w:t>starejšimi nad 60 let</w:t>
      </w:r>
      <w:r w:rsidRPr="00A52F41">
        <w:rPr>
          <w:rFonts w:ascii="Arial" w:hAnsi="Arial" w:cs="Arial"/>
          <w:color w:val="auto"/>
          <w:sz w:val="20"/>
          <w:szCs w:val="20"/>
          <w:lang w:val="sl-SI"/>
        </w:rPr>
        <w:t xml:space="preserve"> (15,3 %). Za mlade so značilne izgube zaposlitev za določen čas, starejši pa kot trajno presežni delavci.</w:t>
      </w:r>
    </w:p>
    <w:p w14:paraId="62F4F491" w14:textId="07D63EF9" w:rsidR="009E0216" w:rsidRPr="00A52F41"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b/>
          <w:color w:val="auto"/>
          <w:sz w:val="20"/>
          <w:szCs w:val="20"/>
          <w:lang w:val="sl-SI"/>
        </w:rPr>
        <w:t>V marcu 2020 je bila v Sloveniji razglašena epidemija koronavirusne bolezni, ki je prinesla negativne učinke na gospodarski in socialni položaj</w:t>
      </w:r>
      <w:r w:rsidRPr="00A52F41">
        <w:rPr>
          <w:rFonts w:ascii="Arial" w:hAnsi="Arial" w:cs="Arial"/>
          <w:color w:val="auto"/>
          <w:sz w:val="20"/>
          <w:szCs w:val="20"/>
          <w:lang w:val="sl-SI"/>
        </w:rPr>
        <w:t>. Razmere kot posledica nujnih zaščitnih ukrepov že močno vplivajo na zmanjšanje gospodarske aktivnosti in pomanjkljivo urejena nekatera področja, kot so: velik delež prekarnih zaposlitev, sistemska neurejenost dolgotrajne oskrbe, čakalne dobe v zdravstvu, pomanjkanje digitalnih spretnosti prebivalstva, administrativne ovire in do</w:t>
      </w:r>
      <w:r w:rsidR="003371E9">
        <w:rPr>
          <w:rFonts w:ascii="Arial" w:hAnsi="Arial" w:cs="Arial"/>
          <w:color w:val="auto"/>
          <w:sz w:val="20"/>
          <w:szCs w:val="20"/>
          <w:lang w:val="sl-SI"/>
        </w:rPr>
        <w:t>lgotrajnost nekaterih postopkov</w:t>
      </w:r>
      <w:r w:rsidRPr="00A52F41">
        <w:rPr>
          <w:rFonts w:ascii="Arial" w:hAnsi="Arial" w:cs="Arial"/>
          <w:color w:val="auto"/>
          <w:sz w:val="20"/>
          <w:szCs w:val="20"/>
          <w:lang w:val="sl-SI"/>
        </w:rPr>
        <w:t>.</w:t>
      </w:r>
    </w:p>
    <w:p w14:paraId="6A574493" w14:textId="0273D832" w:rsidR="009E0216" w:rsidRPr="00A52F41"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b/>
          <w:color w:val="auto"/>
          <w:sz w:val="20"/>
          <w:szCs w:val="20"/>
          <w:lang w:val="sl-SI"/>
        </w:rPr>
        <w:t>Število podjet</w:t>
      </w:r>
      <w:r w:rsidR="00632F08">
        <w:rPr>
          <w:rFonts w:ascii="Arial" w:hAnsi="Arial" w:cs="Arial"/>
          <w:b/>
          <w:color w:val="auto"/>
          <w:sz w:val="20"/>
          <w:szCs w:val="20"/>
          <w:lang w:val="sl-SI"/>
        </w:rPr>
        <w:t>j</w:t>
      </w:r>
      <w:r w:rsidRPr="00A52F41">
        <w:rPr>
          <w:rFonts w:ascii="Arial" w:hAnsi="Arial" w:cs="Arial"/>
          <w:b/>
          <w:color w:val="auto"/>
          <w:sz w:val="20"/>
          <w:szCs w:val="20"/>
          <w:lang w:val="sl-SI"/>
        </w:rPr>
        <w:t>ih se je v zadnjih desetih letih povečalo za tretjino</w:t>
      </w:r>
      <w:r w:rsidRPr="00A52F41">
        <w:rPr>
          <w:rFonts w:ascii="Arial" w:hAnsi="Arial" w:cs="Arial"/>
          <w:color w:val="auto"/>
          <w:sz w:val="20"/>
          <w:szCs w:val="20"/>
          <w:lang w:val="sl-SI"/>
        </w:rPr>
        <w:t>. Leta 2018 je v Sloveniji poslovalo 200.174 podjetij, ki so zaposlovala 872.772 oseb in ustvarila 117.041 milijonov EUR prihodka. Število podjetij na podeželju se je od leta 2008 do 2018 povečalo za 32 %.</w:t>
      </w:r>
    </w:p>
    <w:p w14:paraId="30EEBCCE" w14:textId="1084A975" w:rsidR="009E0216" w:rsidRPr="00A52F41" w:rsidRDefault="009E0216" w:rsidP="00A05198">
      <w:pPr>
        <w:pStyle w:val="Default"/>
        <w:numPr>
          <w:ilvl w:val="0"/>
          <w:numId w:val="40"/>
        </w:numPr>
        <w:spacing w:before="200" w:after="200" w:line="360" w:lineRule="auto"/>
        <w:ind w:left="714" w:hanging="357"/>
        <w:jc w:val="both"/>
        <w:rPr>
          <w:rFonts w:ascii="Arial" w:hAnsi="Arial" w:cs="Arial"/>
          <w:b/>
          <w:color w:val="auto"/>
          <w:sz w:val="20"/>
          <w:szCs w:val="20"/>
          <w:lang w:val="sl-SI"/>
        </w:rPr>
      </w:pPr>
      <w:r w:rsidRPr="00A52F41">
        <w:rPr>
          <w:rFonts w:ascii="Arial" w:hAnsi="Arial" w:cs="Arial"/>
          <w:b/>
          <w:color w:val="auto"/>
          <w:sz w:val="20"/>
          <w:szCs w:val="20"/>
          <w:lang w:val="sl-SI"/>
        </w:rPr>
        <w:t>Povprečna bruto plača v Sloveniji</w:t>
      </w:r>
      <w:r w:rsidRPr="00A52F41">
        <w:rPr>
          <w:rFonts w:ascii="Arial" w:hAnsi="Arial" w:cs="Arial"/>
          <w:color w:val="auto"/>
          <w:sz w:val="20"/>
          <w:szCs w:val="20"/>
          <w:lang w:val="sl-SI"/>
        </w:rPr>
        <w:t xml:space="preserve"> leta 2019 je bila na zaposlenega 1.754 </w:t>
      </w:r>
      <w:r w:rsidR="00FF2A8E">
        <w:rPr>
          <w:rFonts w:ascii="Arial" w:hAnsi="Arial" w:cs="Arial"/>
          <w:color w:val="auto"/>
          <w:sz w:val="20"/>
          <w:szCs w:val="20"/>
          <w:lang w:val="sl-SI"/>
        </w:rPr>
        <w:t>EUR</w:t>
      </w:r>
      <w:r w:rsidRPr="00A52F41">
        <w:rPr>
          <w:rFonts w:ascii="Arial" w:hAnsi="Arial" w:cs="Arial"/>
          <w:color w:val="auto"/>
          <w:sz w:val="20"/>
          <w:szCs w:val="20"/>
          <w:lang w:val="sl-SI"/>
        </w:rPr>
        <w:t xml:space="preserve">. Na </w:t>
      </w:r>
      <w:r w:rsidRPr="00A52F41">
        <w:rPr>
          <w:rFonts w:ascii="Arial" w:hAnsi="Arial" w:cs="Arial"/>
          <w:b/>
          <w:color w:val="auto"/>
          <w:sz w:val="20"/>
          <w:szCs w:val="20"/>
          <w:lang w:val="sl-SI"/>
        </w:rPr>
        <w:t>podeželju je bila nižja</w:t>
      </w:r>
      <w:r w:rsidRPr="00A52F41">
        <w:rPr>
          <w:rFonts w:ascii="Arial" w:hAnsi="Arial" w:cs="Arial"/>
          <w:color w:val="auto"/>
          <w:sz w:val="20"/>
          <w:szCs w:val="20"/>
          <w:lang w:val="sl-SI"/>
        </w:rPr>
        <w:t xml:space="preserve"> za 12 % in znašala 1.534 </w:t>
      </w:r>
      <w:r w:rsidR="00FF2A8E">
        <w:rPr>
          <w:rFonts w:ascii="Arial" w:hAnsi="Arial" w:cs="Arial"/>
          <w:color w:val="auto"/>
          <w:sz w:val="20"/>
          <w:szCs w:val="20"/>
          <w:lang w:val="sl-SI"/>
        </w:rPr>
        <w:t>EUR</w:t>
      </w:r>
      <w:r w:rsidRPr="00A52F41">
        <w:rPr>
          <w:rFonts w:ascii="Arial" w:hAnsi="Arial" w:cs="Arial"/>
          <w:color w:val="auto"/>
          <w:sz w:val="20"/>
          <w:szCs w:val="20"/>
          <w:lang w:val="sl-SI"/>
        </w:rPr>
        <w:t xml:space="preserve">. </w:t>
      </w:r>
      <w:r w:rsidRPr="00A52F41">
        <w:rPr>
          <w:rFonts w:ascii="Arial" w:hAnsi="Arial" w:cs="Arial"/>
          <w:b/>
          <w:color w:val="auto"/>
          <w:sz w:val="20"/>
          <w:szCs w:val="20"/>
          <w:lang w:val="sl-SI"/>
        </w:rPr>
        <w:t>Stopnja delavne aktivnosti je od leta 2015 na podeželju nižja kot v povprečju Slovenije.</w:t>
      </w:r>
    </w:p>
    <w:p w14:paraId="51CDF8E9" w14:textId="60530C01" w:rsidR="009E0216" w:rsidRPr="00A52F41"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b/>
          <w:color w:val="auto"/>
          <w:sz w:val="20"/>
          <w:szCs w:val="20"/>
          <w:lang w:val="sl-SI"/>
        </w:rPr>
        <w:t>Na podeželju so v povprečju manjša podjetja z manj prihodki.</w:t>
      </w:r>
      <w:r w:rsidRPr="00A52F41">
        <w:rPr>
          <w:rFonts w:ascii="Arial" w:hAnsi="Arial" w:cs="Arial"/>
          <w:color w:val="auto"/>
          <w:sz w:val="20"/>
          <w:szCs w:val="20"/>
          <w:lang w:val="sl-SI"/>
        </w:rPr>
        <w:t xml:space="preserve"> Povprečna velikost podjetja leta 2018 je bila 4,6 zaposlenega na podjetje, </w:t>
      </w:r>
      <w:r w:rsidRPr="00A52F41">
        <w:rPr>
          <w:rFonts w:ascii="Arial" w:hAnsi="Arial" w:cs="Arial"/>
          <w:b/>
          <w:color w:val="auto"/>
          <w:sz w:val="20"/>
          <w:szCs w:val="20"/>
          <w:lang w:val="sl-SI"/>
        </w:rPr>
        <w:t>na podeželju pa so imela podjetja v povprečju 3,4 zaposlenega na podjetje</w:t>
      </w:r>
      <w:r w:rsidRPr="00A52F41">
        <w:rPr>
          <w:rFonts w:ascii="Arial" w:hAnsi="Arial" w:cs="Arial"/>
          <w:color w:val="auto"/>
          <w:sz w:val="20"/>
          <w:szCs w:val="20"/>
          <w:lang w:val="sl-SI"/>
        </w:rPr>
        <w:t xml:space="preserve">. Podjetja na podeželju so skupaj ustvarila 40.773 milijonov </w:t>
      </w:r>
      <w:r w:rsidR="00FF2A8E">
        <w:rPr>
          <w:rFonts w:ascii="Arial" w:hAnsi="Arial" w:cs="Arial"/>
          <w:color w:val="auto"/>
          <w:sz w:val="20"/>
          <w:szCs w:val="20"/>
          <w:lang w:val="sl-SI"/>
        </w:rPr>
        <w:t>EUR</w:t>
      </w:r>
      <w:r w:rsidRPr="00A52F41">
        <w:rPr>
          <w:rFonts w:ascii="Arial" w:hAnsi="Arial" w:cs="Arial"/>
          <w:color w:val="auto"/>
          <w:sz w:val="20"/>
          <w:szCs w:val="20"/>
          <w:lang w:val="sl-SI"/>
        </w:rPr>
        <w:t xml:space="preserve"> prihodka, kar pa predstavlja le 34,8 % vseh prihodkov podjetij v Sloveniji. Povprečni prihodek na podjetje je bil leta 2018 v Sloveniji 584.694 </w:t>
      </w:r>
      <w:r w:rsidR="00FF2A8E">
        <w:rPr>
          <w:rFonts w:ascii="Arial" w:hAnsi="Arial" w:cs="Arial"/>
          <w:color w:val="auto"/>
          <w:sz w:val="20"/>
          <w:szCs w:val="20"/>
          <w:lang w:val="sl-SI"/>
        </w:rPr>
        <w:t>EUR</w:t>
      </w:r>
      <w:r w:rsidRPr="00A52F41">
        <w:rPr>
          <w:rFonts w:ascii="Arial" w:hAnsi="Arial" w:cs="Arial"/>
          <w:color w:val="auto"/>
          <w:sz w:val="20"/>
          <w:szCs w:val="20"/>
          <w:lang w:val="sl-SI"/>
        </w:rPr>
        <w:t xml:space="preserve">, na podeželju pa 398.938 </w:t>
      </w:r>
      <w:r w:rsidR="00FF2A8E">
        <w:rPr>
          <w:rFonts w:ascii="Arial" w:hAnsi="Arial" w:cs="Arial"/>
          <w:color w:val="auto"/>
          <w:sz w:val="20"/>
          <w:szCs w:val="20"/>
          <w:lang w:val="sl-SI"/>
        </w:rPr>
        <w:t>EUR</w:t>
      </w:r>
      <w:r w:rsidRPr="00A52F41">
        <w:rPr>
          <w:rFonts w:ascii="Arial" w:hAnsi="Arial" w:cs="Arial"/>
          <w:color w:val="auto"/>
          <w:sz w:val="20"/>
          <w:szCs w:val="20"/>
          <w:lang w:val="sl-SI"/>
        </w:rPr>
        <w:t>, kar prestavlja manj kot 70 % dohodka podjetij v Sloveniji in samo 51 % prihodka na podjetje v mestih.</w:t>
      </w:r>
    </w:p>
    <w:p w14:paraId="65D2E6D2" w14:textId="77777777" w:rsidR="009E0216" w:rsidRPr="00A52F41"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b/>
          <w:color w:val="auto"/>
          <w:sz w:val="20"/>
          <w:szCs w:val="20"/>
          <w:lang w:val="sl-SI"/>
        </w:rPr>
        <w:t>Na podeželju je v primerjavi s celotno Slovenijo v podjetjih manj investicij v osnovna sredstva</w:t>
      </w:r>
      <w:r w:rsidRPr="00A52F41">
        <w:rPr>
          <w:rFonts w:ascii="Arial" w:hAnsi="Arial" w:cs="Arial"/>
          <w:color w:val="auto"/>
          <w:sz w:val="20"/>
          <w:szCs w:val="20"/>
          <w:lang w:val="sl-SI"/>
        </w:rPr>
        <w:t xml:space="preserve"> (v letu 2018 40 %), z leti pa se znižujejo investicije tako v opredmetena kot v neopredmetena osnovna sredstva).</w:t>
      </w:r>
    </w:p>
    <w:p w14:paraId="66EE00DF" w14:textId="77777777" w:rsidR="009E0216" w:rsidRPr="00A52F41"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b/>
          <w:sz w:val="20"/>
          <w:szCs w:val="20"/>
          <w:lang w:val="sl-SI"/>
        </w:rPr>
        <w:t>Počasen napredek na področju človeškega kapitala za digitalizacijo</w:t>
      </w:r>
      <w:r w:rsidRPr="00A52F41">
        <w:rPr>
          <w:rFonts w:ascii="Arial" w:hAnsi="Arial" w:cs="Arial"/>
          <w:sz w:val="20"/>
          <w:szCs w:val="20"/>
          <w:lang w:val="sl-SI"/>
        </w:rPr>
        <w:t xml:space="preserve"> pomeni oviro pri digitalni preobrazbi podjetniškega in javnega sektorja.</w:t>
      </w:r>
    </w:p>
    <w:p w14:paraId="35CEBD31" w14:textId="57544F1A" w:rsidR="00DD34DF" w:rsidRDefault="00DD34DF"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F1211D">
        <w:rPr>
          <w:rFonts w:ascii="Arial" w:hAnsi="Arial" w:cs="Arial"/>
          <w:b/>
          <w:color w:val="auto"/>
          <w:sz w:val="20"/>
          <w:szCs w:val="20"/>
          <w:lang w:val="sl-SI"/>
        </w:rPr>
        <w:lastRenderedPageBreak/>
        <w:t>Število registriranih nekmetijskih dopolnilnih dejavnosti se iz leta v leto povečuje</w:t>
      </w:r>
      <w:r w:rsidR="009E7C94">
        <w:rPr>
          <w:rFonts w:ascii="Arial" w:hAnsi="Arial" w:cs="Arial"/>
          <w:color w:val="auto"/>
          <w:sz w:val="20"/>
          <w:szCs w:val="20"/>
          <w:lang w:val="sl-SI"/>
        </w:rPr>
        <w:t>,</w:t>
      </w:r>
      <w:r>
        <w:rPr>
          <w:rFonts w:ascii="Arial" w:hAnsi="Arial" w:cs="Arial"/>
          <w:color w:val="auto"/>
          <w:sz w:val="20"/>
          <w:szCs w:val="20"/>
          <w:lang w:val="sl-SI"/>
        </w:rPr>
        <w:t xml:space="preserve"> </w:t>
      </w:r>
      <w:r w:rsidR="009E7C94">
        <w:rPr>
          <w:rFonts w:ascii="Arial" w:hAnsi="Arial" w:cs="Arial"/>
          <w:color w:val="auto"/>
          <w:sz w:val="20"/>
          <w:szCs w:val="20"/>
          <w:lang w:val="sl-SI"/>
        </w:rPr>
        <w:t>v letu 2020 je bilo tako registriranih 6.578 nekmetijskih dopolnilnih dejavnosti</w:t>
      </w:r>
      <w:r>
        <w:rPr>
          <w:rFonts w:ascii="Arial" w:hAnsi="Arial" w:cs="Arial"/>
          <w:color w:val="auto"/>
          <w:sz w:val="20"/>
          <w:szCs w:val="20"/>
          <w:lang w:val="sl-SI"/>
        </w:rPr>
        <w:t xml:space="preserve"> </w:t>
      </w:r>
      <w:r w:rsidR="009E7C94">
        <w:rPr>
          <w:rFonts w:ascii="Arial" w:hAnsi="Arial" w:cs="Arial"/>
          <w:color w:val="auto"/>
          <w:sz w:val="20"/>
          <w:szCs w:val="20"/>
          <w:lang w:val="sl-SI"/>
        </w:rPr>
        <w:t xml:space="preserve">oziroma  za </w:t>
      </w:r>
      <w:r w:rsidR="009E7C94" w:rsidRPr="003371E9">
        <w:rPr>
          <w:rFonts w:ascii="Arial" w:hAnsi="Arial" w:cs="Arial"/>
          <w:sz w:val="20"/>
          <w:szCs w:val="20"/>
          <w:lang w:val="sl-SI"/>
        </w:rPr>
        <w:t xml:space="preserve">1.652 oziroma 33,5 % več kot </w:t>
      </w:r>
      <w:r w:rsidR="009E7C94">
        <w:rPr>
          <w:rFonts w:ascii="Arial" w:hAnsi="Arial" w:cs="Arial"/>
          <w:color w:val="auto"/>
          <w:sz w:val="20"/>
          <w:szCs w:val="20"/>
          <w:lang w:val="sl-SI"/>
        </w:rPr>
        <w:t>leta 2016.</w:t>
      </w:r>
    </w:p>
    <w:p w14:paraId="586B80D2" w14:textId="315FEC1F" w:rsidR="009E7C94" w:rsidRDefault="009E7C94"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F1211D">
        <w:rPr>
          <w:rFonts w:ascii="Arial" w:hAnsi="Arial" w:cs="Arial"/>
          <w:b/>
          <w:color w:val="auto"/>
          <w:sz w:val="20"/>
          <w:szCs w:val="20"/>
          <w:lang w:val="sl-SI"/>
        </w:rPr>
        <w:t>Število kmetij, ki svojo primarno kmetijsko dejavnost dopolnjujejo z eno ali več nekmetijskimi dopolnilnimi dejavnostmi se povečuje</w:t>
      </w:r>
      <w:r w:rsidR="0072136F">
        <w:rPr>
          <w:rFonts w:ascii="Arial" w:hAnsi="Arial" w:cs="Arial"/>
          <w:color w:val="auto"/>
          <w:sz w:val="20"/>
          <w:szCs w:val="20"/>
          <w:lang w:val="sl-SI"/>
        </w:rPr>
        <w:t>. V letu 2020 je bilo takih kmetij 2.739 kar pomeni 815 kmetij oziroma 19,8 % več kmetij kot leta 2016. Povečuje se tudi povprečno število nekmetijskih dopolnilnih dejavnosti na kmetijo, ta je v letu 2020 znašal 2,4.</w:t>
      </w:r>
    </w:p>
    <w:p w14:paraId="47F23D80" w14:textId="077F9EFF" w:rsidR="0072136F" w:rsidRPr="00F1211D" w:rsidRDefault="00F1211D"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Pr>
          <w:rFonts w:ascii="Arial" w:hAnsi="Arial" w:cs="Arial"/>
          <w:sz w:val="20"/>
          <w:szCs w:val="20"/>
          <w:lang w:val="sl-SI"/>
        </w:rPr>
        <w:t xml:space="preserve">V letu 2020 je </w:t>
      </w:r>
      <w:r w:rsidRPr="00F1211D">
        <w:rPr>
          <w:rFonts w:ascii="Arial" w:hAnsi="Arial" w:cs="Arial"/>
          <w:b/>
          <w:sz w:val="20"/>
          <w:szCs w:val="20"/>
          <w:lang w:val="sl-SI"/>
        </w:rPr>
        <w:t>n</w:t>
      </w:r>
      <w:r w:rsidR="0072136F" w:rsidRPr="00F1211D">
        <w:rPr>
          <w:rFonts w:ascii="Arial" w:hAnsi="Arial" w:cs="Arial"/>
          <w:b/>
          <w:sz w:val="20"/>
          <w:szCs w:val="20"/>
          <w:lang w:val="sl-SI"/>
        </w:rPr>
        <w:t>ajveč</w:t>
      </w:r>
      <w:r w:rsidR="00DF5799">
        <w:rPr>
          <w:rFonts w:ascii="Arial" w:hAnsi="Arial" w:cs="Arial"/>
          <w:b/>
          <w:sz w:val="20"/>
          <w:szCs w:val="20"/>
          <w:lang w:val="sl-SI"/>
        </w:rPr>
        <w:t xml:space="preserve"> nekmetijskih</w:t>
      </w:r>
      <w:r w:rsidR="0072136F" w:rsidRPr="0072136F">
        <w:rPr>
          <w:rFonts w:ascii="Arial" w:hAnsi="Arial" w:cs="Arial"/>
          <w:sz w:val="20"/>
          <w:szCs w:val="20"/>
          <w:lang w:val="sl-SI"/>
        </w:rPr>
        <w:t>, to je 1.811</w:t>
      </w:r>
      <w:r w:rsidR="00DF5799">
        <w:rPr>
          <w:rFonts w:ascii="Arial" w:hAnsi="Arial" w:cs="Arial"/>
          <w:sz w:val="20"/>
          <w:szCs w:val="20"/>
          <w:lang w:val="sl-SI"/>
        </w:rPr>
        <w:t>,</w:t>
      </w:r>
      <w:r w:rsidR="0072136F" w:rsidRPr="0072136F">
        <w:rPr>
          <w:rFonts w:ascii="Arial" w:hAnsi="Arial" w:cs="Arial"/>
          <w:sz w:val="20"/>
          <w:szCs w:val="20"/>
          <w:lang w:val="sl-SI"/>
        </w:rPr>
        <w:t xml:space="preserve"> </w:t>
      </w:r>
      <w:r w:rsidR="0072136F" w:rsidRPr="00F1211D">
        <w:rPr>
          <w:rFonts w:ascii="Arial" w:hAnsi="Arial" w:cs="Arial"/>
          <w:b/>
          <w:sz w:val="20"/>
          <w:szCs w:val="20"/>
          <w:lang w:val="sl-SI"/>
        </w:rPr>
        <w:t>dopolnilnih dejavnosti povezanih s turizmom</w:t>
      </w:r>
      <w:r w:rsidR="0072136F" w:rsidRPr="0072136F">
        <w:rPr>
          <w:rFonts w:ascii="Arial" w:hAnsi="Arial" w:cs="Arial"/>
          <w:sz w:val="20"/>
          <w:szCs w:val="20"/>
          <w:lang w:val="sl-SI"/>
        </w:rPr>
        <w:t>,</w:t>
      </w:r>
      <w:r>
        <w:rPr>
          <w:rFonts w:ascii="Arial" w:hAnsi="Arial" w:cs="Arial"/>
          <w:sz w:val="20"/>
          <w:szCs w:val="20"/>
          <w:lang w:val="sl-SI"/>
        </w:rPr>
        <w:t xml:space="preserve"> od tega</w:t>
      </w:r>
      <w:r w:rsidR="0072136F" w:rsidRPr="0072136F">
        <w:rPr>
          <w:rFonts w:ascii="Arial" w:hAnsi="Arial" w:cs="Arial"/>
          <w:sz w:val="20"/>
          <w:szCs w:val="20"/>
          <w:lang w:val="sl-SI"/>
        </w:rPr>
        <w:t xml:space="preserve"> se 1.202 </w:t>
      </w:r>
      <w:r>
        <w:rPr>
          <w:rFonts w:ascii="Arial" w:hAnsi="Arial" w:cs="Arial"/>
          <w:sz w:val="20"/>
          <w:szCs w:val="20"/>
          <w:lang w:val="sl-SI"/>
        </w:rPr>
        <w:t>opravljata</w:t>
      </w:r>
      <w:r w:rsidR="0072136F" w:rsidRPr="0072136F">
        <w:rPr>
          <w:rFonts w:ascii="Arial" w:hAnsi="Arial" w:cs="Arial"/>
          <w:sz w:val="20"/>
          <w:szCs w:val="20"/>
          <w:lang w:val="sl-SI"/>
        </w:rPr>
        <w:t xml:space="preserve"> kot dopolnilna dejavnost turizem, ki je gostinska dejavnost ter 669 kot dopolnilna dejavnost turizem na kmetiji, ki ni gostinska dejavnost.</w:t>
      </w:r>
      <w:r>
        <w:rPr>
          <w:rFonts w:ascii="Arial" w:hAnsi="Arial" w:cs="Arial"/>
          <w:sz w:val="20"/>
          <w:szCs w:val="20"/>
          <w:lang w:val="sl-SI"/>
        </w:rPr>
        <w:t xml:space="preserve"> </w:t>
      </w:r>
      <w:r w:rsidRPr="00F1211D">
        <w:rPr>
          <w:rFonts w:ascii="Arial" w:hAnsi="Arial" w:cs="Arial"/>
          <w:sz w:val="20"/>
          <w:szCs w:val="20"/>
          <w:lang w:val="sl-SI"/>
        </w:rPr>
        <w:t>Med vsemi nekmetijskimi dopolnilnimi dejavnostmi na kmetiji je v letu 2020 največkrat registrirana dopolnilna dejavnost »turistična kmetija z nastanitvijo« in sicer 578 krat, druga največkrat registrirana pa je »</w:t>
      </w:r>
      <w:r>
        <w:rPr>
          <w:rFonts w:ascii="Arial" w:hAnsi="Arial" w:cs="Arial"/>
          <w:sz w:val="20"/>
          <w:szCs w:val="20"/>
          <w:lang w:val="sl-SI"/>
        </w:rPr>
        <w:t>i</w:t>
      </w:r>
      <w:r w:rsidRPr="00F1211D">
        <w:rPr>
          <w:rFonts w:ascii="Arial" w:hAnsi="Arial" w:cs="Arial"/>
          <w:sz w:val="20"/>
          <w:szCs w:val="20"/>
          <w:lang w:val="sl-SI"/>
        </w:rPr>
        <w:t>zletniška kmetija« in sicer 484 krat</w:t>
      </w:r>
      <w:r>
        <w:rPr>
          <w:rFonts w:ascii="Arial" w:hAnsi="Arial" w:cs="Arial"/>
          <w:sz w:val="20"/>
          <w:szCs w:val="20"/>
          <w:lang w:val="sl-SI"/>
        </w:rPr>
        <w:t>.</w:t>
      </w:r>
    </w:p>
    <w:p w14:paraId="53A44B25" w14:textId="4435DEEB" w:rsidR="009E0216" w:rsidRPr="0072136F" w:rsidRDefault="009E0216" w:rsidP="0072136F">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b/>
          <w:color w:val="auto"/>
          <w:sz w:val="20"/>
          <w:szCs w:val="20"/>
          <w:lang w:val="sl-SI"/>
        </w:rPr>
        <w:t>Turizem na podeželju je na nacionalni ravni uvrščeno med deset vodilnih turističnih produktov v Sloveniji</w:t>
      </w:r>
      <w:r w:rsidRPr="00A52F41">
        <w:rPr>
          <w:rFonts w:ascii="Arial" w:hAnsi="Arial" w:cs="Arial"/>
          <w:color w:val="auto"/>
          <w:sz w:val="20"/>
          <w:szCs w:val="20"/>
          <w:lang w:val="sl-SI"/>
        </w:rPr>
        <w:t xml:space="preserve">. Turizem v Sloveniji je v zadnjih letih hitro rastoča gospodarska panoga Po nočitvah turistov glede na število prebivalcev je Slovenija nad povprečjem držav članic EU-27, kar kaže na pomen turizma v Sloveniji. V Sloveniji je bila večina prenočitev turistov v letu 2018 na podeželju. Turizem na podeželju temelji na ponudbi turističnih kmetij, manjših ponudnikov in zidanic ter na </w:t>
      </w:r>
      <w:r w:rsidR="00FC16F5">
        <w:rPr>
          <w:rFonts w:ascii="Arial" w:hAnsi="Arial" w:cs="Arial"/>
          <w:color w:val="auto"/>
          <w:sz w:val="20"/>
          <w:szCs w:val="20"/>
          <w:lang w:val="sl-SI"/>
        </w:rPr>
        <w:t>pristnih</w:t>
      </w:r>
      <w:r w:rsidR="00FC16F5" w:rsidRPr="00A52F41">
        <w:rPr>
          <w:rFonts w:ascii="Arial" w:hAnsi="Arial" w:cs="Arial"/>
          <w:color w:val="auto"/>
          <w:sz w:val="20"/>
          <w:szCs w:val="20"/>
          <w:lang w:val="sl-SI"/>
        </w:rPr>
        <w:t xml:space="preserve"> </w:t>
      </w:r>
      <w:r w:rsidRPr="00A52F41">
        <w:rPr>
          <w:rFonts w:ascii="Arial" w:hAnsi="Arial" w:cs="Arial"/>
          <w:color w:val="auto"/>
          <w:sz w:val="20"/>
          <w:szCs w:val="20"/>
          <w:lang w:val="sl-SI"/>
        </w:rPr>
        <w:t xml:space="preserve">doživetjih podeželja in je pomemben pospeševalec kmetijske proizvodnje, visokokakovostne </w:t>
      </w:r>
      <w:r w:rsidR="00FC16F5">
        <w:rPr>
          <w:rFonts w:ascii="Arial" w:hAnsi="Arial" w:cs="Arial"/>
          <w:color w:val="auto"/>
          <w:sz w:val="20"/>
          <w:szCs w:val="20"/>
          <w:lang w:val="sl-SI"/>
        </w:rPr>
        <w:t>pristne</w:t>
      </w:r>
      <w:r w:rsidR="00FC16F5" w:rsidRPr="00A52F41">
        <w:rPr>
          <w:rFonts w:ascii="Arial" w:hAnsi="Arial" w:cs="Arial"/>
          <w:color w:val="auto"/>
          <w:sz w:val="20"/>
          <w:szCs w:val="20"/>
          <w:lang w:val="sl-SI"/>
        </w:rPr>
        <w:t xml:space="preserve"> </w:t>
      </w:r>
      <w:r w:rsidRPr="00A52F41">
        <w:rPr>
          <w:rFonts w:ascii="Arial" w:hAnsi="Arial" w:cs="Arial"/>
          <w:color w:val="auto"/>
          <w:sz w:val="20"/>
          <w:szCs w:val="20"/>
          <w:lang w:val="sl-SI"/>
        </w:rPr>
        <w:t>kulinarike,</w:t>
      </w:r>
      <w:r w:rsidR="00FC16F5">
        <w:rPr>
          <w:rFonts w:ascii="Arial" w:hAnsi="Arial" w:cs="Arial"/>
          <w:color w:val="auto"/>
          <w:sz w:val="20"/>
          <w:szCs w:val="20"/>
          <w:lang w:val="sl-SI"/>
        </w:rPr>
        <w:t xml:space="preserve"> vinarstva,</w:t>
      </w:r>
      <w:r w:rsidRPr="00A52F41">
        <w:rPr>
          <w:rFonts w:ascii="Arial" w:hAnsi="Arial" w:cs="Arial"/>
          <w:color w:val="auto"/>
          <w:sz w:val="20"/>
          <w:szCs w:val="20"/>
          <w:lang w:val="sl-SI"/>
        </w:rPr>
        <w:t xml:space="preserve"> </w:t>
      </w:r>
      <w:r w:rsidR="00FC16F5">
        <w:rPr>
          <w:rFonts w:ascii="Arial" w:hAnsi="Arial" w:cs="Arial"/>
          <w:color w:val="auto"/>
          <w:sz w:val="20"/>
          <w:szCs w:val="20"/>
          <w:lang w:val="sl-SI"/>
        </w:rPr>
        <w:t>izvirne</w:t>
      </w:r>
      <w:r w:rsidR="00FC16F5" w:rsidRPr="00A52F41">
        <w:rPr>
          <w:rFonts w:ascii="Arial" w:hAnsi="Arial" w:cs="Arial"/>
          <w:color w:val="auto"/>
          <w:sz w:val="20"/>
          <w:szCs w:val="20"/>
          <w:lang w:val="sl-SI"/>
        </w:rPr>
        <w:t xml:space="preserve"> </w:t>
      </w:r>
      <w:r w:rsidRPr="00A52F41">
        <w:rPr>
          <w:rFonts w:ascii="Arial" w:hAnsi="Arial" w:cs="Arial"/>
          <w:color w:val="auto"/>
          <w:sz w:val="20"/>
          <w:szCs w:val="20"/>
          <w:lang w:val="sl-SI"/>
        </w:rPr>
        <w:t xml:space="preserve">nastanitvene ponudbe in številnih doživetij v stiku z naravo, kulturo in ljudmi. </w:t>
      </w:r>
      <w:r w:rsidR="00680CD5" w:rsidRPr="00F1211D">
        <w:rPr>
          <w:rFonts w:ascii="Arial" w:hAnsi="Arial" w:cs="Arial"/>
          <w:color w:val="auto"/>
          <w:sz w:val="20"/>
          <w:szCs w:val="20"/>
          <w:lang w:val="sl-SI"/>
        </w:rPr>
        <w:t xml:space="preserve">Na turizem se leta 2020 sicer močno vplivala razglasitev epidemije in spremljajoči ukrepi, zaradi česar je bilo do konca avgusta za polovico manj prihodov turistov in za </w:t>
      </w:r>
      <w:r w:rsidR="005A3B16" w:rsidRPr="00F1211D">
        <w:rPr>
          <w:rFonts w:ascii="Arial" w:hAnsi="Arial" w:cs="Arial"/>
          <w:color w:val="auto"/>
          <w:sz w:val="20"/>
          <w:szCs w:val="20"/>
          <w:lang w:val="sl-SI"/>
        </w:rPr>
        <w:t>40 %</w:t>
      </w:r>
      <w:r w:rsidR="00680CD5" w:rsidRPr="00F1211D">
        <w:rPr>
          <w:rFonts w:ascii="Arial" w:hAnsi="Arial" w:cs="Arial"/>
          <w:color w:val="auto"/>
          <w:sz w:val="20"/>
          <w:szCs w:val="20"/>
          <w:lang w:val="sl-SI"/>
        </w:rPr>
        <w:t xml:space="preserve"> manj prenočitev gostov.</w:t>
      </w:r>
    </w:p>
    <w:p w14:paraId="60E3A601" w14:textId="2BB73840" w:rsidR="009E0216" w:rsidRPr="00A52F41" w:rsidRDefault="009E0216" w:rsidP="00A05198">
      <w:pPr>
        <w:pStyle w:val="ZPpregtevilke"/>
        <w:numPr>
          <w:ilvl w:val="0"/>
          <w:numId w:val="37"/>
        </w:numPr>
        <w:spacing w:before="200" w:after="200" w:line="360" w:lineRule="auto"/>
        <w:ind w:left="714" w:hanging="357"/>
        <w:jc w:val="both"/>
        <w:rPr>
          <w:sz w:val="20"/>
          <w:szCs w:val="20"/>
        </w:rPr>
      </w:pPr>
      <w:r w:rsidRPr="00A52F41">
        <w:rPr>
          <w:b/>
          <w:sz w:val="20"/>
          <w:szCs w:val="20"/>
        </w:rPr>
        <w:t>Slovenija ima le 13 bioplinarn</w:t>
      </w:r>
      <w:r w:rsidRPr="00A52F41">
        <w:rPr>
          <w:sz w:val="20"/>
          <w:szCs w:val="20"/>
        </w:rPr>
        <w:t xml:space="preserve"> na 1 mio prebivalcev kar jo uvršča v spodnjo polovico EU držav.</w:t>
      </w:r>
      <w:r w:rsidR="00F1211D">
        <w:rPr>
          <w:sz w:val="20"/>
          <w:szCs w:val="20"/>
        </w:rPr>
        <w:t xml:space="preserve"> Le ena kmetija ima registrirano dopolnilno dejavnost »</w:t>
      </w:r>
      <w:r w:rsidR="00F1211D" w:rsidRPr="00A52F41">
        <w:rPr>
          <w:color w:val="000000"/>
          <w:sz w:val="20"/>
          <w:szCs w:val="20"/>
        </w:rPr>
        <w:t>Proizvodnja in prodaja energije iz gnoja, gnojevke in gnojnice ter rastlinskega substrata</w:t>
      </w:r>
      <w:r w:rsidR="00F1211D">
        <w:rPr>
          <w:color w:val="000000"/>
          <w:sz w:val="20"/>
          <w:szCs w:val="20"/>
        </w:rPr>
        <w:t>«.</w:t>
      </w:r>
    </w:p>
    <w:p w14:paraId="18644CDB" w14:textId="77777777" w:rsidR="009E0216" w:rsidRPr="00A52F41" w:rsidRDefault="009E0216" w:rsidP="00A05198">
      <w:pPr>
        <w:pStyle w:val="ZPpregtevilke"/>
        <w:numPr>
          <w:ilvl w:val="0"/>
          <w:numId w:val="37"/>
        </w:numPr>
        <w:spacing w:before="200" w:after="200" w:line="360" w:lineRule="auto"/>
        <w:ind w:left="714" w:hanging="357"/>
        <w:jc w:val="both"/>
        <w:rPr>
          <w:sz w:val="20"/>
          <w:szCs w:val="20"/>
        </w:rPr>
      </w:pPr>
      <w:r w:rsidRPr="00A52F41">
        <w:rPr>
          <w:b/>
          <w:sz w:val="20"/>
          <w:szCs w:val="20"/>
        </w:rPr>
        <w:t>Glede na ocenjen potencial biomase iz kmetijstva in gozdarstva ta predstavlja velik vendar ne dovolj izkoriščen vir</w:t>
      </w:r>
      <w:r w:rsidRPr="00A52F41">
        <w:rPr>
          <w:sz w:val="20"/>
          <w:szCs w:val="20"/>
        </w:rPr>
        <w:t xml:space="preserve"> za pokrivanje potreb po obnovljivih virih energije.</w:t>
      </w:r>
    </w:p>
    <w:p w14:paraId="5AE534E4" w14:textId="77777777" w:rsidR="009E0216" w:rsidRPr="00A52F41"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color w:val="auto"/>
          <w:sz w:val="20"/>
          <w:szCs w:val="20"/>
          <w:lang w:val="sl-SI"/>
        </w:rPr>
        <w:t>Bruto dodana vrednost na zaposlenega na področju biogospodarstva občutno zaostaja za povprečjem EU.</w:t>
      </w:r>
    </w:p>
    <w:p w14:paraId="56B9BEF7" w14:textId="6D974C99" w:rsidR="009E0216" w:rsidRPr="008D32AC" w:rsidRDefault="005D1C85" w:rsidP="008D32AC">
      <w:pPr>
        <w:pStyle w:val="Naslov2"/>
        <w:keepLines w:val="0"/>
        <w:tabs>
          <w:tab w:val="left" w:pos="0"/>
          <w:tab w:val="left" w:pos="480"/>
          <w:tab w:val="left" w:pos="1276"/>
          <w:tab w:val="left" w:pos="4537"/>
        </w:tabs>
        <w:spacing w:after="200" w:line="360" w:lineRule="auto"/>
        <w:ind w:left="360"/>
        <w:jc w:val="both"/>
        <w:rPr>
          <w:rFonts w:ascii="Arial" w:hAnsi="Arial" w:cs="Arial"/>
          <w:b w:val="0"/>
          <w:sz w:val="24"/>
          <w:szCs w:val="24"/>
        </w:rPr>
      </w:pPr>
      <w:bookmarkStart w:id="79" w:name="_Toc55999339"/>
      <w:bookmarkStart w:id="80" w:name="_Toc24541842"/>
      <w:r>
        <w:rPr>
          <w:rFonts w:ascii="Arial" w:hAnsi="Arial" w:cs="Arial"/>
          <w:color w:val="auto"/>
          <w:sz w:val="24"/>
          <w:szCs w:val="24"/>
        </w:rPr>
        <w:t xml:space="preserve">4 </w:t>
      </w:r>
      <w:r w:rsidR="009E0216" w:rsidRPr="008D32AC">
        <w:rPr>
          <w:rFonts w:ascii="Arial" w:hAnsi="Arial" w:cs="Arial"/>
          <w:color w:val="auto"/>
          <w:sz w:val="24"/>
          <w:szCs w:val="24"/>
        </w:rPr>
        <w:t>TRAJNOSTNO GOZDARSTVO</w:t>
      </w:r>
      <w:bookmarkEnd w:id="79"/>
    </w:p>
    <w:p w14:paraId="5FCDD6D4" w14:textId="77777777" w:rsidR="009E0216" w:rsidRPr="00A52F41" w:rsidRDefault="009E0216" w:rsidP="00EA2E4C">
      <w:pPr>
        <w:pStyle w:val="tevilnatoka"/>
        <w:numPr>
          <w:ilvl w:val="0"/>
          <w:numId w:val="0"/>
        </w:numPr>
        <w:spacing w:line="360" w:lineRule="auto"/>
        <w:ind w:left="425" w:hanging="425"/>
        <w:rPr>
          <w:sz w:val="20"/>
          <w:szCs w:val="20"/>
        </w:rPr>
      </w:pPr>
      <w:r w:rsidRPr="00A52F41">
        <w:rPr>
          <w:sz w:val="20"/>
          <w:szCs w:val="20"/>
        </w:rPr>
        <w:t>Gozdarstvo se bo naslavljalo v okviru specifičnega cilja 2.</w:t>
      </w:r>
    </w:p>
    <w:p w14:paraId="76B7688A" w14:textId="77777777" w:rsidR="009E0216" w:rsidRPr="00BE756C" w:rsidRDefault="009E0216" w:rsidP="00BE756C">
      <w:pPr>
        <w:pStyle w:val="tevilnatoka"/>
        <w:numPr>
          <w:ilvl w:val="0"/>
          <w:numId w:val="0"/>
        </w:numPr>
        <w:spacing w:before="200" w:after="200" w:line="360" w:lineRule="auto"/>
        <w:ind w:left="425" w:hanging="425"/>
        <w:rPr>
          <w:sz w:val="20"/>
          <w:szCs w:val="20"/>
        </w:rPr>
      </w:pPr>
    </w:p>
    <w:p w14:paraId="2CA7AAEB" w14:textId="6AD717BF" w:rsidR="009E0216" w:rsidRPr="008D32AC" w:rsidRDefault="005D1C85" w:rsidP="008D32AC">
      <w:pPr>
        <w:pStyle w:val="Naslov2"/>
        <w:keepLines w:val="0"/>
        <w:tabs>
          <w:tab w:val="left" w:pos="0"/>
          <w:tab w:val="left" w:pos="480"/>
          <w:tab w:val="left" w:pos="1276"/>
          <w:tab w:val="left" w:pos="4537"/>
        </w:tabs>
        <w:spacing w:after="200" w:line="360" w:lineRule="auto"/>
        <w:ind w:left="360"/>
        <w:jc w:val="both"/>
        <w:rPr>
          <w:rFonts w:ascii="Arial" w:hAnsi="Arial" w:cs="Arial"/>
          <w:b w:val="0"/>
          <w:sz w:val="24"/>
          <w:szCs w:val="24"/>
        </w:rPr>
      </w:pPr>
      <w:bookmarkStart w:id="81" w:name="_Toc55999340"/>
      <w:r>
        <w:rPr>
          <w:rFonts w:ascii="Arial" w:hAnsi="Arial" w:cs="Arial"/>
          <w:color w:val="auto"/>
          <w:sz w:val="24"/>
          <w:szCs w:val="24"/>
        </w:rPr>
        <w:lastRenderedPageBreak/>
        <w:t xml:space="preserve">5 </w:t>
      </w:r>
      <w:r w:rsidR="009E0216" w:rsidRPr="008D32AC">
        <w:rPr>
          <w:rFonts w:ascii="Arial" w:hAnsi="Arial" w:cs="Arial"/>
          <w:color w:val="auto"/>
          <w:sz w:val="24"/>
          <w:szCs w:val="24"/>
        </w:rPr>
        <w:t>DOSEDANJE IZKUŠNJE</w:t>
      </w:r>
      <w:bookmarkEnd w:id="80"/>
      <w:bookmarkEnd w:id="81"/>
      <w:r w:rsidR="009E0216" w:rsidRPr="008D32AC">
        <w:rPr>
          <w:rFonts w:ascii="Arial" w:hAnsi="Arial" w:cs="Arial"/>
          <w:color w:val="auto"/>
          <w:sz w:val="24"/>
          <w:szCs w:val="24"/>
        </w:rPr>
        <w:t xml:space="preserve"> </w:t>
      </w:r>
    </w:p>
    <w:p w14:paraId="49D62BB5" w14:textId="0B665A7A" w:rsidR="009E0216" w:rsidRPr="00BE756C" w:rsidRDefault="003E4A64" w:rsidP="008D32AC">
      <w:pPr>
        <w:pStyle w:val="tevilnatoka11Nova"/>
        <w:keepNext/>
        <w:numPr>
          <w:ilvl w:val="0"/>
          <w:numId w:val="0"/>
        </w:numPr>
        <w:tabs>
          <w:tab w:val="clear" w:pos="4297"/>
        </w:tabs>
        <w:spacing w:before="200" w:after="200" w:line="360" w:lineRule="auto"/>
        <w:outlineLvl w:val="1"/>
        <w:rPr>
          <w:b/>
          <w:sz w:val="24"/>
          <w:szCs w:val="24"/>
        </w:rPr>
      </w:pPr>
      <w:bookmarkStart w:id="82" w:name="_Toc55999341"/>
      <w:r>
        <w:rPr>
          <w:b/>
          <w:sz w:val="24"/>
          <w:szCs w:val="24"/>
        </w:rPr>
        <w:t xml:space="preserve">5.1 </w:t>
      </w:r>
      <w:r w:rsidR="009E0216" w:rsidRPr="00BE756C">
        <w:rPr>
          <w:b/>
          <w:sz w:val="24"/>
          <w:szCs w:val="24"/>
        </w:rPr>
        <w:t>Analiza izvajanja ukrepov, povezanih s spodbujanjem razvoja podjetij in podjetništva na podeželskih območjih ter podpore v internet</w:t>
      </w:r>
      <w:bookmarkEnd w:id="82"/>
    </w:p>
    <w:p w14:paraId="122720AC" w14:textId="77777777" w:rsidR="009E0216" w:rsidRPr="00A52F41" w:rsidRDefault="009E0216" w:rsidP="00BE756C">
      <w:pPr>
        <w:keepNext/>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 xml:space="preserve">V programskem obdobju 2007-2013 spodbude v podjetništvo na podeželju podpirale v okviru Ukrepa 311 Diverzifikacija v nekmetijske dejavnosti in Ukrepa 312 Podpora ustanavljanju in razvoju mikropodjetij. </w:t>
      </w:r>
    </w:p>
    <w:p w14:paraId="021D1D90" w14:textId="77777777" w:rsidR="009E0216" w:rsidRPr="00A52F41" w:rsidRDefault="009E0216" w:rsidP="00BE756C">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 xml:space="preserve">V obdobju izvajanja ukrepa 311 Diverzifikacija v nekmetijske dejavnosti je bilo v programskem obdobju 2007–2013 podprtih 315 projektov, pri čemer je bilo povprečno izplačilo na projekt 90.329 EUR, skupna vrednost naložbe na projekt pa 217.810 EUR. Največ izplačanih sredstev je bilo za naložbe v turizem in gostinsko dejavnost na kmetijah (59 %) in naložbe v rabo obnovljivih virov energije (25 %), kjer je bil največji del sredstev namenjen izgradnji in postavitvi sončnih elektrarn (64 %) ter naložbam v povezavi z lesno biomaso (26 %). Glede na status so prevladovale fizične osebe z dopolnilno dejavnostjo na kmetiji (66 %), sledijo fizične osebe samostojni podjetniki (26 %) ter gospodarske družbe. Povprečna starost vlagatelja fizične osebe je bila 42 let. </w:t>
      </w:r>
    </w:p>
    <w:p w14:paraId="3203BDD5" w14:textId="77777777" w:rsidR="009E0216" w:rsidRPr="00A52F41" w:rsidRDefault="009E0216" w:rsidP="00BE756C">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 xml:space="preserve">V okviru izvajanja ukrepa 312 Podpora ustanavljanju in razvoju mikropodjetij je bilo v programskem obdobju 2007–2013 podprtih 454 vlog. Povprečno je bilo na vlogo izplačanih 105.622 EUR. Glede na status vlagatelja so prevladovale gospodarske družbe (53 %) in fizične osebe samostojni podjetniki (46 %). Glede na naložbe je bilo največ izplačanih sredstev namenjenih vlagateljem, ki se ukvarjajo s proizvodnjo kovinskih izdelkov (23 %), z gostinstvom in turizmom (21 %), proizvodnjo pohištva (16 %) ter obdelavo in predelavo lesa (9 %). Glede na vrsto naložbe je bilo največ podprtih projektov vezanih na nakup strojev in opreme (67 %) ter gradnjo in obnovo objektov (23 %). V okviru podprtih naložb iz naslova tega ukrepa je bilo skupaj ustvarjenih 757 novih delovnih mest, BDV na zaposlenega pa se je povečala za 2.391 EUR. Ciljna vrednost dodatnega nacionalnega kazalnika učinka je bila do konca leta 2015 podpreti 140 turističnih projektov, dejansko pa je bilo podprtih 76 turističnih projektov, kar predstavlja 54 % ciljne vrednosti. Ukrepa naj bi preko naložb v gostinske nastanitvene dejavnosti posredno prispeval tudi k povečanju števila turistov, in sicer za 20 %. Na podlagi podatkov iz prejetih poročil je bil pri podprtih naložbah v gostinstvo in turizem izračunan indeks 190, kar pomeni, da je predviden cilj presežen. </w:t>
      </w:r>
    </w:p>
    <w:p w14:paraId="549667C7" w14:textId="77777777" w:rsidR="009E0216" w:rsidRDefault="009E0216" w:rsidP="00BE756C">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V programskem obdobju PRP 2007-2013 je bilo podprtih skupno 239 vlog v dejavnosti: Turizem in gostinstvo, v skupni vrednosti 26,88 mio EUR.</w:t>
      </w:r>
    </w:p>
    <w:p w14:paraId="1AE3548C" w14:textId="5DA11F6A" w:rsidR="009E0216" w:rsidRPr="00C35272" w:rsidRDefault="002D6764" w:rsidP="009D2C9D">
      <w:pPr>
        <w:pStyle w:val="SCslika"/>
        <w:keepNext/>
        <w:keepLines/>
        <w:spacing w:before="200"/>
      </w:pPr>
      <w:r w:rsidRPr="00C35272">
        <w:lastRenderedPageBreak/>
        <w:t xml:space="preserve">Tabela </w:t>
      </w:r>
      <w:r w:rsidR="00D37137">
        <w:t>33</w:t>
      </w:r>
      <w:r w:rsidRPr="00C35272">
        <w:t>: Podpore v okviru PRP 2007–2013 na področju turizma in gostinstva</w:t>
      </w:r>
    </w:p>
    <w:tbl>
      <w:tblPr>
        <w:tblW w:w="8856" w:type="dxa"/>
        <w:tblInd w:w="70" w:type="dxa"/>
        <w:tblLayout w:type="fixed"/>
        <w:tblCellMar>
          <w:left w:w="70" w:type="dxa"/>
          <w:right w:w="70" w:type="dxa"/>
        </w:tblCellMar>
        <w:tblLook w:val="04A0" w:firstRow="1" w:lastRow="0" w:firstColumn="1" w:lastColumn="0" w:noHBand="0" w:noVBand="1"/>
      </w:tblPr>
      <w:tblGrid>
        <w:gridCol w:w="2200"/>
        <w:gridCol w:w="2218"/>
        <w:gridCol w:w="2219"/>
        <w:gridCol w:w="2219"/>
      </w:tblGrid>
      <w:tr w:rsidR="009D2C9D" w:rsidRPr="009D2C9D" w14:paraId="5E5F8995" w14:textId="77777777" w:rsidTr="009D2C9D">
        <w:trPr>
          <w:trHeight w:val="1020"/>
        </w:trPr>
        <w:tc>
          <w:tcPr>
            <w:tcW w:w="2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B5B2C7" w14:textId="7F1A1A25" w:rsidR="00AD14FB" w:rsidRPr="009D2C9D" w:rsidRDefault="00AD14FB" w:rsidP="009D2C9D">
            <w:pPr>
              <w:keepNext/>
              <w:keepLines/>
              <w:spacing w:before="60" w:after="60" w:line="240" w:lineRule="auto"/>
              <w:rPr>
                <w:rFonts w:ascii="Arial" w:eastAsia="Times New Roman" w:hAnsi="Arial" w:cs="Arial"/>
                <w:lang w:eastAsia="sl-SI"/>
              </w:rPr>
            </w:pPr>
            <w:r w:rsidRPr="009D2C9D">
              <w:rPr>
                <w:rFonts w:ascii="Arial" w:eastAsia="Times New Roman" w:hAnsi="Arial" w:cs="Arial"/>
                <w:lang w:eastAsia="sl-SI"/>
              </w:rPr>
              <w:t> </w:t>
            </w:r>
          </w:p>
        </w:tc>
        <w:tc>
          <w:tcPr>
            <w:tcW w:w="2218" w:type="dxa"/>
            <w:tcBorders>
              <w:top w:val="single" w:sz="4" w:space="0" w:color="auto"/>
              <w:left w:val="nil"/>
              <w:bottom w:val="single" w:sz="4" w:space="0" w:color="auto"/>
              <w:right w:val="single" w:sz="4" w:space="0" w:color="auto"/>
            </w:tcBorders>
            <w:shd w:val="clear" w:color="auto" w:fill="auto"/>
            <w:vAlign w:val="center"/>
            <w:hideMark/>
          </w:tcPr>
          <w:p w14:paraId="68983E3A" w14:textId="0CB39A71" w:rsidR="00AD14FB" w:rsidRPr="009D2C9D" w:rsidRDefault="00AD14FB" w:rsidP="009D2C9D">
            <w:pPr>
              <w:keepNext/>
              <w:keepLines/>
              <w:spacing w:before="60" w:after="60" w:line="240" w:lineRule="auto"/>
              <w:jc w:val="center"/>
              <w:rPr>
                <w:rFonts w:ascii="Arial" w:eastAsia="Times New Roman" w:hAnsi="Arial" w:cs="Arial"/>
                <w:b/>
                <w:sz w:val="20"/>
                <w:szCs w:val="20"/>
                <w:lang w:eastAsia="sl-SI"/>
              </w:rPr>
            </w:pPr>
            <w:r w:rsidRPr="009D2C9D">
              <w:rPr>
                <w:rFonts w:ascii="Arial" w:eastAsia="Times New Roman" w:hAnsi="Arial" w:cs="Arial"/>
                <w:b/>
                <w:sz w:val="20"/>
                <w:szCs w:val="20"/>
                <w:lang w:eastAsia="sl-SI"/>
              </w:rPr>
              <w:t xml:space="preserve">311 </w:t>
            </w:r>
            <w:r w:rsidR="003E4A64" w:rsidRPr="009D2C9D">
              <w:rPr>
                <w:rFonts w:ascii="Arial" w:eastAsia="Times New Roman" w:hAnsi="Arial" w:cs="Arial"/>
                <w:b/>
                <w:sz w:val="20"/>
                <w:szCs w:val="20"/>
                <w:lang w:eastAsia="sl-SI"/>
              </w:rPr>
              <w:t>–</w:t>
            </w:r>
            <w:r w:rsidRPr="009D2C9D">
              <w:rPr>
                <w:rFonts w:ascii="Arial" w:eastAsia="Times New Roman" w:hAnsi="Arial" w:cs="Arial"/>
                <w:b/>
                <w:sz w:val="20"/>
                <w:szCs w:val="20"/>
                <w:lang w:eastAsia="sl-SI"/>
              </w:rPr>
              <w:t xml:space="preserve"> Diverzifikacija v nekmetijske dejavnosti</w:t>
            </w:r>
          </w:p>
        </w:tc>
        <w:tc>
          <w:tcPr>
            <w:tcW w:w="2219" w:type="dxa"/>
            <w:tcBorders>
              <w:top w:val="single" w:sz="4" w:space="0" w:color="auto"/>
              <w:left w:val="nil"/>
              <w:bottom w:val="single" w:sz="4" w:space="0" w:color="auto"/>
              <w:right w:val="single" w:sz="4" w:space="0" w:color="auto"/>
            </w:tcBorders>
            <w:shd w:val="clear" w:color="auto" w:fill="auto"/>
            <w:vAlign w:val="center"/>
            <w:hideMark/>
          </w:tcPr>
          <w:p w14:paraId="33983148" w14:textId="55A36E50" w:rsidR="00AD14FB" w:rsidRPr="009D2C9D" w:rsidRDefault="00AD14FB" w:rsidP="009D2C9D">
            <w:pPr>
              <w:keepNext/>
              <w:keepLines/>
              <w:spacing w:before="60" w:after="60" w:line="240" w:lineRule="auto"/>
              <w:jc w:val="center"/>
              <w:rPr>
                <w:rFonts w:ascii="Arial" w:eastAsia="Times New Roman" w:hAnsi="Arial" w:cs="Arial"/>
                <w:b/>
                <w:sz w:val="20"/>
                <w:szCs w:val="20"/>
                <w:lang w:eastAsia="sl-SI"/>
              </w:rPr>
            </w:pPr>
            <w:r w:rsidRPr="009D2C9D">
              <w:rPr>
                <w:rFonts w:ascii="Arial" w:eastAsia="Times New Roman" w:hAnsi="Arial" w:cs="Arial"/>
                <w:b/>
                <w:sz w:val="20"/>
                <w:szCs w:val="20"/>
                <w:lang w:eastAsia="sl-SI"/>
              </w:rPr>
              <w:t xml:space="preserve">312 </w:t>
            </w:r>
            <w:r w:rsidR="003E4A64" w:rsidRPr="009D2C9D">
              <w:rPr>
                <w:rFonts w:ascii="Arial" w:eastAsia="Times New Roman" w:hAnsi="Arial" w:cs="Arial"/>
                <w:b/>
                <w:sz w:val="20"/>
                <w:szCs w:val="20"/>
                <w:lang w:eastAsia="sl-SI"/>
              </w:rPr>
              <w:t>–</w:t>
            </w:r>
            <w:r w:rsidRPr="009D2C9D">
              <w:rPr>
                <w:rFonts w:ascii="Arial" w:eastAsia="Times New Roman" w:hAnsi="Arial" w:cs="Arial"/>
                <w:b/>
                <w:sz w:val="20"/>
                <w:szCs w:val="20"/>
                <w:lang w:eastAsia="sl-SI"/>
              </w:rPr>
              <w:t xml:space="preserve"> Podpora ustanavljanju in razvoju mikropodjeti</w:t>
            </w:r>
            <w:r w:rsidR="003E4A64" w:rsidRPr="009D2C9D">
              <w:rPr>
                <w:rFonts w:ascii="Arial" w:eastAsia="Times New Roman" w:hAnsi="Arial" w:cs="Arial"/>
                <w:b/>
                <w:sz w:val="20"/>
                <w:szCs w:val="20"/>
                <w:lang w:eastAsia="sl-SI"/>
              </w:rPr>
              <w:t>j</w:t>
            </w:r>
          </w:p>
        </w:tc>
        <w:tc>
          <w:tcPr>
            <w:tcW w:w="2219" w:type="dxa"/>
            <w:tcBorders>
              <w:top w:val="single" w:sz="4" w:space="0" w:color="auto"/>
              <w:left w:val="nil"/>
              <w:bottom w:val="single" w:sz="4" w:space="0" w:color="auto"/>
              <w:right w:val="single" w:sz="4" w:space="0" w:color="auto"/>
            </w:tcBorders>
            <w:shd w:val="clear" w:color="auto" w:fill="auto"/>
            <w:vAlign w:val="center"/>
            <w:hideMark/>
          </w:tcPr>
          <w:p w14:paraId="70A75472" w14:textId="77777777" w:rsidR="00AD14FB" w:rsidRPr="009D2C9D" w:rsidRDefault="00AD14FB" w:rsidP="009D2C9D">
            <w:pPr>
              <w:keepNext/>
              <w:keepLines/>
              <w:spacing w:before="60" w:after="60" w:line="240" w:lineRule="auto"/>
              <w:jc w:val="center"/>
              <w:rPr>
                <w:rFonts w:ascii="Arial" w:eastAsia="Times New Roman" w:hAnsi="Arial" w:cs="Arial"/>
                <w:b/>
                <w:sz w:val="20"/>
                <w:szCs w:val="20"/>
                <w:lang w:eastAsia="sl-SI"/>
              </w:rPr>
            </w:pPr>
            <w:r w:rsidRPr="009D2C9D">
              <w:rPr>
                <w:rFonts w:ascii="Arial" w:eastAsia="Times New Roman" w:hAnsi="Arial" w:cs="Arial"/>
                <w:b/>
                <w:sz w:val="20"/>
                <w:szCs w:val="20"/>
                <w:lang w:eastAsia="sl-SI"/>
              </w:rPr>
              <w:t>SKUPAJ</w:t>
            </w:r>
          </w:p>
        </w:tc>
      </w:tr>
      <w:tr w:rsidR="009D2C9D" w:rsidRPr="009D2C9D" w14:paraId="79361DAA"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22DEFD3" w14:textId="77777777" w:rsidR="00AD14FB" w:rsidRPr="009D2C9D" w:rsidRDefault="00AD14FB" w:rsidP="009D2C9D">
            <w:pPr>
              <w:keepNext/>
              <w:keepLines/>
              <w:spacing w:before="60" w:after="60" w:line="240" w:lineRule="auto"/>
              <w:rPr>
                <w:rFonts w:ascii="Arial" w:eastAsia="Times New Roman" w:hAnsi="Arial" w:cs="Arial"/>
                <w:sz w:val="20"/>
                <w:szCs w:val="20"/>
                <w:lang w:eastAsia="sl-SI"/>
              </w:rPr>
            </w:pPr>
            <w:r w:rsidRPr="009D2C9D">
              <w:rPr>
                <w:rFonts w:ascii="Arial" w:eastAsia="Times New Roman" w:hAnsi="Arial" w:cs="Arial"/>
                <w:sz w:val="20"/>
                <w:szCs w:val="20"/>
                <w:lang w:eastAsia="sl-SI"/>
              </w:rPr>
              <w:t>Št. prejetih vlog</w:t>
            </w:r>
          </w:p>
        </w:tc>
        <w:tc>
          <w:tcPr>
            <w:tcW w:w="2218" w:type="dxa"/>
            <w:tcBorders>
              <w:top w:val="nil"/>
              <w:left w:val="nil"/>
              <w:bottom w:val="single" w:sz="4" w:space="0" w:color="auto"/>
              <w:right w:val="single" w:sz="4" w:space="0" w:color="auto"/>
            </w:tcBorders>
            <w:shd w:val="clear" w:color="auto" w:fill="auto"/>
            <w:noWrap/>
            <w:vAlign w:val="center"/>
            <w:hideMark/>
          </w:tcPr>
          <w:p w14:paraId="07562B33"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311</w:t>
            </w:r>
          </w:p>
        </w:tc>
        <w:tc>
          <w:tcPr>
            <w:tcW w:w="2219" w:type="dxa"/>
            <w:tcBorders>
              <w:top w:val="nil"/>
              <w:left w:val="nil"/>
              <w:bottom w:val="single" w:sz="4" w:space="0" w:color="auto"/>
              <w:right w:val="single" w:sz="4" w:space="0" w:color="auto"/>
            </w:tcBorders>
            <w:shd w:val="clear" w:color="auto" w:fill="auto"/>
            <w:noWrap/>
            <w:vAlign w:val="center"/>
            <w:hideMark/>
          </w:tcPr>
          <w:p w14:paraId="0FC40A30"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213</w:t>
            </w:r>
          </w:p>
        </w:tc>
        <w:tc>
          <w:tcPr>
            <w:tcW w:w="2219" w:type="dxa"/>
            <w:tcBorders>
              <w:top w:val="nil"/>
              <w:left w:val="nil"/>
              <w:bottom w:val="single" w:sz="4" w:space="0" w:color="auto"/>
              <w:right w:val="single" w:sz="4" w:space="0" w:color="auto"/>
            </w:tcBorders>
            <w:shd w:val="clear" w:color="auto" w:fill="auto"/>
            <w:noWrap/>
            <w:vAlign w:val="center"/>
            <w:hideMark/>
          </w:tcPr>
          <w:p w14:paraId="6EC791ED"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524</w:t>
            </w:r>
          </w:p>
        </w:tc>
      </w:tr>
      <w:tr w:rsidR="009D2C9D" w:rsidRPr="009D2C9D" w14:paraId="6156D35F"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2C1D0A9B" w14:textId="77777777" w:rsidR="00AD14FB" w:rsidRPr="009D2C9D" w:rsidRDefault="00AD14FB" w:rsidP="009D2C9D">
            <w:pPr>
              <w:keepNext/>
              <w:keepLines/>
              <w:spacing w:before="60" w:after="60" w:line="240" w:lineRule="auto"/>
              <w:rPr>
                <w:rFonts w:ascii="Arial" w:eastAsia="Times New Roman" w:hAnsi="Arial" w:cs="Arial"/>
                <w:sz w:val="20"/>
                <w:szCs w:val="20"/>
                <w:lang w:eastAsia="sl-SI"/>
              </w:rPr>
            </w:pPr>
            <w:r w:rsidRPr="009D2C9D">
              <w:rPr>
                <w:rFonts w:ascii="Arial" w:eastAsia="Times New Roman" w:hAnsi="Arial" w:cs="Arial"/>
                <w:sz w:val="20"/>
                <w:szCs w:val="20"/>
                <w:lang w:eastAsia="sl-SI"/>
              </w:rPr>
              <w:t>Št. odobrenih vlog</w:t>
            </w:r>
          </w:p>
        </w:tc>
        <w:tc>
          <w:tcPr>
            <w:tcW w:w="2218" w:type="dxa"/>
            <w:tcBorders>
              <w:top w:val="nil"/>
              <w:left w:val="nil"/>
              <w:bottom w:val="single" w:sz="4" w:space="0" w:color="auto"/>
              <w:right w:val="single" w:sz="4" w:space="0" w:color="auto"/>
            </w:tcBorders>
            <w:shd w:val="clear" w:color="auto" w:fill="auto"/>
            <w:noWrap/>
            <w:vAlign w:val="center"/>
            <w:hideMark/>
          </w:tcPr>
          <w:p w14:paraId="712C9BEC"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174</w:t>
            </w:r>
          </w:p>
        </w:tc>
        <w:tc>
          <w:tcPr>
            <w:tcW w:w="2219" w:type="dxa"/>
            <w:tcBorders>
              <w:top w:val="nil"/>
              <w:left w:val="nil"/>
              <w:bottom w:val="single" w:sz="4" w:space="0" w:color="auto"/>
              <w:right w:val="single" w:sz="4" w:space="0" w:color="auto"/>
            </w:tcBorders>
            <w:shd w:val="clear" w:color="auto" w:fill="auto"/>
            <w:noWrap/>
            <w:vAlign w:val="center"/>
            <w:hideMark/>
          </w:tcPr>
          <w:p w14:paraId="57668EBD"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81</w:t>
            </w:r>
          </w:p>
        </w:tc>
        <w:tc>
          <w:tcPr>
            <w:tcW w:w="2219" w:type="dxa"/>
            <w:tcBorders>
              <w:top w:val="nil"/>
              <w:left w:val="nil"/>
              <w:bottom w:val="single" w:sz="4" w:space="0" w:color="auto"/>
              <w:right w:val="single" w:sz="4" w:space="0" w:color="auto"/>
            </w:tcBorders>
            <w:shd w:val="clear" w:color="auto" w:fill="auto"/>
            <w:noWrap/>
            <w:vAlign w:val="center"/>
            <w:hideMark/>
          </w:tcPr>
          <w:p w14:paraId="147ED8FB"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255</w:t>
            </w:r>
          </w:p>
        </w:tc>
      </w:tr>
      <w:tr w:rsidR="009D2C9D" w:rsidRPr="009D2C9D" w14:paraId="731014F3" w14:textId="77777777" w:rsidTr="009D2C9D">
        <w:trPr>
          <w:trHeight w:val="51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5AF7DA92" w14:textId="77777777" w:rsidR="00AD14FB" w:rsidRPr="009D2C9D" w:rsidRDefault="00AD14FB" w:rsidP="009D2C9D">
            <w:pPr>
              <w:keepNext/>
              <w:keepLines/>
              <w:spacing w:before="60" w:after="60" w:line="240" w:lineRule="auto"/>
              <w:rPr>
                <w:rFonts w:ascii="Arial" w:eastAsia="Times New Roman" w:hAnsi="Arial" w:cs="Arial"/>
                <w:sz w:val="20"/>
                <w:szCs w:val="20"/>
                <w:lang w:eastAsia="sl-SI"/>
              </w:rPr>
            </w:pPr>
            <w:r w:rsidRPr="009D2C9D">
              <w:rPr>
                <w:rFonts w:ascii="Arial" w:eastAsia="Times New Roman" w:hAnsi="Arial" w:cs="Arial"/>
                <w:sz w:val="20"/>
                <w:szCs w:val="20"/>
                <w:lang w:eastAsia="sl-SI"/>
              </w:rPr>
              <w:t>Delež odobrenih vlog po vrsti naložb</w:t>
            </w:r>
          </w:p>
        </w:tc>
        <w:tc>
          <w:tcPr>
            <w:tcW w:w="2218" w:type="dxa"/>
            <w:tcBorders>
              <w:top w:val="nil"/>
              <w:left w:val="nil"/>
              <w:bottom w:val="single" w:sz="4" w:space="0" w:color="auto"/>
              <w:right w:val="single" w:sz="4" w:space="0" w:color="auto"/>
            </w:tcBorders>
            <w:shd w:val="clear" w:color="auto" w:fill="auto"/>
            <w:noWrap/>
            <w:vAlign w:val="center"/>
            <w:hideMark/>
          </w:tcPr>
          <w:p w14:paraId="718904ED"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52,70%</w:t>
            </w:r>
          </w:p>
        </w:tc>
        <w:tc>
          <w:tcPr>
            <w:tcW w:w="2219" w:type="dxa"/>
            <w:tcBorders>
              <w:top w:val="nil"/>
              <w:left w:val="nil"/>
              <w:bottom w:val="single" w:sz="4" w:space="0" w:color="auto"/>
              <w:right w:val="single" w:sz="4" w:space="0" w:color="auto"/>
            </w:tcBorders>
            <w:shd w:val="clear" w:color="auto" w:fill="auto"/>
            <w:noWrap/>
            <w:vAlign w:val="center"/>
            <w:hideMark/>
          </w:tcPr>
          <w:p w14:paraId="308EFBE6"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17,10%</w:t>
            </w:r>
          </w:p>
        </w:tc>
        <w:tc>
          <w:tcPr>
            <w:tcW w:w="2219" w:type="dxa"/>
            <w:tcBorders>
              <w:top w:val="nil"/>
              <w:left w:val="nil"/>
              <w:bottom w:val="single" w:sz="4" w:space="0" w:color="auto"/>
              <w:right w:val="single" w:sz="4" w:space="0" w:color="auto"/>
            </w:tcBorders>
            <w:shd w:val="clear" w:color="auto" w:fill="auto"/>
            <w:noWrap/>
            <w:vAlign w:val="center"/>
            <w:hideMark/>
          </w:tcPr>
          <w:p w14:paraId="78626D82"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48,70%</w:t>
            </w:r>
          </w:p>
        </w:tc>
      </w:tr>
      <w:tr w:rsidR="009D2C9D" w:rsidRPr="009D2C9D" w14:paraId="0E6339DF" w14:textId="77777777" w:rsidTr="009D2C9D">
        <w:trPr>
          <w:trHeight w:val="51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B00B0E1" w14:textId="77777777" w:rsidR="00AD14FB" w:rsidRPr="009D2C9D" w:rsidRDefault="00AD14FB" w:rsidP="009D2C9D">
            <w:pPr>
              <w:keepNext/>
              <w:keepLines/>
              <w:spacing w:before="60" w:after="60" w:line="240" w:lineRule="auto"/>
              <w:rPr>
                <w:rFonts w:ascii="Arial" w:eastAsia="Times New Roman" w:hAnsi="Arial" w:cs="Arial"/>
                <w:sz w:val="20"/>
                <w:szCs w:val="20"/>
                <w:lang w:eastAsia="sl-SI"/>
              </w:rPr>
            </w:pPr>
            <w:r w:rsidRPr="009D2C9D">
              <w:rPr>
                <w:rFonts w:ascii="Arial" w:eastAsia="Times New Roman" w:hAnsi="Arial" w:cs="Arial"/>
                <w:sz w:val="20"/>
                <w:szCs w:val="20"/>
                <w:lang w:eastAsia="sl-SI"/>
              </w:rPr>
              <w:t>Znesek odobrenih sredstev</w:t>
            </w:r>
          </w:p>
        </w:tc>
        <w:tc>
          <w:tcPr>
            <w:tcW w:w="2218" w:type="dxa"/>
            <w:tcBorders>
              <w:top w:val="nil"/>
              <w:left w:val="nil"/>
              <w:bottom w:val="single" w:sz="4" w:space="0" w:color="auto"/>
              <w:right w:val="single" w:sz="4" w:space="0" w:color="auto"/>
            </w:tcBorders>
            <w:shd w:val="clear" w:color="auto" w:fill="auto"/>
            <w:noWrap/>
            <w:vAlign w:val="center"/>
            <w:hideMark/>
          </w:tcPr>
          <w:p w14:paraId="748E724A"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19.540.615</w:t>
            </w:r>
          </w:p>
        </w:tc>
        <w:tc>
          <w:tcPr>
            <w:tcW w:w="2219" w:type="dxa"/>
            <w:tcBorders>
              <w:top w:val="nil"/>
              <w:left w:val="nil"/>
              <w:bottom w:val="single" w:sz="4" w:space="0" w:color="auto"/>
              <w:right w:val="single" w:sz="4" w:space="0" w:color="auto"/>
            </w:tcBorders>
            <w:shd w:val="clear" w:color="auto" w:fill="auto"/>
            <w:noWrap/>
            <w:vAlign w:val="center"/>
            <w:hideMark/>
          </w:tcPr>
          <w:p w14:paraId="17C376D3"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11.279.104</w:t>
            </w:r>
          </w:p>
        </w:tc>
        <w:tc>
          <w:tcPr>
            <w:tcW w:w="2219" w:type="dxa"/>
            <w:tcBorders>
              <w:top w:val="nil"/>
              <w:left w:val="nil"/>
              <w:bottom w:val="single" w:sz="4" w:space="0" w:color="auto"/>
              <w:right w:val="single" w:sz="4" w:space="0" w:color="auto"/>
            </w:tcBorders>
            <w:shd w:val="clear" w:color="auto" w:fill="auto"/>
            <w:noWrap/>
            <w:vAlign w:val="center"/>
            <w:hideMark/>
          </w:tcPr>
          <w:p w14:paraId="40B22C88"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30.819.719</w:t>
            </w:r>
          </w:p>
        </w:tc>
      </w:tr>
      <w:tr w:rsidR="009D2C9D" w:rsidRPr="009D2C9D" w14:paraId="7D95840D"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FAFD909" w14:textId="77777777" w:rsidR="00AD14FB" w:rsidRPr="009D2C9D" w:rsidRDefault="00AD14FB" w:rsidP="009D2C9D">
            <w:pPr>
              <w:keepNext/>
              <w:keepLines/>
              <w:spacing w:before="60" w:after="60" w:line="240" w:lineRule="auto"/>
              <w:rPr>
                <w:rFonts w:ascii="Arial" w:eastAsia="Times New Roman" w:hAnsi="Arial" w:cs="Arial"/>
                <w:sz w:val="20"/>
                <w:szCs w:val="20"/>
                <w:lang w:eastAsia="sl-SI"/>
              </w:rPr>
            </w:pPr>
            <w:r w:rsidRPr="009D2C9D">
              <w:rPr>
                <w:rFonts w:ascii="Arial" w:eastAsia="Times New Roman" w:hAnsi="Arial" w:cs="Arial"/>
                <w:sz w:val="20"/>
                <w:szCs w:val="20"/>
                <w:lang w:eastAsia="sl-SI"/>
              </w:rPr>
              <w:t>Celotna vrednost naložb</w:t>
            </w:r>
          </w:p>
        </w:tc>
        <w:tc>
          <w:tcPr>
            <w:tcW w:w="2218" w:type="dxa"/>
            <w:tcBorders>
              <w:top w:val="nil"/>
              <w:left w:val="nil"/>
              <w:bottom w:val="single" w:sz="4" w:space="0" w:color="auto"/>
              <w:right w:val="single" w:sz="4" w:space="0" w:color="auto"/>
            </w:tcBorders>
            <w:shd w:val="clear" w:color="auto" w:fill="auto"/>
            <w:noWrap/>
            <w:vAlign w:val="center"/>
            <w:hideMark/>
          </w:tcPr>
          <w:p w14:paraId="6825EA82"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46.935.073</w:t>
            </w:r>
          </w:p>
        </w:tc>
        <w:tc>
          <w:tcPr>
            <w:tcW w:w="2219" w:type="dxa"/>
            <w:tcBorders>
              <w:top w:val="nil"/>
              <w:left w:val="nil"/>
              <w:bottom w:val="single" w:sz="4" w:space="0" w:color="auto"/>
              <w:right w:val="single" w:sz="4" w:space="0" w:color="auto"/>
            </w:tcBorders>
            <w:shd w:val="clear" w:color="auto" w:fill="auto"/>
            <w:noWrap/>
            <w:vAlign w:val="center"/>
            <w:hideMark/>
          </w:tcPr>
          <w:p w14:paraId="11A27EEE"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28.294.282</w:t>
            </w:r>
          </w:p>
        </w:tc>
        <w:tc>
          <w:tcPr>
            <w:tcW w:w="2219" w:type="dxa"/>
            <w:tcBorders>
              <w:top w:val="nil"/>
              <w:left w:val="nil"/>
              <w:bottom w:val="single" w:sz="4" w:space="0" w:color="auto"/>
              <w:right w:val="single" w:sz="4" w:space="0" w:color="auto"/>
            </w:tcBorders>
            <w:shd w:val="clear" w:color="auto" w:fill="auto"/>
            <w:noWrap/>
            <w:vAlign w:val="center"/>
            <w:hideMark/>
          </w:tcPr>
          <w:p w14:paraId="21EC340C"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75.229.355</w:t>
            </w:r>
          </w:p>
        </w:tc>
      </w:tr>
      <w:tr w:rsidR="009D2C9D" w:rsidRPr="009D2C9D" w14:paraId="117955C9" w14:textId="77777777" w:rsidTr="009D2C9D">
        <w:trPr>
          <w:trHeight w:val="51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6BF7E2CD" w14:textId="77777777" w:rsidR="00AD14FB" w:rsidRPr="009D2C9D" w:rsidRDefault="00AD14FB" w:rsidP="009D2C9D">
            <w:pPr>
              <w:keepNext/>
              <w:keepLines/>
              <w:spacing w:before="60" w:after="60" w:line="240" w:lineRule="auto"/>
              <w:rPr>
                <w:rFonts w:ascii="Arial" w:eastAsia="Times New Roman" w:hAnsi="Arial" w:cs="Arial"/>
                <w:sz w:val="20"/>
                <w:szCs w:val="20"/>
                <w:lang w:eastAsia="sl-SI"/>
              </w:rPr>
            </w:pPr>
            <w:r w:rsidRPr="009D2C9D">
              <w:rPr>
                <w:rFonts w:ascii="Arial" w:eastAsia="Times New Roman" w:hAnsi="Arial" w:cs="Arial"/>
                <w:sz w:val="20"/>
                <w:szCs w:val="20"/>
                <w:lang w:eastAsia="sl-SI"/>
              </w:rPr>
              <w:t>Višina odobrenih sredstev /vlogo</w:t>
            </w:r>
          </w:p>
        </w:tc>
        <w:tc>
          <w:tcPr>
            <w:tcW w:w="2218" w:type="dxa"/>
            <w:tcBorders>
              <w:top w:val="nil"/>
              <w:left w:val="nil"/>
              <w:bottom w:val="single" w:sz="4" w:space="0" w:color="auto"/>
              <w:right w:val="single" w:sz="4" w:space="0" w:color="auto"/>
            </w:tcBorders>
            <w:shd w:val="clear" w:color="auto" w:fill="auto"/>
            <w:noWrap/>
            <w:vAlign w:val="center"/>
            <w:hideMark/>
          </w:tcPr>
          <w:p w14:paraId="1FC4CAE2"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112.302</w:t>
            </w:r>
          </w:p>
        </w:tc>
        <w:tc>
          <w:tcPr>
            <w:tcW w:w="2219" w:type="dxa"/>
            <w:tcBorders>
              <w:top w:val="nil"/>
              <w:left w:val="nil"/>
              <w:bottom w:val="single" w:sz="4" w:space="0" w:color="auto"/>
              <w:right w:val="single" w:sz="4" w:space="0" w:color="auto"/>
            </w:tcBorders>
            <w:shd w:val="clear" w:color="auto" w:fill="auto"/>
            <w:noWrap/>
            <w:vAlign w:val="center"/>
            <w:hideMark/>
          </w:tcPr>
          <w:p w14:paraId="5BA8160B"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139.248</w:t>
            </w:r>
          </w:p>
        </w:tc>
        <w:tc>
          <w:tcPr>
            <w:tcW w:w="2219" w:type="dxa"/>
            <w:tcBorders>
              <w:top w:val="nil"/>
              <w:left w:val="nil"/>
              <w:bottom w:val="single" w:sz="4" w:space="0" w:color="auto"/>
              <w:right w:val="single" w:sz="4" w:space="0" w:color="auto"/>
            </w:tcBorders>
            <w:shd w:val="clear" w:color="auto" w:fill="auto"/>
            <w:noWrap/>
            <w:vAlign w:val="center"/>
            <w:hideMark/>
          </w:tcPr>
          <w:p w14:paraId="5A628AF2"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251.550</w:t>
            </w:r>
          </w:p>
        </w:tc>
      </w:tr>
      <w:tr w:rsidR="009D2C9D" w:rsidRPr="009D2C9D" w14:paraId="7F52F710"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6DCBAC3" w14:textId="77777777" w:rsidR="00AD14FB" w:rsidRPr="009D2C9D" w:rsidRDefault="00AD14FB" w:rsidP="009D2C9D">
            <w:pPr>
              <w:keepNext/>
              <w:keepLines/>
              <w:spacing w:before="60" w:after="60" w:line="240" w:lineRule="auto"/>
              <w:rPr>
                <w:rFonts w:ascii="Arial" w:eastAsia="Times New Roman" w:hAnsi="Arial" w:cs="Arial"/>
                <w:b/>
                <w:sz w:val="20"/>
                <w:szCs w:val="20"/>
                <w:lang w:eastAsia="sl-SI"/>
              </w:rPr>
            </w:pPr>
            <w:r w:rsidRPr="009D2C9D">
              <w:rPr>
                <w:rFonts w:ascii="Arial" w:eastAsia="Times New Roman" w:hAnsi="Arial" w:cs="Arial"/>
                <w:b/>
                <w:sz w:val="20"/>
                <w:szCs w:val="20"/>
                <w:lang w:eastAsia="sl-SI"/>
              </w:rPr>
              <w:t>Št. izplačanih vlog</w:t>
            </w:r>
          </w:p>
        </w:tc>
        <w:tc>
          <w:tcPr>
            <w:tcW w:w="2218" w:type="dxa"/>
            <w:tcBorders>
              <w:top w:val="nil"/>
              <w:left w:val="nil"/>
              <w:bottom w:val="single" w:sz="4" w:space="0" w:color="auto"/>
              <w:right w:val="single" w:sz="4" w:space="0" w:color="auto"/>
            </w:tcBorders>
            <w:shd w:val="clear" w:color="auto" w:fill="auto"/>
            <w:noWrap/>
            <w:vAlign w:val="center"/>
            <w:hideMark/>
          </w:tcPr>
          <w:p w14:paraId="0CF5B444" w14:textId="77777777" w:rsidR="00AD14FB" w:rsidRPr="009D2C9D" w:rsidRDefault="00AD14FB" w:rsidP="009D2C9D">
            <w:pPr>
              <w:keepNext/>
              <w:keepLines/>
              <w:spacing w:before="60" w:after="60" w:line="240" w:lineRule="auto"/>
              <w:jc w:val="right"/>
              <w:rPr>
                <w:rFonts w:ascii="Arial" w:eastAsia="Times New Roman" w:hAnsi="Arial" w:cs="Arial"/>
                <w:b/>
                <w:sz w:val="20"/>
                <w:szCs w:val="20"/>
                <w:lang w:eastAsia="sl-SI"/>
              </w:rPr>
            </w:pPr>
            <w:r w:rsidRPr="009D2C9D">
              <w:rPr>
                <w:rFonts w:ascii="Arial" w:eastAsia="Times New Roman" w:hAnsi="Arial" w:cs="Arial"/>
                <w:b/>
                <w:sz w:val="20"/>
                <w:szCs w:val="20"/>
                <w:lang w:eastAsia="sl-SI"/>
              </w:rPr>
              <w:t>163</w:t>
            </w:r>
          </w:p>
        </w:tc>
        <w:tc>
          <w:tcPr>
            <w:tcW w:w="2219" w:type="dxa"/>
            <w:tcBorders>
              <w:top w:val="nil"/>
              <w:left w:val="nil"/>
              <w:bottom w:val="single" w:sz="4" w:space="0" w:color="auto"/>
              <w:right w:val="single" w:sz="4" w:space="0" w:color="auto"/>
            </w:tcBorders>
            <w:shd w:val="clear" w:color="auto" w:fill="auto"/>
            <w:noWrap/>
            <w:vAlign w:val="center"/>
            <w:hideMark/>
          </w:tcPr>
          <w:p w14:paraId="49115E0F" w14:textId="77777777" w:rsidR="00AD14FB" w:rsidRPr="009D2C9D" w:rsidRDefault="00AD14FB" w:rsidP="009D2C9D">
            <w:pPr>
              <w:keepNext/>
              <w:keepLines/>
              <w:spacing w:before="60" w:after="60" w:line="240" w:lineRule="auto"/>
              <w:jc w:val="right"/>
              <w:rPr>
                <w:rFonts w:ascii="Arial" w:eastAsia="Times New Roman" w:hAnsi="Arial" w:cs="Arial"/>
                <w:b/>
                <w:sz w:val="20"/>
                <w:szCs w:val="20"/>
                <w:lang w:eastAsia="sl-SI"/>
              </w:rPr>
            </w:pPr>
            <w:r w:rsidRPr="009D2C9D">
              <w:rPr>
                <w:rFonts w:ascii="Arial" w:eastAsia="Times New Roman" w:hAnsi="Arial" w:cs="Arial"/>
                <w:b/>
                <w:sz w:val="20"/>
                <w:szCs w:val="20"/>
                <w:lang w:eastAsia="sl-SI"/>
              </w:rPr>
              <w:t>76</w:t>
            </w:r>
          </w:p>
        </w:tc>
        <w:tc>
          <w:tcPr>
            <w:tcW w:w="2219" w:type="dxa"/>
            <w:tcBorders>
              <w:top w:val="nil"/>
              <w:left w:val="nil"/>
              <w:bottom w:val="single" w:sz="4" w:space="0" w:color="auto"/>
              <w:right w:val="single" w:sz="4" w:space="0" w:color="auto"/>
            </w:tcBorders>
            <w:shd w:val="clear" w:color="auto" w:fill="auto"/>
            <w:noWrap/>
            <w:vAlign w:val="center"/>
            <w:hideMark/>
          </w:tcPr>
          <w:p w14:paraId="3A52389F" w14:textId="77777777" w:rsidR="00AD14FB" w:rsidRPr="009D2C9D" w:rsidRDefault="00AD14FB" w:rsidP="009D2C9D">
            <w:pPr>
              <w:keepNext/>
              <w:keepLines/>
              <w:spacing w:before="60" w:after="60" w:line="240" w:lineRule="auto"/>
              <w:jc w:val="right"/>
              <w:rPr>
                <w:rFonts w:ascii="Arial" w:eastAsia="Times New Roman" w:hAnsi="Arial" w:cs="Arial"/>
                <w:b/>
                <w:sz w:val="20"/>
                <w:szCs w:val="20"/>
                <w:lang w:eastAsia="sl-SI"/>
              </w:rPr>
            </w:pPr>
            <w:r w:rsidRPr="009D2C9D">
              <w:rPr>
                <w:rFonts w:ascii="Arial" w:eastAsia="Times New Roman" w:hAnsi="Arial" w:cs="Arial"/>
                <w:b/>
                <w:sz w:val="20"/>
                <w:szCs w:val="20"/>
                <w:lang w:eastAsia="sl-SI"/>
              </w:rPr>
              <w:t>239</w:t>
            </w:r>
          </w:p>
        </w:tc>
      </w:tr>
      <w:tr w:rsidR="009D2C9D" w:rsidRPr="009D2C9D" w14:paraId="408288BA"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2CDD0FB5" w14:textId="77777777" w:rsidR="00AD14FB" w:rsidRPr="009D2C9D" w:rsidRDefault="00AD14FB" w:rsidP="009D2C9D">
            <w:pPr>
              <w:keepNext/>
              <w:keepLines/>
              <w:spacing w:before="60" w:after="60" w:line="240" w:lineRule="auto"/>
              <w:rPr>
                <w:rFonts w:ascii="Arial" w:eastAsia="Times New Roman" w:hAnsi="Arial" w:cs="Arial"/>
                <w:b/>
                <w:sz w:val="20"/>
                <w:szCs w:val="20"/>
                <w:lang w:eastAsia="sl-SI"/>
              </w:rPr>
            </w:pPr>
            <w:r w:rsidRPr="009D2C9D">
              <w:rPr>
                <w:rFonts w:ascii="Arial" w:eastAsia="Times New Roman" w:hAnsi="Arial" w:cs="Arial"/>
                <w:b/>
                <w:sz w:val="20"/>
                <w:szCs w:val="20"/>
                <w:lang w:eastAsia="sl-SI"/>
              </w:rPr>
              <w:t>Izplačano</w:t>
            </w:r>
          </w:p>
        </w:tc>
        <w:tc>
          <w:tcPr>
            <w:tcW w:w="2218" w:type="dxa"/>
            <w:tcBorders>
              <w:top w:val="nil"/>
              <w:left w:val="nil"/>
              <w:bottom w:val="single" w:sz="4" w:space="0" w:color="auto"/>
              <w:right w:val="single" w:sz="4" w:space="0" w:color="auto"/>
            </w:tcBorders>
            <w:shd w:val="clear" w:color="auto" w:fill="auto"/>
            <w:noWrap/>
            <w:vAlign w:val="center"/>
            <w:hideMark/>
          </w:tcPr>
          <w:p w14:paraId="37B06600" w14:textId="77777777" w:rsidR="00AD14FB" w:rsidRPr="009D2C9D" w:rsidRDefault="00AD14FB" w:rsidP="009D2C9D">
            <w:pPr>
              <w:keepNext/>
              <w:keepLines/>
              <w:spacing w:before="60" w:after="60" w:line="240" w:lineRule="auto"/>
              <w:jc w:val="right"/>
              <w:rPr>
                <w:rFonts w:ascii="Arial" w:eastAsia="Times New Roman" w:hAnsi="Arial" w:cs="Arial"/>
                <w:b/>
                <w:sz w:val="20"/>
                <w:szCs w:val="20"/>
                <w:lang w:eastAsia="sl-SI"/>
              </w:rPr>
            </w:pPr>
            <w:r w:rsidRPr="009D2C9D">
              <w:rPr>
                <w:rFonts w:ascii="Arial" w:eastAsia="Times New Roman" w:hAnsi="Arial" w:cs="Arial"/>
                <w:b/>
                <w:sz w:val="20"/>
                <w:szCs w:val="20"/>
                <w:lang w:eastAsia="sl-SI"/>
              </w:rPr>
              <w:t>16.793.762</w:t>
            </w:r>
          </w:p>
        </w:tc>
        <w:tc>
          <w:tcPr>
            <w:tcW w:w="2219" w:type="dxa"/>
            <w:tcBorders>
              <w:top w:val="nil"/>
              <w:left w:val="nil"/>
              <w:bottom w:val="single" w:sz="4" w:space="0" w:color="auto"/>
              <w:right w:val="single" w:sz="4" w:space="0" w:color="auto"/>
            </w:tcBorders>
            <w:shd w:val="clear" w:color="auto" w:fill="auto"/>
            <w:noWrap/>
            <w:vAlign w:val="center"/>
            <w:hideMark/>
          </w:tcPr>
          <w:p w14:paraId="0545E046" w14:textId="77777777" w:rsidR="00AD14FB" w:rsidRPr="009D2C9D" w:rsidRDefault="00AD14FB" w:rsidP="009D2C9D">
            <w:pPr>
              <w:keepNext/>
              <w:keepLines/>
              <w:spacing w:before="60" w:after="60" w:line="240" w:lineRule="auto"/>
              <w:jc w:val="right"/>
              <w:rPr>
                <w:rFonts w:ascii="Arial" w:eastAsia="Times New Roman" w:hAnsi="Arial" w:cs="Arial"/>
                <w:b/>
                <w:sz w:val="20"/>
                <w:szCs w:val="20"/>
                <w:lang w:eastAsia="sl-SI"/>
              </w:rPr>
            </w:pPr>
            <w:r w:rsidRPr="009D2C9D">
              <w:rPr>
                <w:rFonts w:ascii="Arial" w:eastAsia="Times New Roman" w:hAnsi="Arial" w:cs="Arial"/>
                <w:b/>
                <w:sz w:val="20"/>
                <w:szCs w:val="20"/>
                <w:lang w:eastAsia="sl-SI"/>
              </w:rPr>
              <w:t>10.088.739</w:t>
            </w:r>
          </w:p>
        </w:tc>
        <w:tc>
          <w:tcPr>
            <w:tcW w:w="2219" w:type="dxa"/>
            <w:tcBorders>
              <w:top w:val="nil"/>
              <w:left w:val="nil"/>
              <w:bottom w:val="single" w:sz="4" w:space="0" w:color="auto"/>
              <w:right w:val="single" w:sz="4" w:space="0" w:color="auto"/>
            </w:tcBorders>
            <w:shd w:val="clear" w:color="auto" w:fill="auto"/>
            <w:noWrap/>
            <w:vAlign w:val="center"/>
            <w:hideMark/>
          </w:tcPr>
          <w:p w14:paraId="64B9A1D6" w14:textId="77777777" w:rsidR="00AD14FB" w:rsidRPr="009D2C9D" w:rsidRDefault="00AD14FB" w:rsidP="009D2C9D">
            <w:pPr>
              <w:keepNext/>
              <w:keepLines/>
              <w:spacing w:before="60" w:after="60" w:line="240" w:lineRule="auto"/>
              <w:jc w:val="right"/>
              <w:rPr>
                <w:rFonts w:ascii="Arial" w:eastAsia="Times New Roman" w:hAnsi="Arial" w:cs="Arial"/>
                <w:b/>
                <w:sz w:val="20"/>
                <w:szCs w:val="20"/>
                <w:lang w:eastAsia="sl-SI"/>
              </w:rPr>
            </w:pPr>
            <w:r w:rsidRPr="009D2C9D">
              <w:rPr>
                <w:rFonts w:ascii="Arial" w:eastAsia="Times New Roman" w:hAnsi="Arial" w:cs="Arial"/>
                <w:b/>
                <w:sz w:val="20"/>
                <w:szCs w:val="20"/>
                <w:lang w:eastAsia="sl-SI"/>
              </w:rPr>
              <w:t>26.882.501</w:t>
            </w:r>
          </w:p>
        </w:tc>
      </w:tr>
    </w:tbl>
    <w:p w14:paraId="12F8A6EF" w14:textId="77777777" w:rsidR="009E0216" w:rsidRPr="00FA5761" w:rsidRDefault="002D6764" w:rsidP="00A417A4">
      <w:pPr>
        <w:pStyle w:val="Default"/>
        <w:keepNext/>
        <w:spacing w:line="360" w:lineRule="auto"/>
        <w:jc w:val="both"/>
        <w:rPr>
          <w:rFonts w:ascii="Arial" w:hAnsi="Arial" w:cs="Arial"/>
          <w:sz w:val="16"/>
          <w:szCs w:val="16"/>
          <w:lang w:val="sl-SI"/>
        </w:rPr>
      </w:pPr>
      <w:r w:rsidRPr="00FA5761">
        <w:rPr>
          <w:rFonts w:ascii="Arial" w:hAnsi="Arial" w:cs="Arial"/>
          <w:sz w:val="16"/>
          <w:szCs w:val="16"/>
          <w:lang w:val="sl-SI"/>
        </w:rPr>
        <w:t>Vir: MKGP</w:t>
      </w:r>
      <w:r w:rsidR="001B435D" w:rsidRPr="00FA5761">
        <w:rPr>
          <w:rFonts w:ascii="Arial" w:hAnsi="Arial" w:cs="Arial"/>
          <w:sz w:val="16"/>
          <w:szCs w:val="16"/>
          <w:lang w:val="sl-SI"/>
        </w:rPr>
        <w:t>, 2020</w:t>
      </w:r>
    </w:p>
    <w:p w14:paraId="6828EB2D" w14:textId="7B8B403A"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V programskem obdobju 2014-2020 se nekmetijske dejavnosti na podeželju podpira preko podukrepa 6.4 – Podpora za naložbe v vzpostavitev in razvoj nekmetijskih dejavnosti. </w:t>
      </w:r>
      <w:r w:rsidR="00D37137">
        <w:rPr>
          <w:rFonts w:ascii="Arial" w:hAnsi="Arial" w:cs="Arial"/>
          <w:sz w:val="20"/>
          <w:szCs w:val="20"/>
        </w:rPr>
        <w:t>Prvi</w:t>
      </w:r>
      <w:r w:rsidRPr="00A52F41">
        <w:rPr>
          <w:rFonts w:ascii="Arial" w:hAnsi="Arial" w:cs="Arial"/>
          <w:sz w:val="20"/>
          <w:szCs w:val="20"/>
        </w:rPr>
        <w:t xml:space="preserve"> </w:t>
      </w:r>
      <w:r w:rsidR="00D37137">
        <w:rPr>
          <w:rFonts w:ascii="Arial" w:hAnsi="Arial" w:cs="Arial"/>
          <w:sz w:val="20"/>
          <w:szCs w:val="20"/>
        </w:rPr>
        <w:t>j</w:t>
      </w:r>
      <w:r w:rsidRPr="00A52F41">
        <w:rPr>
          <w:rFonts w:ascii="Arial" w:hAnsi="Arial" w:cs="Arial"/>
          <w:sz w:val="20"/>
          <w:szCs w:val="20"/>
        </w:rPr>
        <w:t>avni razpis je bil objavljen 3. 6. 2020, upravičencem pa je namenjenih 15.000.000</w:t>
      </w:r>
      <w:r w:rsidR="00D37137">
        <w:rPr>
          <w:rFonts w:ascii="Arial" w:hAnsi="Arial" w:cs="Arial"/>
          <w:sz w:val="20"/>
          <w:szCs w:val="20"/>
        </w:rPr>
        <w:t>,00</w:t>
      </w:r>
      <w:r w:rsidRPr="00A52F41">
        <w:rPr>
          <w:rFonts w:ascii="Arial" w:hAnsi="Arial" w:cs="Arial"/>
          <w:sz w:val="20"/>
          <w:szCs w:val="20"/>
        </w:rPr>
        <w:t> </w:t>
      </w:r>
      <w:r w:rsidR="00D37137">
        <w:rPr>
          <w:rFonts w:ascii="Arial" w:hAnsi="Arial" w:cs="Arial"/>
          <w:sz w:val="20"/>
          <w:szCs w:val="20"/>
        </w:rPr>
        <w:t>EUR</w:t>
      </w:r>
      <w:r w:rsidRPr="00A52F41">
        <w:rPr>
          <w:rFonts w:ascii="Arial" w:hAnsi="Arial" w:cs="Arial"/>
          <w:sz w:val="20"/>
          <w:szCs w:val="20"/>
        </w:rPr>
        <w:t>. Podpora je namenjena številnim različnim dejavnostim od trgovine, turizma, storitvenim dejavnostim, dodajanje vrednosti lesu, predelovalnim dejavnostim, itd. V okviru podpore pa so upravičene naložbe v ureditev in vzdrževanje objektov namenjenim dejavnosti in nakupu, namestitvi oziroma vgradnji opreme, strojev in naprav.</w:t>
      </w:r>
    </w:p>
    <w:p w14:paraId="04D2FAB6"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V programskem obdobju 2007-2013 se je širokopasovno infrastrukturo podpiralo v okviru PRP 2007-2013 preko ukrepa 321 – Osnovne storitve za gospodarstvo in podeželsko prebivalstvo, ki je bil v PRP 2007-2013 dodan s 3. spremembo v letu 2009. Ukrep je bil namenjen lokalnemu prebivalstvu v naseljih, ki nimajo statusa mesta po sklepu Državnega zbora Republike Slovenije ali sklepu Vlade Republike Slovenije. Kot upravičenec je nastopala lokalna skupnost ali več lokalnih skupnosti skupaj. Upravičencem je bilo na začetku namenjenih 4,6 mio EUR, ki pa so se z 8. spremembo PRP 2007-2013 znižala na 3.6 mio EUR. V okviru ukrep so bili podprti trije projekti, zato je bil ukrep v celoti izveden, saj so bile ciljne vrednosti dosežene.</w:t>
      </w:r>
    </w:p>
    <w:p w14:paraId="2CE8D808" w14:textId="77777777" w:rsidR="009E0216" w:rsidRPr="00A52F41" w:rsidRDefault="009E0216" w:rsidP="00BE756C">
      <w:pPr>
        <w:autoSpaceDE w:val="0"/>
        <w:autoSpaceDN w:val="0"/>
        <w:adjustRightInd w:val="0"/>
        <w:spacing w:before="200" w:line="360" w:lineRule="auto"/>
        <w:jc w:val="both"/>
        <w:rPr>
          <w:rFonts w:ascii="Arial" w:hAnsi="Arial" w:cs="Arial"/>
          <w:color w:val="000000"/>
          <w:sz w:val="20"/>
          <w:szCs w:val="20"/>
        </w:rPr>
      </w:pPr>
      <w:r w:rsidRPr="00A52F41">
        <w:rPr>
          <w:rFonts w:ascii="Arial" w:hAnsi="Arial" w:cs="Arial"/>
          <w:color w:val="000000"/>
          <w:sz w:val="20"/>
          <w:szCs w:val="20"/>
        </w:rPr>
        <w:t xml:space="preserve">V programskem obdobju 2014-2020 se širokopasovno infrastrukturo podpira v okviru PRP 2014–2020 preko podukrepa 7.3 – Podpora za naložbe v vzpostavitev in razvoj nekmetijskih dejavnosti. 1. Javni razpis je bil objavljen 21. 1. 2020, rok za prijavo je bil 9. 7. 2020. Upravičencem je bilo namenjenih 9.043.200,00 EUR. Namen podpore je sofinanciranje gradnje širokopasovnih omrežij naslednje generacije kot odprtih komunikacijskih omrežij s ciljem omogočiti belim lisam dostop do širokopasovnih omrežij naslednje generacije s prenosno hitrostjo najmanj 100 Mb/s in dostop do elektronskih komunikacijskih storitev po teh omrežjih v naseljih z manj kot 5.000 prebivalci v koroški, podravski in pomurski statistični regiji. </w:t>
      </w:r>
    </w:p>
    <w:p w14:paraId="7BB4826B" w14:textId="77777777" w:rsidR="009E0216" w:rsidRDefault="009E0216" w:rsidP="00BE756C">
      <w:pPr>
        <w:spacing w:before="200" w:line="360" w:lineRule="auto"/>
        <w:jc w:val="both"/>
        <w:rPr>
          <w:rFonts w:ascii="Arial" w:hAnsi="Arial" w:cs="Arial"/>
          <w:color w:val="000000"/>
          <w:sz w:val="20"/>
          <w:szCs w:val="20"/>
        </w:rPr>
      </w:pPr>
      <w:r w:rsidRPr="00A52F41">
        <w:rPr>
          <w:rFonts w:ascii="Arial" w:hAnsi="Arial" w:cs="Arial"/>
          <w:color w:val="000000"/>
          <w:sz w:val="20"/>
          <w:szCs w:val="20"/>
        </w:rPr>
        <w:lastRenderedPageBreak/>
        <w:t xml:space="preserve">V dogovoru z Ministrstvom za javno upravo o razmejitvi med sofinanciranjem območij belih lis v okviru </w:t>
      </w:r>
      <w:r w:rsidRPr="00A52F41">
        <w:rPr>
          <w:rFonts w:ascii="Arial" w:eastAsia="Courier New" w:hAnsi="Arial" w:cs="Arial"/>
          <w:color w:val="000000"/>
          <w:sz w:val="20"/>
          <w:szCs w:val="20"/>
          <w:lang w:bidi="sl-SI"/>
        </w:rPr>
        <w:t>OP EKP</w:t>
      </w:r>
      <w:r w:rsidRPr="00A52F41">
        <w:rPr>
          <w:rFonts w:ascii="Arial" w:hAnsi="Arial" w:cs="Arial"/>
          <w:color w:val="000000"/>
          <w:sz w:val="20"/>
          <w:szCs w:val="20"/>
        </w:rPr>
        <w:t xml:space="preserve"> v obdobju 2014 – 2020 iz ESRR in PRP RS za obdobje 2014 – 2020 iz EKSRP se podpira za širokopasovno infrastrukturo v ostalih devetih regijah sofinancira preko javnega razpisa za sofinanciranje gradnje odprtih širokopasovnih omrežij naslednje generacije »GOŠO 4«, ki ga je Objavilo Ministrstvo za infrastrukturo v višini do 29.471.228 EUR. Javni razpis je bil objavljen 28. 2. 2020, rok za prijavo je bil 19. 6. 2020.</w:t>
      </w:r>
    </w:p>
    <w:p w14:paraId="56FC4911" w14:textId="77777777" w:rsidR="00AE0A93" w:rsidRDefault="00AE0A93" w:rsidP="00BE756C">
      <w:pPr>
        <w:spacing w:before="200" w:line="360" w:lineRule="auto"/>
        <w:jc w:val="both"/>
        <w:rPr>
          <w:rFonts w:ascii="Arial" w:hAnsi="Arial" w:cs="Arial"/>
          <w:color w:val="000000"/>
          <w:sz w:val="20"/>
          <w:szCs w:val="20"/>
        </w:rPr>
      </w:pPr>
    </w:p>
    <w:p w14:paraId="3F9B34EA" w14:textId="1ED35946" w:rsidR="009E0216" w:rsidRPr="00BE756C" w:rsidRDefault="003E4A64" w:rsidP="008D32AC">
      <w:pPr>
        <w:pStyle w:val="tevilnatoka11Nova"/>
        <w:numPr>
          <w:ilvl w:val="0"/>
          <w:numId w:val="0"/>
        </w:numPr>
        <w:tabs>
          <w:tab w:val="clear" w:pos="4297"/>
        </w:tabs>
        <w:spacing w:line="360" w:lineRule="auto"/>
        <w:outlineLvl w:val="1"/>
        <w:rPr>
          <w:b/>
          <w:sz w:val="24"/>
          <w:szCs w:val="24"/>
        </w:rPr>
      </w:pPr>
      <w:bookmarkStart w:id="83" w:name="_Toc55999342"/>
      <w:r>
        <w:rPr>
          <w:b/>
          <w:sz w:val="24"/>
          <w:szCs w:val="24"/>
        </w:rPr>
        <w:t xml:space="preserve">5.2 </w:t>
      </w:r>
      <w:r w:rsidR="009E0216" w:rsidRPr="00BE756C">
        <w:rPr>
          <w:b/>
          <w:sz w:val="24"/>
          <w:szCs w:val="24"/>
        </w:rPr>
        <w:t>Analiza izvajanja ukrepov, povezanih z obnovo in razvojem vasi ter kulturno dediščino</w:t>
      </w:r>
      <w:bookmarkEnd w:id="83"/>
    </w:p>
    <w:p w14:paraId="6CB353EE" w14:textId="71A944C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V programskem obdobju 2007–2013 sta vsebine kulturne dediščine v okviru Programa razvoja podeželja 2007-2013 podpirala ukrepa Ukrep 322 Obnova in razvoj vasi in Ukrep 323 Ohranjanje in izboljševanje dediščine podeželja. Preko ukrepa 322 so se skozi 257 projektov urejala vaška jedra, površine za skupne namene in potrebe podeželskih naselij, infrastruktura in povezave v naseljih ter obnavljale in gradile večnamenske zgradbe skupnega pomena za medgeneracijsko druženje, kulturno-umetniško, športno in drugo prostočasno dejavnost lokalnega prebivalstva na podeželju. Podpore za obnovo in razvoj vasi izboljšujejo kakovost življenja v podeželskih območjih in tako prispevajo k privlačnosti vaškega okolja, kot bivanjskega prostora, in potenciala za razvoj drugih dejavnosti, še posebej turizma. Zlasti v letih 2012 in 2013 se je močno povečal interes vlagateljev za javne razpise iz naslova tega ukrepa, žal pa je bilo na zadnjih razpisih zaradi omejene višine razpoložljivih sredstev, več kot polovica vlog zavrnjenih.</w:t>
      </w:r>
    </w:p>
    <w:p w14:paraId="36A7C17B"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Preko ukrepa 323 so se financirale naložbe kot so obnova kulturne in etnološke dediščine na podeželju, muzeji na prostem in prostori za postavitev razstav stalnih zbirk etnološke dediščine, ekomuzeji, podpore za nepremično kulturno dediščino na podeželju, ki je spomenik, spomeniško območje, ureditev in izgradnja tematskih poti, ki povezujejo naravne vrednote in nepremično dediščino, in druge naložbe. Izvedenih je bilo 150 projektov.</w:t>
      </w:r>
    </w:p>
    <w:p w14:paraId="5CB65470"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V okviru ukrepov 322 in 323 je bilo skupno obnovljenih 144 objektov, 80 objektov ima lastnosti kulturnega spomenika in so razglašeni v skladu z Zakonom o varstvu kulturne dediščine, ostali objekti imajo lastnosti kulturne dediščine in so ustrezno pravno varovani v občinskih aktih (Hostnik, 2015).</w:t>
      </w:r>
    </w:p>
    <w:p w14:paraId="59D234D6" w14:textId="05C06F59" w:rsidR="00C01FEA" w:rsidRPr="00C35272" w:rsidRDefault="00C01FEA" w:rsidP="00C35272">
      <w:pPr>
        <w:pStyle w:val="SCslika"/>
        <w:keepNext/>
        <w:keepLines/>
        <w:spacing w:before="200"/>
      </w:pPr>
      <w:bookmarkStart w:id="84" w:name="_Toc47082385"/>
      <w:bookmarkStart w:id="85" w:name="_Toc47092626"/>
      <w:r w:rsidRPr="00C35272">
        <w:lastRenderedPageBreak/>
        <w:t xml:space="preserve">Slika </w:t>
      </w:r>
      <w:r w:rsidR="00D37137">
        <w:t>42</w:t>
      </w:r>
      <w:r w:rsidRPr="00C35272">
        <w:t>: Obnovljeni objekti v okviru ukrepov 322 in 323 po tipu objekta</w:t>
      </w:r>
      <w:bookmarkEnd w:id="84"/>
      <w:bookmarkEnd w:id="85"/>
    </w:p>
    <w:p w14:paraId="7041E203" w14:textId="32C5E39F" w:rsidR="009E0216" w:rsidRPr="00A52F41" w:rsidRDefault="009E0216" w:rsidP="00BE756C">
      <w:pPr>
        <w:spacing w:after="0" w:line="360" w:lineRule="auto"/>
        <w:ind w:left="482" w:firstLine="482"/>
        <w:jc w:val="both"/>
        <w:rPr>
          <w:rFonts w:ascii="Arial" w:hAnsi="Arial" w:cs="Arial"/>
          <w:sz w:val="20"/>
          <w:szCs w:val="20"/>
        </w:rPr>
      </w:pPr>
      <w:r w:rsidRPr="00A52F41">
        <w:rPr>
          <w:rFonts w:ascii="Arial" w:hAnsi="Arial" w:cs="Arial"/>
          <w:noProof/>
          <w:sz w:val="20"/>
          <w:szCs w:val="20"/>
          <w:lang w:eastAsia="sl-SI"/>
        </w:rPr>
        <w:drawing>
          <wp:inline distT="0" distB="0" distL="0" distR="0" wp14:anchorId="48BB1226" wp14:editId="2B7D21A2">
            <wp:extent cx="3510951" cy="2971718"/>
            <wp:effectExtent l="19050" t="19050" r="13335" b="19685"/>
            <wp:docPr id="1631865557" name="Slika 163186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431" t="27575" r="59160" b="18121"/>
                    <a:stretch/>
                  </pic:blipFill>
                  <pic:spPr bwMode="auto">
                    <a:xfrm>
                      <a:off x="0" y="0"/>
                      <a:ext cx="3536429" cy="2993283"/>
                    </a:xfrm>
                    <a:prstGeom prst="rect">
                      <a:avLst/>
                    </a:prstGeom>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2A8878FD" w14:textId="77777777" w:rsidR="009E0216" w:rsidRPr="00BE756C" w:rsidRDefault="00763F76" w:rsidP="00EA2E4C">
      <w:pPr>
        <w:spacing w:line="360" w:lineRule="auto"/>
        <w:jc w:val="both"/>
        <w:rPr>
          <w:rFonts w:ascii="Arial" w:hAnsi="Arial" w:cs="Arial"/>
          <w:sz w:val="16"/>
          <w:szCs w:val="16"/>
        </w:rPr>
      </w:pPr>
      <w:r>
        <w:rPr>
          <w:rFonts w:ascii="Arial" w:hAnsi="Arial" w:cs="Arial"/>
          <w:sz w:val="16"/>
          <w:szCs w:val="16"/>
        </w:rPr>
        <w:t>V</w:t>
      </w:r>
      <w:r w:rsidRPr="00BE756C">
        <w:rPr>
          <w:rFonts w:ascii="Arial" w:hAnsi="Arial" w:cs="Arial"/>
          <w:sz w:val="16"/>
          <w:szCs w:val="16"/>
        </w:rPr>
        <w:t>ir: Hostnik, 2015</w:t>
      </w:r>
    </w:p>
    <w:p w14:paraId="50964AF7" w14:textId="7E003136" w:rsidR="00C01FEA" w:rsidRPr="00C35272" w:rsidRDefault="00C01FEA" w:rsidP="00C35272">
      <w:pPr>
        <w:pStyle w:val="SCslika"/>
        <w:keepNext/>
        <w:keepLines/>
        <w:spacing w:before="200"/>
      </w:pPr>
      <w:bookmarkStart w:id="86" w:name="_Toc47082386"/>
      <w:bookmarkStart w:id="87" w:name="_Toc47092627"/>
      <w:r w:rsidRPr="00C35272">
        <w:t>Slika 4</w:t>
      </w:r>
      <w:r w:rsidR="00D37137">
        <w:t>3</w:t>
      </w:r>
      <w:r w:rsidRPr="00C35272">
        <w:t xml:space="preserve"> Lokacija obnovljenih objektov v okviru ukrepov 322 in 322 </w:t>
      </w:r>
      <w:bookmarkEnd w:id="86"/>
      <w:bookmarkEnd w:id="87"/>
    </w:p>
    <w:p w14:paraId="5442AF1D" w14:textId="1B4117A2" w:rsidR="009E0216" w:rsidRPr="00BE756C" w:rsidRDefault="00250D58" w:rsidP="00EA2E4C">
      <w:pPr>
        <w:spacing w:line="360" w:lineRule="auto"/>
        <w:jc w:val="both"/>
        <w:rPr>
          <w:rFonts w:ascii="Arial" w:hAnsi="Arial" w:cs="Arial"/>
          <w:sz w:val="16"/>
          <w:szCs w:val="16"/>
        </w:rPr>
      </w:pPr>
      <w:r w:rsidRPr="00250D58">
        <w:rPr>
          <w:rFonts w:ascii="Arial" w:eastAsia="Times New Roman" w:hAnsi="Arial" w:cs="Arial"/>
          <w:noProof/>
          <w:sz w:val="20"/>
          <w:szCs w:val="20"/>
          <w:lang w:eastAsia="sl-SI"/>
        </w:rPr>
        <w:drawing>
          <wp:inline distT="0" distB="0" distL="0" distR="0" wp14:anchorId="088F62F2" wp14:editId="57B59C4F">
            <wp:extent cx="5674202" cy="4206240"/>
            <wp:effectExtent l="0" t="0" r="3175" b="381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77345" cy="4208570"/>
                    </a:xfrm>
                    <a:prstGeom prst="rect">
                      <a:avLst/>
                    </a:prstGeom>
                  </pic:spPr>
                </pic:pic>
              </a:graphicData>
            </a:graphic>
          </wp:inline>
        </w:drawing>
      </w:r>
      <w:r w:rsidR="00763F76" w:rsidRPr="00BE756C">
        <w:rPr>
          <w:rFonts w:ascii="Arial" w:hAnsi="Arial" w:cs="Arial"/>
          <w:sz w:val="16"/>
          <w:szCs w:val="16"/>
        </w:rPr>
        <w:t>Vir: Hostnik, 2015</w:t>
      </w:r>
    </w:p>
    <w:p w14:paraId="26F55AB7" w14:textId="262AEDA8" w:rsidR="00AE0A93" w:rsidRDefault="009E0216" w:rsidP="00250D58">
      <w:pPr>
        <w:spacing w:line="360" w:lineRule="auto"/>
        <w:jc w:val="both"/>
        <w:rPr>
          <w:rFonts w:ascii="Arial" w:hAnsi="Arial" w:cs="Arial"/>
          <w:sz w:val="20"/>
          <w:szCs w:val="20"/>
        </w:rPr>
      </w:pPr>
      <w:r w:rsidRPr="00A52F41">
        <w:rPr>
          <w:rFonts w:ascii="Arial" w:hAnsi="Arial" w:cs="Arial"/>
          <w:sz w:val="20"/>
          <w:szCs w:val="20"/>
        </w:rPr>
        <w:t>V programskem</w:t>
      </w:r>
      <w:r w:rsidR="003B0A1C">
        <w:rPr>
          <w:rFonts w:ascii="Arial" w:hAnsi="Arial" w:cs="Arial"/>
          <w:sz w:val="20"/>
          <w:szCs w:val="20"/>
        </w:rPr>
        <w:t xml:space="preserve"> </w:t>
      </w:r>
      <w:r w:rsidRPr="00A52F41">
        <w:rPr>
          <w:rFonts w:ascii="Arial" w:hAnsi="Arial" w:cs="Arial"/>
          <w:sz w:val="20"/>
          <w:szCs w:val="20"/>
        </w:rPr>
        <w:t xml:space="preserve">obdobju </w:t>
      </w:r>
      <w:r w:rsidR="003B0A1C">
        <w:rPr>
          <w:rFonts w:ascii="Arial" w:hAnsi="Arial" w:cs="Arial"/>
          <w:sz w:val="20"/>
          <w:szCs w:val="20"/>
        </w:rPr>
        <w:t>2014–2020</w:t>
      </w:r>
      <w:r w:rsidR="003B0A1C" w:rsidRPr="00A52F41">
        <w:rPr>
          <w:rFonts w:ascii="Arial" w:hAnsi="Arial" w:cs="Arial"/>
          <w:sz w:val="20"/>
          <w:szCs w:val="20"/>
        </w:rPr>
        <w:t xml:space="preserve"> </w:t>
      </w:r>
      <w:r w:rsidRPr="00A52F41">
        <w:rPr>
          <w:rFonts w:ascii="Arial" w:hAnsi="Arial" w:cs="Arial"/>
          <w:sz w:val="20"/>
          <w:szCs w:val="20"/>
        </w:rPr>
        <w:t>tovrstnih ukrepov ni, zato se vsebine obnove kulturne dediščine pokrivajo v okviru ukrepa LEADER.</w:t>
      </w:r>
    </w:p>
    <w:p w14:paraId="2DA5DB8C" w14:textId="506ACAC1" w:rsidR="009E0216" w:rsidRPr="00BE756C" w:rsidRDefault="003E4A64" w:rsidP="003E4A64">
      <w:pPr>
        <w:pStyle w:val="tevilnatoka11Nova"/>
        <w:numPr>
          <w:ilvl w:val="0"/>
          <w:numId w:val="0"/>
        </w:numPr>
        <w:tabs>
          <w:tab w:val="clear" w:pos="4297"/>
        </w:tabs>
        <w:spacing w:before="200" w:after="200" w:line="360" w:lineRule="auto"/>
        <w:outlineLvl w:val="1"/>
        <w:rPr>
          <w:b/>
          <w:sz w:val="24"/>
          <w:szCs w:val="24"/>
        </w:rPr>
      </w:pPr>
      <w:bookmarkStart w:id="88" w:name="_Toc55999343"/>
      <w:r>
        <w:rPr>
          <w:b/>
          <w:sz w:val="24"/>
          <w:szCs w:val="24"/>
        </w:rPr>
        <w:lastRenderedPageBreak/>
        <w:t xml:space="preserve">5.3 </w:t>
      </w:r>
      <w:r w:rsidR="009E0216" w:rsidRPr="00BE756C">
        <w:rPr>
          <w:b/>
          <w:sz w:val="24"/>
          <w:szCs w:val="24"/>
        </w:rPr>
        <w:t>Izvajanje pristopa, ki ga vodi skupnost (ukrep LEADER)</w:t>
      </w:r>
      <w:bookmarkEnd w:id="88"/>
    </w:p>
    <w:p w14:paraId="2B08393E" w14:textId="77777777"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Pristop LEADER se je v programskem obdobju 2007–2013 v Sloveniji izvajal prvič. Ukrep LEADER je izvajalo 33 lokalnih akcijskih skupin, ki so pokrivale 95 % ozemlja RS in 94 % prebivalcev podeželja, vključenih je bilo 199 občin. V kombinaciji z ukrepi tretje osi, zlasti z ukrepoma namenjenima obnovi in razvoju vasi ter ohranjanju in izboljševanju dediščine na podeželju, je bilo na lokalni ravni izvedenih veliko manjših projektov, ki so za lokalno okolje prinesli veliko pozitivnih sprememb. Za projekte po pristopu »od spodaj navzgor« je bilo v obdobju 2007–2013 izplačanih 30.731.434 EUR. Največji delež izplačanih sredstev je bil namenjen izvajanju lokalnih razvojnih strategij (83 %), sledilo je vodenje lokalnih akcijskih skupin (16 %), najmanjši del pa je bil namenjen spodbujanju medregijskega in čezmejnega sodelovanja (1 %). </w:t>
      </w:r>
    </w:p>
    <w:p w14:paraId="7588D756" w14:textId="14324C74"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Skupaj je bilo podprtih 1.455 projektov, izvedenih pa 1.406 projektov. Delež projektov, ki </w:t>
      </w:r>
      <w:r w:rsidR="00E020CE">
        <w:rPr>
          <w:rFonts w:ascii="Arial" w:hAnsi="Arial" w:cs="Arial"/>
          <w:sz w:val="20"/>
          <w:szCs w:val="20"/>
        </w:rPr>
        <w:t>je vključeval</w:t>
      </w:r>
      <w:r w:rsidRPr="00A52F41">
        <w:rPr>
          <w:rFonts w:ascii="Arial" w:hAnsi="Arial" w:cs="Arial"/>
          <w:sz w:val="20"/>
          <w:szCs w:val="20"/>
        </w:rPr>
        <w:t xml:space="preserve"> naložbo, gradnjo ali nakup opreme, je bil 61 %, ob tem pa je bil povprečen znesek odobrenih sredstev na projekt za 1,34–krat višji kot za 'neinvesticijske' projekte. Povprečen odobren znesek na projekt je bil 22.128 EUR (najnižji je bil 1.346,23 EUR, najvišji pa 329.651 EUR). Člani LAS so tudi občine, Regionalno razvojne agencije (RRA) ter druge razvojne agencije, kar se je odražalo v večjih, bolj investicijsko usmerjenih projektih pri tistih LAS, kjer so bile med nosilci projektov tudi občine in razvojne agencije. V takih primerih je bilo manj priložnosti za izvajanje projektov, ki bi krepili usposobljenost deležnikov. V okviru izvajanja ukrepa LEADER je bilo ustvarjenih tudi 71 novih delovnih mest (največji delež v turizmu in izobraževanju, nekaj pa tudi v podjetništvu in področju obnove in razvoju vasi). </w:t>
      </w:r>
    </w:p>
    <w:p w14:paraId="1DB9F9F4" w14:textId="77777777"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Večina projektov je bilo zastavljenih širše, interdisciplinarno. Analiza projektov izvedenih v okviru ukrepa LEADER 2007–2013 kaže, da je bil največji delež projektov glede na vsebinsko opredelitev v turizmu (33%), nato v izobraževanju (20%), sledi obnova in razvoj vasi (19%), kulturna dediščina (10%), v manjših deležih pa družba in sociala (4%), od 2 do 3 % pa študije in analize stanja, kmetijstvo, gozdarstvo in prehrana, podjetništvo na podeželju, digitalizacija na podeželju in varstvo okolja ter drugi projekti. Le pri redkih projektih se je razvilo partnerstvo, ki je prevzelo rezultate projekta in nadaljevalo z delom.</w:t>
      </w:r>
    </w:p>
    <w:p w14:paraId="02B6B4ED" w14:textId="77777777"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 xml:space="preserve">Na podlagi analize projektov v okviru LEADER 2007–2013 izhaja, da sta bila 2 % vseh izvedenih projektov povezana s podjetništvom na podeželju. V okviru ukrepa LEADER se preko Strategij lokalnega razvoja (SLR) zasleduje tematsko področje ukrepanja ustvarjanje delovnih mest. V okviru tega se zasledujejo cilji strategij, kot so spodbuditi razvoj podjetniške kulture, izkoristiti potenciale na območjih LAS za razvoj podjetništva, spodbujanje povezovanja med lokalnimi razvojnimi deležniki na podeželju, ustvarjanje novih delovnim mest idr. </w:t>
      </w:r>
    </w:p>
    <w:p w14:paraId="36478CD0" w14:textId="77777777"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V okviru PRP 2007–2013 je bilo ustvarjenih preko 400 novih delovnih mest v sektorju kmetijstva in živilstva, preko 700 delovnih mest v podjetništvu na podeželju in več kot 70 novih delovnih mest v okviru projektov lokalnega razvoja LEADER.</w:t>
      </w:r>
    </w:p>
    <w:p w14:paraId="71F1E18D" w14:textId="1F62822D"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Problem je netrajnost projektov (operacij), kot na primer obstoj delovnih mest po ko</w:t>
      </w:r>
      <w:r w:rsidR="003B0A1C">
        <w:rPr>
          <w:rFonts w:ascii="Arial" w:hAnsi="Arial" w:cs="Arial"/>
          <w:sz w:val="20"/>
          <w:szCs w:val="20"/>
        </w:rPr>
        <w:t>n</w:t>
      </w:r>
      <w:r w:rsidRPr="00A52F41">
        <w:rPr>
          <w:rFonts w:ascii="Arial" w:hAnsi="Arial" w:cs="Arial"/>
          <w:sz w:val="20"/>
          <w:szCs w:val="20"/>
        </w:rPr>
        <w:t>čanem projektu ali da se po zaključku projektov zaradi pomanjkanje drugih finančnih sredstev s projekti ne nadaljuje več.</w:t>
      </w:r>
    </w:p>
    <w:p w14:paraId="6766D4D5" w14:textId="77777777"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lastRenderedPageBreak/>
        <w:t xml:space="preserve">V programskem obdobju 2014–2020 se pristop LEADER izvaja kot del skupnega pristopa lokalni razvoj, ki ga vodi skupnost (kratica CLLD), ki omogoča izvedbo celovitih in niso strogo omejene na podeželska območja, ampak vključujejo tudi ribiška in urbana naselja. Skupno je za CLLD namenjenih 101,5 mio EUR (od tega 56,3 iz EKSRP, 37,5 mio EUR iz Evropskega sklada za regionalni razvoj in 7,7 mio EUR iz Evropskega sklada za pomorstvo in ribištvo). </w:t>
      </w:r>
    </w:p>
    <w:p w14:paraId="6EFFDDE5" w14:textId="5F875C66"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V okviru PRP 2014–2020 je bilo potrjenih 37 lokalnih akcijskih skupin, ki so s SLR pokrile celotno območje RS in torej 100 % prebivalcev podeželja</w:t>
      </w:r>
      <w:r w:rsidR="00763F76">
        <w:rPr>
          <w:rFonts w:ascii="Arial" w:hAnsi="Arial" w:cs="Arial"/>
          <w:sz w:val="20"/>
          <w:szCs w:val="20"/>
        </w:rPr>
        <w:t xml:space="preserve"> (Slika 4</w:t>
      </w:r>
      <w:r w:rsidR="00D37137">
        <w:rPr>
          <w:rFonts w:ascii="Arial" w:hAnsi="Arial" w:cs="Arial"/>
          <w:sz w:val="20"/>
          <w:szCs w:val="20"/>
        </w:rPr>
        <w:t>4</w:t>
      </w:r>
      <w:r w:rsidR="00763F76">
        <w:rPr>
          <w:rFonts w:ascii="Arial" w:hAnsi="Arial" w:cs="Arial"/>
          <w:sz w:val="20"/>
          <w:szCs w:val="20"/>
        </w:rPr>
        <w:t>)</w:t>
      </w:r>
      <w:r w:rsidRPr="00A52F41">
        <w:rPr>
          <w:rFonts w:ascii="Arial" w:hAnsi="Arial" w:cs="Arial"/>
          <w:sz w:val="20"/>
          <w:szCs w:val="20"/>
        </w:rPr>
        <w:t xml:space="preserve">. Za programsko območje LEADER je tako kot že v programskem obdobju 2007–2013 opredeljena celotna Slovenija, razen naselij z več kot 10.000 prebivalci, tako da obsega 1.420.504 prebivalcev Slovenije. </w:t>
      </w:r>
    </w:p>
    <w:p w14:paraId="68F09752" w14:textId="77777777" w:rsidR="009E0216"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Med vsemi LAS-i je kar 19 vodilnih partnerjev, ki so RRA in druge razvojne agencije (v prejšnjem programskem obdobju 18), ostali vodilni partnerji pa so društva, zadruge, zavodi, občina (podobno v prejšnjem programskem obdobju). </w:t>
      </w:r>
    </w:p>
    <w:p w14:paraId="70EA0BD0" w14:textId="66F0A8AB" w:rsidR="00C01FEA" w:rsidRPr="00C35272" w:rsidRDefault="00C01FEA" w:rsidP="00C35272">
      <w:pPr>
        <w:pStyle w:val="SCslika"/>
        <w:keepNext/>
        <w:keepLines/>
        <w:spacing w:before="200"/>
      </w:pPr>
      <w:bookmarkStart w:id="89" w:name="_Toc47082387"/>
      <w:bookmarkStart w:id="90" w:name="_Toc47092628"/>
      <w:r w:rsidRPr="00C35272">
        <w:t>Slika 4</w:t>
      </w:r>
      <w:r w:rsidR="00D37137">
        <w:t>4</w:t>
      </w:r>
      <w:r w:rsidRPr="00C35272">
        <w:t>: Lokalne akcijske skupine v Sloveniji 2014-2020</w:t>
      </w:r>
      <w:bookmarkEnd w:id="89"/>
      <w:bookmarkEnd w:id="90"/>
    </w:p>
    <w:p w14:paraId="2E122331" w14:textId="229A0578" w:rsidR="009E0216" w:rsidRDefault="009E0216" w:rsidP="00E51189">
      <w:pPr>
        <w:keepNext/>
        <w:spacing w:after="0" w:line="24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0AB49F38" wp14:editId="4807B9B7">
            <wp:extent cx="5771692" cy="4002688"/>
            <wp:effectExtent l="0" t="0" r="63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 2014-2020_1.jpg"/>
                    <pic:cNvPicPr/>
                  </pic:nvPicPr>
                  <pic:blipFill rotWithShape="1">
                    <a:blip r:embed="rId59" cstate="print">
                      <a:extLst>
                        <a:ext uri="{28A0092B-C50C-407E-A947-70E740481C1C}">
                          <a14:useLocalDpi xmlns:a14="http://schemas.microsoft.com/office/drawing/2010/main" val="0"/>
                        </a:ext>
                      </a:extLst>
                    </a:blip>
                    <a:srcRect l="2166" t="3779" r="2277" b="2590"/>
                    <a:stretch/>
                  </pic:blipFill>
                  <pic:spPr bwMode="auto">
                    <a:xfrm>
                      <a:off x="0" y="0"/>
                      <a:ext cx="5785276" cy="4012109"/>
                    </a:xfrm>
                    <a:prstGeom prst="rect">
                      <a:avLst/>
                    </a:prstGeom>
                    <a:ln>
                      <a:noFill/>
                    </a:ln>
                    <a:extLst>
                      <a:ext uri="{53640926-AAD7-44D8-BBD7-CCE9431645EC}">
                        <a14:shadowObscured xmlns:a14="http://schemas.microsoft.com/office/drawing/2010/main"/>
                      </a:ext>
                    </a:extLst>
                  </pic:spPr>
                </pic:pic>
              </a:graphicData>
            </a:graphic>
          </wp:inline>
        </w:drawing>
      </w:r>
    </w:p>
    <w:p w14:paraId="2A276A15" w14:textId="77777777" w:rsidR="00E51189" w:rsidRPr="00E51189" w:rsidRDefault="00E51189" w:rsidP="00E51189">
      <w:pPr>
        <w:keepNext/>
        <w:spacing w:line="360" w:lineRule="auto"/>
        <w:jc w:val="both"/>
        <w:rPr>
          <w:rFonts w:ascii="Arial" w:hAnsi="Arial" w:cs="Arial"/>
          <w:sz w:val="16"/>
          <w:szCs w:val="16"/>
        </w:rPr>
      </w:pPr>
      <w:r w:rsidRPr="00E51189">
        <w:rPr>
          <w:rFonts w:ascii="Arial" w:hAnsi="Arial" w:cs="Arial"/>
          <w:sz w:val="16"/>
          <w:szCs w:val="16"/>
        </w:rPr>
        <w:t>Vir: MKGP</w:t>
      </w:r>
    </w:p>
    <w:p w14:paraId="08DCE02D" w14:textId="451D61EC" w:rsidR="009E0216" w:rsidRPr="00A52F41" w:rsidRDefault="00E51189" w:rsidP="00E51189">
      <w:pPr>
        <w:shd w:val="clear" w:color="auto" w:fill="FFFFFF"/>
        <w:spacing w:after="0" w:line="360" w:lineRule="auto"/>
        <w:jc w:val="both"/>
        <w:rPr>
          <w:rFonts w:ascii="Arial" w:hAnsi="Arial" w:cs="Arial"/>
          <w:sz w:val="20"/>
          <w:szCs w:val="20"/>
        </w:rPr>
      </w:pPr>
      <w:r w:rsidRPr="00A52F41">
        <w:rPr>
          <w:rFonts w:ascii="Arial" w:hAnsi="Arial" w:cs="Arial"/>
          <w:sz w:val="20"/>
          <w:szCs w:val="20"/>
        </w:rPr>
        <w:t xml:space="preserve"> </w:t>
      </w:r>
      <w:r w:rsidR="009E0216" w:rsidRPr="00A52F41">
        <w:rPr>
          <w:rFonts w:ascii="Arial" w:hAnsi="Arial" w:cs="Arial"/>
          <w:sz w:val="20"/>
          <w:szCs w:val="20"/>
        </w:rPr>
        <w:t>V programskem obdobju 2014–2020 se ukrep LEADER izvaja preko štirih podukrepov:</w:t>
      </w:r>
    </w:p>
    <w:p w14:paraId="1C90DBDE" w14:textId="77777777" w:rsidR="009E0216" w:rsidRPr="00A52F41" w:rsidRDefault="009E0216" w:rsidP="00A05198">
      <w:pPr>
        <w:numPr>
          <w:ilvl w:val="0"/>
          <w:numId w:val="30"/>
        </w:numPr>
        <w:shd w:val="clear" w:color="auto" w:fill="FFFFFF"/>
        <w:spacing w:after="100" w:afterAutospacing="1" w:line="360" w:lineRule="auto"/>
        <w:ind w:left="714" w:hanging="357"/>
        <w:jc w:val="both"/>
        <w:rPr>
          <w:rFonts w:ascii="Arial" w:hAnsi="Arial" w:cs="Arial"/>
          <w:sz w:val="20"/>
          <w:szCs w:val="20"/>
        </w:rPr>
      </w:pPr>
      <w:r w:rsidRPr="00A52F41">
        <w:rPr>
          <w:rFonts w:ascii="Arial" w:hAnsi="Arial" w:cs="Arial"/>
          <w:sz w:val="20"/>
          <w:szCs w:val="20"/>
        </w:rPr>
        <w:t>Pripravljalna podpora (podukrep 19.1),</w:t>
      </w:r>
    </w:p>
    <w:p w14:paraId="7C4F8BFE" w14:textId="77777777" w:rsidR="009E0216" w:rsidRPr="00A52F41" w:rsidRDefault="009E0216" w:rsidP="00A05198">
      <w:pPr>
        <w:numPr>
          <w:ilvl w:val="0"/>
          <w:numId w:val="30"/>
        </w:numPr>
        <w:shd w:val="clear" w:color="auto" w:fill="FFFFFF"/>
        <w:spacing w:before="100" w:beforeAutospacing="1" w:after="100" w:afterAutospacing="1" w:line="360" w:lineRule="auto"/>
        <w:jc w:val="both"/>
        <w:rPr>
          <w:rFonts w:ascii="Arial" w:hAnsi="Arial" w:cs="Arial"/>
          <w:sz w:val="20"/>
          <w:szCs w:val="20"/>
        </w:rPr>
      </w:pPr>
      <w:r w:rsidRPr="00A52F41">
        <w:rPr>
          <w:rFonts w:ascii="Arial" w:hAnsi="Arial" w:cs="Arial"/>
          <w:sz w:val="20"/>
          <w:szCs w:val="20"/>
        </w:rPr>
        <w:t>Podpora za izvajanje operacij v okviru strategije lokalnega razvoja, ki ga vodi skupnost (podukrep 19.2),</w:t>
      </w:r>
    </w:p>
    <w:p w14:paraId="12BA7FE5" w14:textId="77777777" w:rsidR="009E0216" w:rsidRPr="00A52F41" w:rsidRDefault="009E0216" w:rsidP="00A05198">
      <w:pPr>
        <w:numPr>
          <w:ilvl w:val="0"/>
          <w:numId w:val="30"/>
        </w:numPr>
        <w:shd w:val="clear" w:color="auto" w:fill="FFFFFF"/>
        <w:spacing w:before="100" w:beforeAutospacing="1" w:after="100" w:afterAutospacing="1" w:line="360" w:lineRule="auto"/>
        <w:jc w:val="both"/>
        <w:rPr>
          <w:rFonts w:ascii="Arial" w:hAnsi="Arial" w:cs="Arial"/>
          <w:sz w:val="20"/>
          <w:szCs w:val="20"/>
        </w:rPr>
      </w:pPr>
      <w:r w:rsidRPr="00A52F41">
        <w:rPr>
          <w:rFonts w:ascii="Arial" w:hAnsi="Arial" w:cs="Arial"/>
          <w:sz w:val="20"/>
          <w:szCs w:val="20"/>
        </w:rPr>
        <w:t>Priprava in izvajanje dejavnosti sodelovanja lokalne akcijske skupine (podukrep 19.3),</w:t>
      </w:r>
    </w:p>
    <w:p w14:paraId="17C927F8" w14:textId="77777777" w:rsidR="009E0216" w:rsidRPr="00A52F41" w:rsidRDefault="009E0216" w:rsidP="00A05198">
      <w:pPr>
        <w:numPr>
          <w:ilvl w:val="0"/>
          <w:numId w:val="30"/>
        </w:numPr>
        <w:shd w:val="clear" w:color="auto" w:fill="FFFFFF"/>
        <w:spacing w:before="100" w:beforeAutospacing="1" w:after="100" w:afterAutospacing="1" w:line="360" w:lineRule="auto"/>
        <w:jc w:val="both"/>
        <w:rPr>
          <w:rFonts w:ascii="Arial" w:hAnsi="Arial" w:cs="Arial"/>
          <w:sz w:val="20"/>
          <w:szCs w:val="20"/>
        </w:rPr>
      </w:pPr>
      <w:r w:rsidRPr="00A52F41">
        <w:rPr>
          <w:rFonts w:ascii="Arial" w:hAnsi="Arial" w:cs="Arial"/>
          <w:sz w:val="20"/>
          <w:szCs w:val="20"/>
        </w:rPr>
        <w:t>Podpora za tekoče stroške in stroške animacije (podukrep 19.4).</w:t>
      </w:r>
    </w:p>
    <w:p w14:paraId="1B0F1C47" w14:textId="4743A2FE"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lastRenderedPageBreak/>
        <w:t>Do 31.</w:t>
      </w:r>
      <w:r w:rsidR="005E4633">
        <w:rPr>
          <w:rFonts w:ascii="Arial" w:hAnsi="Arial" w:cs="Arial"/>
          <w:sz w:val="20"/>
          <w:szCs w:val="20"/>
        </w:rPr>
        <w:t> </w:t>
      </w:r>
      <w:r w:rsidRPr="00A52F41">
        <w:rPr>
          <w:rFonts w:ascii="Arial" w:hAnsi="Arial" w:cs="Arial"/>
          <w:sz w:val="20"/>
          <w:szCs w:val="20"/>
        </w:rPr>
        <w:t>12.</w:t>
      </w:r>
      <w:r w:rsidR="005E4633">
        <w:rPr>
          <w:rFonts w:ascii="Arial" w:hAnsi="Arial" w:cs="Arial"/>
          <w:sz w:val="20"/>
          <w:szCs w:val="20"/>
        </w:rPr>
        <w:t> </w:t>
      </w:r>
      <w:r w:rsidRPr="00A52F41">
        <w:rPr>
          <w:rFonts w:ascii="Arial" w:hAnsi="Arial" w:cs="Arial"/>
          <w:sz w:val="20"/>
          <w:szCs w:val="20"/>
        </w:rPr>
        <w:t>2019 je bilo iz EKSRP odobrenih 32.908.460 EUR sredstev, kar predstavlja 58,4 % razpoložljivih sredstev za ta ukrep. Izplačanih je bilo 9.773.360 EUR sredstev, kar predstavlja 17,3 % razpoložljivih sredstev za ta ukrep.</w:t>
      </w:r>
    </w:p>
    <w:p w14:paraId="2DBC98B3" w14:textId="77777777"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Za podukrep 19.1 Pripravljalna podpora je bilo 37 LAS-om za pripravo SLR v obliki pavšalnega zneska izplačanih 401.662,50 EUR. Obrazec za SLR je bil predpisan, tako da se je omejilo število strani. </w:t>
      </w:r>
    </w:p>
    <w:p w14:paraId="67E6DBC7" w14:textId="032237AC"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Projekti se izvajajo preko po</w:t>
      </w:r>
      <w:r w:rsidR="00D37137">
        <w:rPr>
          <w:rFonts w:ascii="Arial" w:hAnsi="Arial" w:cs="Arial"/>
          <w:sz w:val="20"/>
          <w:szCs w:val="20"/>
        </w:rPr>
        <w:t>d</w:t>
      </w:r>
      <w:r w:rsidRPr="00A52F41">
        <w:rPr>
          <w:rFonts w:ascii="Arial" w:hAnsi="Arial" w:cs="Arial"/>
          <w:sz w:val="20"/>
          <w:szCs w:val="20"/>
        </w:rPr>
        <w:t>ukrepa Podpora za izvajanje operacij v okviru strategij lokalnega razvoja, ki ga vodi skupnost ter podukrepa Priprava in izvajanje dejavnosti sodelovanja lokalne akcijske skupine (projekti sodelovanja).</w:t>
      </w:r>
    </w:p>
    <w:p w14:paraId="1E8A4DF1" w14:textId="77777777"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Za podukrep 19.2 Podpora za izvajanje operacij v okviru strategije lokalnega razvoja, ki ga vodi skupnost je iz EKSRP skupaj na voljo 37.608.109,45 EUR sredstev ter dodatnih 5,7 mio EUR iz naslova rezerve za uspešnost. Upravičenci pri tem podukrepu so LAS ter fizične in pravne osebe.</w:t>
      </w:r>
    </w:p>
    <w:p w14:paraId="3ADCD890" w14:textId="77777777" w:rsidR="009E0216" w:rsidRPr="00A52F41" w:rsidRDefault="009E0216" w:rsidP="00BE756C">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Postopek za izbor projektov poteka 2-fazno. Najprej LAS objavi javni poziv za izbor operacij, nato pa operacije za sklad EKSRP potrdi plačilna agencija.</w:t>
      </w:r>
    </w:p>
    <w:p w14:paraId="5D6F3F2D" w14:textId="77777777" w:rsidR="00C01ABD" w:rsidRPr="00A52F41" w:rsidRDefault="00C01ABD" w:rsidP="00C01ABD">
      <w:pPr>
        <w:spacing w:before="200" w:line="360" w:lineRule="auto"/>
        <w:jc w:val="both"/>
        <w:rPr>
          <w:rFonts w:ascii="Arial" w:hAnsi="Arial" w:cs="Arial"/>
          <w:sz w:val="20"/>
          <w:szCs w:val="20"/>
        </w:rPr>
      </w:pPr>
      <w:r w:rsidRPr="00A52F41">
        <w:rPr>
          <w:rFonts w:ascii="Arial" w:hAnsi="Arial" w:cs="Arial"/>
          <w:sz w:val="20"/>
          <w:szCs w:val="20"/>
        </w:rPr>
        <w:t>V okviru programskega obdobja 2014-2020 je za podukrep 19.2 do 31.</w:t>
      </w:r>
      <w:r>
        <w:rPr>
          <w:rFonts w:ascii="Arial" w:hAnsi="Arial" w:cs="Arial"/>
          <w:sz w:val="20"/>
          <w:szCs w:val="20"/>
        </w:rPr>
        <w:t xml:space="preserve"> 8. 2020</w:t>
      </w:r>
      <w:r w:rsidRPr="00A52F41">
        <w:rPr>
          <w:rFonts w:ascii="Arial" w:hAnsi="Arial" w:cs="Arial"/>
          <w:sz w:val="20"/>
          <w:szCs w:val="20"/>
        </w:rPr>
        <w:t xml:space="preserve"> prispelo </w:t>
      </w:r>
      <w:r>
        <w:rPr>
          <w:rFonts w:ascii="Arial" w:hAnsi="Arial" w:cs="Arial"/>
          <w:sz w:val="20"/>
          <w:szCs w:val="20"/>
        </w:rPr>
        <w:t>596</w:t>
      </w:r>
      <w:r w:rsidRPr="00A52F41">
        <w:rPr>
          <w:rFonts w:ascii="Arial" w:hAnsi="Arial" w:cs="Arial"/>
          <w:sz w:val="20"/>
          <w:szCs w:val="20"/>
        </w:rPr>
        <w:t xml:space="preserve"> vlog v skupni višini </w:t>
      </w:r>
      <w:r>
        <w:rPr>
          <w:rFonts w:ascii="Arial" w:hAnsi="Arial" w:cs="Arial"/>
          <w:sz w:val="20"/>
          <w:szCs w:val="20"/>
        </w:rPr>
        <w:t>27.981.360</w:t>
      </w:r>
      <w:r w:rsidRPr="00A52F41">
        <w:rPr>
          <w:rFonts w:ascii="Arial" w:hAnsi="Arial" w:cs="Arial"/>
          <w:sz w:val="20"/>
          <w:szCs w:val="20"/>
        </w:rPr>
        <w:t xml:space="preserve"> </w:t>
      </w:r>
      <w:r>
        <w:rPr>
          <w:rFonts w:ascii="Arial" w:hAnsi="Arial" w:cs="Arial"/>
          <w:sz w:val="20"/>
          <w:szCs w:val="20"/>
        </w:rPr>
        <w:t>EUR. Odobrenih je bilo okoli 457</w:t>
      </w:r>
      <w:r w:rsidRPr="00A52F41">
        <w:rPr>
          <w:rFonts w:ascii="Arial" w:hAnsi="Arial" w:cs="Arial"/>
          <w:sz w:val="20"/>
          <w:szCs w:val="20"/>
        </w:rPr>
        <w:t xml:space="preserve"> vlog v skupni višini </w:t>
      </w:r>
      <w:r>
        <w:rPr>
          <w:rFonts w:ascii="Arial" w:hAnsi="Arial" w:cs="Arial"/>
          <w:sz w:val="20"/>
          <w:szCs w:val="20"/>
        </w:rPr>
        <w:t>20.525.342 EUR (55</w:t>
      </w:r>
      <w:r w:rsidRPr="00A52F41">
        <w:rPr>
          <w:rFonts w:ascii="Arial" w:hAnsi="Arial" w:cs="Arial"/>
          <w:sz w:val="20"/>
          <w:szCs w:val="20"/>
        </w:rPr>
        <w:t xml:space="preserve"> % razpoložljivih sredstev</w:t>
      </w:r>
      <w:r>
        <w:rPr>
          <w:rFonts w:ascii="Arial" w:hAnsi="Arial" w:cs="Arial"/>
          <w:sz w:val="20"/>
          <w:szCs w:val="20"/>
        </w:rPr>
        <w:t xml:space="preserve"> za podukrep 19.2</w:t>
      </w:r>
      <w:r w:rsidRPr="00A52F41">
        <w:rPr>
          <w:rFonts w:ascii="Arial" w:hAnsi="Arial" w:cs="Arial"/>
          <w:sz w:val="20"/>
          <w:szCs w:val="20"/>
        </w:rPr>
        <w:t>). Do 31.</w:t>
      </w:r>
      <w:r>
        <w:rPr>
          <w:rFonts w:ascii="Arial" w:hAnsi="Arial" w:cs="Arial"/>
          <w:sz w:val="20"/>
          <w:szCs w:val="20"/>
        </w:rPr>
        <w:t xml:space="preserve"> 8. 2020 je bilo izplačanih 281</w:t>
      </w:r>
      <w:r w:rsidRPr="00A52F41">
        <w:rPr>
          <w:rFonts w:ascii="Arial" w:hAnsi="Arial" w:cs="Arial"/>
          <w:sz w:val="20"/>
          <w:szCs w:val="20"/>
        </w:rPr>
        <w:t xml:space="preserve"> vlog v skupni višini </w:t>
      </w:r>
      <w:r>
        <w:rPr>
          <w:rFonts w:ascii="Arial" w:hAnsi="Arial" w:cs="Arial"/>
          <w:sz w:val="20"/>
          <w:szCs w:val="20"/>
        </w:rPr>
        <w:t>10.004.373</w:t>
      </w:r>
      <w:r w:rsidRPr="00A52F41">
        <w:rPr>
          <w:rFonts w:ascii="Arial" w:hAnsi="Arial" w:cs="Arial"/>
          <w:sz w:val="20"/>
          <w:szCs w:val="20"/>
        </w:rPr>
        <w:t xml:space="preserve"> EUR (</w:t>
      </w:r>
      <w:r>
        <w:rPr>
          <w:rFonts w:ascii="Arial" w:hAnsi="Arial" w:cs="Arial"/>
          <w:sz w:val="20"/>
          <w:szCs w:val="20"/>
        </w:rPr>
        <w:t>27</w:t>
      </w:r>
      <w:r w:rsidRPr="00A52F41">
        <w:rPr>
          <w:rFonts w:ascii="Arial" w:hAnsi="Arial" w:cs="Arial"/>
          <w:sz w:val="20"/>
          <w:szCs w:val="20"/>
        </w:rPr>
        <w:t xml:space="preserve"> % razpoložljivih sredstev</w:t>
      </w:r>
      <w:r>
        <w:rPr>
          <w:rFonts w:ascii="Arial" w:hAnsi="Arial" w:cs="Arial"/>
          <w:sz w:val="20"/>
          <w:szCs w:val="20"/>
        </w:rPr>
        <w:t xml:space="preserve"> za podukrep 19.2</w:t>
      </w:r>
      <w:r w:rsidRPr="00A52F41">
        <w:rPr>
          <w:rFonts w:ascii="Arial" w:hAnsi="Arial" w:cs="Arial"/>
          <w:sz w:val="20"/>
          <w:szCs w:val="20"/>
        </w:rPr>
        <w:t>).</w:t>
      </w:r>
    </w:p>
    <w:p w14:paraId="0FD77FFC" w14:textId="77777777" w:rsidR="00C01ABD" w:rsidRPr="00A52F41" w:rsidRDefault="00C01ABD" w:rsidP="00C01ABD">
      <w:pPr>
        <w:spacing w:before="200" w:line="360" w:lineRule="auto"/>
        <w:jc w:val="both"/>
        <w:rPr>
          <w:rFonts w:ascii="Arial" w:hAnsi="Arial" w:cs="Arial"/>
          <w:sz w:val="20"/>
          <w:szCs w:val="20"/>
        </w:rPr>
      </w:pPr>
      <w:r w:rsidRPr="00A52F41">
        <w:rPr>
          <w:rFonts w:ascii="Arial" w:hAnsi="Arial" w:cs="Arial"/>
          <w:sz w:val="20"/>
          <w:szCs w:val="20"/>
        </w:rPr>
        <w:t xml:space="preserve">Največ operacij je vključenih v tematsko področje ukrepanja Razvoj osnovnih storitev, sledi Ustvarjanje delovnih mest, </w:t>
      </w:r>
      <w:r>
        <w:rPr>
          <w:rFonts w:ascii="Arial" w:hAnsi="Arial" w:cs="Arial"/>
          <w:sz w:val="20"/>
          <w:szCs w:val="20"/>
        </w:rPr>
        <w:t>sledi tematsko področje</w:t>
      </w:r>
      <w:r w:rsidRPr="00A52F41">
        <w:rPr>
          <w:rFonts w:ascii="Arial" w:hAnsi="Arial" w:cs="Arial"/>
          <w:sz w:val="20"/>
          <w:szCs w:val="20"/>
        </w:rPr>
        <w:t xml:space="preserve"> ukrepanja Varstvo okolja in ohranjanje narave</w:t>
      </w:r>
      <w:r>
        <w:rPr>
          <w:rFonts w:ascii="Arial" w:hAnsi="Arial" w:cs="Arial"/>
          <w:sz w:val="20"/>
          <w:szCs w:val="20"/>
        </w:rPr>
        <w:t xml:space="preserve"> in najmanj </w:t>
      </w:r>
      <w:r w:rsidRPr="00A52F41">
        <w:rPr>
          <w:rFonts w:ascii="Arial" w:hAnsi="Arial" w:cs="Arial"/>
          <w:sz w:val="20"/>
          <w:szCs w:val="20"/>
        </w:rPr>
        <w:t>Večja vključenost mladih, žensk in drugih ranljivih skupin (projekti so večinoma vključeni v več tematskih področij).</w:t>
      </w:r>
    </w:p>
    <w:p w14:paraId="5955A9D5" w14:textId="71E9FEB3" w:rsidR="00C01ABD" w:rsidRPr="00A52F41" w:rsidRDefault="00C01ABD" w:rsidP="00C01ABD">
      <w:pPr>
        <w:spacing w:before="200" w:line="360" w:lineRule="auto"/>
        <w:jc w:val="both"/>
        <w:rPr>
          <w:rFonts w:ascii="Arial" w:hAnsi="Arial" w:cs="Arial"/>
          <w:sz w:val="20"/>
          <w:szCs w:val="20"/>
        </w:rPr>
      </w:pPr>
      <w:r w:rsidRPr="00A52F41">
        <w:rPr>
          <w:rFonts w:ascii="Arial" w:hAnsi="Arial" w:cs="Arial"/>
          <w:sz w:val="20"/>
          <w:szCs w:val="20"/>
        </w:rPr>
        <w:t>Največ odobrenih projektov (operacij)</w:t>
      </w:r>
      <w:r>
        <w:rPr>
          <w:rFonts w:ascii="Arial" w:hAnsi="Arial" w:cs="Arial"/>
          <w:sz w:val="20"/>
          <w:szCs w:val="20"/>
        </w:rPr>
        <w:t xml:space="preserve"> in odobrenih sredstev</w:t>
      </w:r>
      <w:r w:rsidRPr="00A52F41">
        <w:rPr>
          <w:rFonts w:ascii="Arial" w:hAnsi="Arial" w:cs="Arial"/>
          <w:sz w:val="20"/>
          <w:szCs w:val="20"/>
        </w:rPr>
        <w:t xml:space="preserve"> je bilo v podravs</w:t>
      </w:r>
      <w:r>
        <w:rPr>
          <w:rFonts w:ascii="Arial" w:hAnsi="Arial" w:cs="Arial"/>
          <w:sz w:val="20"/>
          <w:szCs w:val="20"/>
        </w:rPr>
        <w:t>ki regiji (27</w:t>
      </w:r>
      <w:r w:rsidRPr="00A52F41">
        <w:rPr>
          <w:rFonts w:ascii="Arial" w:hAnsi="Arial" w:cs="Arial"/>
          <w:sz w:val="20"/>
          <w:szCs w:val="20"/>
        </w:rPr>
        <w:t xml:space="preserve"> %</w:t>
      </w:r>
      <w:r>
        <w:rPr>
          <w:rFonts w:ascii="Arial" w:hAnsi="Arial" w:cs="Arial"/>
          <w:sz w:val="20"/>
          <w:szCs w:val="20"/>
        </w:rPr>
        <w:t xml:space="preserve"> projektov, 17 % sredstev</w:t>
      </w:r>
      <w:r w:rsidRPr="00A52F41">
        <w:rPr>
          <w:rFonts w:ascii="Arial" w:hAnsi="Arial" w:cs="Arial"/>
          <w:sz w:val="20"/>
          <w:szCs w:val="20"/>
        </w:rPr>
        <w:t>), sledita</w:t>
      </w:r>
      <w:r>
        <w:rPr>
          <w:rFonts w:ascii="Arial" w:hAnsi="Arial" w:cs="Arial"/>
          <w:sz w:val="20"/>
          <w:szCs w:val="20"/>
        </w:rPr>
        <w:t xml:space="preserve"> jugovzhodna Slovenija (12 % projektov, 15 % odobrenih sredstev) in pomurska statistična regija (12 % projektov in 11 % odobrenih sredstev). Visok delež odobrenih sredstev imata še savinjska in gorenjska statistična regija (po 10 %). </w:t>
      </w:r>
      <w:r w:rsidRPr="00A52F41">
        <w:rPr>
          <w:rFonts w:ascii="Arial" w:hAnsi="Arial" w:cs="Arial"/>
          <w:sz w:val="20"/>
          <w:szCs w:val="20"/>
        </w:rPr>
        <w:t>Najmanj</w:t>
      </w:r>
      <w:r>
        <w:rPr>
          <w:rFonts w:ascii="Arial" w:hAnsi="Arial" w:cs="Arial"/>
          <w:sz w:val="20"/>
          <w:szCs w:val="20"/>
        </w:rPr>
        <w:t xml:space="preserve"> odobrenih vlog imajo posavska, obalno – kraška in koroška statistična regija. Najmanjši delež odobrenih sredstev pa obalno – kraška in koroška regija. Največ izplačanih projektov je bilo prav tako v podravski regiji (18 %) in jugovzhodni Sloveniji (14 %), najmanj pa v obalno-kraški (1 %) in osrednjeslovenski statistični regiji (3 %).</w:t>
      </w:r>
    </w:p>
    <w:p w14:paraId="46612E90" w14:textId="77777777" w:rsidR="00C01ABD" w:rsidRPr="004E31EF" w:rsidRDefault="00C01ABD" w:rsidP="00C01ABD">
      <w:pPr>
        <w:spacing w:before="200" w:line="360" w:lineRule="auto"/>
        <w:jc w:val="both"/>
        <w:rPr>
          <w:rFonts w:ascii="Arial" w:hAnsi="Arial" w:cs="Arial"/>
          <w:sz w:val="20"/>
          <w:szCs w:val="20"/>
        </w:rPr>
      </w:pPr>
      <w:r w:rsidRPr="004E31EF">
        <w:rPr>
          <w:rFonts w:ascii="Arial" w:hAnsi="Arial" w:cs="Arial"/>
          <w:sz w:val="20"/>
          <w:szCs w:val="20"/>
        </w:rPr>
        <w:t xml:space="preserve">Glede na status upravičenca okoli 40 % vseh upravičencev predstavlja javni sektor (občine in javni zavodi). </w:t>
      </w:r>
      <w:r w:rsidRPr="00A52F41">
        <w:rPr>
          <w:rFonts w:ascii="Arial" w:hAnsi="Arial" w:cs="Arial"/>
          <w:sz w:val="20"/>
          <w:szCs w:val="20"/>
        </w:rPr>
        <w:t>Največji delež odobrenih sredstev po statusu</w:t>
      </w:r>
      <w:r>
        <w:rPr>
          <w:rFonts w:ascii="Arial" w:hAnsi="Arial" w:cs="Arial"/>
          <w:sz w:val="20"/>
          <w:szCs w:val="20"/>
        </w:rPr>
        <w:t xml:space="preserve"> upravičencev ima javni sektor (</w:t>
      </w:r>
      <w:r w:rsidRPr="00A52F41">
        <w:rPr>
          <w:rFonts w:ascii="Arial" w:hAnsi="Arial" w:cs="Arial"/>
          <w:sz w:val="20"/>
          <w:szCs w:val="20"/>
        </w:rPr>
        <w:t>občine, javni zavodi</w:t>
      </w:r>
      <w:r>
        <w:rPr>
          <w:rFonts w:ascii="Arial" w:hAnsi="Arial" w:cs="Arial"/>
          <w:sz w:val="20"/>
          <w:szCs w:val="20"/>
        </w:rPr>
        <w:t>)</w:t>
      </w:r>
      <w:r w:rsidRPr="00A52F41">
        <w:rPr>
          <w:rFonts w:ascii="Arial" w:hAnsi="Arial" w:cs="Arial"/>
          <w:sz w:val="20"/>
          <w:szCs w:val="20"/>
        </w:rPr>
        <w:t>, ki predstavljajo okoli 60 % vseh odobrenih sredstev. Med u</w:t>
      </w:r>
      <w:r>
        <w:rPr>
          <w:rFonts w:ascii="Arial" w:hAnsi="Arial" w:cs="Arial"/>
          <w:sz w:val="20"/>
          <w:szCs w:val="20"/>
        </w:rPr>
        <w:t>pravičenci je največ občin (24 % vseh upravičencev in 43</w:t>
      </w:r>
      <w:r w:rsidRPr="00A52F41">
        <w:rPr>
          <w:rFonts w:ascii="Arial" w:hAnsi="Arial" w:cs="Arial"/>
          <w:sz w:val="20"/>
          <w:szCs w:val="20"/>
        </w:rPr>
        <w:t xml:space="preserve"> % vseh odobrenih </w:t>
      </w:r>
      <w:r>
        <w:rPr>
          <w:rFonts w:ascii="Arial" w:hAnsi="Arial" w:cs="Arial"/>
          <w:sz w:val="20"/>
          <w:szCs w:val="20"/>
        </w:rPr>
        <w:t>sredstev). Glede na upravičence sledijo društva (22,5 %), javni zavodi (19</w:t>
      </w:r>
      <w:r w:rsidRPr="00A52F41">
        <w:rPr>
          <w:rFonts w:ascii="Arial" w:hAnsi="Arial" w:cs="Arial"/>
          <w:sz w:val="20"/>
          <w:szCs w:val="20"/>
        </w:rPr>
        <w:t xml:space="preserve"> </w:t>
      </w:r>
      <w:r>
        <w:rPr>
          <w:rFonts w:ascii="Arial" w:hAnsi="Arial" w:cs="Arial"/>
          <w:sz w:val="20"/>
          <w:szCs w:val="20"/>
        </w:rPr>
        <w:t>%) in gospodarske družbe (15</w:t>
      </w:r>
      <w:r w:rsidRPr="00A52F41">
        <w:rPr>
          <w:rFonts w:ascii="Arial" w:hAnsi="Arial" w:cs="Arial"/>
          <w:sz w:val="20"/>
          <w:szCs w:val="20"/>
        </w:rPr>
        <w:t xml:space="preserve"> %). Upravičence predstavljajo tudi samostojni podjetniki</w:t>
      </w:r>
      <w:r>
        <w:rPr>
          <w:rFonts w:ascii="Arial" w:hAnsi="Arial" w:cs="Arial"/>
          <w:sz w:val="20"/>
          <w:szCs w:val="20"/>
        </w:rPr>
        <w:t xml:space="preserve"> (5,4 %)</w:t>
      </w:r>
      <w:r w:rsidRPr="00A52F41">
        <w:rPr>
          <w:rFonts w:ascii="Arial" w:hAnsi="Arial" w:cs="Arial"/>
          <w:sz w:val="20"/>
          <w:szCs w:val="20"/>
        </w:rPr>
        <w:t>,</w:t>
      </w:r>
      <w:r>
        <w:rPr>
          <w:rFonts w:ascii="Arial" w:hAnsi="Arial" w:cs="Arial"/>
          <w:sz w:val="20"/>
          <w:szCs w:val="20"/>
        </w:rPr>
        <w:t xml:space="preserve"> kmetije (5,7 % predstavljajo skupno kmetije, kmetije z registrirano dopolnilno dejavnostjo, nosilci kmetij, ki se ukvarjajo s predelavo ali trženjem) in </w:t>
      </w:r>
      <w:r w:rsidRPr="00A52F41">
        <w:rPr>
          <w:rFonts w:ascii="Arial" w:hAnsi="Arial" w:cs="Arial"/>
          <w:sz w:val="20"/>
          <w:szCs w:val="20"/>
        </w:rPr>
        <w:t>zasebni zavodi</w:t>
      </w:r>
      <w:r>
        <w:rPr>
          <w:rFonts w:ascii="Arial" w:hAnsi="Arial" w:cs="Arial"/>
          <w:sz w:val="20"/>
          <w:szCs w:val="20"/>
        </w:rPr>
        <w:t xml:space="preserve"> (4,7 %)</w:t>
      </w:r>
      <w:r w:rsidRPr="00A52F41">
        <w:rPr>
          <w:rFonts w:ascii="Arial" w:hAnsi="Arial" w:cs="Arial"/>
          <w:sz w:val="20"/>
          <w:szCs w:val="20"/>
        </w:rPr>
        <w:t>. Najmanj upr</w:t>
      </w:r>
      <w:r>
        <w:rPr>
          <w:rFonts w:ascii="Arial" w:hAnsi="Arial" w:cs="Arial"/>
          <w:sz w:val="20"/>
          <w:szCs w:val="20"/>
        </w:rPr>
        <w:t xml:space="preserve">avičencev predstavljajo </w:t>
      </w:r>
      <w:r w:rsidRPr="00A52F41">
        <w:rPr>
          <w:rFonts w:ascii="Arial" w:hAnsi="Arial" w:cs="Arial"/>
          <w:sz w:val="20"/>
          <w:szCs w:val="20"/>
        </w:rPr>
        <w:t>lastniki gozdov,</w:t>
      </w:r>
      <w:r>
        <w:rPr>
          <w:rFonts w:ascii="Arial" w:hAnsi="Arial" w:cs="Arial"/>
          <w:sz w:val="20"/>
          <w:szCs w:val="20"/>
        </w:rPr>
        <w:t xml:space="preserve"> fizične osebe in verske skupnosti, javna podjetja</w:t>
      </w:r>
      <w:r w:rsidRPr="00A52F41">
        <w:rPr>
          <w:rFonts w:ascii="Arial" w:hAnsi="Arial" w:cs="Arial"/>
          <w:sz w:val="20"/>
          <w:szCs w:val="20"/>
        </w:rPr>
        <w:t xml:space="preserve"> idr. To kaže, da</w:t>
      </w:r>
      <w:r>
        <w:rPr>
          <w:rFonts w:ascii="Arial" w:hAnsi="Arial" w:cs="Arial"/>
          <w:sz w:val="20"/>
          <w:szCs w:val="20"/>
        </w:rPr>
        <w:t xml:space="preserve"> </w:t>
      </w:r>
      <w:r w:rsidRPr="00A52F41">
        <w:rPr>
          <w:rFonts w:ascii="Arial" w:hAnsi="Arial" w:cs="Arial"/>
          <w:sz w:val="20"/>
          <w:szCs w:val="20"/>
        </w:rPr>
        <w:lastRenderedPageBreak/>
        <w:t xml:space="preserve">predstavniki civilne družbe v manjši meri prijavljajo operacije, ker s težavo zagotovijo potreben delež sofinanciranja, pestijo jih likvidnostne težave ipd. </w:t>
      </w:r>
    </w:p>
    <w:p w14:paraId="5B645448" w14:textId="4DCBE662" w:rsidR="009E0216" w:rsidRDefault="009E0216" w:rsidP="00BE756C">
      <w:pPr>
        <w:pStyle w:val="Default"/>
        <w:spacing w:before="200" w:after="200" w:line="360" w:lineRule="auto"/>
        <w:jc w:val="both"/>
        <w:rPr>
          <w:rFonts w:ascii="Arial" w:hAnsi="Arial" w:cs="Arial"/>
          <w:sz w:val="20"/>
          <w:szCs w:val="20"/>
          <w:lang w:val="sl-SI"/>
        </w:rPr>
      </w:pPr>
      <w:r w:rsidRPr="00A52F41">
        <w:rPr>
          <w:rFonts w:ascii="Arial" w:hAnsi="Arial" w:cs="Arial"/>
          <w:sz w:val="20"/>
          <w:szCs w:val="20"/>
          <w:lang w:val="sl-SI"/>
        </w:rPr>
        <w:t xml:space="preserve">Število zaključenih operacij v prvi polovici programskega obdobja je manjše, ker se nekatere operacije izvajajo v več fazah. Največji delež projektov je odobren v kohezijski regiji Vhodne Slovenije. V povprečju je bilo za eno operacijo odobrenih </w:t>
      </w:r>
      <w:r w:rsidR="006308B6">
        <w:rPr>
          <w:rFonts w:ascii="Arial" w:hAnsi="Arial" w:cs="Arial"/>
          <w:sz w:val="20"/>
          <w:szCs w:val="20"/>
          <w:lang w:val="sl-SI"/>
        </w:rPr>
        <w:t>okoli</w:t>
      </w:r>
      <w:r w:rsidRPr="00A52F41">
        <w:rPr>
          <w:rFonts w:ascii="Arial" w:hAnsi="Arial" w:cs="Arial"/>
          <w:sz w:val="20"/>
          <w:szCs w:val="20"/>
          <w:lang w:val="sl-SI"/>
        </w:rPr>
        <w:t xml:space="preserve"> 4</w:t>
      </w:r>
      <w:r w:rsidR="006308B6">
        <w:rPr>
          <w:rFonts w:ascii="Arial" w:hAnsi="Arial" w:cs="Arial"/>
          <w:sz w:val="20"/>
          <w:szCs w:val="20"/>
          <w:lang w:val="sl-SI"/>
        </w:rPr>
        <w:t>5.500</w:t>
      </w:r>
      <w:r w:rsidRPr="00A52F41">
        <w:rPr>
          <w:rFonts w:ascii="Arial" w:hAnsi="Arial" w:cs="Arial"/>
          <w:sz w:val="20"/>
          <w:szCs w:val="20"/>
          <w:lang w:val="sl-SI"/>
        </w:rPr>
        <w:t xml:space="preserve"> EUR javnih sredstev</w:t>
      </w:r>
      <w:r w:rsidR="008B4BD7">
        <w:rPr>
          <w:rFonts w:ascii="Arial" w:hAnsi="Arial" w:cs="Arial"/>
          <w:sz w:val="20"/>
          <w:szCs w:val="20"/>
          <w:lang w:val="sl-SI"/>
        </w:rPr>
        <w:t>.</w:t>
      </w:r>
      <w:r w:rsidRPr="00A52F41">
        <w:rPr>
          <w:rFonts w:ascii="Arial" w:hAnsi="Arial" w:cs="Arial"/>
          <w:sz w:val="20"/>
          <w:szCs w:val="20"/>
          <w:lang w:val="sl-SI"/>
        </w:rPr>
        <w:t>. Stopnja sofinanciranja v povprečju znaša 63 %. Najnižje vrednosti operacij so v vrednosti 4.000 do 5.000 EUR, z odobrenimi sredstvi okoli 3.000 EUR. Najvišje vrednosti operacij so v vrednosti okoli 525.000 EUR, z odobrenimi sredstvi v višini do 300.000 EUR.</w:t>
      </w:r>
    </w:p>
    <w:p w14:paraId="01166664" w14:textId="608EB275" w:rsidR="008B4BD7" w:rsidRPr="00564930" w:rsidRDefault="008B4BD7" w:rsidP="00BE756C">
      <w:pPr>
        <w:pStyle w:val="Default"/>
        <w:spacing w:before="200" w:after="200" w:line="360" w:lineRule="auto"/>
        <w:jc w:val="both"/>
        <w:rPr>
          <w:lang w:val="sl-SI"/>
        </w:rPr>
      </w:pPr>
      <w:r>
        <w:rPr>
          <w:rFonts w:ascii="Arial" w:hAnsi="Arial" w:cs="Arial"/>
          <w:sz w:val="20"/>
          <w:szCs w:val="20"/>
          <w:lang w:val="sl-SI"/>
        </w:rPr>
        <w:t xml:space="preserve">Največji delež stroškov v operacijah predstavljajo stroški materiala, naložb in storitev (okoli 70%), sledijo stroški dela (18 %) in splošni stroški (10 %). Za izvedbo projektov in vključevanja predvsem manjših posameznih partnerjev projektov je pomemben prispevek v naravi (lastno delo, material ali zemljišče), ki predstavlja okoli 2,3 % vseh upravičenih strokov projektov.  </w:t>
      </w:r>
    </w:p>
    <w:p w14:paraId="33024212" w14:textId="42AD77F9" w:rsidR="009E0216" w:rsidRPr="00A52F41" w:rsidRDefault="009E0216" w:rsidP="00BE756C">
      <w:pPr>
        <w:spacing w:before="200" w:after="0" w:line="360" w:lineRule="auto"/>
        <w:jc w:val="both"/>
        <w:rPr>
          <w:rFonts w:ascii="Arial" w:hAnsi="Arial" w:cs="Arial"/>
          <w:sz w:val="20"/>
          <w:szCs w:val="20"/>
        </w:rPr>
      </w:pPr>
      <w:r w:rsidRPr="00A52F41">
        <w:rPr>
          <w:rFonts w:ascii="Arial" w:hAnsi="Arial" w:cs="Arial"/>
          <w:sz w:val="20"/>
          <w:szCs w:val="20"/>
        </w:rPr>
        <w:t xml:space="preserve">Vsebinska analiza projektov, potrjenih do 31. </w:t>
      </w:r>
      <w:r w:rsidR="00BA524D">
        <w:rPr>
          <w:rFonts w:ascii="Arial" w:hAnsi="Arial" w:cs="Arial"/>
          <w:sz w:val="20"/>
          <w:szCs w:val="20"/>
        </w:rPr>
        <w:t>8</w:t>
      </w:r>
      <w:r w:rsidRPr="00A52F41">
        <w:rPr>
          <w:rFonts w:ascii="Arial" w:hAnsi="Arial" w:cs="Arial"/>
          <w:sz w:val="20"/>
          <w:szCs w:val="20"/>
        </w:rPr>
        <w:t>. 20</w:t>
      </w:r>
      <w:r w:rsidR="00BA524D">
        <w:rPr>
          <w:rFonts w:ascii="Arial" w:hAnsi="Arial" w:cs="Arial"/>
          <w:sz w:val="20"/>
          <w:szCs w:val="20"/>
        </w:rPr>
        <w:t>20</w:t>
      </w:r>
      <w:r w:rsidRPr="00A52F41">
        <w:rPr>
          <w:rFonts w:ascii="Arial" w:hAnsi="Arial" w:cs="Arial"/>
          <w:sz w:val="20"/>
          <w:szCs w:val="20"/>
        </w:rPr>
        <w:t>, kaže, da je okoli:</w:t>
      </w:r>
    </w:p>
    <w:p w14:paraId="78AD864D" w14:textId="77777777" w:rsidR="009E0216" w:rsidRPr="00A52F41" w:rsidRDefault="009E0216" w:rsidP="00A05198">
      <w:pPr>
        <w:pStyle w:val="Odstavekseznama"/>
        <w:numPr>
          <w:ilvl w:val="0"/>
          <w:numId w:val="29"/>
        </w:numPr>
        <w:spacing w:after="0" w:line="360" w:lineRule="auto"/>
        <w:contextualSpacing w:val="0"/>
        <w:jc w:val="both"/>
        <w:rPr>
          <w:rFonts w:ascii="Arial" w:hAnsi="Arial" w:cs="Arial"/>
          <w:sz w:val="20"/>
          <w:szCs w:val="20"/>
        </w:rPr>
      </w:pPr>
      <w:r w:rsidRPr="00A52F41">
        <w:rPr>
          <w:rFonts w:ascii="Arial" w:hAnsi="Arial" w:cs="Arial"/>
          <w:sz w:val="20"/>
          <w:szCs w:val="20"/>
        </w:rPr>
        <w:t xml:space="preserve">23 % projektov s področja turizma (lokalne blagovne znamke in turistični produkti, ureditev objektov in prostorov za turistični namen za različne ciljne skupine, tematske poti, kolesarske poti in poligoni, promocija lokalne kulinarike in znamenitosti in običajev, ureditev prenočitvenih kapacitet (apartmaji), postajališča za avtodome, ureditev muzejskih zbirk ipd.;  </w:t>
      </w:r>
    </w:p>
    <w:p w14:paraId="3406290A" w14:textId="13E0606E" w:rsidR="009E0216" w:rsidRPr="00A52F41" w:rsidRDefault="00BA524D" w:rsidP="00A05198">
      <w:pPr>
        <w:pStyle w:val="Odstavekseznama"/>
        <w:numPr>
          <w:ilvl w:val="0"/>
          <w:numId w:val="29"/>
        </w:numPr>
        <w:spacing w:after="0" w:line="360" w:lineRule="auto"/>
        <w:contextualSpacing w:val="0"/>
        <w:jc w:val="both"/>
        <w:rPr>
          <w:rFonts w:ascii="Arial" w:hAnsi="Arial" w:cs="Arial"/>
          <w:sz w:val="20"/>
          <w:szCs w:val="20"/>
        </w:rPr>
      </w:pPr>
      <w:r>
        <w:rPr>
          <w:rFonts w:ascii="Arial" w:hAnsi="Arial" w:cs="Arial"/>
          <w:sz w:val="20"/>
          <w:szCs w:val="20"/>
        </w:rPr>
        <w:t>20</w:t>
      </w:r>
      <w:r w:rsidR="009E0216" w:rsidRPr="00A52F41">
        <w:rPr>
          <w:rFonts w:ascii="Arial" w:hAnsi="Arial" w:cs="Arial"/>
          <w:sz w:val="20"/>
          <w:szCs w:val="20"/>
        </w:rPr>
        <w:t xml:space="preserve"> % s področja obnove in razvoja vasi (ureditev javne infrastrukture, prostorov, objektov in zunanjih površin za izobraževanje, usposabljanje, vseživljenjsko učenje za različne ciljne skupine: lokalne prebivalce, otroke, starostnike, ranljive skupine, športnike, podjetnike), ureditev tržnic, igrišč, medgeneracijskih centrov, kolesarskih poti, učnih parkov, ureditev prostorov za pripravo lokalne hrane, promocijsko-degustacijskih centrov, kulturnih domov in prostorov, čebelnjakov ipd.;    </w:t>
      </w:r>
    </w:p>
    <w:p w14:paraId="6B614237" w14:textId="77777777" w:rsidR="009E0216" w:rsidRPr="00A52F41" w:rsidRDefault="009E0216" w:rsidP="00A05198">
      <w:pPr>
        <w:pStyle w:val="Odstavekseznama"/>
        <w:numPr>
          <w:ilvl w:val="0"/>
          <w:numId w:val="29"/>
        </w:numPr>
        <w:spacing w:after="0" w:line="360" w:lineRule="auto"/>
        <w:contextualSpacing w:val="0"/>
        <w:jc w:val="both"/>
        <w:rPr>
          <w:rFonts w:ascii="Arial" w:hAnsi="Arial" w:cs="Arial"/>
          <w:sz w:val="20"/>
          <w:szCs w:val="20"/>
        </w:rPr>
      </w:pPr>
      <w:r w:rsidRPr="00A52F41">
        <w:rPr>
          <w:rFonts w:ascii="Arial" w:hAnsi="Arial" w:cs="Arial"/>
          <w:sz w:val="20"/>
          <w:szCs w:val="20"/>
        </w:rPr>
        <w:t xml:space="preserve">16 % s področja kulturne dediščine (obnova kulturnih znamenitosti, objektov, obnova mlina, prireditve in storitve povezane z dediščino (Rimljani, furmanstvo, vojaška bolnica, dediščina vinarstva, lončarstvo, rokodelstvo, kmečki običaji), arheološke zbirke, muzejske zbirke, kozolci, stara hišna imena ipd., </w:t>
      </w:r>
    </w:p>
    <w:p w14:paraId="0D36332A" w14:textId="77777777" w:rsidR="009E0216" w:rsidRPr="00A52F41" w:rsidRDefault="009E0216" w:rsidP="00A05198">
      <w:pPr>
        <w:pStyle w:val="Odstavekseznama"/>
        <w:numPr>
          <w:ilvl w:val="0"/>
          <w:numId w:val="29"/>
        </w:numPr>
        <w:spacing w:after="0" w:line="360" w:lineRule="auto"/>
        <w:contextualSpacing w:val="0"/>
        <w:jc w:val="both"/>
        <w:rPr>
          <w:rFonts w:ascii="Arial" w:hAnsi="Arial" w:cs="Arial"/>
          <w:sz w:val="20"/>
          <w:szCs w:val="20"/>
        </w:rPr>
      </w:pPr>
      <w:r w:rsidRPr="00A52F41">
        <w:rPr>
          <w:rFonts w:ascii="Arial" w:hAnsi="Arial" w:cs="Arial"/>
          <w:sz w:val="20"/>
          <w:szCs w:val="20"/>
        </w:rPr>
        <w:t xml:space="preserve">12 % s področja kmetijstva, gozdarstva in prehrane: dopolnilne dejavnosti na kmetiji( jahanje, didaktične kmetije s prikazom dela na kmetiji za različne skupine, programi, storitve in produkti za povečanje lokalne samooskrbe ter kratke dobavne verige, vzpostavitev blagovnih znamk in trženje različnih proizvodov: lokalna hrana, sadjarstvo, vino, meso, zelenjava, seneno mleko ipd.), izobraževanja o pomenu ohranjanja kmetijskih površin, pilotni projekti s prikazom ohranjanja starih kultur, avtohtonih pasem, zeliščarstvo, hortikultura, projekti povezani s čebelarstvom in pomenom ohranjanja gozdov; </w:t>
      </w:r>
    </w:p>
    <w:p w14:paraId="73559D68" w14:textId="21E00EB1" w:rsidR="009E0216" w:rsidRPr="00A52F41" w:rsidRDefault="009E0216" w:rsidP="00A05198">
      <w:pPr>
        <w:pStyle w:val="Odstavekseznama"/>
        <w:numPr>
          <w:ilvl w:val="0"/>
          <w:numId w:val="29"/>
        </w:numPr>
        <w:spacing w:after="0" w:line="360" w:lineRule="auto"/>
        <w:contextualSpacing w:val="0"/>
        <w:jc w:val="both"/>
        <w:rPr>
          <w:rFonts w:ascii="Arial" w:hAnsi="Arial" w:cs="Arial"/>
          <w:sz w:val="20"/>
          <w:szCs w:val="20"/>
        </w:rPr>
      </w:pPr>
      <w:r w:rsidRPr="00A52F41">
        <w:rPr>
          <w:rFonts w:ascii="Arial" w:hAnsi="Arial" w:cs="Arial"/>
          <w:sz w:val="20"/>
          <w:szCs w:val="20"/>
        </w:rPr>
        <w:t>1</w:t>
      </w:r>
      <w:r w:rsidR="00BA524D">
        <w:rPr>
          <w:rFonts w:ascii="Arial" w:hAnsi="Arial" w:cs="Arial"/>
          <w:sz w:val="20"/>
          <w:szCs w:val="20"/>
        </w:rPr>
        <w:t>2</w:t>
      </w:r>
      <w:r w:rsidRPr="00A52F41">
        <w:rPr>
          <w:rFonts w:ascii="Arial" w:hAnsi="Arial" w:cs="Arial"/>
          <w:sz w:val="20"/>
          <w:szCs w:val="20"/>
        </w:rPr>
        <w:t xml:space="preserve"> % s področja družbe in sociale (programi, prireditve in izobraževanja za lokalne prebivalce in ranljive skupine (mladi, ostareli, osebe s posebnimi potrebami) z različno tematiko: podjetništvo, zdrav življenjski slog, društvene dejavnosti, kino, sejmi, mobilni socialni servis ipd.;</w:t>
      </w:r>
    </w:p>
    <w:p w14:paraId="3684A61A" w14:textId="2BA04EA7" w:rsidR="009E0216" w:rsidRPr="00A52F41" w:rsidRDefault="00BA524D" w:rsidP="00A05198">
      <w:pPr>
        <w:pStyle w:val="Odstavekseznama"/>
        <w:numPr>
          <w:ilvl w:val="0"/>
          <w:numId w:val="29"/>
        </w:numPr>
        <w:spacing w:after="0" w:line="360" w:lineRule="auto"/>
        <w:contextualSpacing w:val="0"/>
        <w:jc w:val="both"/>
        <w:rPr>
          <w:rFonts w:ascii="Arial" w:hAnsi="Arial" w:cs="Arial"/>
          <w:sz w:val="20"/>
          <w:szCs w:val="20"/>
        </w:rPr>
      </w:pPr>
      <w:r>
        <w:rPr>
          <w:rFonts w:ascii="Arial" w:hAnsi="Arial" w:cs="Arial"/>
          <w:sz w:val="20"/>
          <w:szCs w:val="20"/>
        </w:rPr>
        <w:t>9</w:t>
      </w:r>
      <w:r w:rsidR="009E0216" w:rsidRPr="00A52F41">
        <w:rPr>
          <w:rFonts w:ascii="Arial" w:hAnsi="Arial" w:cs="Arial"/>
          <w:sz w:val="20"/>
          <w:szCs w:val="20"/>
        </w:rPr>
        <w:t xml:space="preserve"> % s področja varovanja okolja</w:t>
      </w:r>
      <w:r>
        <w:rPr>
          <w:rFonts w:ascii="Arial" w:hAnsi="Arial" w:cs="Arial"/>
          <w:sz w:val="20"/>
          <w:szCs w:val="20"/>
        </w:rPr>
        <w:t xml:space="preserve"> in naravnih virov energije ter varovanje podnebja</w:t>
      </w:r>
      <w:r w:rsidR="009E0216" w:rsidRPr="00A52F41">
        <w:rPr>
          <w:rFonts w:ascii="Arial" w:hAnsi="Arial" w:cs="Arial"/>
          <w:sz w:val="20"/>
          <w:szCs w:val="20"/>
        </w:rPr>
        <w:t xml:space="preserve"> (interpretacija narave: naravoslovne učne poti, informativne table, usmerjevalne table, programi o pomenu </w:t>
      </w:r>
      <w:r w:rsidR="009E0216" w:rsidRPr="00A52F41">
        <w:rPr>
          <w:rFonts w:ascii="Arial" w:hAnsi="Arial" w:cs="Arial"/>
          <w:sz w:val="20"/>
          <w:szCs w:val="20"/>
        </w:rPr>
        <w:lastRenderedPageBreak/>
        <w:t>varovanja narave za različne ciljne skupine, varovanje in ohranitev naravnih habitatov: lokalnih mokrišč, obnova kali, ekoremediacija varovanje človeške ribice, projekti za ohranjanje vodnih virov, vzpostavitev javnih prevozov, parkirišč za zmanjšanje prometa;</w:t>
      </w:r>
      <w:r w:rsidR="00E46F83">
        <w:rPr>
          <w:rFonts w:ascii="Arial" w:hAnsi="Arial" w:cs="Arial"/>
          <w:sz w:val="20"/>
          <w:szCs w:val="20"/>
        </w:rPr>
        <w:t xml:space="preserve"> e-mobilnost, sončna elektrarna</w:t>
      </w:r>
      <w:r w:rsidR="009E0216" w:rsidRPr="00A52F41">
        <w:rPr>
          <w:rFonts w:ascii="Arial" w:hAnsi="Arial" w:cs="Arial"/>
          <w:sz w:val="20"/>
          <w:szCs w:val="20"/>
        </w:rPr>
        <w:t>;</w:t>
      </w:r>
      <w:r w:rsidR="00E46F83">
        <w:rPr>
          <w:rFonts w:ascii="Arial" w:hAnsi="Arial" w:cs="Arial"/>
          <w:sz w:val="20"/>
          <w:szCs w:val="20"/>
        </w:rPr>
        <w:t xml:space="preserve"> varovanje vodnih virov);</w:t>
      </w:r>
    </w:p>
    <w:p w14:paraId="19E50F16" w14:textId="3FF638E8" w:rsidR="009E0216" w:rsidRPr="00A52F41" w:rsidRDefault="00BA524D" w:rsidP="00A05198">
      <w:pPr>
        <w:pStyle w:val="Odstavekseznama"/>
        <w:numPr>
          <w:ilvl w:val="0"/>
          <w:numId w:val="29"/>
        </w:numPr>
        <w:spacing w:after="0" w:line="360" w:lineRule="auto"/>
        <w:contextualSpacing w:val="0"/>
        <w:jc w:val="both"/>
        <w:rPr>
          <w:rFonts w:ascii="Arial" w:hAnsi="Arial" w:cs="Arial"/>
          <w:sz w:val="20"/>
          <w:szCs w:val="20"/>
        </w:rPr>
      </w:pPr>
      <w:r>
        <w:rPr>
          <w:rFonts w:ascii="Arial" w:hAnsi="Arial" w:cs="Arial"/>
          <w:sz w:val="20"/>
          <w:szCs w:val="20"/>
        </w:rPr>
        <w:t>4</w:t>
      </w:r>
      <w:r w:rsidR="009E0216" w:rsidRPr="00A52F41">
        <w:rPr>
          <w:rFonts w:ascii="Arial" w:hAnsi="Arial" w:cs="Arial"/>
          <w:sz w:val="20"/>
          <w:szCs w:val="20"/>
        </w:rPr>
        <w:t xml:space="preserve"> % s področja podjetništva na podeželju (združevanje lokalnih produktov, mreženje, izobraževanje v šolah, oblikovanje blagovnih znamk na področju lesarstva, gozdarstva in drugih lokalnih virov, ustvarjanje podpornega okolja za podjetništvo na podeželju, izobraževanja, delavnice, programi za mlade in druge ranljive skupine, podpora socialnemu podjetništvu, razvoj novih proizvodov in produktov ipd.).</w:t>
      </w:r>
    </w:p>
    <w:p w14:paraId="03807817"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V okviru podukrepa 19.2 je bilo do konca leta 2019 ustvarjenih 50 delovnih mest na podeželju.</w:t>
      </w:r>
    </w:p>
    <w:p w14:paraId="6ADE87F3" w14:textId="63F1E6C2" w:rsidR="00C01FEA" w:rsidRPr="00C35272" w:rsidRDefault="00C01FEA" w:rsidP="00C35272">
      <w:pPr>
        <w:pStyle w:val="SCslika"/>
        <w:keepNext/>
        <w:keepLines/>
        <w:spacing w:before="200"/>
      </w:pPr>
      <w:r w:rsidRPr="00C35272">
        <w:t>Slika 4</w:t>
      </w:r>
      <w:r w:rsidR="00D37137">
        <w:t>5</w:t>
      </w:r>
      <w:r w:rsidRPr="00C35272">
        <w:t>: Vsebinska analiza projektov LEADER za podukrep 19.2</w:t>
      </w:r>
    </w:p>
    <w:p w14:paraId="391E5D57" w14:textId="527BD64B" w:rsidR="00BA524D" w:rsidRDefault="005630A2" w:rsidP="009D2C9D">
      <w:pPr>
        <w:spacing w:after="0" w:line="240" w:lineRule="auto"/>
        <w:jc w:val="both"/>
        <w:rPr>
          <w:rFonts w:ascii="Arial" w:hAnsi="Arial" w:cs="Arial"/>
          <w:sz w:val="16"/>
          <w:szCs w:val="16"/>
        </w:rPr>
      </w:pPr>
      <w:bookmarkStart w:id="91" w:name="_Toc47082388"/>
      <w:bookmarkStart w:id="92" w:name="_Toc47092629"/>
      <w:r>
        <w:rPr>
          <w:noProof/>
          <w:lang w:eastAsia="sl-SI"/>
        </w:rPr>
        <w:drawing>
          <wp:inline distT="0" distB="0" distL="0" distR="0" wp14:anchorId="73D8EA83" wp14:editId="26C8219E">
            <wp:extent cx="5760720" cy="3555894"/>
            <wp:effectExtent l="0" t="0" r="11430" b="26035"/>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BB092C3" w14:textId="77777777" w:rsidR="009E0216" w:rsidRPr="00BE756C" w:rsidRDefault="009E0216" w:rsidP="00EA2E4C">
      <w:pPr>
        <w:spacing w:line="360" w:lineRule="auto"/>
        <w:jc w:val="both"/>
        <w:rPr>
          <w:rFonts w:ascii="Arial" w:hAnsi="Arial" w:cs="Arial"/>
          <w:sz w:val="16"/>
          <w:szCs w:val="16"/>
        </w:rPr>
      </w:pPr>
      <w:r w:rsidRPr="00BE756C">
        <w:rPr>
          <w:rFonts w:ascii="Arial" w:hAnsi="Arial" w:cs="Arial"/>
          <w:sz w:val="16"/>
          <w:szCs w:val="16"/>
        </w:rPr>
        <w:t>Vir: ARSKTRP, obdelava MKGP</w:t>
      </w:r>
      <w:bookmarkEnd w:id="91"/>
      <w:bookmarkEnd w:id="92"/>
    </w:p>
    <w:p w14:paraId="7FFB0C0B" w14:textId="77777777" w:rsidR="009E0216" w:rsidRPr="005E4633" w:rsidRDefault="009E0216" w:rsidP="00BE756C">
      <w:pPr>
        <w:spacing w:before="200" w:line="360" w:lineRule="auto"/>
        <w:jc w:val="both"/>
        <w:rPr>
          <w:rFonts w:ascii="Arial" w:hAnsi="Arial" w:cs="Arial"/>
          <w:sz w:val="20"/>
          <w:szCs w:val="20"/>
        </w:rPr>
      </w:pPr>
      <w:r w:rsidRPr="005E4633">
        <w:rPr>
          <w:rFonts w:ascii="Arial" w:hAnsi="Arial" w:cs="Arial"/>
          <w:sz w:val="20"/>
          <w:szCs w:val="20"/>
        </w:rPr>
        <w:t>Vsebinsko so projekti zelo interdisciplinarni, kompleksni, z multiplikacijskimi učinki in se vsebinsko zelo prepletajo, zato je strogo vsebinsko ločitev zelo težko določiti. Kar 63 % vseh projektov, izvedenih ali odobrenih do konca leta 2019 vsebuje naložbe, 26 % delavnice, 18 % nove produkte, 16 % vključuje izobraževanje, 15% projektov storitve, ostali projekti pa druge aktivnosti (Analiza letnih poročil LAS za leto 2019, obdelava MKGP). Okoli 40 % vseh projektov se izvaja na območjih varovanje naravne in kulturne dediščine, saj so lokacije projektov na območju TNP, varovanih območjih narave in naravnih vrednost ter na lokacijah kulturne dediščine.</w:t>
      </w:r>
    </w:p>
    <w:p w14:paraId="5D09ED97" w14:textId="77777777" w:rsidR="009E0216" w:rsidRPr="005E4633" w:rsidRDefault="009E0216" w:rsidP="00BE756C">
      <w:pPr>
        <w:spacing w:before="200" w:line="360" w:lineRule="auto"/>
        <w:jc w:val="both"/>
        <w:rPr>
          <w:rFonts w:ascii="Arial" w:hAnsi="Arial" w:cs="Arial"/>
          <w:sz w:val="20"/>
          <w:szCs w:val="20"/>
        </w:rPr>
      </w:pPr>
      <w:r w:rsidRPr="005E4633">
        <w:rPr>
          <w:rFonts w:ascii="Arial" w:hAnsi="Arial" w:cs="Arial"/>
          <w:sz w:val="20"/>
          <w:szCs w:val="20"/>
        </w:rPr>
        <w:t xml:space="preserve">Čeprav je najmanj opredelitev projektov iz tematskega področja ukrepanja Večja vključenost mladih, žensk in drugih ranljivih skupin, pa veliko projektov vključuje socialne vsebine, kot so medgeneracijsko sodelovanje, izobraževanje, podpora ranljivih skupin idr. Na podlagi izvedene ankete Društva za razvoj </w:t>
      </w:r>
      <w:r w:rsidRPr="005E4633">
        <w:rPr>
          <w:rFonts w:ascii="Arial" w:hAnsi="Arial" w:cs="Arial"/>
          <w:sz w:val="20"/>
          <w:szCs w:val="20"/>
        </w:rPr>
        <w:lastRenderedPageBreak/>
        <w:t xml:space="preserve">slovenskega podeželja je bilo do konca leta 2018 odobrenih skupaj 81 operacij s socialnimi vsebinami (skupaj vseh odobrenih operacij, na podlagi 23 vključenih LAS, je bilo 323), kar znaša približno 25 % vseh odobrenih operacij. V povprečju so na ravni LAS odobrili 3 operacije s socialno vsebino. Na podlagi meril LAS za izbor operacije več kot 50 % odobrenih operacij pri ocenjevanju prijave dosega maksimalno število točk pri socialnem kriteriju – vključevanje ranljivih skupin. </w:t>
      </w:r>
    </w:p>
    <w:p w14:paraId="60ECB3C3" w14:textId="22E767AC" w:rsidR="009E0216" w:rsidRPr="005E4633" w:rsidRDefault="009E0216" w:rsidP="00BE756C">
      <w:pPr>
        <w:spacing w:before="200" w:line="360" w:lineRule="auto"/>
        <w:jc w:val="both"/>
        <w:rPr>
          <w:rFonts w:ascii="Arial" w:hAnsi="Arial" w:cs="Arial"/>
          <w:sz w:val="20"/>
          <w:szCs w:val="20"/>
        </w:rPr>
      </w:pPr>
      <w:r w:rsidRPr="005E4633">
        <w:rPr>
          <w:rFonts w:ascii="Arial" w:hAnsi="Arial" w:cs="Arial"/>
          <w:sz w:val="20"/>
          <w:szCs w:val="20"/>
        </w:rPr>
        <w:t>V okviru vrednotenja PRP 2014–2020 je bilo ugotovljeno, da je na podlagi odobrenih operacij LEADER delež podeželskega prebivalstva, deležnega izboljšanih storitev oziroma infrastrukture</w:t>
      </w:r>
      <w:r w:rsidR="00675FF9">
        <w:rPr>
          <w:rFonts w:ascii="Arial" w:hAnsi="Arial" w:cs="Arial"/>
          <w:sz w:val="20"/>
          <w:szCs w:val="20"/>
        </w:rPr>
        <w:t>,</w:t>
      </w:r>
      <w:r w:rsidRPr="005E4633">
        <w:rPr>
          <w:rFonts w:ascii="Arial" w:hAnsi="Arial" w:cs="Arial"/>
          <w:sz w:val="20"/>
          <w:szCs w:val="20"/>
        </w:rPr>
        <w:t xml:space="preserve"> kar 51% prebivalstva. Vsebinska analiza projektov kaže, da gre za obnovo vasi, obnove objektov (kulturne dediščine in revitalizacijo opuščenih) in prostorov, investicije na javnih površinah in objektih ter nakup urbane opreme, nakup razne opreme za dejavnosti, rekreacijo ipd. Pogosto gre za </w:t>
      </w:r>
      <w:r w:rsidR="00675FF9">
        <w:rPr>
          <w:rFonts w:ascii="Arial" w:hAnsi="Arial" w:cs="Arial"/>
          <w:sz w:val="20"/>
          <w:szCs w:val="20"/>
        </w:rPr>
        <w:t>vsebine</w:t>
      </w:r>
      <w:r w:rsidRPr="005E4633">
        <w:rPr>
          <w:rFonts w:ascii="Arial" w:hAnsi="Arial" w:cs="Arial"/>
          <w:sz w:val="20"/>
          <w:szCs w:val="20"/>
        </w:rPr>
        <w:t xml:space="preserve">, ki </w:t>
      </w:r>
      <w:r w:rsidR="00675FF9">
        <w:rPr>
          <w:rFonts w:ascii="Arial" w:hAnsi="Arial" w:cs="Arial"/>
          <w:sz w:val="20"/>
          <w:szCs w:val="20"/>
        </w:rPr>
        <w:t xml:space="preserve">so </w:t>
      </w:r>
      <w:r w:rsidRPr="005E4633">
        <w:rPr>
          <w:rFonts w:ascii="Arial" w:hAnsi="Arial" w:cs="Arial"/>
          <w:sz w:val="20"/>
          <w:szCs w:val="20"/>
        </w:rPr>
        <w:t>bil</w:t>
      </w:r>
      <w:r w:rsidR="00675FF9">
        <w:rPr>
          <w:rFonts w:ascii="Arial" w:hAnsi="Arial" w:cs="Arial"/>
          <w:sz w:val="20"/>
          <w:szCs w:val="20"/>
        </w:rPr>
        <w:t>e</w:t>
      </w:r>
      <w:r w:rsidRPr="005E4633">
        <w:rPr>
          <w:rFonts w:ascii="Arial" w:hAnsi="Arial" w:cs="Arial"/>
          <w:sz w:val="20"/>
          <w:szCs w:val="20"/>
        </w:rPr>
        <w:t xml:space="preserve"> v prejšnjem programskem obdobju podprt</w:t>
      </w:r>
      <w:r w:rsidR="00675FF9">
        <w:rPr>
          <w:rFonts w:ascii="Arial" w:hAnsi="Arial" w:cs="Arial"/>
          <w:sz w:val="20"/>
          <w:szCs w:val="20"/>
        </w:rPr>
        <w:t>e</w:t>
      </w:r>
      <w:r w:rsidRPr="005E4633">
        <w:rPr>
          <w:rFonts w:ascii="Arial" w:hAnsi="Arial" w:cs="Arial"/>
          <w:sz w:val="20"/>
          <w:szCs w:val="20"/>
        </w:rPr>
        <w:t xml:space="preserve"> v okviru ukrepov namenjenih obnovi in razvoju vasi ter ohranjanju in izboljševanju dediščine na podeželju.</w:t>
      </w:r>
    </w:p>
    <w:p w14:paraId="73B92DFB" w14:textId="30F682CF" w:rsidR="009E0216" w:rsidRPr="005E4633" w:rsidRDefault="009E0216" w:rsidP="00BE756C">
      <w:pPr>
        <w:pStyle w:val="Default"/>
        <w:spacing w:before="200" w:after="200" w:line="360" w:lineRule="auto"/>
        <w:jc w:val="both"/>
        <w:rPr>
          <w:rFonts w:ascii="Arial" w:hAnsi="Arial" w:cs="Arial"/>
          <w:color w:val="auto"/>
          <w:sz w:val="20"/>
          <w:szCs w:val="20"/>
          <w:lang w:val="sl-SI"/>
        </w:rPr>
      </w:pPr>
      <w:r w:rsidRPr="005E4633">
        <w:rPr>
          <w:rFonts w:ascii="Arial" w:hAnsi="Arial" w:cs="Arial"/>
          <w:color w:val="auto"/>
          <w:sz w:val="20"/>
          <w:szCs w:val="20"/>
          <w:lang w:val="sl-SI"/>
        </w:rPr>
        <w:t>Glede inovativnih operacij na ravni PRP 2014-2020 je bilo z vrednotenjem PRP ugotovljeno, da je na osnovi vsebinskega opisa operacij znotraj podukrepa 19.2 več kot tri četrtine (76,0 %) vseh inovativnih operacij na ravni PRP 2014-2020</w:t>
      </w:r>
      <w:r w:rsidR="003E4A64">
        <w:rPr>
          <w:rFonts w:ascii="Arial" w:hAnsi="Arial" w:cs="Arial"/>
          <w:color w:val="auto"/>
          <w:sz w:val="20"/>
          <w:szCs w:val="20"/>
          <w:lang w:val="sl-SI"/>
        </w:rPr>
        <w:t>.</w:t>
      </w:r>
    </w:p>
    <w:p w14:paraId="051072D3" w14:textId="4B09A76B" w:rsidR="00206041" w:rsidRPr="008D32AC" w:rsidRDefault="009E0216" w:rsidP="00BE756C">
      <w:pPr>
        <w:pStyle w:val="Default"/>
        <w:spacing w:before="200" w:after="200" w:line="360" w:lineRule="auto"/>
        <w:jc w:val="both"/>
        <w:rPr>
          <w:lang w:val="sl-SI"/>
        </w:rPr>
      </w:pPr>
      <w:r w:rsidRPr="008D32AC">
        <w:rPr>
          <w:rFonts w:ascii="Arial" w:hAnsi="Arial" w:cs="Arial"/>
          <w:sz w:val="20"/>
          <w:szCs w:val="20"/>
          <w:lang w:val="sl-SI"/>
        </w:rPr>
        <w:t xml:space="preserve">V okviru javnih pozivih lokalnih akcijskih skupin za izbor operacij, so nastali tudi projekti, ki se nanašajo na digitalne storitve v podjetništvu, turizmu, ohranjanju kulturne dediščine, kmetijstvu in lesarstvu. Upravičenci in ciljne skupine so različni: mladi, šolarji, starostniki in druge ranljive skupine, podjetniki, turisti idr. Gre za digitalne storitve, kot so nakup IKT, strojne opreme, mobilne aplikacije, izvedba multimedijev in video predstavitev idr. </w:t>
      </w:r>
    </w:p>
    <w:p w14:paraId="3865A6F1" w14:textId="59164FE6" w:rsidR="00206041" w:rsidRPr="005E4633" w:rsidRDefault="00206041" w:rsidP="00BE756C">
      <w:pPr>
        <w:autoSpaceDE w:val="0"/>
        <w:autoSpaceDN w:val="0"/>
        <w:adjustRightInd w:val="0"/>
        <w:spacing w:before="200" w:line="360" w:lineRule="auto"/>
        <w:jc w:val="both"/>
        <w:rPr>
          <w:rFonts w:ascii="Arial" w:eastAsia="Times New Roman" w:hAnsi="Arial" w:cs="Arial"/>
          <w:sz w:val="20"/>
          <w:szCs w:val="20"/>
          <w:lang w:eastAsia="en-GB"/>
        </w:rPr>
      </w:pPr>
      <w:r w:rsidRPr="005E4633">
        <w:rPr>
          <w:rFonts w:ascii="Arial" w:eastAsia="Times New Roman" w:hAnsi="Arial" w:cs="Arial"/>
          <w:sz w:val="20"/>
          <w:szCs w:val="20"/>
          <w:lang w:eastAsia="en-GB"/>
        </w:rPr>
        <w:t xml:space="preserve">V programskem obdobju 2014–2020 je tudi večje zanimanje za projekte sodelovanja LAS. Za podukrep 19.3 Priprava in izvajanje dejavnosti sodelovanja lokalne akcijske skupine je skupaj na voljo 7 mio EUR sredstev, ki so bila razpisana v okviru 5. javnih razpisov. </w:t>
      </w:r>
    </w:p>
    <w:p w14:paraId="6A0A4BBF" w14:textId="7E96B470" w:rsidR="00206041" w:rsidRPr="005E4633" w:rsidRDefault="00206041" w:rsidP="00BE756C">
      <w:pPr>
        <w:autoSpaceDE w:val="0"/>
        <w:autoSpaceDN w:val="0"/>
        <w:adjustRightInd w:val="0"/>
        <w:spacing w:before="200" w:line="360" w:lineRule="auto"/>
        <w:jc w:val="both"/>
        <w:rPr>
          <w:rFonts w:ascii="Arial" w:hAnsi="Arial" w:cs="Arial"/>
          <w:sz w:val="20"/>
          <w:szCs w:val="20"/>
        </w:rPr>
      </w:pPr>
      <w:r w:rsidRPr="005E4633">
        <w:rPr>
          <w:rFonts w:ascii="Arial" w:eastAsia="Times New Roman" w:hAnsi="Arial" w:cs="Arial"/>
          <w:sz w:val="20"/>
          <w:szCs w:val="20"/>
          <w:lang w:eastAsia="en-GB"/>
        </w:rPr>
        <w:t xml:space="preserve">V okviru programskega obdobja 2014-2020 je </w:t>
      </w:r>
      <w:r w:rsidR="00675FF9">
        <w:rPr>
          <w:rFonts w:ascii="Arial" w:eastAsia="Times New Roman" w:hAnsi="Arial" w:cs="Arial"/>
          <w:sz w:val="20"/>
          <w:szCs w:val="20"/>
          <w:lang w:eastAsia="en-GB"/>
        </w:rPr>
        <w:t xml:space="preserve">v okviru podukrepa 19.3 </w:t>
      </w:r>
      <w:r w:rsidRPr="005E4633">
        <w:rPr>
          <w:rFonts w:ascii="Arial" w:eastAsia="Times New Roman" w:hAnsi="Arial" w:cs="Arial"/>
          <w:sz w:val="20"/>
          <w:szCs w:val="20"/>
          <w:lang w:eastAsia="en-GB"/>
        </w:rPr>
        <w:t>prispelo 239 vlog</w:t>
      </w:r>
      <w:r w:rsidR="00675FF9">
        <w:rPr>
          <w:rFonts w:ascii="Arial" w:eastAsia="Times New Roman" w:hAnsi="Arial" w:cs="Arial"/>
          <w:sz w:val="20"/>
          <w:szCs w:val="20"/>
          <w:lang w:eastAsia="en-GB"/>
        </w:rPr>
        <w:t>, od katerih je bilo o</w:t>
      </w:r>
      <w:r w:rsidRPr="005E4633">
        <w:rPr>
          <w:rFonts w:ascii="Arial" w:eastAsia="Times New Roman" w:hAnsi="Arial" w:cs="Arial"/>
          <w:sz w:val="20"/>
          <w:szCs w:val="20"/>
          <w:lang w:eastAsia="en-GB"/>
        </w:rPr>
        <w:t xml:space="preserve">dobrenih 111 vlog. 36 LAS je prijavilo 72 projektov sodelovanja. Odobrenih je bilo 28 projektov 34-im LAS. Največ operacij je s tematskega področja ukrepanja Razvoj osnovnih storitev, sledi tematsko področje ukrepanja Varstvo okolja in ohranjanje narave. </w:t>
      </w:r>
      <w:r w:rsidR="00675FF9">
        <w:rPr>
          <w:rFonts w:ascii="Arial" w:eastAsia="Times New Roman" w:hAnsi="Arial" w:cs="Arial"/>
          <w:sz w:val="20"/>
          <w:szCs w:val="20"/>
          <w:lang w:eastAsia="en-GB"/>
        </w:rPr>
        <w:t>Večinoma</w:t>
      </w:r>
      <w:r w:rsidRPr="005E4633">
        <w:rPr>
          <w:rFonts w:ascii="Arial" w:eastAsia="Times New Roman" w:hAnsi="Arial" w:cs="Arial"/>
          <w:sz w:val="20"/>
          <w:szCs w:val="20"/>
          <w:lang w:eastAsia="en-GB"/>
        </w:rPr>
        <w:t xml:space="preserve"> operacij je takšnih, v katere so vključeni 4 različni LAS (10 projektov). V 3 operacije je vključenih kar 6 različnih LAS, 1 projekt pa vključuje 8 LAS. Do 31. 7. 2020 je bilo zaključenih 8 projektov in izplačan</w:t>
      </w:r>
      <w:r w:rsidR="00E020CE">
        <w:rPr>
          <w:rFonts w:ascii="Arial" w:eastAsia="Times New Roman" w:hAnsi="Arial" w:cs="Arial"/>
          <w:sz w:val="20"/>
          <w:szCs w:val="20"/>
          <w:lang w:eastAsia="en-GB"/>
        </w:rPr>
        <w:t>ih 29 vlog v višini 1.895.889</w:t>
      </w:r>
      <w:r w:rsidRPr="005E4633">
        <w:rPr>
          <w:rFonts w:ascii="Arial" w:eastAsia="Times New Roman" w:hAnsi="Arial" w:cs="Arial"/>
          <w:sz w:val="20"/>
          <w:szCs w:val="20"/>
          <w:lang w:eastAsia="en-GB"/>
        </w:rPr>
        <w:t xml:space="preserve"> EUR. </w:t>
      </w:r>
      <w:r w:rsidR="008D375B">
        <w:rPr>
          <w:rFonts w:ascii="Arial" w:eastAsia="Times New Roman" w:hAnsi="Arial" w:cs="Arial"/>
          <w:sz w:val="20"/>
          <w:szCs w:val="20"/>
          <w:lang w:eastAsia="en-GB"/>
        </w:rPr>
        <w:t>Od skupno 28 odobrenih je bilo p</w:t>
      </w:r>
      <w:r w:rsidRPr="005E4633">
        <w:rPr>
          <w:rFonts w:ascii="Arial" w:eastAsia="Times New Roman" w:hAnsi="Arial" w:cs="Arial"/>
          <w:sz w:val="20"/>
          <w:szCs w:val="20"/>
          <w:lang w:eastAsia="en-GB"/>
        </w:rPr>
        <w:t xml:space="preserve">otrjenih </w:t>
      </w:r>
      <w:r w:rsidR="00763F76" w:rsidRPr="005E4633">
        <w:rPr>
          <w:rFonts w:ascii="Arial" w:eastAsia="Times New Roman" w:hAnsi="Arial" w:cs="Arial"/>
          <w:sz w:val="20"/>
          <w:szCs w:val="20"/>
          <w:lang w:eastAsia="en-GB"/>
        </w:rPr>
        <w:t>9</w:t>
      </w:r>
      <w:r w:rsidRPr="005E4633">
        <w:rPr>
          <w:rFonts w:ascii="Arial" w:eastAsia="Times New Roman" w:hAnsi="Arial" w:cs="Arial"/>
          <w:sz w:val="20"/>
          <w:szCs w:val="20"/>
          <w:lang w:eastAsia="en-GB"/>
        </w:rPr>
        <w:t xml:space="preserve"> mednarodnih projektov sodelovanja</w:t>
      </w:r>
      <w:r w:rsidR="003E4A64">
        <w:rPr>
          <w:rFonts w:ascii="Arial" w:eastAsia="Times New Roman" w:hAnsi="Arial" w:cs="Arial"/>
          <w:sz w:val="20"/>
          <w:szCs w:val="20"/>
          <w:lang w:eastAsia="en-GB"/>
        </w:rPr>
        <w:t xml:space="preserve">. </w:t>
      </w:r>
      <w:r w:rsidRPr="005E4633">
        <w:rPr>
          <w:rFonts w:ascii="Arial" w:eastAsia="Times New Roman" w:hAnsi="Arial" w:cs="Arial"/>
          <w:sz w:val="20"/>
          <w:szCs w:val="20"/>
          <w:lang w:eastAsia="en-GB"/>
        </w:rPr>
        <w:t>V programskem obdobju 2007</w:t>
      </w:r>
      <w:r w:rsidR="008D375B">
        <w:rPr>
          <w:rFonts w:ascii="Arial" w:eastAsia="Times New Roman" w:hAnsi="Arial" w:cs="Arial"/>
          <w:sz w:val="20"/>
          <w:szCs w:val="20"/>
          <w:lang w:eastAsia="en-GB"/>
        </w:rPr>
        <w:t>-20</w:t>
      </w:r>
      <w:r w:rsidRPr="005E4633">
        <w:rPr>
          <w:rFonts w:ascii="Arial" w:eastAsia="Times New Roman" w:hAnsi="Arial" w:cs="Arial"/>
          <w:sz w:val="20"/>
          <w:szCs w:val="20"/>
          <w:lang w:eastAsia="en-GB"/>
        </w:rPr>
        <w:t xml:space="preserve">13 je bilo le 8 projektov sodelovanja (4 </w:t>
      </w:r>
      <w:r w:rsidR="008D375B">
        <w:rPr>
          <w:rFonts w:ascii="Arial" w:eastAsia="Times New Roman" w:hAnsi="Arial" w:cs="Arial"/>
          <w:sz w:val="20"/>
          <w:szCs w:val="20"/>
          <w:lang w:eastAsia="en-GB"/>
        </w:rPr>
        <w:t>nacionalni</w:t>
      </w:r>
      <w:r w:rsidR="008D375B" w:rsidRPr="005E4633">
        <w:rPr>
          <w:rFonts w:ascii="Arial" w:eastAsia="Times New Roman" w:hAnsi="Arial" w:cs="Arial"/>
          <w:sz w:val="20"/>
          <w:szCs w:val="20"/>
          <w:lang w:eastAsia="en-GB"/>
        </w:rPr>
        <w:t xml:space="preserve"> </w:t>
      </w:r>
      <w:r w:rsidRPr="005E4633">
        <w:rPr>
          <w:rFonts w:ascii="Arial" w:eastAsia="Times New Roman" w:hAnsi="Arial" w:cs="Arial"/>
          <w:sz w:val="20"/>
          <w:szCs w:val="20"/>
          <w:lang w:eastAsia="en-GB"/>
        </w:rPr>
        <w:t>in 4 mednarodni).</w:t>
      </w:r>
    </w:p>
    <w:p w14:paraId="2808BE39" w14:textId="7FC5D96B" w:rsidR="009E0216" w:rsidRDefault="009E0216" w:rsidP="00BE756C">
      <w:pPr>
        <w:spacing w:before="200" w:line="360" w:lineRule="auto"/>
        <w:jc w:val="both"/>
        <w:rPr>
          <w:rFonts w:ascii="Arial" w:hAnsi="Arial" w:cs="Arial"/>
          <w:sz w:val="20"/>
          <w:szCs w:val="20"/>
        </w:rPr>
      </w:pPr>
      <w:r w:rsidRPr="005E4633">
        <w:rPr>
          <w:rFonts w:ascii="Arial" w:hAnsi="Arial" w:cs="Arial"/>
          <w:sz w:val="20"/>
          <w:szCs w:val="20"/>
        </w:rPr>
        <w:t xml:space="preserve">Za </w:t>
      </w:r>
      <w:r w:rsidR="008D375B">
        <w:rPr>
          <w:rFonts w:ascii="Arial" w:hAnsi="Arial" w:cs="Arial"/>
          <w:sz w:val="20"/>
          <w:szCs w:val="20"/>
        </w:rPr>
        <w:t xml:space="preserve">priznavanje </w:t>
      </w:r>
      <w:r w:rsidRPr="005E4633">
        <w:rPr>
          <w:rFonts w:ascii="Arial" w:hAnsi="Arial" w:cs="Arial"/>
          <w:sz w:val="20"/>
          <w:szCs w:val="20"/>
        </w:rPr>
        <w:t>strošk</w:t>
      </w:r>
      <w:r w:rsidR="008D375B">
        <w:rPr>
          <w:rFonts w:ascii="Arial" w:hAnsi="Arial" w:cs="Arial"/>
          <w:sz w:val="20"/>
          <w:szCs w:val="20"/>
        </w:rPr>
        <w:t>ov</w:t>
      </w:r>
      <w:r w:rsidRPr="005E4633">
        <w:rPr>
          <w:rFonts w:ascii="Arial" w:hAnsi="Arial" w:cs="Arial"/>
          <w:sz w:val="20"/>
          <w:szCs w:val="20"/>
        </w:rPr>
        <w:t xml:space="preserve"> so uveljavljene nekatere oblike poenostavljenih oblik stroškov (stroški osebja se priznajo v obliki standardnega stroška na enoto, posredni stroški v obliki pavšalne stopnje). Vodilni partnerji imajo različen status: RRA, druge razvojne agencije, društva, občine idr.</w:t>
      </w:r>
    </w:p>
    <w:p w14:paraId="6432CC17" w14:textId="77777777" w:rsidR="009D2C9D" w:rsidRPr="005E4633" w:rsidRDefault="009D2C9D" w:rsidP="00BE756C">
      <w:pPr>
        <w:spacing w:before="200" w:line="360" w:lineRule="auto"/>
        <w:jc w:val="both"/>
        <w:rPr>
          <w:rFonts w:ascii="Arial" w:hAnsi="Arial" w:cs="Arial"/>
          <w:sz w:val="20"/>
          <w:szCs w:val="20"/>
        </w:rPr>
      </w:pPr>
    </w:p>
    <w:p w14:paraId="72765065" w14:textId="77777777" w:rsidR="009E0216" w:rsidRPr="00684691" w:rsidRDefault="009E0216" w:rsidP="00BE756C">
      <w:pPr>
        <w:pStyle w:val="Naslov2"/>
        <w:spacing w:after="200" w:line="360" w:lineRule="auto"/>
        <w:jc w:val="both"/>
        <w:rPr>
          <w:rFonts w:ascii="Arial" w:eastAsia="Times New Roman" w:hAnsi="Arial" w:cs="Arial"/>
          <w:bCs w:val="0"/>
          <w:color w:val="auto"/>
          <w:sz w:val="24"/>
          <w:szCs w:val="24"/>
          <w:lang w:eastAsia="sl-SI"/>
        </w:rPr>
      </w:pPr>
      <w:bookmarkStart w:id="93" w:name="_Toc55999344"/>
      <w:r w:rsidRPr="00684691">
        <w:rPr>
          <w:rFonts w:ascii="Arial" w:eastAsia="Times New Roman" w:hAnsi="Arial" w:cs="Arial"/>
          <w:bCs w:val="0"/>
          <w:color w:val="auto"/>
          <w:sz w:val="24"/>
          <w:szCs w:val="24"/>
          <w:lang w:eastAsia="sl-SI"/>
        </w:rPr>
        <w:lastRenderedPageBreak/>
        <w:t>5.4 Izvajanje CLLD v okviru Operativnega programa za izvajanje Evropske kohezijske politike 2014-2020</w:t>
      </w:r>
      <w:bookmarkEnd w:id="93"/>
    </w:p>
    <w:p w14:paraId="05ED3508" w14:textId="7CEF7E0B" w:rsidR="009E0216" w:rsidRPr="005E4633" w:rsidRDefault="009E0216" w:rsidP="00BE756C">
      <w:pPr>
        <w:spacing w:before="200" w:line="360" w:lineRule="auto"/>
        <w:jc w:val="both"/>
        <w:rPr>
          <w:rFonts w:ascii="Arial" w:hAnsi="Arial" w:cs="Arial"/>
          <w:sz w:val="20"/>
          <w:szCs w:val="20"/>
        </w:rPr>
      </w:pPr>
      <w:r w:rsidRPr="005E4633">
        <w:rPr>
          <w:rFonts w:ascii="Arial" w:hAnsi="Arial" w:cs="Arial"/>
          <w:sz w:val="20"/>
          <w:szCs w:val="20"/>
        </w:rPr>
        <w:t>Pristop CLLD se v okviru Evropske kohezijske politike v ob</w:t>
      </w:r>
      <w:r w:rsidR="008D375B">
        <w:rPr>
          <w:rFonts w:ascii="Arial" w:hAnsi="Arial" w:cs="Arial"/>
          <w:sz w:val="20"/>
          <w:szCs w:val="20"/>
        </w:rPr>
        <w:t>d</w:t>
      </w:r>
      <w:r w:rsidRPr="005E4633">
        <w:rPr>
          <w:rFonts w:ascii="Arial" w:hAnsi="Arial" w:cs="Arial"/>
          <w:sz w:val="20"/>
          <w:szCs w:val="20"/>
        </w:rPr>
        <w:t>obju 2014–2020 izvaja v okviru prednostne naložbe 9.5 Vlaganja v okviru strategij lokalnega razvoja, ki ga vodi skupnost, ki je ena izmed prednostnih naložb v okviru  9. prednostne osi Socialna vključenost in zmanjševanje tveganja revščine. Ukrepi pri tej prednostni osi se izvajajo horizontalno za območje celotne Slovenije (zlasti nekateri sistemski ukrepi) in tudi ločeno, tako da so prilagojeni posebnim potrebam posamezne kohezijske regije in lokalne skupnosti. Med prednostnimi naložbami sta zagotovljeni povezava in komplementarnost ukrepov in dejavnosti, s čimer se želi doseči celostni pristop pri reševanju problema socialne izključenosti in tveganja revščine. Povezanost ukrepov in dejavnosti je poudarjena pri spodbujanju socialnega podjetništva, ukrepih za socialno aktivacijo ter pri razvoju in nadgradnji skupnostnih storitev, ki bodo sledili ukrepom za povečanje in nadgradnjo infrastrukture pri izvedbi deinstitucionalizacije. Tako se spodbuja udeležba socialnih podjetij pri izvajanju programov socialne aktivacije in predvsem pri zaposlovanju oseb. Obenem se socialnim podjetjem in drugim organizacijam z ukrepi zagotavlja področje delovanja v okviru novorazvitih in nadgrajenih skupnostnih storitev (Operativni program za izvajanje Evropske kohezijske politike v obdobju 2014–2020, 2015, v nadaljevanju: OP EKP).</w:t>
      </w:r>
    </w:p>
    <w:p w14:paraId="78183970" w14:textId="77777777" w:rsidR="009E0216" w:rsidRPr="005E4633" w:rsidRDefault="009E0216" w:rsidP="00BE756C">
      <w:pPr>
        <w:spacing w:before="200" w:line="360" w:lineRule="auto"/>
        <w:jc w:val="both"/>
        <w:rPr>
          <w:rFonts w:ascii="Arial" w:hAnsi="Arial" w:cs="Arial"/>
          <w:sz w:val="20"/>
          <w:szCs w:val="20"/>
        </w:rPr>
      </w:pPr>
      <w:r w:rsidRPr="005E4633">
        <w:rPr>
          <w:rFonts w:ascii="Arial" w:hAnsi="Arial" w:cs="Arial"/>
          <w:sz w:val="20"/>
          <w:szCs w:val="20"/>
        </w:rPr>
        <w:t xml:space="preserve">V okviru prednostne osi 9 je bilo v celotnem obdobju izvajanja OP EKP (do konca junija 2020) izdanih 90 odločitev o podpori v skupni vrednosti 194,6 mio EUR sredstev EU, kar predstavlja 86 % razpoložljivih sredstev EU. Skupaj je bilo potrjenih 28 javnih razpisov, tri neposredne potrditve operacij za programe in 59 neposrednih potrditev operacij za projekte. </w:t>
      </w:r>
    </w:p>
    <w:p w14:paraId="54606D1B" w14:textId="045486B6" w:rsidR="009E0216" w:rsidRPr="00C35272" w:rsidRDefault="002D6764" w:rsidP="00C35272">
      <w:pPr>
        <w:pStyle w:val="SCslika"/>
        <w:keepNext/>
        <w:keepLines/>
        <w:spacing w:before="200"/>
      </w:pPr>
      <w:bookmarkStart w:id="94" w:name="_Toc47092645"/>
      <w:r w:rsidRPr="00C35272">
        <w:t>Tabela 3</w:t>
      </w:r>
      <w:r w:rsidR="0079207A">
        <w:t>4</w:t>
      </w:r>
      <w:r w:rsidR="009E0216" w:rsidRPr="00C35272">
        <w:t xml:space="preserve">: Poročilo o izvajanju Evropske kohezijske politike 2014–2020 za obdobje od januarja 2014 do konca </w:t>
      </w:r>
      <w:r w:rsidR="0079207A">
        <w:t>junija</w:t>
      </w:r>
      <w:r w:rsidR="0079207A" w:rsidRPr="00C35272">
        <w:t xml:space="preserve"> </w:t>
      </w:r>
      <w:r w:rsidR="009E0216" w:rsidRPr="00C35272">
        <w:t>2020 – prednostna os 9</w:t>
      </w:r>
      <w:bookmarkEnd w:id="94"/>
    </w:p>
    <w:tbl>
      <w:tblPr>
        <w:tblW w:w="92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032"/>
        <w:gridCol w:w="461"/>
        <w:gridCol w:w="1030"/>
        <w:gridCol w:w="1060"/>
        <w:gridCol w:w="461"/>
        <w:gridCol w:w="1098"/>
        <w:gridCol w:w="1134"/>
        <w:gridCol w:w="993"/>
        <w:gridCol w:w="1040"/>
      </w:tblGrid>
      <w:tr w:rsidR="003E4A64" w:rsidRPr="00A52F41" w14:paraId="4035A096" w14:textId="77777777" w:rsidTr="00731DE9">
        <w:trPr>
          <w:trHeight w:val="481"/>
        </w:trPr>
        <w:tc>
          <w:tcPr>
            <w:tcW w:w="2523" w:type="dxa"/>
            <w:gridSpan w:val="3"/>
            <w:shd w:val="clear" w:color="auto" w:fill="auto"/>
            <w:vAlign w:val="center"/>
            <w:hideMark/>
          </w:tcPr>
          <w:p w14:paraId="580626C5" w14:textId="77777777" w:rsidR="003E4A64" w:rsidRPr="00A52F41" w:rsidRDefault="003E4A64" w:rsidP="00DC59C2">
            <w:pPr>
              <w:spacing w:before="60"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 xml:space="preserve">Pravice porabe </w:t>
            </w:r>
          </w:p>
        </w:tc>
        <w:tc>
          <w:tcPr>
            <w:tcW w:w="2551" w:type="dxa"/>
            <w:gridSpan w:val="3"/>
            <w:shd w:val="clear" w:color="auto" w:fill="auto"/>
            <w:vAlign w:val="center"/>
            <w:hideMark/>
          </w:tcPr>
          <w:p w14:paraId="7F0A3FE9" w14:textId="77777777" w:rsidR="003E4A64" w:rsidRPr="00A52F41" w:rsidRDefault="003E4A64" w:rsidP="00DC59C2">
            <w:pPr>
              <w:spacing w:before="60"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Odločitve o podpori</w:t>
            </w:r>
          </w:p>
        </w:tc>
        <w:tc>
          <w:tcPr>
            <w:tcW w:w="1098" w:type="dxa"/>
            <w:shd w:val="clear" w:color="auto" w:fill="auto"/>
            <w:vAlign w:val="center"/>
            <w:hideMark/>
          </w:tcPr>
          <w:p w14:paraId="4742C082" w14:textId="77777777" w:rsidR="003E4A64" w:rsidRPr="00A52F41" w:rsidRDefault="003E4A64" w:rsidP="00DC59C2">
            <w:pPr>
              <w:spacing w:before="60"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Potrjene operacije</w:t>
            </w:r>
          </w:p>
        </w:tc>
        <w:tc>
          <w:tcPr>
            <w:tcW w:w="3052" w:type="dxa"/>
            <w:gridSpan w:val="3"/>
            <w:shd w:val="clear" w:color="auto" w:fill="auto"/>
            <w:vAlign w:val="center"/>
            <w:hideMark/>
          </w:tcPr>
          <w:p w14:paraId="66E02699" w14:textId="77777777" w:rsidR="003E4A64" w:rsidRPr="00A52F41" w:rsidRDefault="003E4A64" w:rsidP="00DC59C2">
            <w:pPr>
              <w:spacing w:before="60"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Izplačila iz državnega proračuna</w:t>
            </w:r>
          </w:p>
        </w:tc>
      </w:tr>
      <w:tr w:rsidR="003E4A64" w:rsidRPr="00A52F41" w14:paraId="2A6D8724" w14:textId="77777777" w:rsidTr="00731DE9">
        <w:trPr>
          <w:trHeight w:val="326"/>
        </w:trPr>
        <w:tc>
          <w:tcPr>
            <w:tcW w:w="1030" w:type="dxa"/>
            <w:shd w:val="clear" w:color="auto" w:fill="auto"/>
            <w:vAlign w:val="center"/>
            <w:hideMark/>
          </w:tcPr>
          <w:p w14:paraId="645E6EA3" w14:textId="77777777" w:rsidR="003E4A64" w:rsidRPr="009D2C9D" w:rsidRDefault="003E4A64" w:rsidP="00DC59C2">
            <w:pPr>
              <w:spacing w:before="60" w:after="0" w:line="312" w:lineRule="auto"/>
              <w:jc w:val="both"/>
              <w:rPr>
                <w:rFonts w:ascii="Arial" w:hAnsi="Arial" w:cs="Arial"/>
                <w:b/>
                <w:bCs/>
                <w:color w:val="000000"/>
                <w:sz w:val="18"/>
                <w:szCs w:val="18"/>
                <w:lang w:eastAsia="sl-SI"/>
              </w:rPr>
            </w:pPr>
            <w:r w:rsidRPr="009D2C9D">
              <w:rPr>
                <w:rFonts w:ascii="Arial" w:hAnsi="Arial" w:cs="Arial"/>
                <w:b/>
                <w:bCs/>
                <w:color w:val="000000"/>
                <w:sz w:val="18"/>
                <w:szCs w:val="18"/>
                <w:lang w:eastAsia="sl-SI"/>
              </w:rPr>
              <w:t>EU + SI</w:t>
            </w:r>
          </w:p>
        </w:tc>
        <w:tc>
          <w:tcPr>
            <w:tcW w:w="1032" w:type="dxa"/>
            <w:shd w:val="clear" w:color="auto" w:fill="auto"/>
            <w:vAlign w:val="center"/>
            <w:hideMark/>
          </w:tcPr>
          <w:p w14:paraId="15C73C62" w14:textId="77777777" w:rsidR="003E4A64" w:rsidRPr="009D2C9D" w:rsidRDefault="003E4A64" w:rsidP="00DC59C2">
            <w:pPr>
              <w:spacing w:before="60" w:after="0" w:line="312" w:lineRule="auto"/>
              <w:jc w:val="both"/>
              <w:rPr>
                <w:rFonts w:ascii="Arial" w:hAnsi="Arial" w:cs="Arial"/>
                <w:b/>
                <w:bCs/>
                <w:color w:val="000000"/>
                <w:sz w:val="18"/>
                <w:szCs w:val="18"/>
                <w:lang w:eastAsia="sl-SI"/>
              </w:rPr>
            </w:pPr>
            <w:r w:rsidRPr="009D2C9D">
              <w:rPr>
                <w:rFonts w:ascii="Arial" w:hAnsi="Arial" w:cs="Arial"/>
                <w:b/>
                <w:bCs/>
                <w:color w:val="000000"/>
                <w:sz w:val="18"/>
                <w:szCs w:val="18"/>
                <w:lang w:eastAsia="sl-SI"/>
              </w:rPr>
              <w:t>EU</w:t>
            </w:r>
          </w:p>
        </w:tc>
        <w:tc>
          <w:tcPr>
            <w:tcW w:w="461" w:type="dxa"/>
            <w:shd w:val="clear" w:color="auto" w:fill="auto"/>
            <w:vAlign w:val="center"/>
            <w:hideMark/>
          </w:tcPr>
          <w:p w14:paraId="176434ED" w14:textId="77777777" w:rsidR="003E4A64" w:rsidRPr="009D2C9D" w:rsidRDefault="003E4A64" w:rsidP="00DC59C2">
            <w:pPr>
              <w:spacing w:before="60" w:after="0" w:line="312" w:lineRule="auto"/>
              <w:jc w:val="both"/>
              <w:rPr>
                <w:rFonts w:ascii="Arial" w:hAnsi="Arial" w:cs="Arial"/>
                <w:b/>
                <w:bCs/>
                <w:color w:val="000000"/>
                <w:sz w:val="18"/>
                <w:szCs w:val="18"/>
                <w:lang w:eastAsia="sl-SI"/>
              </w:rPr>
            </w:pPr>
            <w:r w:rsidRPr="009D2C9D">
              <w:rPr>
                <w:rFonts w:ascii="Arial" w:hAnsi="Arial" w:cs="Arial"/>
                <w:b/>
                <w:bCs/>
                <w:color w:val="000000"/>
                <w:sz w:val="18"/>
                <w:szCs w:val="18"/>
                <w:lang w:eastAsia="sl-SI"/>
              </w:rPr>
              <w:t>%</w:t>
            </w:r>
          </w:p>
        </w:tc>
        <w:tc>
          <w:tcPr>
            <w:tcW w:w="1030" w:type="dxa"/>
            <w:shd w:val="clear" w:color="auto" w:fill="auto"/>
            <w:vAlign w:val="center"/>
            <w:hideMark/>
          </w:tcPr>
          <w:p w14:paraId="7A4F19D9" w14:textId="77777777" w:rsidR="003E4A64" w:rsidRPr="009D2C9D" w:rsidRDefault="003E4A64" w:rsidP="00DC59C2">
            <w:pPr>
              <w:spacing w:before="60" w:after="0" w:line="312" w:lineRule="auto"/>
              <w:jc w:val="both"/>
              <w:rPr>
                <w:rFonts w:ascii="Arial" w:hAnsi="Arial" w:cs="Arial"/>
                <w:b/>
                <w:bCs/>
                <w:color w:val="000000"/>
                <w:sz w:val="18"/>
                <w:szCs w:val="18"/>
                <w:lang w:eastAsia="sl-SI"/>
              </w:rPr>
            </w:pPr>
            <w:r w:rsidRPr="009D2C9D">
              <w:rPr>
                <w:rFonts w:ascii="Arial" w:hAnsi="Arial" w:cs="Arial"/>
                <w:b/>
                <w:bCs/>
                <w:color w:val="000000"/>
                <w:sz w:val="18"/>
                <w:szCs w:val="18"/>
                <w:lang w:eastAsia="sl-SI"/>
              </w:rPr>
              <w:t>Skupaj (EUR)</w:t>
            </w:r>
          </w:p>
        </w:tc>
        <w:tc>
          <w:tcPr>
            <w:tcW w:w="1060" w:type="dxa"/>
            <w:shd w:val="clear" w:color="auto" w:fill="auto"/>
            <w:vAlign w:val="center"/>
            <w:hideMark/>
          </w:tcPr>
          <w:p w14:paraId="479F8B0C" w14:textId="77777777" w:rsidR="003E4A64" w:rsidRPr="009D2C9D" w:rsidRDefault="003E4A64" w:rsidP="00DC59C2">
            <w:pPr>
              <w:spacing w:before="60" w:after="0" w:line="312" w:lineRule="auto"/>
              <w:jc w:val="both"/>
              <w:rPr>
                <w:rFonts w:ascii="Arial" w:hAnsi="Arial" w:cs="Arial"/>
                <w:b/>
                <w:bCs/>
                <w:color w:val="000000"/>
                <w:sz w:val="18"/>
                <w:szCs w:val="18"/>
                <w:lang w:eastAsia="sl-SI"/>
              </w:rPr>
            </w:pPr>
            <w:r w:rsidRPr="009D2C9D">
              <w:rPr>
                <w:rFonts w:ascii="Arial" w:hAnsi="Arial" w:cs="Arial"/>
                <w:b/>
                <w:bCs/>
                <w:color w:val="000000"/>
                <w:sz w:val="18"/>
                <w:szCs w:val="18"/>
                <w:lang w:eastAsia="sl-SI"/>
              </w:rPr>
              <w:t>EU (EUR)</w:t>
            </w:r>
          </w:p>
        </w:tc>
        <w:tc>
          <w:tcPr>
            <w:tcW w:w="461" w:type="dxa"/>
            <w:shd w:val="clear" w:color="auto" w:fill="auto"/>
            <w:vAlign w:val="center"/>
            <w:hideMark/>
          </w:tcPr>
          <w:p w14:paraId="4EA636E2" w14:textId="77777777" w:rsidR="003E4A64" w:rsidRPr="009D2C9D" w:rsidRDefault="003E4A64" w:rsidP="00DC59C2">
            <w:pPr>
              <w:spacing w:before="60" w:after="0" w:line="312" w:lineRule="auto"/>
              <w:jc w:val="both"/>
              <w:rPr>
                <w:rFonts w:ascii="Arial" w:hAnsi="Arial" w:cs="Arial"/>
                <w:b/>
                <w:bCs/>
                <w:color w:val="000000"/>
                <w:sz w:val="18"/>
                <w:szCs w:val="18"/>
                <w:lang w:eastAsia="sl-SI"/>
              </w:rPr>
            </w:pPr>
            <w:r w:rsidRPr="009D2C9D">
              <w:rPr>
                <w:rFonts w:ascii="Arial" w:hAnsi="Arial" w:cs="Arial"/>
                <w:b/>
                <w:bCs/>
                <w:color w:val="000000"/>
                <w:sz w:val="18"/>
                <w:szCs w:val="18"/>
                <w:lang w:eastAsia="sl-SI"/>
              </w:rPr>
              <w:t>%</w:t>
            </w:r>
          </w:p>
        </w:tc>
        <w:tc>
          <w:tcPr>
            <w:tcW w:w="1098" w:type="dxa"/>
            <w:shd w:val="clear" w:color="auto" w:fill="auto"/>
            <w:vAlign w:val="center"/>
            <w:hideMark/>
          </w:tcPr>
          <w:p w14:paraId="599448AD" w14:textId="77777777" w:rsidR="003E4A64" w:rsidRPr="009D2C9D" w:rsidRDefault="003E4A64" w:rsidP="00DC59C2">
            <w:pPr>
              <w:spacing w:before="60" w:after="0" w:line="312" w:lineRule="auto"/>
              <w:jc w:val="both"/>
              <w:rPr>
                <w:rFonts w:ascii="Arial" w:hAnsi="Arial" w:cs="Arial"/>
                <w:b/>
                <w:bCs/>
                <w:color w:val="000000"/>
                <w:sz w:val="18"/>
                <w:szCs w:val="18"/>
                <w:lang w:eastAsia="sl-SI"/>
              </w:rPr>
            </w:pPr>
            <w:r w:rsidRPr="009D2C9D">
              <w:rPr>
                <w:rFonts w:ascii="Arial" w:hAnsi="Arial" w:cs="Arial"/>
                <w:b/>
                <w:bCs/>
                <w:color w:val="000000"/>
                <w:sz w:val="18"/>
                <w:szCs w:val="18"/>
                <w:lang w:eastAsia="sl-SI"/>
              </w:rPr>
              <w:t>EU (EUR)</w:t>
            </w:r>
          </w:p>
        </w:tc>
        <w:tc>
          <w:tcPr>
            <w:tcW w:w="1134" w:type="dxa"/>
            <w:shd w:val="clear" w:color="auto" w:fill="auto"/>
            <w:vAlign w:val="center"/>
            <w:hideMark/>
          </w:tcPr>
          <w:p w14:paraId="28B5071D" w14:textId="77777777" w:rsidR="003E4A64" w:rsidRPr="009D2C9D" w:rsidRDefault="003E4A64" w:rsidP="00DC59C2">
            <w:pPr>
              <w:spacing w:before="60" w:after="0" w:line="312" w:lineRule="auto"/>
              <w:jc w:val="both"/>
              <w:rPr>
                <w:rFonts w:ascii="Arial" w:hAnsi="Arial" w:cs="Arial"/>
                <w:b/>
                <w:bCs/>
                <w:color w:val="000000"/>
                <w:sz w:val="18"/>
                <w:szCs w:val="18"/>
                <w:lang w:eastAsia="sl-SI"/>
              </w:rPr>
            </w:pPr>
            <w:r w:rsidRPr="009D2C9D">
              <w:rPr>
                <w:rFonts w:ascii="Arial" w:hAnsi="Arial" w:cs="Arial"/>
                <w:b/>
                <w:bCs/>
                <w:color w:val="000000"/>
                <w:sz w:val="18"/>
                <w:szCs w:val="18"/>
                <w:lang w:eastAsia="sl-SI"/>
              </w:rPr>
              <w:t>EU (EUR)</w:t>
            </w:r>
          </w:p>
        </w:tc>
        <w:tc>
          <w:tcPr>
            <w:tcW w:w="993" w:type="dxa"/>
            <w:shd w:val="clear" w:color="auto" w:fill="auto"/>
            <w:vAlign w:val="center"/>
            <w:hideMark/>
          </w:tcPr>
          <w:p w14:paraId="43DEBD73" w14:textId="77777777" w:rsidR="003E4A64" w:rsidRPr="009D2C9D" w:rsidRDefault="003E4A64" w:rsidP="00DC59C2">
            <w:pPr>
              <w:spacing w:before="60" w:after="0" w:line="312" w:lineRule="auto"/>
              <w:jc w:val="both"/>
              <w:rPr>
                <w:rFonts w:ascii="Arial" w:hAnsi="Arial" w:cs="Arial"/>
                <w:b/>
                <w:bCs/>
                <w:color w:val="000000"/>
                <w:sz w:val="18"/>
                <w:szCs w:val="18"/>
                <w:lang w:eastAsia="sl-SI"/>
              </w:rPr>
            </w:pPr>
            <w:r w:rsidRPr="009D2C9D">
              <w:rPr>
                <w:rFonts w:ascii="Arial" w:hAnsi="Arial" w:cs="Arial"/>
                <w:b/>
                <w:bCs/>
                <w:color w:val="000000"/>
                <w:sz w:val="18"/>
                <w:szCs w:val="18"/>
                <w:lang w:eastAsia="sl-SI"/>
              </w:rPr>
              <w:t>% pravic p.</w:t>
            </w:r>
          </w:p>
        </w:tc>
        <w:tc>
          <w:tcPr>
            <w:tcW w:w="925" w:type="dxa"/>
            <w:shd w:val="clear" w:color="auto" w:fill="auto"/>
            <w:vAlign w:val="center"/>
            <w:hideMark/>
          </w:tcPr>
          <w:p w14:paraId="5316BD6B" w14:textId="77777777" w:rsidR="003E4A64" w:rsidRPr="009D2C9D" w:rsidRDefault="003E4A64" w:rsidP="00DC59C2">
            <w:pPr>
              <w:spacing w:before="60" w:after="0" w:line="312" w:lineRule="auto"/>
              <w:jc w:val="both"/>
              <w:rPr>
                <w:rFonts w:ascii="Arial" w:hAnsi="Arial" w:cs="Arial"/>
                <w:b/>
                <w:bCs/>
                <w:color w:val="000000"/>
                <w:sz w:val="18"/>
                <w:szCs w:val="18"/>
                <w:lang w:eastAsia="sl-SI"/>
              </w:rPr>
            </w:pPr>
            <w:r w:rsidRPr="009D2C9D">
              <w:rPr>
                <w:rFonts w:ascii="Arial" w:hAnsi="Arial" w:cs="Arial"/>
                <w:b/>
                <w:bCs/>
                <w:color w:val="000000"/>
                <w:sz w:val="18"/>
                <w:szCs w:val="18"/>
                <w:lang w:eastAsia="sl-SI"/>
              </w:rPr>
              <w:t>% dodeljenih</w:t>
            </w:r>
          </w:p>
        </w:tc>
      </w:tr>
      <w:tr w:rsidR="003E4A64" w:rsidRPr="008E73B6" w14:paraId="6637B48D" w14:textId="77777777" w:rsidTr="00731DE9">
        <w:trPr>
          <w:trHeight w:val="326"/>
        </w:trPr>
        <w:tc>
          <w:tcPr>
            <w:tcW w:w="1030" w:type="dxa"/>
            <w:shd w:val="clear" w:color="auto" w:fill="auto"/>
            <w:noWrap/>
            <w:vAlign w:val="center"/>
            <w:hideMark/>
          </w:tcPr>
          <w:p w14:paraId="46E63EAE" w14:textId="77777777" w:rsidR="003E4A64" w:rsidRPr="008E73B6" w:rsidRDefault="003E4A64" w:rsidP="00DC59C2">
            <w:pPr>
              <w:spacing w:before="60" w:after="0" w:line="312" w:lineRule="auto"/>
              <w:jc w:val="both"/>
              <w:rPr>
                <w:rFonts w:ascii="Arial" w:hAnsi="Arial" w:cs="Arial"/>
                <w:color w:val="000000"/>
                <w:sz w:val="16"/>
                <w:szCs w:val="20"/>
                <w:lang w:eastAsia="sl-SI"/>
              </w:rPr>
            </w:pPr>
            <w:r w:rsidRPr="008E73B6">
              <w:rPr>
                <w:rFonts w:ascii="Arial" w:hAnsi="Arial" w:cs="Arial"/>
                <w:color w:val="000000"/>
                <w:sz w:val="16"/>
                <w:szCs w:val="20"/>
                <w:lang w:eastAsia="sl-SI"/>
              </w:rPr>
              <w:t>288.219.618</w:t>
            </w:r>
          </w:p>
        </w:tc>
        <w:tc>
          <w:tcPr>
            <w:tcW w:w="1032" w:type="dxa"/>
            <w:shd w:val="clear" w:color="auto" w:fill="auto"/>
            <w:noWrap/>
            <w:vAlign w:val="center"/>
            <w:hideMark/>
          </w:tcPr>
          <w:p w14:paraId="09FF6172" w14:textId="77777777" w:rsidR="003E4A64" w:rsidRPr="008E73B6" w:rsidRDefault="003E4A64" w:rsidP="00DC59C2">
            <w:pPr>
              <w:spacing w:before="60" w:after="0" w:line="312" w:lineRule="auto"/>
              <w:jc w:val="both"/>
              <w:rPr>
                <w:rFonts w:ascii="Arial" w:hAnsi="Arial" w:cs="Arial"/>
                <w:color w:val="000000"/>
                <w:sz w:val="16"/>
                <w:szCs w:val="20"/>
                <w:lang w:eastAsia="sl-SI"/>
              </w:rPr>
            </w:pPr>
            <w:r w:rsidRPr="008E73B6">
              <w:rPr>
                <w:rFonts w:ascii="Arial" w:hAnsi="Arial" w:cs="Arial"/>
                <w:color w:val="000000"/>
                <w:sz w:val="16"/>
                <w:szCs w:val="20"/>
                <w:lang w:eastAsia="sl-SI"/>
              </w:rPr>
              <w:t>230.575.691</w:t>
            </w:r>
          </w:p>
        </w:tc>
        <w:tc>
          <w:tcPr>
            <w:tcW w:w="461" w:type="dxa"/>
            <w:shd w:val="clear" w:color="auto" w:fill="auto"/>
            <w:noWrap/>
            <w:vAlign w:val="center"/>
            <w:hideMark/>
          </w:tcPr>
          <w:p w14:paraId="254A09CA" w14:textId="77777777" w:rsidR="003E4A64" w:rsidRPr="008E73B6" w:rsidRDefault="003E4A64" w:rsidP="00DC59C2">
            <w:pPr>
              <w:spacing w:before="60" w:after="0" w:line="312" w:lineRule="auto"/>
              <w:jc w:val="both"/>
              <w:rPr>
                <w:rFonts w:ascii="Arial" w:hAnsi="Arial" w:cs="Arial"/>
                <w:color w:val="000000"/>
                <w:sz w:val="16"/>
                <w:szCs w:val="20"/>
                <w:lang w:eastAsia="sl-SI"/>
              </w:rPr>
            </w:pPr>
            <w:r w:rsidRPr="008E73B6">
              <w:rPr>
                <w:rFonts w:ascii="Arial" w:hAnsi="Arial" w:cs="Arial"/>
                <w:color w:val="000000"/>
                <w:sz w:val="16"/>
                <w:szCs w:val="20"/>
                <w:lang w:eastAsia="sl-SI"/>
              </w:rPr>
              <w:t>80%</w:t>
            </w:r>
          </w:p>
        </w:tc>
        <w:tc>
          <w:tcPr>
            <w:tcW w:w="1030" w:type="dxa"/>
            <w:shd w:val="clear" w:color="auto" w:fill="auto"/>
            <w:noWrap/>
            <w:vAlign w:val="center"/>
            <w:hideMark/>
          </w:tcPr>
          <w:p w14:paraId="246646C7" w14:textId="77777777" w:rsidR="003E4A64" w:rsidRPr="008E73B6" w:rsidRDefault="003E4A64" w:rsidP="00DC59C2">
            <w:pPr>
              <w:spacing w:before="60" w:after="0" w:line="312" w:lineRule="auto"/>
              <w:jc w:val="both"/>
              <w:rPr>
                <w:rFonts w:ascii="Arial" w:hAnsi="Arial" w:cs="Arial"/>
                <w:color w:val="000000"/>
                <w:sz w:val="16"/>
                <w:szCs w:val="20"/>
                <w:lang w:eastAsia="sl-SI"/>
              </w:rPr>
            </w:pPr>
            <w:r w:rsidRPr="008E73B6">
              <w:rPr>
                <w:rFonts w:ascii="Arial" w:hAnsi="Arial" w:cs="Arial"/>
                <w:color w:val="000000"/>
                <w:sz w:val="16"/>
                <w:szCs w:val="20"/>
                <w:lang w:eastAsia="sl-SI"/>
              </w:rPr>
              <w:t>247.711.300</w:t>
            </w:r>
          </w:p>
        </w:tc>
        <w:tc>
          <w:tcPr>
            <w:tcW w:w="1060" w:type="dxa"/>
            <w:shd w:val="clear" w:color="auto" w:fill="auto"/>
            <w:noWrap/>
            <w:vAlign w:val="center"/>
            <w:hideMark/>
          </w:tcPr>
          <w:p w14:paraId="02B60335" w14:textId="77777777" w:rsidR="003E4A64" w:rsidRPr="008E73B6" w:rsidRDefault="003E4A64" w:rsidP="00DC59C2">
            <w:pPr>
              <w:spacing w:before="60" w:after="0" w:line="312" w:lineRule="auto"/>
              <w:jc w:val="both"/>
              <w:rPr>
                <w:rFonts w:ascii="Arial" w:hAnsi="Arial" w:cs="Arial"/>
                <w:color w:val="000000"/>
                <w:sz w:val="16"/>
                <w:szCs w:val="20"/>
                <w:lang w:eastAsia="sl-SI"/>
              </w:rPr>
            </w:pPr>
            <w:r w:rsidRPr="008E73B6">
              <w:rPr>
                <w:rFonts w:ascii="Arial" w:hAnsi="Arial" w:cs="Arial"/>
                <w:color w:val="000000"/>
                <w:sz w:val="16"/>
                <w:szCs w:val="20"/>
                <w:lang w:eastAsia="sl-SI"/>
              </w:rPr>
              <w:t>196.212.504</w:t>
            </w:r>
          </w:p>
        </w:tc>
        <w:tc>
          <w:tcPr>
            <w:tcW w:w="461" w:type="dxa"/>
            <w:shd w:val="clear" w:color="auto" w:fill="auto"/>
            <w:noWrap/>
            <w:vAlign w:val="center"/>
            <w:hideMark/>
          </w:tcPr>
          <w:p w14:paraId="1BA5C39A" w14:textId="77777777" w:rsidR="003E4A64" w:rsidRPr="008E73B6" w:rsidRDefault="003E4A64" w:rsidP="00DC59C2">
            <w:pPr>
              <w:spacing w:before="60" w:after="0" w:line="312" w:lineRule="auto"/>
              <w:jc w:val="both"/>
              <w:rPr>
                <w:rFonts w:ascii="Arial" w:hAnsi="Arial" w:cs="Arial"/>
                <w:color w:val="000000"/>
                <w:sz w:val="16"/>
                <w:szCs w:val="20"/>
                <w:lang w:eastAsia="sl-SI"/>
              </w:rPr>
            </w:pPr>
            <w:r w:rsidRPr="008E73B6">
              <w:rPr>
                <w:rFonts w:ascii="Arial" w:hAnsi="Arial" w:cs="Arial"/>
                <w:color w:val="000000"/>
                <w:sz w:val="16"/>
                <w:szCs w:val="20"/>
                <w:lang w:eastAsia="sl-SI"/>
              </w:rPr>
              <w:t>85%</w:t>
            </w:r>
          </w:p>
        </w:tc>
        <w:tc>
          <w:tcPr>
            <w:tcW w:w="1098" w:type="dxa"/>
            <w:shd w:val="clear" w:color="auto" w:fill="auto"/>
            <w:noWrap/>
            <w:vAlign w:val="center"/>
            <w:hideMark/>
          </w:tcPr>
          <w:p w14:paraId="414D9907" w14:textId="77777777" w:rsidR="003E4A64" w:rsidRPr="008E73B6" w:rsidRDefault="003E4A64" w:rsidP="00DC59C2">
            <w:pPr>
              <w:spacing w:before="60" w:after="0" w:line="312" w:lineRule="auto"/>
              <w:jc w:val="both"/>
              <w:rPr>
                <w:rFonts w:ascii="Arial" w:hAnsi="Arial" w:cs="Arial"/>
                <w:color w:val="000000"/>
                <w:sz w:val="16"/>
                <w:szCs w:val="20"/>
                <w:lang w:eastAsia="sl-SI"/>
              </w:rPr>
            </w:pPr>
            <w:r w:rsidRPr="008E73B6">
              <w:rPr>
                <w:rFonts w:ascii="Arial" w:hAnsi="Arial" w:cs="Arial"/>
                <w:color w:val="000000"/>
                <w:sz w:val="16"/>
                <w:szCs w:val="20"/>
                <w:lang w:eastAsia="sl-SI"/>
              </w:rPr>
              <w:t>136.132.074</w:t>
            </w:r>
          </w:p>
        </w:tc>
        <w:tc>
          <w:tcPr>
            <w:tcW w:w="1134" w:type="dxa"/>
            <w:shd w:val="clear" w:color="auto" w:fill="auto"/>
            <w:noWrap/>
            <w:vAlign w:val="center"/>
            <w:hideMark/>
          </w:tcPr>
          <w:p w14:paraId="58F48738" w14:textId="77777777" w:rsidR="003E4A64" w:rsidRPr="008E73B6" w:rsidRDefault="003E4A64" w:rsidP="00DC59C2">
            <w:pPr>
              <w:spacing w:before="60" w:after="0" w:line="312" w:lineRule="auto"/>
              <w:jc w:val="both"/>
              <w:rPr>
                <w:rFonts w:ascii="Arial" w:hAnsi="Arial" w:cs="Arial"/>
                <w:color w:val="000000"/>
                <w:sz w:val="16"/>
                <w:szCs w:val="20"/>
                <w:lang w:eastAsia="sl-SI"/>
              </w:rPr>
            </w:pPr>
            <w:r w:rsidRPr="008E73B6">
              <w:rPr>
                <w:rFonts w:ascii="Arial" w:hAnsi="Arial" w:cs="Arial"/>
                <w:color w:val="000000"/>
                <w:sz w:val="16"/>
                <w:szCs w:val="20"/>
                <w:lang w:eastAsia="sl-SI"/>
              </w:rPr>
              <w:t>80.143.927</w:t>
            </w:r>
          </w:p>
        </w:tc>
        <w:tc>
          <w:tcPr>
            <w:tcW w:w="993" w:type="dxa"/>
            <w:shd w:val="clear" w:color="auto" w:fill="auto"/>
            <w:noWrap/>
            <w:vAlign w:val="center"/>
            <w:hideMark/>
          </w:tcPr>
          <w:p w14:paraId="37F45BD7" w14:textId="77777777" w:rsidR="003E4A64" w:rsidRPr="008E73B6" w:rsidRDefault="003E4A64" w:rsidP="00DC59C2">
            <w:pPr>
              <w:spacing w:before="60" w:after="0" w:line="312" w:lineRule="auto"/>
              <w:jc w:val="both"/>
              <w:rPr>
                <w:rFonts w:ascii="Arial" w:hAnsi="Arial" w:cs="Arial"/>
                <w:color w:val="000000"/>
                <w:sz w:val="16"/>
                <w:szCs w:val="20"/>
                <w:lang w:eastAsia="sl-SI"/>
              </w:rPr>
            </w:pPr>
            <w:r w:rsidRPr="008E73B6">
              <w:rPr>
                <w:rFonts w:ascii="Arial" w:hAnsi="Arial" w:cs="Arial"/>
                <w:color w:val="000000"/>
                <w:sz w:val="16"/>
                <w:szCs w:val="20"/>
                <w:lang w:eastAsia="sl-SI"/>
              </w:rPr>
              <w:t>35%</w:t>
            </w:r>
          </w:p>
        </w:tc>
        <w:tc>
          <w:tcPr>
            <w:tcW w:w="925" w:type="dxa"/>
            <w:shd w:val="clear" w:color="auto" w:fill="auto"/>
            <w:noWrap/>
            <w:vAlign w:val="center"/>
            <w:hideMark/>
          </w:tcPr>
          <w:p w14:paraId="3474218C" w14:textId="77777777" w:rsidR="003E4A64" w:rsidRPr="008E73B6" w:rsidRDefault="003E4A64" w:rsidP="00DC59C2">
            <w:pPr>
              <w:spacing w:before="60" w:after="0" w:line="312" w:lineRule="auto"/>
              <w:jc w:val="both"/>
              <w:rPr>
                <w:rFonts w:ascii="Arial" w:hAnsi="Arial" w:cs="Arial"/>
                <w:color w:val="000000"/>
                <w:sz w:val="16"/>
                <w:szCs w:val="20"/>
                <w:lang w:eastAsia="sl-SI"/>
              </w:rPr>
            </w:pPr>
            <w:r w:rsidRPr="008E73B6">
              <w:rPr>
                <w:rFonts w:ascii="Arial" w:hAnsi="Arial" w:cs="Arial"/>
                <w:color w:val="000000"/>
                <w:sz w:val="16"/>
                <w:szCs w:val="20"/>
                <w:lang w:eastAsia="sl-SI"/>
              </w:rPr>
              <w:t>41%</w:t>
            </w:r>
          </w:p>
        </w:tc>
      </w:tr>
    </w:tbl>
    <w:p w14:paraId="70D4510A" w14:textId="0679EBEB" w:rsidR="009E0216" w:rsidRPr="002D6764" w:rsidRDefault="009E0216" w:rsidP="00EA2E4C">
      <w:pPr>
        <w:spacing w:line="360" w:lineRule="auto"/>
        <w:jc w:val="both"/>
        <w:rPr>
          <w:rFonts w:ascii="Arial" w:eastAsia="Courier New" w:hAnsi="Arial" w:cs="Arial"/>
          <w:sz w:val="16"/>
          <w:szCs w:val="16"/>
          <w:lang w:bidi="sl-SI"/>
        </w:rPr>
      </w:pPr>
      <w:r w:rsidRPr="002D6764">
        <w:rPr>
          <w:rFonts w:ascii="Arial" w:eastAsia="Courier New" w:hAnsi="Arial" w:cs="Arial"/>
          <w:color w:val="000000"/>
          <w:sz w:val="16"/>
          <w:szCs w:val="16"/>
          <w:lang w:bidi="sl-SI"/>
        </w:rPr>
        <w:t>Vir</w:t>
      </w:r>
      <w:r w:rsidRPr="002D6764">
        <w:rPr>
          <w:rFonts w:ascii="Arial" w:eastAsia="Courier New" w:hAnsi="Arial" w:cs="Arial"/>
          <w:sz w:val="16"/>
          <w:szCs w:val="16"/>
          <w:lang w:bidi="sl-SI"/>
        </w:rPr>
        <w:t xml:space="preserve">: </w:t>
      </w:r>
      <w:r w:rsidRPr="002D6764">
        <w:rPr>
          <w:rFonts w:ascii="Arial" w:eastAsia="SimSun" w:hAnsi="Arial" w:cs="Arial"/>
          <w:bCs/>
          <w:sz w:val="16"/>
          <w:szCs w:val="16"/>
          <w:lang w:eastAsia="zh-CN"/>
        </w:rPr>
        <w:t>Poročilo o izvajanju Evropske kohezijske politike 2014–2020 za obdobje od januarja 2014 do konca junija 2020</w:t>
      </w:r>
    </w:p>
    <w:p w14:paraId="1C35D802" w14:textId="457CC6E5"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V okviru OP EKP je CLLD za Evropski sklada za regionalni razvoj uvrščen v prednostno naložbo 9.5 Vlaganje v okviru strategij lokalnega razvoja, ki ga vodi skupnosti (CLLD). Do 30. 6. 2020 je bilo v </w:t>
      </w:r>
      <w:r w:rsidR="008E6C7E" w:rsidRPr="00A52F41">
        <w:rPr>
          <w:rFonts w:ascii="Arial" w:hAnsi="Arial" w:cs="Arial"/>
          <w:sz w:val="20"/>
          <w:szCs w:val="20"/>
        </w:rPr>
        <w:t>okviru</w:t>
      </w:r>
      <w:r w:rsidRPr="00A52F41">
        <w:rPr>
          <w:rFonts w:ascii="Arial" w:hAnsi="Arial" w:cs="Arial"/>
          <w:sz w:val="20"/>
          <w:szCs w:val="20"/>
        </w:rPr>
        <w:t xml:space="preserve"> CLLD za sklad ESRR skupaj prejetih 368 vlog, potrjenih projektov pa 309 v vrednosti 15,9 mio EUR. Sklenjenih je 265 pogodb, 42 pogodb je v postopku podpisovanja. Skupaj je zaključenih 185 projektov. Skupaj je bilo do konca junija prejetih in potrjenih 16 vlog za dva projekta sodelovanja v vrednosti 0,32 mio EUR.</w:t>
      </w:r>
    </w:p>
    <w:p w14:paraId="58AC8371" w14:textId="5BD6CB5E" w:rsidR="009E0216" w:rsidRPr="00C35272" w:rsidRDefault="002D6764" w:rsidP="00C35272">
      <w:pPr>
        <w:pStyle w:val="SCslika"/>
        <w:keepNext/>
        <w:keepLines/>
        <w:spacing w:before="200"/>
      </w:pPr>
      <w:r w:rsidRPr="00C35272">
        <w:t xml:space="preserve">Tabela </w:t>
      </w:r>
      <w:r w:rsidR="0079207A">
        <w:t>35</w:t>
      </w:r>
      <w:r w:rsidRPr="00C35272">
        <w:t xml:space="preserve">: </w:t>
      </w:r>
      <w:r w:rsidR="009E0216" w:rsidRPr="00C35272">
        <w:t>Izvajanje CLLD v okviru ESRR do 30. 6. 2020</w:t>
      </w:r>
    </w:p>
    <w:tbl>
      <w:tblPr>
        <w:tblW w:w="908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3"/>
        <w:gridCol w:w="1214"/>
        <w:gridCol w:w="1552"/>
        <w:gridCol w:w="1418"/>
        <w:gridCol w:w="1417"/>
        <w:gridCol w:w="2275"/>
      </w:tblGrid>
      <w:tr w:rsidR="009E0216" w:rsidRPr="00A52F41" w14:paraId="5ED70B00" w14:textId="77777777" w:rsidTr="00667D8C">
        <w:trPr>
          <w:trHeight w:val="471"/>
        </w:trPr>
        <w:tc>
          <w:tcPr>
            <w:tcW w:w="2427" w:type="dxa"/>
            <w:gridSpan w:val="2"/>
            <w:shd w:val="clear" w:color="auto" w:fill="auto"/>
            <w:vAlign w:val="center"/>
            <w:hideMark/>
          </w:tcPr>
          <w:p w14:paraId="6D3B6129" w14:textId="799E3E34" w:rsidR="009E0216" w:rsidRPr="00A52F41" w:rsidRDefault="009E0216" w:rsidP="009832B0">
            <w:pPr>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Pravice porabe</w:t>
            </w:r>
          </w:p>
        </w:tc>
        <w:tc>
          <w:tcPr>
            <w:tcW w:w="2970" w:type="dxa"/>
            <w:gridSpan w:val="2"/>
            <w:shd w:val="clear" w:color="auto" w:fill="auto"/>
            <w:vAlign w:val="center"/>
            <w:hideMark/>
          </w:tcPr>
          <w:p w14:paraId="1A0B5D4E" w14:textId="77777777" w:rsidR="009E0216" w:rsidRPr="00A52F41" w:rsidRDefault="009E0216" w:rsidP="009832B0">
            <w:pPr>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Odločitve o podpori</w:t>
            </w:r>
          </w:p>
        </w:tc>
        <w:tc>
          <w:tcPr>
            <w:tcW w:w="1417" w:type="dxa"/>
            <w:shd w:val="clear" w:color="auto" w:fill="auto"/>
            <w:vAlign w:val="center"/>
            <w:hideMark/>
          </w:tcPr>
          <w:p w14:paraId="4107331B" w14:textId="77777777" w:rsidR="009E0216" w:rsidRPr="00A52F41" w:rsidRDefault="009E0216" w:rsidP="009832B0">
            <w:pPr>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Potrjene operacije</w:t>
            </w:r>
          </w:p>
        </w:tc>
        <w:tc>
          <w:tcPr>
            <w:tcW w:w="2275" w:type="dxa"/>
            <w:shd w:val="clear" w:color="auto" w:fill="auto"/>
            <w:vAlign w:val="center"/>
            <w:hideMark/>
          </w:tcPr>
          <w:p w14:paraId="4C406E5F" w14:textId="77777777" w:rsidR="009E0216" w:rsidRPr="00A52F41" w:rsidRDefault="009E0216" w:rsidP="009832B0">
            <w:pPr>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Izplačila iz državnega proračuna</w:t>
            </w:r>
          </w:p>
        </w:tc>
      </w:tr>
      <w:tr w:rsidR="009E0216" w:rsidRPr="00A52F41" w14:paraId="54EAA58A" w14:textId="77777777" w:rsidTr="00667D8C">
        <w:trPr>
          <w:trHeight w:val="304"/>
        </w:trPr>
        <w:tc>
          <w:tcPr>
            <w:tcW w:w="1213" w:type="dxa"/>
            <w:shd w:val="clear" w:color="auto" w:fill="auto"/>
            <w:vAlign w:val="center"/>
            <w:hideMark/>
          </w:tcPr>
          <w:p w14:paraId="7ACDECB1" w14:textId="77777777" w:rsidR="009E0216" w:rsidRPr="00A52F41" w:rsidRDefault="009E0216" w:rsidP="009832B0">
            <w:pPr>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EU + SI</w:t>
            </w:r>
          </w:p>
        </w:tc>
        <w:tc>
          <w:tcPr>
            <w:tcW w:w="1214" w:type="dxa"/>
            <w:shd w:val="clear" w:color="auto" w:fill="auto"/>
            <w:vAlign w:val="center"/>
            <w:hideMark/>
          </w:tcPr>
          <w:p w14:paraId="48FE3F81" w14:textId="77777777" w:rsidR="009E0216" w:rsidRPr="00A52F41" w:rsidRDefault="009E0216" w:rsidP="009832B0">
            <w:pPr>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EU</w:t>
            </w:r>
          </w:p>
        </w:tc>
        <w:tc>
          <w:tcPr>
            <w:tcW w:w="1552" w:type="dxa"/>
            <w:shd w:val="clear" w:color="auto" w:fill="auto"/>
            <w:vAlign w:val="center"/>
            <w:hideMark/>
          </w:tcPr>
          <w:p w14:paraId="5CD725C8" w14:textId="77777777" w:rsidR="009E0216" w:rsidRPr="00A52F41" w:rsidRDefault="009E0216" w:rsidP="009832B0">
            <w:pPr>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Skupaj (EUR)</w:t>
            </w:r>
          </w:p>
        </w:tc>
        <w:tc>
          <w:tcPr>
            <w:tcW w:w="1418" w:type="dxa"/>
            <w:shd w:val="clear" w:color="auto" w:fill="auto"/>
            <w:vAlign w:val="center"/>
            <w:hideMark/>
          </w:tcPr>
          <w:p w14:paraId="44D15567" w14:textId="77777777" w:rsidR="009E0216" w:rsidRPr="00A52F41" w:rsidRDefault="009E0216" w:rsidP="009832B0">
            <w:pPr>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EU (EUR)</w:t>
            </w:r>
          </w:p>
        </w:tc>
        <w:tc>
          <w:tcPr>
            <w:tcW w:w="1417" w:type="dxa"/>
            <w:shd w:val="clear" w:color="auto" w:fill="auto"/>
            <w:vAlign w:val="center"/>
            <w:hideMark/>
          </w:tcPr>
          <w:p w14:paraId="2DC631E7" w14:textId="77777777" w:rsidR="009E0216" w:rsidRPr="00A52F41" w:rsidRDefault="009E0216" w:rsidP="009832B0">
            <w:pPr>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EU (EUR)</w:t>
            </w:r>
          </w:p>
        </w:tc>
        <w:tc>
          <w:tcPr>
            <w:tcW w:w="2275" w:type="dxa"/>
            <w:shd w:val="clear" w:color="auto" w:fill="auto"/>
            <w:vAlign w:val="center"/>
            <w:hideMark/>
          </w:tcPr>
          <w:p w14:paraId="27752A76" w14:textId="77777777" w:rsidR="009E0216" w:rsidRPr="00A52F41" w:rsidRDefault="009E0216" w:rsidP="009832B0">
            <w:pPr>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EU (EUR)</w:t>
            </w:r>
          </w:p>
        </w:tc>
      </w:tr>
      <w:tr w:rsidR="009E0216" w:rsidRPr="00A52F41" w14:paraId="2EE19F65" w14:textId="77777777" w:rsidTr="00667D8C">
        <w:trPr>
          <w:trHeight w:val="304"/>
        </w:trPr>
        <w:tc>
          <w:tcPr>
            <w:tcW w:w="1213" w:type="dxa"/>
            <w:shd w:val="clear" w:color="auto" w:fill="auto"/>
            <w:noWrap/>
            <w:vAlign w:val="bottom"/>
            <w:hideMark/>
          </w:tcPr>
          <w:p w14:paraId="48DD9392" w14:textId="43D20DE2" w:rsidR="009E0216" w:rsidRPr="00A52F41" w:rsidRDefault="00E51189" w:rsidP="009832B0">
            <w:pPr>
              <w:spacing w:before="60" w:after="0" w:line="312" w:lineRule="auto"/>
              <w:jc w:val="right"/>
              <w:rPr>
                <w:rFonts w:ascii="Arial" w:hAnsi="Arial" w:cs="Arial"/>
                <w:color w:val="000000"/>
                <w:sz w:val="20"/>
                <w:szCs w:val="20"/>
                <w:lang w:eastAsia="sl-SI"/>
              </w:rPr>
            </w:pPr>
            <w:r>
              <w:rPr>
                <w:rFonts w:ascii="Arial" w:hAnsi="Arial" w:cs="Arial"/>
                <w:color w:val="000000"/>
                <w:sz w:val="20"/>
                <w:szCs w:val="20"/>
                <w:lang w:eastAsia="sl-SI"/>
              </w:rPr>
              <w:lastRenderedPageBreak/>
              <w:t>36.449.453</w:t>
            </w:r>
          </w:p>
        </w:tc>
        <w:tc>
          <w:tcPr>
            <w:tcW w:w="1214" w:type="dxa"/>
            <w:shd w:val="clear" w:color="auto" w:fill="auto"/>
            <w:noWrap/>
            <w:vAlign w:val="bottom"/>
            <w:hideMark/>
          </w:tcPr>
          <w:p w14:paraId="77732C37" w14:textId="4C2302B1" w:rsidR="009E0216" w:rsidRPr="00A52F41" w:rsidRDefault="00E51189" w:rsidP="009832B0">
            <w:pPr>
              <w:spacing w:before="60" w:after="0" w:line="312" w:lineRule="auto"/>
              <w:jc w:val="right"/>
              <w:rPr>
                <w:rFonts w:ascii="Arial" w:hAnsi="Arial" w:cs="Arial"/>
                <w:color w:val="000000"/>
                <w:sz w:val="20"/>
                <w:szCs w:val="20"/>
                <w:lang w:eastAsia="sl-SI"/>
              </w:rPr>
            </w:pPr>
            <w:r>
              <w:rPr>
                <w:rFonts w:ascii="Arial" w:hAnsi="Arial" w:cs="Arial"/>
                <w:color w:val="000000"/>
                <w:sz w:val="20"/>
                <w:szCs w:val="20"/>
                <w:lang w:eastAsia="sl-SI"/>
              </w:rPr>
              <w:t>29.159.561</w:t>
            </w:r>
          </w:p>
        </w:tc>
        <w:tc>
          <w:tcPr>
            <w:tcW w:w="1552" w:type="dxa"/>
            <w:shd w:val="clear" w:color="auto" w:fill="auto"/>
            <w:noWrap/>
            <w:vAlign w:val="bottom"/>
            <w:hideMark/>
          </w:tcPr>
          <w:p w14:paraId="18743491" w14:textId="69E8CE58" w:rsidR="009E0216" w:rsidRPr="00A52F41" w:rsidRDefault="00E51189" w:rsidP="009832B0">
            <w:pPr>
              <w:spacing w:before="60" w:after="0" w:line="312" w:lineRule="auto"/>
              <w:jc w:val="right"/>
              <w:rPr>
                <w:rFonts w:ascii="Arial" w:hAnsi="Arial" w:cs="Arial"/>
                <w:color w:val="000000"/>
                <w:sz w:val="20"/>
                <w:szCs w:val="20"/>
                <w:lang w:eastAsia="sl-SI"/>
              </w:rPr>
            </w:pPr>
            <w:r>
              <w:rPr>
                <w:rFonts w:ascii="Arial" w:hAnsi="Arial" w:cs="Arial"/>
                <w:color w:val="000000"/>
                <w:sz w:val="20"/>
                <w:szCs w:val="20"/>
                <w:lang w:eastAsia="sl-SI"/>
              </w:rPr>
              <w:t>30.833.272</w:t>
            </w:r>
          </w:p>
        </w:tc>
        <w:tc>
          <w:tcPr>
            <w:tcW w:w="1418" w:type="dxa"/>
            <w:shd w:val="clear" w:color="auto" w:fill="auto"/>
            <w:noWrap/>
            <w:vAlign w:val="bottom"/>
            <w:hideMark/>
          </w:tcPr>
          <w:p w14:paraId="3D115872" w14:textId="2CFECC58" w:rsidR="009E0216" w:rsidRPr="00A52F41" w:rsidRDefault="00E51189" w:rsidP="009832B0">
            <w:pPr>
              <w:spacing w:before="60" w:after="0" w:line="312" w:lineRule="auto"/>
              <w:jc w:val="right"/>
              <w:rPr>
                <w:rFonts w:ascii="Arial" w:hAnsi="Arial" w:cs="Arial"/>
                <w:color w:val="000000"/>
                <w:sz w:val="20"/>
                <w:szCs w:val="20"/>
                <w:lang w:eastAsia="sl-SI"/>
              </w:rPr>
            </w:pPr>
            <w:r>
              <w:rPr>
                <w:rFonts w:ascii="Arial" w:hAnsi="Arial" w:cs="Arial"/>
                <w:color w:val="000000"/>
                <w:sz w:val="20"/>
                <w:szCs w:val="20"/>
                <w:lang w:eastAsia="sl-SI"/>
              </w:rPr>
              <w:t>24.542.538</w:t>
            </w:r>
          </w:p>
        </w:tc>
        <w:tc>
          <w:tcPr>
            <w:tcW w:w="1417" w:type="dxa"/>
            <w:shd w:val="clear" w:color="auto" w:fill="auto"/>
            <w:noWrap/>
            <w:vAlign w:val="bottom"/>
            <w:hideMark/>
          </w:tcPr>
          <w:p w14:paraId="5D7AE8FA" w14:textId="0C0277E5" w:rsidR="009E0216" w:rsidRPr="00A52F41" w:rsidRDefault="00E51189" w:rsidP="009832B0">
            <w:pPr>
              <w:spacing w:before="60" w:after="0" w:line="312" w:lineRule="auto"/>
              <w:jc w:val="right"/>
              <w:rPr>
                <w:rFonts w:ascii="Arial" w:hAnsi="Arial" w:cs="Arial"/>
                <w:color w:val="000000"/>
                <w:sz w:val="20"/>
                <w:szCs w:val="20"/>
                <w:lang w:eastAsia="sl-SI"/>
              </w:rPr>
            </w:pPr>
            <w:r>
              <w:rPr>
                <w:rFonts w:ascii="Arial" w:hAnsi="Arial" w:cs="Arial"/>
                <w:color w:val="000000"/>
                <w:sz w:val="20"/>
                <w:szCs w:val="20"/>
                <w:lang w:eastAsia="sl-SI"/>
              </w:rPr>
              <w:t>12.586.507</w:t>
            </w:r>
          </w:p>
        </w:tc>
        <w:tc>
          <w:tcPr>
            <w:tcW w:w="2275" w:type="dxa"/>
            <w:shd w:val="clear" w:color="auto" w:fill="auto"/>
            <w:noWrap/>
            <w:vAlign w:val="bottom"/>
            <w:hideMark/>
          </w:tcPr>
          <w:p w14:paraId="4F48974F" w14:textId="7135F38D" w:rsidR="009E0216" w:rsidRPr="00A52F41" w:rsidRDefault="00E51189" w:rsidP="009832B0">
            <w:pPr>
              <w:spacing w:before="60" w:after="0" w:line="312" w:lineRule="auto"/>
              <w:jc w:val="right"/>
              <w:rPr>
                <w:rFonts w:ascii="Arial" w:hAnsi="Arial" w:cs="Arial"/>
                <w:color w:val="000000"/>
                <w:sz w:val="20"/>
                <w:szCs w:val="20"/>
                <w:lang w:eastAsia="sl-SI"/>
              </w:rPr>
            </w:pPr>
            <w:r>
              <w:rPr>
                <w:rFonts w:ascii="Arial" w:hAnsi="Arial" w:cs="Arial"/>
                <w:color w:val="000000"/>
                <w:sz w:val="20"/>
                <w:szCs w:val="20"/>
                <w:lang w:eastAsia="sl-SI"/>
              </w:rPr>
              <w:t>7.737.353</w:t>
            </w:r>
          </w:p>
        </w:tc>
      </w:tr>
    </w:tbl>
    <w:p w14:paraId="20ACBC89" w14:textId="77777777" w:rsidR="009E0216" w:rsidRPr="002D6764" w:rsidRDefault="009E0216" w:rsidP="00EA2E4C">
      <w:pPr>
        <w:spacing w:line="360" w:lineRule="auto"/>
        <w:jc w:val="both"/>
        <w:rPr>
          <w:rFonts w:ascii="Arial" w:eastAsia="Courier New" w:hAnsi="Arial" w:cs="Arial"/>
          <w:sz w:val="16"/>
          <w:szCs w:val="16"/>
          <w:lang w:bidi="sl-SI"/>
        </w:rPr>
      </w:pPr>
      <w:r w:rsidRPr="002D6764">
        <w:rPr>
          <w:rFonts w:ascii="Arial" w:eastAsia="Courier New" w:hAnsi="Arial" w:cs="Arial"/>
          <w:color w:val="000000"/>
          <w:sz w:val="16"/>
          <w:szCs w:val="16"/>
          <w:lang w:bidi="sl-SI"/>
        </w:rPr>
        <w:t>Vir</w:t>
      </w:r>
      <w:r w:rsidRPr="002D6764">
        <w:rPr>
          <w:rFonts w:ascii="Arial" w:eastAsia="Courier New" w:hAnsi="Arial" w:cs="Arial"/>
          <w:sz w:val="16"/>
          <w:szCs w:val="16"/>
          <w:lang w:bidi="sl-SI"/>
        </w:rPr>
        <w:t xml:space="preserve">: </w:t>
      </w:r>
      <w:r w:rsidRPr="002D6764">
        <w:rPr>
          <w:rFonts w:ascii="Arial" w:eastAsia="SimSun" w:hAnsi="Arial" w:cs="Arial"/>
          <w:bCs/>
          <w:sz w:val="16"/>
          <w:szCs w:val="16"/>
          <w:lang w:eastAsia="zh-CN"/>
        </w:rPr>
        <w:t>Poročilo o izvajanju Evropske kohezijske politike 2014–2020 za obdobje od januarja 2014 do konca junija 2020</w:t>
      </w:r>
    </w:p>
    <w:p w14:paraId="1DC99B41" w14:textId="77777777" w:rsidR="009E0216" w:rsidRPr="00A52F41" w:rsidRDefault="009E0216" w:rsidP="00BE756C">
      <w:pPr>
        <w:spacing w:before="200" w:line="360" w:lineRule="auto"/>
        <w:jc w:val="both"/>
        <w:rPr>
          <w:rFonts w:ascii="Arial" w:hAnsi="Arial" w:cs="Arial"/>
          <w:color w:val="000000"/>
          <w:sz w:val="20"/>
          <w:szCs w:val="20"/>
        </w:rPr>
      </w:pPr>
      <w:r w:rsidRPr="00A52F41">
        <w:rPr>
          <w:rFonts w:ascii="Arial" w:hAnsi="Arial" w:cs="Arial"/>
          <w:sz w:val="20"/>
          <w:szCs w:val="20"/>
        </w:rPr>
        <w:t xml:space="preserve">Povečanje dostopnosti do informacijsko-komunikacijskih tehnologij ter njihove uporabe in kakovosti je 2. prednostna os v okviru OP EKP. </w:t>
      </w:r>
      <w:r w:rsidRPr="00A52F41">
        <w:rPr>
          <w:rFonts w:ascii="Arial" w:hAnsi="Arial" w:cs="Arial"/>
          <w:color w:val="000000"/>
          <w:sz w:val="20"/>
          <w:szCs w:val="20"/>
        </w:rPr>
        <w:t>V okviru te prednostne osi je bilo v celotnem obdobju izvajanja OP EKP izdanih pet odločitev o podpori v skupni vrednosti 44,2 mio EUR EU dela, kar je 103 % razpoložljivih sredstev EU. Skupna višina izplačil iz proračuna je do konca obdobja poročanja znašala 10,9 mio EUR EU dela, kar predstavlja 25 % razpoložljivih sredstev EU (Poročilo o izvajanju Evropske kohezijske politike 2014–2020 za obdobje od januarja 2014 do konca junija 2020, 2020).</w:t>
      </w:r>
    </w:p>
    <w:p w14:paraId="5A55CB07" w14:textId="5A44AF23" w:rsidR="009E0216" w:rsidRPr="00C35272" w:rsidRDefault="002D6764" w:rsidP="00C35272">
      <w:pPr>
        <w:pStyle w:val="SCslika"/>
        <w:keepNext/>
        <w:keepLines/>
        <w:spacing w:before="200"/>
      </w:pPr>
      <w:bookmarkStart w:id="95" w:name="_Toc47092646"/>
      <w:r w:rsidRPr="00C35272">
        <w:t>Tabela 3</w:t>
      </w:r>
      <w:r w:rsidR="0079207A">
        <w:t>6</w:t>
      </w:r>
      <w:r w:rsidR="009E0216" w:rsidRPr="00C35272">
        <w:t>: Poročilo o izvajanju Evropske kohezijske politike 2014–2020 za obdobje od januarja 2014 do konca marca 2020 – prednostna os 2</w:t>
      </w:r>
      <w:bookmarkEnd w:id="95"/>
    </w:p>
    <w:tbl>
      <w:tblPr>
        <w:tblW w:w="908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6"/>
        <w:gridCol w:w="1276"/>
        <w:gridCol w:w="1559"/>
        <w:gridCol w:w="1405"/>
        <w:gridCol w:w="1381"/>
        <w:gridCol w:w="2175"/>
      </w:tblGrid>
      <w:tr w:rsidR="009E0216" w:rsidRPr="00A52F41" w14:paraId="28C3D6A4" w14:textId="77777777" w:rsidTr="009832B0">
        <w:trPr>
          <w:trHeight w:val="670"/>
        </w:trPr>
        <w:tc>
          <w:tcPr>
            <w:tcW w:w="2562" w:type="dxa"/>
            <w:gridSpan w:val="2"/>
            <w:shd w:val="clear" w:color="auto" w:fill="auto"/>
            <w:vAlign w:val="center"/>
            <w:hideMark/>
          </w:tcPr>
          <w:p w14:paraId="285AB126" w14:textId="7BEF12E6" w:rsidR="009E0216" w:rsidRPr="00A52F41" w:rsidRDefault="009E0216" w:rsidP="009832B0">
            <w:pPr>
              <w:spacing w:after="0" w:line="240"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Pravice porabe</w:t>
            </w:r>
          </w:p>
        </w:tc>
        <w:tc>
          <w:tcPr>
            <w:tcW w:w="2964" w:type="dxa"/>
            <w:gridSpan w:val="2"/>
            <w:shd w:val="clear" w:color="auto" w:fill="auto"/>
            <w:vAlign w:val="center"/>
            <w:hideMark/>
          </w:tcPr>
          <w:p w14:paraId="3A4ABDF8" w14:textId="77777777" w:rsidR="009E0216" w:rsidRPr="00A52F41" w:rsidRDefault="009E0216" w:rsidP="009832B0">
            <w:pPr>
              <w:spacing w:after="0" w:line="240"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Odločitve o podpori</w:t>
            </w:r>
          </w:p>
        </w:tc>
        <w:tc>
          <w:tcPr>
            <w:tcW w:w="1381" w:type="dxa"/>
            <w:shd w:val="clear" w:color="auto" w:fill="auto"/>
            <w:vAlign w:val="center"/>
            <w:hideMark/>
          </w:tcPr>
          <w:p w14:paraId="6066B1A7" w14:textId="77777777" w:rsidR="009E0216" w:rsidRPr="00A52F41" w:rsidRDefault="009E0216" w:rsidP="009832B0">
            <w:pPr>
              <w:spacing w:after="0" w:line="240"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Potrjene operacije</w:t>
            </w:r>
          </w:p>
        </w:tc>
        <w:tc>
          <w:tcPr>
            <w:tcW w:w="2175" w:type="dxa"/>
            <w:shd w:val="clear" w:color="auto" w:fill="auto"/>
            <w:vAlign w:val="center"/>
            <w:hideMark/>
          </w:tcPr>
          <w:p w14:paraId="5EBA3659" w14:textId="77777777" w:rsidR="009E0216" w:rsidRPr="00A52F41" w:rsidRDefault="009E0216" w:rsidP="009832B0">
            <w:pPr>
              <w:spacing w:after="0" w:line="240"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Izplačila iz državnega proračuna</w:t>
            </w:r>
          </w:p>
        </w:tc>
      </w:tr>
      <w:tr w:rsidR="009E0216" w:rsidRPr="00A52F41" w14:paraId="6FCCAE10" w14:textId="77777777" w:rsidTr="009832B0">
        <w:trPr>
          <w:trHeight w:val="453"/>
        </w:trPr>
        <w:tc>
          <w:tcPr>
            <w:tcW w:w="1286" w:type="dxa"/>
            <w:shd w:val="clear" w:color="auto" w:fill="auto"/>
            <w:vAlign w:val="center"/>
            <w:hideMark/>
          </w:tcPr>
          <w:p w14:paraId="7C0E110A" w14:textId="77777777" w:rsidR="009E0216" w:rsidRPr="00A52F41" w:rsidRDefault="009E0216" w:rsidP="009832B0">
            <w:pPr>
              <w:spacing w:after="0" w:line="240"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EU + SI</w:t>
            </w:r>
          </w:p>
        </w:tc>
        <w:tc>
          <w:tcPr>
            <w:tcW w:w="1276" w:type="dxa"/>
            <w:shd w:val="clear" w:color="auto" w:fill="auto"/>
            <w:vAlign w:val="center"/>
            <w:hideMark/>
          </w:tcPr>
          <w:p w14:paraId="42B0A711" w14:textId="77777777" w:rsidR="009E0216" w:rsidRPr="00A52F41" w:rsidRDefault="009E0216" w:rsidP="009832B0">
            <w:pPr>
              <w:spacing w:after="0" w:line="240"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EU</w:t>
            </w:r>
          </w:p>
        </w:tc>
        <w:tc>
          <w:tcPr>
            <w:tcW w:w="1559" w:type="dxa"/>
            <w:shd w:val="clear" w:color="auto" w:fill="auto"/>
            <w:vAlign w:val="center"/>
            <w:hideMark/>
          </w:tcPr>
          <w:p w14:paraId="0E060986" w14:textId="77777777" w:rsidR="009E0216" w:rsidRPr="00A52F41" w:rsidRDefault="009E0216" w:rsidP="009832B0">
            <w:pPr>
              <w:spacing w:after="0" w:line="240"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Skupaj (EUR)</w:t>
            </w:r>
          </w:p>
        </w:tc>
        <w:tc>
          <w:tcPr>
            <w:tcW w:w="1405" w:type="dxa"/>
            <w:shd w:val="clear" w:color="auto" w:fill="auto"/>
            <w:vAlign w:val="center"/>
            <w:hideMark/>
          </w:tcPr>
          <w:p w14:paraId="18A8250F" w14:textId="77777777" w:rsidR="009E0216" w:rsidRPr="00A52F41" w:rsidRDefault="009E0216" w:rsidP="009832B0">
            <w:pPr>
              <w:spacing w:after="0" w:line="240"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EU (EUR)</w:t>
            </w:r>
          </w:p>
        </w:tc>
        <w:tc>
          <w:tcPr>
            <w:tcW w:w="1381" w:type="dxa"/>
            <w:shd w:val="clear" w:color="auto" w:fill="auto"/>
            <w:vAlign w:val="center"/>
            <w:hideMark/>
          </w:tcPr>
          <w:p w14:paraId="05A27FF4" w14:textId="77777777" w:rsidR="009E0216" w:rsidRPr="00A52F41" w:rsidRDefault="009E0216" w:rsidP="009832B0">
            <w:pPr>
              <w:spacing w:after="0" w:line="240"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EU (EUR)</w:t>
            </w:r>
          </w:p>
        </w:tc>
        <w:tc>
          <w:tcPr>
            <w:tcW w:w="2175" w:type="dxa"/>
            <w:shd w:val="clear" w:color="auto" w:fill="auto"/>
            <w:vAlign w:val="center"/>
            <w:hideMark/>
          </w:tcPr>
          <w:p w14:paraId="46135C67" w14:textId="77777777" w:rsidR="009E0216" w:rsidRPr="00A52F41" w:rsidRDefault="009E0216" w:rsidP="009832B0">
            <w:pPr>
              <w:spacing w:after="0" w:line="240"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EU (EUR)</w:t>
            </w:r>
          </w:p>
        </w:tc>
      </w:tr>
      <w:tr w:rsidR="009E0216" w:rsidRPr="00A52F41" w14:paraId="562EB76B" w14:textId="77777777" w:rsidTr="009832B0">
        <w:trPr>
          <w:trHeight w:val="453"/>
        </w:trPr>
        <w:tc>
          <w:tcPr>
            <w:tcW w:w="1286" w:type="dxa"/>
            <w:shd w:val="clear" w:color="auto" w:fill="auto"/>
            <w:noWrap/>
            <w:vAlign w:val="center"/>
            <w:hideMark/>
          </w:tcPr>
          <w:p w14:paraId="1A3E8311" w14:textId="77777777" w:rsidR="009E0216" w:rsidRPr="00A52F41" w:rsidRDefault="009E0216" w:rsidP="009832B0">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53.736.229</w:t>
            </w:r>
          </w:p>
        </w:tc>
        <w:tc>
          <w:tcPr>
            <w:tcW w:w="1276" w:type="dxa"/>
            <w:shd w:val="clear" w:color="auto" w:fill="auto"/>
            <w:noWrap/>
            <w:vAlign w:val="center"/>
            <w:hideMark/>
          </w:tcPr>
          <w:p w14:paraId="6B36E257" w14:textId="77777777" w:rsidR="009E0216" w:rsidRPr="00A52F41" w:rsidRDefault="009E0216" w:rsidP="009832B0">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42.988.982</w:t>
            </w:r>
          </w:p>
        </w:tc>
        <w:tc>
          <w:tcPr>
            <w:tcW w:w="1559" w:type="dxa"/>
            <w:shd w:val="clear" w:color="auto" w:fill="auto"/>
            <w:noWrap/>
            <w:vAlign w:val="center"/>
            <w:hideMark/>
          </w:tcPr>
          <w:p w14:paraId="3396022B" w14:textId="77777777" w:rsidR="009E0216" w:rsidRPr="00A52F41" w:rsidRDefault="009E0216" w:rsidP="009832B0">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55.301.216</w:t>
            </w:r>
          </w:p>
        </w:tc>
        <w:tc>
          <w:tcPr>
            <w:tcW w:w="1405" w:type="dxa"/>
            <w:shd w:val="clear" w:color="auto" w:fill="auto"/>
            <w:noWrap/>
            <w:vAlign w:val="center"/>
            <w:hideMark/>
          </w:tcPr>
          <w:p w14:paraId="1CDDE817" w14:textId="77777777" w:rsidR="009E0216" w:rsidRPr="00A52F41" w:rsidRDefault="009E0216" w:rsidP="009832B0">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44.240.971</w:t>
            </w:r>
          </w:p>
        </w:tc>
        <w:tc>
          <w:tcPr>
            <w:tcW w:w="1381" w:type="dxa"/>
            <w:shd w:val="clear" w:color="auto" w:fill="auto"/>
            <w:noWrap/>
            <w:vAlign w:val="center"/>
            <w:hideMark/>
          </w:tcPr>
          <w:p w14:paraId="081D843D" w14:textId="77777777" w:rsidR="009E0216" w:rsidRPr="00A52F41" w:rsidRDefault="009E0216" w:rsidP="009832B0">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20.663.990</w:t>
            </w:r>
          </w:p>
        </w:tc>
        <w:tc>
          <w:tcPr>
            <w:tcW w:w="2175" w:type="dxa"/>
            <w:shd w:val="clear" w:color="auto" w:fill="auto"/>
            <w:noWrap/>
            <w:vAlign w:val="center"/>
            <w:hideMark/>
          </w:tcPr>
          <w:p w14:paraId="6F66CF61" w14:textId="77777777" w:rsidR="009E0216" w:rsidRPr="00A52F41" w:rsidRDefault="009E0216" w:rsidP="009832B0">
            <w:pPr>
              <w:spacing w:after="0" w:line="240"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10.893.485</w:t>
            </w:r>
          </w:p>
        </w:tc>
      </w:tr>
    </w:tbl>
    <w:p w14:paraId="593F7563" w14:textId="77777777" w:rsidR="009E0216" w:rsidRPr="002D6764" w:rsidRDefault="009E0216" w:rsidP="00EA2E4C">
      <w:pPr>
        <w:pStyle w:val="1"/>
        <w:spacing w:line="360" w:lineRule="auto"/>
        <w:rPr>
          <w:rFonts w:eastAsia="SimSun"/>
          <w:bCs/>
          <w:sz w:val="16"/>
          <w:szCs w:val="16"/>
          <w:lang w:eastAsia="zh-CN"/>
        </w:rPr>
      </w:pPr>
      <w:r w:rsidRPr="002D6764">
        <w:rPr>
          <w:rFonts w:eastAsia="Courier New"/>
          <w:color w:val="000000"/>
          <w:sz w:val="16"/>
          <w:szCs w:val="16"/>
          <w:lang w:bidi="sl-SI"/>
        </w:rPr>
        <w:t xml:space="preserve">Vir: </w:t>
      </w:r>
      <w:r w:rsidRPr="002D6764">
        <w:rPr>
          <w:rFonts w:eastAsia="SimSun"/>
          <w:bCs/>
          <w:sz w:val="16"/>
          <w:szCs w:val="16"/>
          <w:lang w:eastAsia="zh-CN"/>
        </w:rPr>
        <w:t>Poročilo o izvajanju Evropske kohezijske politike 2014–2020 za obdobje od januarja 2014 do konca marca 2020</w:t>
      </w:r>
    </w:p>
    <w:p w14:paraId="728737EB" w14:textId="77777777" w:rsidR="009E0216" w:rsidRPr="00A52F41" w:rsidRDefault="009E0216" w:rsidP="00BE756C">
      <w:pPr>
        <w:pStyle w:val="1"/>
        <w:spacing w:before="200" w:after="200" w:line="360" w:lineRule="auto"/>
        <w:rPr>
          <w:rFonts w:eastAsia="Courier New"/>
          <w:lang w:bidi="sl-SI"/>
        </w:rPr>
      </w:pPr>
    </w:p>
    <w:p w14:paraId="48793439" w14:textId="77777777" w:rsidR="009E0216" w:rsidRPr="00684691" w:rsidRDefault="009E0216" w:rsidP="00EA2E4C">
      <w:pPr>
        <w:pStyle w:val="Naslov2"/>
        <w:spacing w:line="360" w:lineRule="auto"/>
        <w:jc w:val="both"/>
        <w:rPr>
          <w:rFonts w:ascii="Arial" w:eastAsia="Times New Roman" w:hAnsi="Arial" w:cs="Arial"/>
          <w:bCs w:val="0"/>
          <w:color w:val="auto"/>
          <w:sz w:val="24"/>
          <w:szCs w:val="24"/>
          <w:lang w:eastAsia="sl-SI"/>
        </w:rPr>
      </w:pPr>
      <w:bookmarkStart w:id="96" w:name="_Toc55999345"/>
      <w:r w:rsidRPr="00684691">
        <w:rPr>
          <w:rFonts w:ascii="Arial" w:eastAsia="Times New Roman" w:hAnsi="Arial" w:cs="Arial"/>
          <w:bCs w:val="0"/>
          <w:color w:val="auto"/>
          <w:sz w:val="24"/>
          <w:szCs w:val="24"/>
          <w:lang w:eastAsia="sl-SI"/>
        </w:rPr>
        <w:t>5.5 Izvajanje CLLD v okviru Operativnega programa za izvajanje Evropskega sklada za pomorstvo in ribištvo v Republiki Sloveniji za obdobje 2014-2020</w:t>
      </w:r>
      <w:bookmarkEnd w:id="96"/>
    </w:p>
    <w:p w14:paraId="4C10C2C2" w14:textId="77777777" w:rsidR="009E0216" w:rsidRPr="00A52F41" w:rsidRDefault="009E0216" w:rsidP="00BE756C">
      <w:pPr>
        <w:pStyle w:val="1"/>
        <w:spacing w:before="200" w:after="200" w:line="360" w:lineRule="auto"/>
      </w:pPr>
      <w:r w:rsidRPr="00A52F41">
        <w:t>CLLD na obalnem območju omogoča ohranjanje tradicije morskega gospodarskega ribolova in naravne ter pomorske kulturne dediščine lokalnega območja (antičnih pristanišč in ribogojnic na slovenski obali Istre, tradicionalna ribiška plovila ter materialni in nematerialni vidiki ribolovnih in ribogojniških praks v preteklosti). Z vključevanjem sektorja sladkovodne akvakulture v CLLD se želi doseči boljšo povezanost in prepoznavnost sektorja na podeželskih območjih in širše, saj je bil ta sektor do zdaj premalo prepoznan in prisoten. Z izvajanjem projektov se želi prispevati k povečanju dodane vrednosti proizvodom iz akvakulture, povezati sektor z drugimi panogami (turizem, kultura, gostinstvo), spodbujati inovacije v vseh fazah dobavne verige, povezovanje in vključevanje sektorja na lokalni ravni, možnosti skupnega nastopa na trgu, medregijsko in meddržavno sodelovanje, izmenjavo izkušenj in dobrih praks (Operativni program ESPR, 2015).</w:t>
      </w:r>
    </w:p>
    <w:p w14:paraId="3A0C5ED3" w14:textId="1B599CBD" w:rsidR="009E0216" w:rsidRPr="00A52F41" w:rsidRDefault="009E0216" w:rsidP="00BE756C">
      <w:pPr>
        <w:pStyle w:val="1"/>
        <w:spacing w:before="200" w:after="200" w:line="360" w:lineRule="auto"/>
      </w:pPr>
      <w:r w:rsidRPr="00A52F41">
        <w:t xml:space="preserve">V okviru 4. prednostne naloge Unije so bile v letu 2018 izvedene številne operacije, ki so omogočile pozitivno izkušnjo izvajanja CLLD na lokalnem območju in s tem povečan interes med potencialnimi prijavitelji projektov. V okviru 4. prednostne naloge Unije so bili v letu 2016 izbrani 4 LAS. Do 31. 12. 2018 je bilo </w:t>
      </w:r>
      <w:r w:rsidR="007C1874" w:rsidRPr="00A52F41">
        <w:t>kumulativno</w:t>
      </w:r>
      <w:r w:rsidRPr="00A52F41">
        <w:t xml:space="preserve"> izbranih 14 operacij v vrednosti 71.100,80 EUR. Skupna vrednost odobrenih operacij znaša 1.762.473,87 EUR. Odobrene so bile tudi 3 operacije sodelovanja v skupni vrednosti 86.431,73 EUR (</w:t>
      </w:r>
      <w:r w:rsidRPr="00A52F41">
        <w:rPr>
          <w:bCs/>
        </w:rPr>
        <w:t>Letno poročilo o izvajanju za ESPR 2019, 2019).</w:t>
      </w:r>
    </w:p>
    <w:p w14:paraId="079E9009" w14:textId="77777777" w:rsidR="009E0216" w:rsidRPr="00A52F41" w:rsidRDefault="009E0216" w:rsidP="00BE756C">
      <w:pPr>
        <w:pStyle w:val="1"/>
        <w:spacing w:before="200" w:after="200" w:line="360" w:lineRule="auto"/>
      </w:pPr>
    </w:p>
    <w:p w14:paraId="69085267" w14:textId="77777777" w:rsidR="009E0216" w:rsidRPr="00BE756C" w:rsidRDefault="009E0216" w:rsidP="00BE756C">
      <w:pPr>
        <w:pStyle w:val="Naslov2"/>
        <w:keepLines w:val="0"/>
        <w:spacing w:after="200" w:line="360" w:lineRule="auto"/>
        <w:jc w:val="both"/>
        <w:rPr>
          <w:rFonts w:ascii="Arial" w:hAnsi="Arial" w:cs="Arial"/>
          <w:color w:val="auto"/>
          <w:sz w:val="24"/>
          <w:szCs w:val="24"/>
        </w:rPr>
      </w:pPr>
      <w:bookmarkStart w:id="97" w:name="_Toc55999346"/>
      <w:r w:rsidRPr="00BE756C">
        <w:rPr>
          <w:rFonts w:ascii="Arial" w:hAnsi="Arial" w:cs="Arial"/>
          <w:color w:val="auto"/>
          <w:sz w:val="24"/>
          <w:szCs w:val="24"/>
        </w:rPr>
        <w:lastRenderedPageBreak/>
        <w:t>5.6 KLJUČNE UGOTOVITVE</w:t>
      </w:r>
      <w:bookmarkEnd w:id="97"/>
    </w:p>
    <w:p w14:paraId="756A4CED" w14:textId="77777777" w:rsidR="009E0216" w:rsidRPr="00A52F41" w:rsidRDefault="009E0216" w:rsidP="00BE756C">
      <w:pPr>
        <w:pStyle w:val="1"/>
        <w:spacing w:before="200" w:after="200" w:line="360" w:lineRule="auto"/>
      </w:pPr>
      <w:r w:rsidRPr="00A52F41">
        <w:t xml:space="preserve">V programskem obdobju </w:t>
      </w:r>
      <w:r w:rsidRPr="00BE756C">
        <w:rPr>
          <w:b/>
        </w:rPr>
        <w:t>2007–2013 so se vsebine za obnovo in razvoj vasi, izboljšanje kakovosti življenja v podeželskih območjih in dediščine, podpirale</w:t>
      </w:r>
      <w:r w:rsidRPr="00A52F41">
        <w:t xml:space="preserve"> v okviru Ukrepa 322 Obnova in razvoj vasi in Ukrepa 323 Ohranjanje in izboljševanje dediščine podeželja. Podpore so prispevale k privlačnosti vaškega okolja, kot bivanjskega prostora, in potenciala za razvoj drugih dejavnosti, še posebej turizma. V programskem obdobju 2014–2020 se takšne vsebine naslavljajo le preko ukrepa LEADER.</w:t>
      </w:r>
    </w:p>
    <w:p w14:paraId="0A27A6A9" w14:textId="77777777" w:rsidR="009E0216" w:rsidRPr="00A52F41" w:rsidRDefault="009E0216" w:rsidP="00BE756C">
      <w:pPr>
        <w:pStyle w:val="1"/>
        <w:spacing w:before="200" w:after="200" w:line="360" w:lineRule="auto"/>
      </w:pPr>
      <w:r w:rsidRPr="00A52F41">
        <w:t xml:space="preserve">V programskem obdobju 2007–2013 se je </w:t>
      </w:r>
      <w:r w:rsidRPr="00BE756C">
        <w:rPr>
          <w:b/>
        </w:rPr>
        <w:t>nekmetijske dejavnosti</w:t>
      </w:r>
      <w:r w:rsidRPr="00A52F41">
        <w:t xml:space="preserve"> podpiralo v okviru ukrepa 311 Diverzifikacija v nekmetijske dejavnosti (največ naložb v dopolnilne dejavnosti na kmetijah, turizem na kmetijah, OVE…). V okviru ukrepa 312 Podpora ustanavljanju in razvoju mikropodjetij pa se je podpiralo podjetništvo na podeželju (proizvodnja kovinskih izdelkov, gostinstvo, proizvodnja pohištva). V programskem obdobju 2014-2020 se nekmetijske dejavnosti podpirajo v okviru podukrepa 6.4.</w:t>
      </w:r>
    </w:p>
    <w:p w14:paraId="349D6BAD" w14:textId="2BDC2F95" w:rsidR="009E0216" w:rsidRPr="00A52F41" w:rsidRDefault="009E0216" w:rsidP="00BE756C">
      <w:pPr>
        <w:pStyle w:val="1"/>
        <w:spacing w:before="200" w:after="200" w:line="360" w:lineRule="auto"/>
      </w:pPr>
      <w:r w:rsidRPr="00BE756C">
        <w:rPr>
          <w:b/>
        </w:rPr>
        <w:t>Ukrep LEADER se izvaja že dve programski obdobji</w:t>
      </w:r>
      <w:r w:rsidRPr="00A52F41">
        <w:t xml:space="preserve">, prav tako pa se je pristop CLLD v programskem </w:t>
      </w:r>
      <w:r w:rsidR="00763F76" w:rsidRPr="00A52F41">
        <w:t>obdobju</w:t>
      </w:r>
      <w:r w:rsidRPr="00A52F41">
        <w:t xml:space="preserve"> 2007–2013 izvajal že preko ESPR. </w:t>
      </w:r>
      <w:r w:rsidRPr="00BE756C">
        <w:rPr>
          <w:b/>
        </w:rPr>
        <w:t>V programskem obdobju 2014-2020 se LEADER izvaja kot del skupnega pristopa CLLD</w:t>
      </w:r>
      <w:r w:rsidRPr="00A52F41">
        <w:t xml:space="preserve">, skupaj z ESRR in ESPR, kar omogoča izvedbo interdisciplinarnih projektov na podeželju, ribiških in urbanih naseljih, ki so celoviti in niso strogo omejeni na podeželska območja, ampak vključujejo tudi ribiška in urbana naselja. </w:t>
      </w:r>
    </w:p>
    <w:p w14:paraId="16E87AB9" w14:textId="7D86C421" w:rsidR="009E0216" w:rsidRPr="00A52F41" w:rsidRDefault="009E0216" w:rsidP="00BE756C">
      <w:pPr>
        <w:pStyle w:val="1"/>
        <w:spacing w:before="200" w:after="200" w:line="360" w:lineRule="auto"/>
      </w:pPr>
      <w:r w:rsidRPr="00A52F41">
        <w:t xml:space="preserve">V programskem obdobju 2014–2020 se je glede na prejšnje programsko obdobje število LAS-ov povečalo iz 33 na </w:t>
      </w:r>
      <w:r w:rsidRPr="00BE756C">
        <w:rPr>
          <w:b/>
        </w:rPr>
        <w:t>37, s potrjenimi LAS-i je pokrita cela Slovenija</w:t>
      </w:r>
      <w:r w:rsidRPr="00A52F41">
        <w:t xml:space="preserve"> in 100% podeželskega prebivalstva (iz podpor izvzeta naselja nad 10.000 prebivalci). Vse strategije lokalnega razvoja so podprte s sredstvi EKSRP in ESRR, 4 tudi iz sklada ESPR. V programskem obd</w:t>
      </w:r>
      <w:r w:rsidR="003E4A64">
        <w:t>o</w:t>
      </w:r>
      <w:r w:rsidRPr="00A52F41">
        <w:t xml:space="preserve">bju 2007–2013 je bila s sredstvi ESPR podprta le ena ribiška lokalna akcijska skupina. </w:t>
      </w:r>
    </w:p>
    <w:p w14:paraId="6FB8CF64" w14:textId="06C1A9A8" w:rsidR="009E0216" w:rsidRPr="00A52F41" w:rsidRDefault="009E0216" w:rsidP="00BE756C">
      <w:pPr>
        <w:pStyle w:val="1"/>
        <w:spacing w:before="200" w:after="200" w:line="360" w:lineRule="auto"/>
      </w:pPr>
      <w:r w:rsidRPr="00A52F41">
        <w:t xml:space="preserve">Analiza projektov izvedenih v okviru ukrepa LEADER 2007–2013 kaže, da je bil največji delež projektov glede na vsebinsko opredelitev v turizmu (33%), nato v izobraževanju (20%), sledi obnova in razvoj vasi (19%), kulturna dediščina (10%). Vsebinska analiza projektov v programskem obdobju 2014–2020, potrjenih do 31. </w:t>
      </w:r>
      <w:r w:rsidR="004865E7">
        <w:t>8</w:t>
      </w:r>
      <w:r w:rsidRPr="00A52F41">
        <w:t>. 20</w:t>
      </w:r>
      <w:r w:rsidR="004865E7">
        <w:t>20</w:t>
      </w:r>
      <w:r w:rsidRPr="00A52F41">
        <w:t xml:space="preserve"> kaže, da je okoli 23 % projektov s področja turizma, 19 % s področja obnove in razvoja vasi ter 16 % s področja kulturne dediščine.</w:t>
      </w:r>
    </w:p>
    <w:p w14:paraId="3190B4F8" w14:textId="4E9643A2" w:rsidR="009E0216" w:rsidRDefault="009E0216" w:rsidP="00BE756C">
      <w:pPr>
        <w:pStyle w:val="1"/>
        <w:spacing w:before="200" w:after="200" w:line="360" w:lineRule="auto"/>
      </w:pPr>
      <w:r w:rsidRPr="00A52F41">
        <w:t xml:space="preserve">V obeh obdobjih so </w:t>
      </w:r>
      <w:r w:rsidRPr="00BE756C">
        <w:rPr>
          <w:b/>
        </w:rPr>
        <w:t>vodilni partnerji LAS po večini regionalno razvojne in razvojne agencije</w:t>
      </w:r>
      <w:r w:rsidRPr="00A52F41">
        <w:t>. Glede na</w:t>
      </w:r>
      <w:r w:rsidR="004865E7">
        <w:t xml:space="preserve"> </w:t>
      </w:r>
      <w:r w:rsidRPr="00A52F41">
        <w:t>vrednost projektov so v sedanjem obdobju finančno večji projekti. Največji delež odobrenih sredstev po statusu upravičencev ima javni sektor</w:t>
      </w:r>
      <w:r w:rsidR="004865E7">
        <w:t>(</w:t>
      </w:r>
      <w:r w:rsidRPr="00A52F41">
        <w:t>občine, javni zavodi</w:t>
      </w:r>
      <w:r w:rsidR="004865E7">
        <w:t>)</w:t>
      </w:r>
      <w:r w:rsidRPr="00A52F41">
        <w:t xml:space="preserve">, ki predstavljajo okoli 60 % vseh odobrenih sredstev. Med upravičenci je največ občin, manj pa predstavnikov civilne družbe zaradi težav z zagotavljanjem sofinanciranja projektov. </w:t>
      </w:r>
    </w:p>
    <w:p w14:paraId="177B6A1C" w14:textId="6E00FC63" w:rsidR="005E4633" w:rsidRDefault="005E4633" w:rsidP="00BE756C">
      <w:pPr>
        <w:pStyle w:val="1"/>
        <w:spacing w:before="200" w:after="200" w:line="360" w:lineRule="auto"/>
      </w:pPr>
    </w:p>
    <w:p w14:paraId="36DF59A0" w14:textId="77777777" w:rsidR="00034A97" w:rsidRPr="00A52F41" w:rsidRDefault="00034A97" w:rsidP="00BE756C">
      <w:pPr>
        <w:pStyle w:val="1"/>
        <w:spacing w:before="200" w:after="200" w:line="360" w:lineRule="auto"/>
      </w:pPr>
    </w:p>
    <w:p w14:paraId="726B114C" w14:textId="001A3D77" w:rsidR="002948DD" w:rsidRPr="008D32AC" w:rsidRDefault="00924D5D" w:rsidP="008D32AC">
      <w:pPr>
        <w:pStyle w:val="Naslov2"/>
        <w:keepLines w:val="0"/>
        <w:tabs>
          <w:tab w:val="left" w:pos="0"/>
          <w:tab w:val="left" w:pos="480"/>
          <w:tab w:val="left" w:pos="1276"/>
          <w:tab w:val="left" w:pos="4537"/>
        </w:tabs>
        <w:spacing w:after="200" w:line="360" w:lineRule="auto"/>
        <w:ind w:left="360"/>
        <w:jc w:val="both"/>
        <w:rPr>
          <w:rFonts w:ascii="Arial" w:hAnsi="Arial" w:cs="Arial"/>
          <w:b w:val="0"/>
          <w:sz w:val="24"/>
          <w:szCs w:val="24"/>
        </w:rPr>
      </w:pPr>
      <w:bookmarkStart w:id="98" w:name="_Toc55999347"/>
      <w:r>
        <w:rPr>
          <w:rFonts w:ascii="Arial" w:hAnsi="Arial" w:cs="Arial"/>
          <w:color w:val="auto"/>
          <w:sz w:val="24"/>
          <w:szCs w:val="24"/>
        </w:rPr>
        <w:lastRenderedPageBreak/>
        <w:t xml:space="preserve">6 </w:t>
      </w:r>
      <w:r w:rsidR="002948DD" w:rsidRPr="008D32AC">
        <w:rPr>
          <w:rFonts w:ascii="Arial" w:hAnsi="Arial" w:cs="Arial"/>
          <w:color w:val="auto"/>
          <w:sz w:val="24"/>
          <w:szCs w:val="24"/>
        </w:rPr>
        <w:t>ANALIZA SWOT</w:t>
      </w:r>
      <w:bookmarkEnd w:id="98"/>
    </w:p>
    <w:p w14:paraId="10837744" w14:textId="77777777" w:rsidR="002948DD" w:rsidRPr="00BE756C" w:rsidRDefault="009E0216" w:rsidP="00BE756C">
      <w:pPr>
        <w:spacing w:before="200" w:line="360" w:lineRule="auto"/>
        <w:jc w:val="both"/>
        <w:rPr>
          <w:rFonts w:ascii="Arial" w:hAnsi="Arial" w:cs="Arial"/>
          <w:b/>
          <w:sz w:val="24"/>
          <w:szCs w:val="24"/>
        </w:rPr>
      </w:pPr>
      <w:r w:rsidRPr="00BE756C">
        <w:rPr>
          <w:rFonts w:ascii="Arial" w:hAnsi="Arial" w:cs="Arial"/>
          <w:b/>
          <w:sz w:val="24"/>
          <w:szCs w:val="24"/>
        </w:rPr>
        <w:t>LOKALNI RAZVOJ PO</w:t>
      </w:r>
      <w:r w:rsidR="0060162F" w:rsidRPr="00BE756C">
        <w:rPr>
          <w:rFonts w:ascii="Arial" w:hAnsi="Arial" w:cs="Arial"/>
          <w:b/>
          <w:sz w:val="24"/>
          <w:szCs w:val="24"/>
        </w:rPr>
        <w:t>DEŽELJA IN SOCIALNA VKLJUČENOST</w:t>
      </w:r>
    </w:p>
    <w:tbl>
      <w:tblPr>
        <w:tblW w:w="955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000" w:firstRow="0" w:lastRow="0" w:firstColumn="0" w:lastColumn="0" w:noHBand="0" w:noVBand="0"/>
      </w:tblPr>
      <w:tblGrid>
        <w:gridCol w:w="4776"/>
        <w:gridCol w:w="4777"/>
      </w:tblGrid>
      <w:tr w:rsidR="002948DD" w:rsidRPr="00A52F41" w14:paraId="05378E4E" w14:textId="77777777" w:rsidTr="00C0502F">
        <w:tc>
          <w:tcPr>
            <w:tcW w:w="4776" w:type="dxa"/>
            <w:tcBorders>
              <w:bottom w:val="single" w:sz="4" w:space="0" w:color="000000" w:themeColor="text1"/>
            </w:tcBorders>
            <w:shd w:val="clear" w:color="auto" w:fill="92D050"/>
            <w:tcMar>
              <w:top w:w="55" w:type="dxa"/>
              <w:left w:w="55" w:type="dxa"/>
              <w:bottom w:w="55" w:type="dxa"/>
              <w:right w:w="55" w:type="dxa"/>
            </w:tcMar>
            <w:vAlign w:val="bottom"/>
          </w:tcPr>
          <w:p w14:paraId="1E83197D" w14:textId="77777777" w:rsidR="002948DD" w:rsidRPr="00A52F41" w:rsidRDefault="002948DD" w:rsidP="00EA2E4C">
            <w:pPr>
              <w:tabs>
                <w:tab w:val="left" w:pos="1710"/>
              </w:tabs>
              <w:spacing w:after="0" w:line="360" w:lineRule="auto"/>
              <w:contextualSpacing/>
              <w:jc w:val="both"/>
              <w:rPr>
                <w:rFonts w:ascii="Arial" w:hAnsi="Arial" w:cs="Arial"/>
                <w:b/>
                <w:sz w:val="20"/>
                <w:szCs w:val="20"/>
              </w:rPr>
            </w:pPr>
            <w:r w:rsidRPr="00A52F41">
              <w:rPr>
                <w:rFonts w:ascii="Arial" w:hAnsi="Arial" w:cs="Arial"/>
                <w:b/>
                <w:sz w:val="20"/>
                <w:szCs w:val="20"/>
              </w:rPr>
              <w:t>PREDNOSTI</w:t>
            </w:r>
            <w:r w:rsidRPr="00A52F41">
              <w:rPr>
                <w:rFonts w:ascii="Arial" w:hAnsi="Arial" w:cs="Arial"/>
                <w:b/>
                <w:sz w:val="20"/>
                <w:szCs w:val="20"/>
              </w:rPr>
              <w:tab/>
            </w:r>
          </w:p>
        </w:tc>
        <w:tc>
          <w:tcPr>
            <w:tcW w:w="4777" w:type="dxa"/>
            <w:tcBorders>
              <w:bottom w:val="single" w:sz="4" w:space="0" w:color="000000" w:themeColor="text1"/>
            </w:tcBorders>
            <w:shd w:val="clear" w:color="auto" w:fill="92D050"/>
            <w:tcMar>
              <w:top w:w="55" w:type="dxa"/>
              <w:left w:w="55" w:type="dxa"/>
              <w:bottom w:w="55" w:type="dxa"/>
              <w:right w:w="55" w:type="dxa"/>
            </w:tcMar>
            <w:vAlign w:val="bottom"/>
          </w:tcPr>
          <w:p w14:paraId="26758337" w14:textId="77777777" w:rsidR="002948DD" w:rsidRPr="00A52F41" w:rsidRDefault="002948DD" w:rsidP="00EA2E4C">
            <w:pPr>
              <w:spacing w:after="0" w:line="360" w:lineRule="auto"/>
              <w:contextualSpacing/>
              <w:jc w:val="both"/>
              <w:rPr>
                <w:rFonts w:ascii="Arial" w:hAnsi="Arial" w:cs="Arial"/>
                <w:b/>
                <w:sz w:val="20"/>
                <w:szCs w:val="20"/>
              </w:rPr>
            </w:pPr>
            <w:r w:rsidRPr="00A52F41">
              <w:rPr>
                <w:rFonts w:ascii="Arial" w:hAnsi="Arial" w:cs="Arial"/>
                <w:b/>
                <w:sz w:val="20"/>
                <w:szCs w:val="20"/>
              </w:rPr>
              <w:t>SLABOSTI</w:t>
            </w:r>
          </w:p>
        </w:tc>
      </w:tr>
      <w:tr w:rsidR="002948DD" w:rsidRPr="00A52F41" w14:paraId="4ED304D7" w14:textId="77777777" w:rsidTr="00C0502F">
        <w:tc>
          <w:tcPr>
            <w:tcW w:w="4776" w:type="dxa"/>
            <w:tcBorders>
              <w:bottom w:val="single" w:sz="4" w:space="0" w:color="000000" w:themeColor="text1"/>
            </w:tcBorders>
            <w:shd w:val="clear" w:color="auto" w:fill="auto"/>
            <w:tcMar>
              <w:top w:w="55" w:type="dxa"/>
              <w:left w:w="55" w:type="dxa"/>
              <w:bottom w:w="55" w:type="dxa"/>
              <w:right w:w="55" w:type="dxa"/>
            </w:tcMar>
          </w:tcPr>
          <w:p w14:paraId="3F5AF817"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dolgoletne izkušnje z izvajanjem programov celovitega razvoja podeželja in aktivnim vključevanjem lokalnih skupnosti in prebivalstva v razvojno načrtovanje (obstoječi LAS, vodilni partnerji idr.);</w:t>
            </w:r>
          </w:p>
          <w:p w14:paraId="1FEC5536"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pristop LEADER/CLLD lahko omogoča izvedbo celovitih, kompleksnih, inovativnih projektov preko različnih virov financiranja (obstoječi izvedeni projekti s široko vsebino: turizem, obnova in razvoj vasi, kulturna dediščina, kmetijstvo, družba, sociala, izobraževanje, varovanje okolja,…);</w:t>
            </w:r>
          </w:p>
          <w:p w14:paraId="488DBDB3"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obstoječi inovativni projekti (v okviru pristopa LEADER, drugih ukrepov PRP);</w:t>
            </w:r>
          </w:p>
          <w:p w14:paraId="00B36801"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pokritost celotnega območja Slovenije z lokalnimi akcijskimi skupinami;</w:t>
            </w:r>
          </w:p>
          <w:p w14:paraId="7DA99805"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veliko zanimanje lokalnih razvojnih iniciativ in prebivalstva za izvajanje projektov po pristopu »od spodaj navzgor«;</w:t>
            </w:r>
          </w:p>
          <w:p w14:paraId="6E39F7B8"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močan socialni kapital, ki odločilno vpliva na dinamiko razvoja na podeželju (izobraženi mladi, aktivni upokojenci, obstoječa društva, drugi akterji);</w:t>
            </w:r>
          </w:p>
          <w:p w14:paraId="40E1359F" w14:textId="77777777" w:rsidR="009E0216" w:rsidRPr="00A52F41" w:rsidRDefault="009E0216" w:rsidP="00A05198">
            <w:pPr>
              <w:numPr>
                <w:ilvl w:val="0"/>
                <w:numId w:val="28"/>
              </w:numPr>
              <w:spacing w:after="0" w:line="360" w:lineRule="auto"/>
              <w:jc w:val="both"/>
              <w:rPr>
                <w:rFonts w:ascii="Arial" w:hAnsi="Arial" w:cs="Arial"/>
                <w:color w:val="000000"/>
                <w:sz w:val="20"/>
                <w:szCs w:val="20"/>
              </w:rPr>
            </w:pPr>
            <w:r w:rsidRPr="00A52F41">
              <w:rPr>
                <w:rFonts w:ascii="Arial" w:hAnsi="Arial" w:cs="Arial"/>
                <w:color w:val="000000"/>
                <w:sz w:val="20"/>
                <w:szCs w:val="20"/>
              </w:rPr>
              <w:t>veliko število prostovoljnih organizacij in društev, kar prispeva k večji socialni vključenosti na podeželju;</w:t>
            </w:r>
          </w:p>
          <w:p w14:paraId="1AD2DE45"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obstoječa mreža medgeneracijskih centrov, povezovanje lokalnih prebivalcev (stičišča med starostniki in okoljem);</w:t>
            </w:r>
          </w:p>
          <w:p w14:paraId="26A5B7D0" w14:textId="77777777" w:rsidR="009E0216" w:rsidRPr="00A52F41" w:rsidRDefault="009E0216" w:rsidP="00A05198">
            <w:pPr>
              <w:numPr>
                <w:ilvl w:val="0"/>
                <w:numId w:val="28"/>
              </w:numPr>
              <w:spacing w:after="0" w:line="360" w:lineRule="auto"/>
              <w:jc w:val="both"/>
              <w:rPr>
                <w:rFonts w:ascii="Arial" w:hAnsi="Arial" w:cs="Arial"/>
                <w:color w:val="000000"/>
                <w:sz w:val="20"/>
                <w:szCs w:val="20"/>
              </w:rPr>
            </w:pPr>
            <w:r w:rsidRPr="00A52F41">
              <w:rPr>
                <w:rFonts w:ascii="Arial" w:hAnsi="Arial" w:cs="Arial"/>
                <w:color w:val="000000"/>
                <w:sz w:val="20"/>
                <w:szCs w:val="20"/>
              </w:rPr>
              <w:t>izobrazbena struktura prebivalcev se izboljšuje</w:t>
            </w:r>
          </w:p>
          <w:p w14:paraId="3E8969A0" w14:textId="77777777" w:rsidR="009E0216" w:rsidRPr="00A52F41" w:rsidRDefault="009E0216" w:rsidP="00A05198">
            <w:pPr>
              <w:numPr>
                <w:ilvl w:val="0"/>
                <w:numId w:val="28"/>
              </w:numPr>
              <w:spacing w:after="0" w:line="360" w:lineRule="auto"/>
              <w:jc w:val="both"/>
              <w:rPr>
                <w:rFonts w:ascii="Arial" w:hAnsi="Arial" w:cs="Arial"/>
                <w:color w:val="000000"/>
                <w:sz w:val="20"/>
                <w:szCs w:val="20"/>
              </w:rPr>
            </w:pPr>
            <w:r w:rsidRPr="00A52F41">
              <w:rPr>
                <w:rFonts w:ascii="Arial" w:hAnsi="Arial" w:cs="Arial"/>
                <w:color w:val="000000"/>
                <w:sz w:val="20"/>
                <w:szCs w:val="20"/>
              </w:rPr>
              <w:t>veliko število projektov sodelovanja lokalnih akcijskih skupin;</w:t>
            </w:r>
          </w:p>
          <w:p w14:paraId="38A5E868" w14:textId="77777777" w:rsidR="009E0216" w:rsidRPr="00A52F41" w:rsidRDefault="009E0216" w:rsidP="00A05198">
            <w:pPr>
              <w:numPr>
                <w:ilvl w:val="0"/>
                <w:numId w:val="28"/>
              </w:numPr>
              <w:spacing w:after="0" w:line="360" w:lineRule="auto"/>
              <w:jc w:val="both"/>
              <w:rPr>
                <w:rFonts w:ascii="Arial" w:hAnsi="Arial" w:cs="Arial"/>
                <w:color w:val="000000"/>
                <w:sz w:val="20"/>
                <w:szCs w:val="20"/>
              </w:rPr>
            </w:pPr>
            <w:r w:rsidRPr="00A52F41">
              <w:rPr>
                <w:rFonts w:ascii="Arial" w:hAnsi="Arial" w:cs="Arial"/>
                <w:color w:val="000000"/>
                <w:sz w:val="20"/>
                <w:szCs w:val="20"/>
              </w:rPr>
              <w:t>podeželje je privlačno z vidika kvalitete bivanja zaradi bližine narave, varnosti, miru.</w:t>
            </w:r>
          </w:p>
          <w:p w14:paraId="4FD1A9FC" w14:textId="77777777" w:rsidR="002948DD" w:rsidRPr="00A52F41" w:rsidRDefault="002948DD" w:rsidP="00EA2E4C">
            <w:pPr>
              <w:suppressLineNumbers/>
              <w:suppressAutoHyphens/>
              <w:autoSpaceDN w:val="0"/>
              <w:spacing w:after="0" w:line="360" w:lineRule="auto"/>
              <w:ind w:left="720"/>
              <w:jc w:val="both"/>
              <w:textAlignment w:val="baseline"/>
              <w:rPr>
                <w:rFonts w:ascii="Arial" w:eastAsia="SimSun" w:hAnsi="Arial" w:cs="Arial"/>
                <w:kern w:val="3"/>
                <w:sz w:val="20"/>
                <w:szCs w:val="20"/>
                <w:lang w:eastAsia="zh-CN" w:bidi="hi-IN"/>
              </w:rPr>
            </w:pPr>
          </w:p>
          <w:p w14:paraId="3972F7F9" w14:textId="77777777" w:rsidR="002948DD" w:rsidRPr="00A52F41" w:rsidRDefault="002948DD" w:rsidP="00EA2E4C">
            <w:pPr>
              <w:suppressLineNumbers/>
              <w:suppressAutoHyphens/>
              <w:autoSpaceDN w:val="0"/>
              <w:spacing w:after="0" w:line="360" w:lineRule="auto"/>
              <w:jc w:val="both"/>
              <w:textAlignment w:val="baseline"/>
              <w:rPr>
                <w:rFonts w:ascii="Arial" w:eastAsia="SimSun" w:hAnsi="Arial" w:cs="Arial"/>
                <w:kern w:val="3"/>
                <w:sz w:val="20"/>
                <w:szCs w:val="20"/>
                <w:lang w:eastAsia="zh-CN" w:bidi="hi-IN"/>
              </w:rPr>
            </w:pPr>
          </w:p>
        </w:tc>
        <w:tc>
          <w:tcPr>
            <w:tcW w:w="4777" w:type="dxa"/>
            <w:tcBorders>
              <w:bottom w:val="single" w:sz="4" w:space="0" w:color="000000" w:themeColor="text1"/>
            </w:tcBorders>
            <w:shd w:val="clear" w:color="auto" w:fill="auto"/>
            <w:tcMar>
              <w:top w:w="55" w:type="dxa"/>
              <w:left w:w="55" w:type="dxa"/>
              <w:bottom w:w="55" w:type="dxa"/>
              <w:right w:w="55" w:type="dxa"/>
            </w:tcMar>
          </w:tcPr>
          <w:p w14:paraId="0A9FD39E" w14:textId="77777777" w:rsidR="009E0216" w:rsidRPr="00A52F41" w:rsidRDefault="009E0216" w:rsidP="00A05198">
            <w:pPr>
              <w:numPr>
                <w:ilvl w:val="0"/>
                <w:numId w:val="2"/>
              </w:numPr>
              <w:spacing w:after="0" w:line="360" w:lineRule="auto"/>
              <w:ind w:left="327" w:hanging="283"/>
              <w:jc w:val="both"/>
              <w:rPr>
                <w:rFonts w:ascii="Arial" w:hAnsi="Arial" w:cs="Arial"/>
                <w:sz w:val="20"/>
                <w:szCs w:val="20"/>
              </w:rPr>
            </w:pPr>
            <w:r w:rsidRPr="00A52F41">
              <w:rPr>
                <w:rFonts w:ascii="Arial" w:hAnsi="Arial" w:cs="Arial"/>
                <w:sz w:val="20"/>
                <w:szCs w:val="20"/>
              </w:rPr>
              <w:lastRenderedPageBreak/>
              <w:t>strukturne težave podeželja, ki se razlikujejo po regijah: staranje prebivalstva, povečevanje koeficienta starostne odvisnosti mladih in starih, negativni naravni prirast;</w:t>
            </w:r>
          </w:p>
          <w:p w14:paraId="308604CE" w14:textId="77777777" w:rsidR="009E0216" w:rsidRPr="00A52F41" w:rsidRDefault="009E0216" w:rsidP="00A05198">
            <w:pPr>
              <w:numPr>
                <w:ilvl w:val="0"/>
                <w:numId w:val="2"/>
              </w:numPr>
              <w:spacing w:after="0" w:line="360" w:lineRule="auto"/>
              <w:ind w:left="327" w:hanging="283"/>
              <w:jc w:val="both"/>
              <w:rPr>
                <w:rFonts w:ascii="Arial" w:hAnsi="Arial" w:cs="Arial"/>
                <w:sz w:val="20"/>
                <w:szCs w:val="20"/>
              </w:rPr>
            </w:pPr>
            <w:r w:rsidRPr="00A52F41">
              <w:rPr>
                <w:rFonts w:ascii="Arial" w:hAnsi="Arial" w:cs="Arial"/>
                <w:sz w:val="20"/>
                <w:szCs w:val="20"/>
              </w:rPr>
              <w:t>odseljevanje mladih in delovno aktivnih prebivalcev, ki so bolj izobraženi, velik delež dnevnih migracij izven kraja bivališča, pomanjkanje kvalitetnih delovnih mest na podeželju;</w:t>
            </w:r>
          </w:p>
          <w:p w14:paraId="2073135A" w14:textId="77777777" w:rsidR="009E0216" w:rsidRPr="00A52F41" w:rsidRDefault="009E0216" w:rsidP="00A05198">
            <w:pPr>
              <w:numPr>
                <w:ilvl w:val="0"/>
                <w:numId w:val="2"/>
              </w:numPr>
              <w:spacing w:after="0" w:line="360" w:lineRule="auto"/>
              <w:ind w:left="327" w:hanging="283"/>
              <w:jc w:val="both"/>
              <w:rPr>
                <w:rFonts w:ascii="Arial" w:hAnsi="Arial" w:cs="Arial"/>
                <w:sz w:val="20"/>
                <w:szCs w:val="20"/>
              </w:rPr>
            </w:pPr>
            <w:r w:rsidRPr="00A52F41">
              <w:rPr>
                <w:rFonts w:ascii="Arial" w:hAnsi="Arial" w:cs="Arial"/>
                <w:sz w:val="20"/>
                <w:szCs w:val="20"/>
              </w:rPr>
              <w:t>strukturne težave obmejnih območij in območij brez dobrih prometnih povezav ter praznjenje teh območij;</w:t>
            </w:r>
          </w:p>
          <w:p w14:paraId="79BA263A" w14:textId="77777777" w:rsidR="009E0216" w:rsidRPr="00A52F41" w:rsidRDefault="009E0216" w:rsidP="00A05198">
            <w:pPr>
              <w:numPr>
                <w:ilvl w:val="0"/>
                <w:numId w:val="2"/>
              </w:numPr>
              <w:spacing w:after="0" w:line="360" w:lineRule="auto"/>
              <w:ind w:left="327" w:hanging="283"/>
              <w:jc w:val="both"/>
              <w:rPr>
                <w:rFonts w:ascii="Arial" w:hAnsi="Arial" w:cs="Arial"/>
                <w:sz w:val="20"/>
                <w:szCs w:val="20"/>
              </w:rPr>
            </w:pPr>
            <w:r w:rsidRPr="00A52F41">
              <w:rPr>
                <w:rFonts w:ascii="Arial" w:hAnsi="Arial" w:cs="Arial"/>
                <w:sz w:val="20"/>
                <w:szCs w:val="20"/>
              </w:rPr>
              <w:t>neenakomerna opremljenost naselij z omrežjem storitev ter javno infrastrukturo glede na regije,</w:t>
            </w:r>
          </w:p>
          <w:p w14:paraId="75598AA9" w14:textId="77777777" w:rsidR="009E0216" w:rsidRPr="00A52F41" w:rsidRDefault="009E0216" w:rsidP="00A05198">
            <w:pPr>
              <w:numPr>
                <w:ilvl w:val="0"/>
                <w:numId w:val="2"/>
              </w:numPr>
              <w:spacing w:after="0" w:line="360" w:lineRule="auto"/>
              <w:ind w:left="327" w:hanging="283"/>
              <w:jc w:val="both"/>
              <w:rPr>
                <w:rFonts w:ascii="Arial" w:hAnsi="Arial" w:cs="Arial"/>
                <w:sz w:val="20"/>
                <w:szCs w:val="20"/>
              </w:rPr>
            </w:pPr>
            <w:r w:rsidRPr="00A52F41">
              <w:rPr>
                <w:rFonts w:ascii="Arial" w:hAnsi="Arial" w:cs="Arial"/>
                <w:sz w:val="20"/>
                <w:szCs w:val="20"/>
              </w:rPr>
              <w:t>visoka stopnja tveganja revščine in socialne izključenosti določenih ranljivih skupin prebivalcev in medregionalne razlike;</w:t>
            </w:r>
          </w:p>
          <w:p w14:paraId="07295E86" w14:textId="77777777" w:rsidR="009E0216" w:rsidRPr="00A52F41" w:rsidRDefault="009E0216" w:rsidP="00A05198">
            <w:pPr>
              <w:numPr>
                <w:ilvl w:val="0"/>
                <w:numId w:val="2"/>
              </w:numPr>
              <w:spacing w:after="0" w:line="360" w:lineRule="auto"/>
              <w:ind w:left="327" w:hanging="283"/>
              <w:jc w:val="both"/>
              <w:rPr>
                <w:rFonts w:ascii="Arial" w:hAnsi="Arial" w:cs="Arial"/>
                <w:sz w:val="20"/>
                <w:szCs w:val="20"/>
              </w:rPr>
            </w:pPr>
            <w:r w:rsidRPr="00A52F41">
              <w:rPr>
                <w:rFonts w:ascii="Arial" w:hAnsi="Arial" w:cs="Arial"/>
                <w:sz w:val="20"/>
                <w:szCs w:val="20"/>
              </w:rPr>
              <w:t xml:space="preserve">slabšanje socialnega položaja nekaterih skupin, dodatno po razglasitvi epidemije COVID-19 </w:t>
            </w:r>
          </w:p>
          <w:p w14:paraId="591BE829" w14:textId="77777777" w:rsidR="009E0216" w:rsidRPr="00A52F41" w:rsidRDefault="009E0216" w:rsidP="00A05198">
            <w:pPr>
              <w:numPr>
                <w:ilvl w:val="0"/>
                <w:numId w:val="2"/>
              </w:numPr>
              <w:spacing w:after="0" w:line="360" w:lineRule="auto"/>
              <w:ind w:left="327" w:hanging="283"/>
              <w:jc w:val="both"/>
              <w:rPr>
                <w:rFonts w:ascii="Arial" w:hAnsi="Arial" w:cs="Arial"/>
                <w:sz w:val="20"/>
                <w:szCs w:val="20"/>
              </w:rPr>
            </w:pPr>
            <w:r w:rsidRPr="00A52F41">
              <w:rPr>
                <w:rFonts w:ascii="Arial" w:eastAsia="Arial" w:hAnsi="Arial" w:cs="Arial"/>
                <w:color w:val="000000"/>
                <w:sz w:val="20"/>
                <w:szCs w:val="20"/>
              </w:rPr>
              <w:t>velika razvojna ogroženost nekaterih regij (v povprečju večja v regijah vzhodne Slovenije);</w:t>
            </w:r>
          </w:p>
          <w:p w14:paraId="1EA6508D" w14:textId="77777777" w:rsidR="009E0216" w:rsidRPr="00A52F41" w:rsidRDefault="009E0216" w:rsidP="00A05198">
            <w:pPr>
              <w:numPr>
                <w:ilvl w:val="0"/>
                <w:numId w:val="2"/>
              </w:numPr>
              <w:spacing w:after="0" w:line="360" w:lineRule="auto"/>
              <w:ind w:left="327" w:hanging="283"/>
              <w:jc w:val="both"/>
              <w:rPr>
                <w:rFonts w:ascii="Arial" w:eastAsia="Arial" w:hAnsi="Arial" w:cs="Arial"/>
                <w:color w:val="000000"/>
                <w:sz w:val="20"/>
                <w:szCs w:val="20"/>
              </w:rPr>
            </w:pPr>
            <w:r w:rsidRPr="00A52F41">
              <w:rPr>
                <w:rFonts w:ascii="Arial" w:eastAsia="Arial" w:hAnsi="Arial" w:cs="Arial"/>
                <w:color w:val="000000"/>
                <w:sz w:val="20"/>
                <w:szCs w:val="20"/>
              </w:rPr>
              <w:t>vključevanje v vseživljenjsko izobraževanje se ne povečuje;</w:t>
            </w:r>
          </w:p>
          <w:p w14:paraId="6D6CFB06" w14:textId="77777777" w:rsidR="009E0216" w:rsidRPr="00A52F41" w:rsidRDefault="009E0216" w:rsidP="00A05198">
            <w:pPr>
              <w:numPr>
                <w:ilvl w:val="0"/>
                <w:numId w:val="2"/>
              </w:numPr>
              <w:spacing w:after="0" w:line="360" w:lineRule="auto"/>
              <w:ind w:left="327" w:hanging="283"/>
              <w:jc w:val="both"/>
              <w:rPr>
                <w:rFonts w:ascii="Arial" w:hAnsi="Arial" w:cs="Arial"/>
                <w:sz w:val="20"/>
                <w:szCs w:val="20"/>
              </w:rPr>
            </w:pPr>
            <w:r w:rsidRPr="00A52F41">
              <w:rPr>
                <w:rFonts w:ascii="Arial" w:hAnsi="Arial" w:cs="Arial"/>
                <w:sz w:val="20"/>
                <w:szCs w:val="20"/>
              </w:rPr>
              <w:t>pomanjkanje sodobnih aktivnosti in za starostnike;</w:t>
            </w:r>
          </w:p>
          <w:p w14:paraId="08E7122A" w14:textId="77777777" w:rsidR="009E0216" w:rsidRPr="00A52F41" w:rsidRDefault="009E0216" w:rsidP="00A05198">
            <w:pPr>
              <w:numPr>
                <w:ilvl w:val="0"/>
                <w:numId w:val="2"/>
              </w:numPr>
              <w:spacing w:after="0" w:line="360" w:lineRule="auto"/>
              <w:ind w:left="327" w:hanging="283"/>
              <w:jc w:val="both"/>
              <w:rPr>
                <w:rFonts w:ascii="Arial" w:hAnsi="Arial" w:cs="Arial"/>
                <w:sz w:val="20"/>
                <w:szCs w:val="20"/>
              </w:rPr>
            </w:pPr>
            <w:r w:rsidRPr="00A52F41">
              <w:rPr>
                <w:rFonts w:ascii="Arial" w:hAnsi="Arial" w:cs="Arial"/>
                <w:sz w:val="20"/>
                <w:szCs w:val="20"/>
              </w:rPr>
              <w:t>manjši interes za projekte, ki zasledujejo inovativne rešitve s področja varovanja okolja ter cilje reševanja težav socialne izključenosti ranljivih skupin (kot so brezposelnost med ženskami in drugimi ranljivimi družbenimi skupinami);</w:t>
            </w:r>
          </w:p>
          <w:p w14:paraId="23B087D6" w14:textId="77777777" w:rsidR="009E0216" w:rsidRPr="00A52F41" w:rsidRDefault="009E0216" w:rsidP="00A05198">
            <w:pPr>
              <w:numPr>
                <w:ilvl w:val="0"/>
                <w:numId w:val="2"/>
              </w:numPr>
              <w:spacing w:after="0" w:line="360" w:lineRule="auto"/>
              <w:ind w:left="327" w:hanging="283"/>
              <w:jc w:val="both"/>
              <w:rPr>
                <w:rFonts w:ascii="Arial" w:hAnsi="Arial" w:cs="Arial"/>
                <w:sz w:val="20"/>
                <w:szCs w:val="20"/>
              </w:rPr>
            </w:pPr>
            <w:r w:rsidRPr="00A52F41">
              <w:rPr>
                <w:rFonts w:ascii="Arial" w:hAnsi="Arial" w:cs="Arial"/>
                <w:sz w:val="20"/>
                <w:szCs w:val="20"/>
              </w:rPr>
              <w:t>slaba prepoznavnost učinkov, rezultatov projektov LEADER/CLLD;</w:t>
            </w:r>
          </w:p>
          <w:p w14:paraId="4657E785" w14:textId="77777777" w:rsidR="009E0216" w:rsidRPr="00A52F41" w:rsidRDefault="009E0216" w:rsidP="00A05198">
            <w:pPr>
              <w:numPr>
                <w:ilvl w:val="0"/>
                <w:numId w:val="2"/>
              </w:numPr>
              <w:spacing w:after="0" w:line="360" w:lineRule="auto"/>
              <w:ind w:left="327" w:hanging="283"/>
              <w:jc w:val="both"/>
              <w:rPr>
                <w:rFonts w:ascii="Arial" w:hAnsi="Arial" w:cs="Arial"/>
                <w:sz w:val="20"/>
                <w:szCs w:val="20"/>
              </w:rPr>
            </w:pPr>
            <w:r w:rsidRPr="00A52F41">
              <w:rPr>
                <w:rFonts w:ascii="Arial" w:hAnsi="Arial" w:cs="Arial"/>
                <w:sz w:val="20"/>
                <w:szCs w:val="20"/>
              </w:rPr>
              <w:t>ogroženost kulturne dediščine na podeželju;</w:t>
            </w:r>
          </w:p>
          <w:p w14:paraId="3559BDCC" w14:textId="77777777" w:rsidR="002948DD" w:rsidRPr="00A52F41" w:rsidRDefault="009E0216" w:rsidP="00A05198">
            <w:pPr>
              <w:numPr>
                <w:ilvl w:val="0"/>
                <w:numId w:val="2"/>
              </w:numPr>
              <w:suppressAutoHyphens/>
              <w:autoSpaceDN w:val="0"/>
              <w:spacing w:before="120" w:after="0" w:line="360" w:lineRule="auto"/>
              <w:ind w:left="327" w:hanging="283"/>
              <w:contextualSpacing/>
              <w:jc w:val="both"/>
              <w:textAlignment w:val="baseline"/>
              <w:rPr>
                <w:rFonts w:ascii="Arial" w:eastAsia="Times New Roman" w:hAnsi="Arial" w:cs="Arial"/>
                <w:color w:val="000000" w:themeColor="text1"/>
                <w:sz w:val="20"/>
                <w:szCs w:val="20"/>
                <w:lang w:eastAsia="en-GB"/>
              </w:rPr>
            </w:pPr>
            <w:r w:rsidRPr="00A52F41">
              <w:rPr>
                <w:rFonts w:ascii="Arial" w:hAnsi="Arial" w:cs="Arial"/>
                <w:sz w:val="20"/>
                <w:szCs w:val="20"/>
              </w:rPr>
              <w:lastRenderedPageBreak/>
              <w:t>neizvajanje ukrepov za obnovo vasi in kulturne dediščine v programskem obdobju 2014–2020.</w:t>
            </w:r>
          </w:p>
        </w:tc>
      </w:tr>
      <w:tr w:rsidR="002948DD" w:rsidRPr="00A52F41" w14:paraId="2BDC20C1" w14:textId="77777777" w:rsidTr="00C0502F">
        <w:tc>
          <w:tcPr>
            <w:tcW w:w="4776" w:type="dxa"/>
            <w:tcBorders>
              <w:bottom w:val="single" w:sz="4" w:space="0" w:color="000000" w:themeColor="text1"/>
            </w:tcBorders>
            <w:shd w:val="clear" w:color="auto" w:fill="92D050"/>
            <w:tcMar>
              <w:top w:w="55" w:type="dxa"/>
              <w:left w:w="55" w:type="dxa"/>
              <w:bottom w:w="55" w:type="dxa"/>
              <w:right w:w="55" w:type="dxa"/>
            </w:tcMar>
          </w:tcPr>
          <w:p w14:paraId="106D7BC2" w14:textId="77777777" w:rsidR="002948DD" w:rsidRPr="00A52F41" w:rsidRDefault="002948DD" w:rsidP="00EA2E4C">
            <w:pPr>
              <w:spacing w:after="0" w:line="360" w:lineRule="auto"/>
              <w:contextualSpacing/>
              <w:jc w:val="both"/>
              <w:rPr>
                <w:rFonts w:ascii="Arial" w:hAnsi="Arial" w:cs="Arial"/>
                <w:b/>
                <w:color w:val="000000" w:themeColor="text1"/>
                <w:sz w:val="20"/>
                <w:szCs w:val="20"/>
              </w:rPr>
            </w:pPr>
            <w:r w:rsidRPr="00A52F41">
              <w:rPr>
                <w:rFonts w:ascii="Arial" w:hAnsi="Arial" w:cs="Arial"/>
                <w:b/>
                <w:color w:val="000000" w:themeColor="text1"/>
                <w:sz w:val="20"/>
                <w:szCs w:val="20"/>
              </w:rPr>
              <w:lastRenderedPageBreak/>
              <w:t>PRILOŽNOSTI</w:t>
            </w:r>
          </w:p>
        </w:tc>
        <w:tc>
          <w:tcPr>
            <w:tcW w:w="4777" w:type="dxa"/>
            <w:tcBorders>
              <w:bottom w:val="single" w:sz="4" w:space="0" w:color="000000" w:themeColor="text1"/>
            </w:tcBorders>
            <w:shd w:val="clear" w:color="auto" w:fill="92D050"/>
            <w:tcMar>
              <w:top w:w="55" w:type="dxa"/>
              <w:left w:w="55" w:type="dxa"/>
              <w:bottom w:w="55" w:type="dxa"/>
              <w:right w:w="55" w:type="dxa"/>
            </w:tcMar>
          </w:tcPr>
          <w:p w14:paraId="5331782C" w14:textId="77777777" w:rsidR="002948DD" w:rsidRPr="00A52F41" w:rsidRDefault="002948DD" w:rsidP="00EA2E4C">
            <w:pPr>
              <w:spacing w:after="0" w:line="360" w:lineRule="auto"/>
              <w:contextualSpacing/>
              <w:jc w:val="both"/>
              <w:rPr>
                <w:rFonts w:ascii="Arial" w:hAnsi="Arial" w:cs="Arial"/>
                <w:b/>
                <w:color w:val="000000" w:themeColor="text1"/>
                <w:sz w:val="20"/>
                <w:szCs w:val="20"/>
              </w:rPr>
            </w:pPr>
            <w:r w:rsidRPr="00A52F41">
              <w:rPr>
                <w:rFonts w:ascii="Arial" w:hAnsi="Arial" w:cs="Arial"/>
                <w:b/>
                <w:color w:val="000000" w:themeColor="text1"/>
                <w:sz w:val="20"/>
                <w:szCs w:val="20"/>
              </w:rPr>
              <w:t>NEVARNOSTI</w:t>
            </w:r>
          </w:p>
        </w:tc>
      </w:tr>
      <w:tr w:rsidR="002948DD" w:rsidRPr="00A52F41" w14:paraId="4AC039F4" w14:textId="77777777" w:rsidTr="00C0502F">
        <w:tc>
          <w:tcPr>
            <w:tcW w:w="4776" w:type="dxa"/>
            <w:shd w:val="clear" w:color="auto" w:fill="auto"/>
            <w:tcMar>
              <w:top w:w="55" w:type="dxa"/>
              <w:left w:w="55" w:type="dxa"/>
              <w:bottom w:w="55" w:type="dxa"/>
              <w:right w:w="55" w:type="dxa"/>
            </w:tcMar>
          </w:tcPr>
          <w:p w14:paraId="36E14DC0"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sidDel="003B3B7F">
              <w:rPr>
                <w:rFonts w:ascii="Arial" w:hAnsi="Arial" w:cs="Arial"/>
                <w:sz w:val="20"/>
                <w:szCs w:val="20"/>
              </w:rPr>
              <w:t>dolgoročen sistemski in medsektorski pristop</w:t>
            </w:r>
            <w:r w:rsidRPr="00A52F41">
              <w:rPr>
                <w:rFonts w:ascii="Arial" w:hAnsi="Arial" w:cs="Arial"/>
                <w:sz w:val="20"/>
                <w:szCs w:val="20"/>
              </w:rPr>
              <w:t xml:space="preserve"> k</w:t>
            </w:r>
            <w:r w:rsidRPr="00A52F41" w:rsidDel="003B3B7F">
              <w:rPr>
                <w:rFonts w:ascii="Arial" w:hAnsi="Arial" w:cs="Arial"/>
                <w:sz w:val="20"/>
                <w:szCs w:val="20"/>
              </w:rPr>
              <w:t xml:space="preserve"> reševanj</w:t>
            </w:r>
            <w:r w:rsidRPr="00A52F41">
              <w:rPr>
                <w:rFonts w:ascii="Arial" w:hAnsi="Arial" w:cs="Arial"/>
                <w:sz w:val="20"/>
                <w:szCs w:val="20"/>
              </w:rPr>
              <w:t>u</w:t>
            </w:r>
            <w:r w:rsidRPr="00A52F41" w:rsidDel="003B3B7F">
              <w:rPr>
                <w:rFonts w:ascii="Arial" w:hAnsi="Arial" w:cs="Arial"/>
                <w:sz w:val="20"/>
                <w:szCs w:val="20"/>
              </w:rPr>
              <w:t xml:space="preserve"> strukturnih težav na podeželju</w:t>
            </w:r>
            <w:r w:rsidRPr="00A52F41">
              <w:rPr>
                <w:rFonts w:ascii="Arial" w:hAnsi="Arial" w:cs="Arial"/>
                <w:sz w:val="20"/>
                <w:szCs w:val="20"/>
              </w:rPr>
              <w:t>;</w:t>
            </w:r>
          </w:p>
          <w:p w14:paraId="7C709D15"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sodelovanje podeželskega in mestnega območja na različnih področjih v okviru projektov;</w:t>
            </w:r>
          </w:p>
          <w:p w14:paraId="074722C6"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izboljšanje dostopa do informacijsko–</w:t>
            </w:r>
          </w:p>
          <w:p w14:paraId="4F0DA805" w14:textId="77777777" w:rsidR="009E0216" w:rsidRPr="00A52F41" w:rsidRDefault="009E0216" w:rsidP="00EA2E4C">
            <w:pPr>
              <w:spacing w:line="360" w:lineRule="auto"/>
              <w:ind w:left="360"/>
              <w:jc w:val="both"/>
              <w:rPr>
                <w:rFonts w:ascii="Arial" w:hAnsi="Arial" w:cs="Arial"/>
                <w:sz w:val="20"/>
                <w:szCs w:val="20"/>
              </w:rPr>
            </w:pPr>
            <w:r w:rsidRPr="00A52F41">
              <w:rPr>
                <w:rFonts w:ascii="Arial" w:hAnsi="Arial" w:cs="Arial"/>
                <w:sz w:val="20"/>
                <w:szCs w:val="20"/>
              </w:rPr>
              <w:t>komunikacijskih tehnologij ter povečanje njihove uporabe in kakovosti lahko pozitivno vpliva na gospodarsko aktivnost, privabljanje investicij, nova delovna mesta in demografsko strukturo;</w:t>
            </w:r>
          </w:p>
          <w:p w14:paraId="59F3BA75" w14:textId="77777777" w:rsidR="009E0216" w:rsidRPr="00A52F41" w:rsidRDefault="009E0216" w:rsidP="00EA2E4C">
            <w:pPr>
              <w:spacing w:line="360" w:lineRule="auto"/>
              <w:ind w:left="360"/>
              <w:jc w:val="both"/>
              <w:rPr>
                <w:rFonts w:ascii="Arial" w:hAnsi="Arial" w:cs="Arial"/>
                <w:sz w:val="20"/>
                <w:szCs w:val="20"/>
              </w:rPr>
            </w:pPr>
            <w:r w:rsidRPr="00A52F41">
              <w:rPr>
                <w:rFonts w:ascii="Arial" w:hAnsi="Arial" w:cs="Arial"/>
                <w:sz w:val="20"/>
                <w:szCs w:val="20"/>
              </w:rPr>
              <w:t>aktivnejše sodelovanje javnih in zasebnih akterjev pri zasledovanju ciljev razvojnih strateških dokumentov na lokalni ravni;</w:t>
            </w:r>
          </w:p>
          <w:p w14:paraId="7644F0E5"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dodatni razvoj osnovnih storitev (npr. varstvo otrok, izobraževanje, medgeneracijske povezave, mobilnost,…), predvsem za mlade in starejše prebivalce ter različne ranljive skupine;</w:t>
            </w:r>
          </w:p>
          <w:p w14:paraId="4DDA6B97"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razvoj podeželja v skladu s konceptoma pametnih vasi in krožnega gospodarstva (digitalne tehnologije, digitalne platforme, ki nudijo ključne storitve, kot so e–učenje, e–uprava, transport, socialne storitve, turizem na podeželju, kratke verige vrednosti, kaskadna raba surovin socialne inovacije v podeželskih storitvah in podjetništvu) omogoča ohranjenost poseljenosti podeželja in razvoja podjetništva na podeželju;</w:t>
            </w:r>
          </w:p>
          <w:p w14:paraId="4F5E56FF"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inovativne oblike aktiviranja starejših in staranja na domu, ponudba e- in drugih mobilnih storitev, prilagojenih potrebam starostnikov in ostalim lokalnim prebivalcem;</w:t>
            </w:r>
          </w:p>
          <w:p w14:paraId="713C57FD" w14:textId="77777777" w:rsidR="009E0216" w:rsidRPr="00A52F41" w:rsidRDefault="009E0216" w:rsidP="00A05198">
            <w:pPr>
              <w:pStyle w:val="Odstavekseznama"/>
              <w:numPr>
                <w:ilvl w:val="0"/>
                <w:numId w:val="28"/>
              </w:numPr>
              <w:spacing w:after="0" w:line="360" w:lineRule="auto"/>
              <w:contextualSpacing w:val="0"/>
              <w:jc w:val="both"/>
              <w:rPr>
                <w:rFonts w:ascii="Arial" w:hAnsi="Arial" w:cs="Arial"/>
                <w:sz w:val="20"/>
                <w:szCs w:val="20"/>
              </w:rPr>
            </w:pPr>
            <w:r w:rsidRPr="00A52F41">
              <w:rPr>
                <w:rFonts w:ascii="Arial" w:hAnsi="Arial" w:cs="Arial"/>
                <w:sz w:val="20"/>
                <w:szCs w:val="20"/>
              </w:rPr>
              <w:t>nove priložnosti vključenosti ranljivih skupin glede na potrebe lokalnega območja;</w:t>
            </w:r>
          </w:p>
          <w:p w14:paraId="33087F92"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nove oblike sodelovanja in izmenjave izkušenj,  primerov dobrih praks in znanj med deležniki razvoja;</w:t>
            </w:r>
          </w:p>
          <w:p w14:paraId="6812C4DA"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lastRenderedPageBreak/>
              <w:t>bogata kulturna in naravna dediščina, ki odraža življenje na podeželju in s tem možnost razvoja turizma;</w:t>
            </w:r>
          </w:p>
          <w:p w14:paraId="3316BD9B"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poenostavitve sistema CLLD;</w:t>
            </w:r>
          </w:p>
          <w:p w14:paraId="0A74B80E"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vključitev ESS v CLLD.</w:t>
            </w:r>
          </w:p>
          <w:p w14:paraId="3AC5B545" w14:textId="77777777" w:rsidR="002948DD" w:rsidRPr="00A52F41" w:rsidRDefault="002948DD" w:rsidP="00EA2E4C">
            <w:pPr>
              <w:suppressAutoHyphens/>
              <w:autoSpaceDN w:val="0"/>
              <w:spacing w:before="120" w:after="0" w:line="360" w:lineRule="auto"/>
              <w:ind w:left="720"/>
              <w:contextualSpacing/>
              <w:jc w:val="both"/>
              <w:textAlignment w:val="baseline"/>
              <w:rPr>
                <w:rFonts w:ascii="Arial" w:eastAsia="Times New Roman" w:hAnsi="Arial" w:cs="Arial"/>
                <w:color w:val="000000" w:themeColor="text1"/>
                <w:sz w:val="20"/>
                <w:szCs w:val="20"/>
                <w:lang w:eastAsia="en-GB"/>
              </w:rPr>
            </w:pPr>
          </w:p>
        </w:tc>
        <w:tc>
          <w:tcPr>
            <w:tcW w:w="4777" w:type="dxa"/>
            <w:shd w:val="clear" w:color="auto" w:fill="auto"/>
            <w:tcMar>
              <w:top w:w="55" w:type="dxa"/>
              <w:left w:w="55" w:type="dxa"/>
              <w:bottom w:w="55" w:type="dxa"/>
              <w:right w:w="55" w:type="dxa"/>
            </w:tcMar>
          </w:tcPr>
          <w:p w14:paraId="4DC7FD25"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lastRenderedPageBreak/>
              <w:t>nezadostna usklajenost različnih razvojnih strategij in programov na nacionalni in lokalni ravni;</w:t>
            </w:r>
          </w:p>
          <w:p w14:paraId="0C474F8F"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nesistemsko urejena podpora območjem s strukturnimi težavami (problemska, obmejna območja…);</w:t>
            </w:r>
          </w:p>
          <w:p w14:paraId="26C3CFA2"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demografske spremembe zmanjšujejo ponudbo delovne sile;</w:t>
            </w:r>
          </w:p>
          <w:p w14:paraId="4101338C"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nadaljnja praznjenja podeželja, degradacija kulturne krajine, slabšanje gospodarske slike in negativnih socialnih trendov;</w:t>
            </w:r>
          </w:p>
          <w:p w14:paraId="66235674" w14:textId="23A7AD90"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nevarnost nadaljnjega propadanja dediščine podeželja</w:t>
            </w:r>
            <w:r w:rsidR="003E4A64">
              <w:rPr>
                <w:rFonts w:ascii="Arial" w:hAnsi="Arial" w:cs="Arial"/>
                <w:sz w:val="20"/>
                <w:szCs w:val="20"/>
              </w:rPr>
              <w:t xml:space="preserve"> (vaška jedra, objekti, običaji, ipd.)</w:t>
            </w:r>
            <w:r w:rsidRPr="00A52F41">
              <w:rPr>
                <w:rFonts w:ascii="Arial" w:hAnsi="Arial" w:cs="Arial"/>
                <w:sz w:val="20"/>
                <w:szCs w:val="20"/>
              </w:rPr>
              <w:t>;</w:t>
            </w:r>
          </w:p>
          <w:p w14:paraId="74B87CC0"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pri projektih sodelovanje se kaže pomanjkanje znanja in izkušenj za izvedbo celovitih in kompleksnejših projektov na podeželju s kombinacijo sredstev iz naslova različnih skladov preko različnih virov financiranja,</w:t>
            </w:r>
          </w:p>
          <w:p w14:paraId="6496BF12"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necelostno reševanje strukturnih težav na podeželju;</w:t>
            </w:r>
          </w:p>
          <w:p w14:paraId="062CEFFB" w14:textId="77777777" w:rsidR="009E0216" w:rsidRPr="00A52F41" w:rsidRDefault="009E0216" w:rsidP="00A05198">
            <w:pPr>
              <w:numPr>
                <w:ilvl w:val="0"/>
                <w:numId w:val="28"/>
              </w:numPr>
              <w:spacing w:after="0" w:line="360" w:lineRule="auto"/>
              <w:jc w:val="both"/>
              <w:rPr>
                <w:rFonts w:ascii="Arial" w:hAnsi="Arial" w:cs="Arial"/>
                <w:sz w:val="20"/>
                <w:szCs w:val="20"/>
              </w:rPr>
            </w:pPr>
            <w:r w:rsidRPr="00A52F41">
              <w:rPr>
                <w:rFonts w:ascii="Arial" w:hAnsi="Arial" w:cs="Arial"/>
                <w:sz w:val="20"/>
                <w:szCs w:val="20"/>
              </w:rPr>
              <w:t>netrajnost operacij (npr. obstoj delovnih mest po končanem projektu);</w:t>
            </w:r>
          </w:p>
          <w:p w14:paraId="04FF2CE1" w14:textId="77777777" w:rsidR="009E0216" w:rsidRPr="00A52F41" w:rsidRDefault="009E0216" w:rsidP="00A05198">
            <w:pPr>
              <w:numPr>
                <w:ilvl w:val="0"/>
                <w:numId w:val="28"/>
              </w:numPr>
              <w:spacing w:after="0" w:line="360" w:lineRule="auto"/>
              <w:jc w:val="both"/>
              <w:rPr>
                <w:rFonts w:ascii="Arial" w:hAnsi="Arial" w:cs="Arial"/>
                <w:sz w:val="20"/>
                <w:szCs w:val="20"/>
                <w:lang w:eastAsia="sl-SI"/>
              </w:rPr>
            </w:pPr>
            <w:r w:rsidRPr="00A52F41">
              <w:rPr>
                <w:rFonts w:ascii="Arial" w:hAnsi="Arial" w:cs="Arial"/>
                <w:sz w:val="20"/>
                <w:szCs w:val="20"/>
              </w:rPr>
              <w:t>nezadostna kadrovska struktura na vseh nivojih upravljanja pristopa LEADER;</w:t>
            </w:r>
          </w:p>
          <w:p w14:paraId="4C696C29" w14:textId="77777777" w:rsidR="009E0216" w:rsidRPr="00A52F41" w:rsidRDefault="009E0216" w:rsidP="00A05198">
            <w:pPr>
              <w:numPr>
                <w:ilvl w:val="0"/>
                <w:numId w:val="28"/>
              </w:numPr>
              <w:spacing w:after="0" w:line="360" w:lineRule="auto"/>
              <w:jc w:val="both"/>
              <w:rPr>
                <w:rFonts w:ascii="Arial" w:hAnsi="Arial" w:cs="Arial"/>
                <w:sz w:val="20"/>
                <w:szCs w:val="20"/>
                <w:lang w:eastAsia="sl-SI"/>
              </w:rPr>
            </w:pPr>
            <w:r w:rsidRPr="00A52F41">
              <w:rPr>
                <w:rFonts w:ascii="Arial" w:hAnsi="Arial" w:cs="Arial"/>
                <w:sz w:val="20"/>
                <w:szCs w:val="20"/>
                <w:lang w:eastAsia="sl-SI"/>
              </w:rPr>
              <w:t>nadaljnje praznjenje in degradacija podeželja na obmejnih, odročnejših območjih ter na razvojno ogroženih območjih;</w:t>
            </w:r>
          </w:p>
          <w:p w14:paraId="5FA00F11" w14:textId="77777777" w:rsidR="00BC7104" w:rsidRDefault="009E0216" w:rsidP="00A05198">
            <w:pPr>
              <w:numPr>
                <w:ilvl w:val="0"/>
                <w:numId w:val="28"/>
              </w:numPr>
              <w:spacing w:after="0" w:line="360" w:lineRule="auto"/>
              <w:jc w:val="both"/>
              <w:rPr>
                <w:rFonts w:ascii="Arial" w:hAnsi="Arial" w:cs="Arial"/>
                <w:sz w:val="20"/>
                <w:szCs w:val="20"/>
                <w:lang w:eastAsia="sl-SI"/>
              </w:rPr>
            </w:pPr>
            <w:r w:rsidRPr="00A52F41">
              <w:rPr>
                <w:rFonts w:ascii="Arial" w:hAnsi="Arial" w:cs="Arial"/>
                <w:sz w:val="20"/>
                <w:szCs w:val="20"/>
              </w:rPr>
              <w:t>težave z zagotavljanjem lastnih sredstev za izvajanje celovitih projektov in s pridobivanjem drugih (povratnih) virov</w:t>
            </w:r>
            <w:r w:rsidR="00BC7104">
              <w:rPr>
                <w:rFonts w:ascii="Arial" w:hAnsi="Arial" w:cs="Arial"/>
                <w:sz w:val="20"/>
                <w:szCs w:val="20"/>
              </w:rPr>
              <w:t>;</w:t>
            </w:r>
          </w:p>
          <w:p w14:paraId="0367321F" w14:textId="72BA21FC" w:rsidR="009E0216" w:rsidRPr="00A52F41" w:rsidRDefault="009E0216" w:rsidP="00A05198">
            <w:pPr>
              <w:numPr>
                <w:ilvl w:val="0"/>
                <w:numId w:val="28"/>
              </w:numPr>
              <w:spacing w:after="0" w:line="360" w:lineRule="auto"/>
              <w:jc w:val="both"/>
              <w:rPr>
                <w:rFonts w:ascii="Arial" w:hAnsi="Arial" w:cs="Arial"/>
                <w:sz w:val="20"/>
                <w:szCs w:val="20"/>
                <w:lang w:eastAsia="sl-SI"/>
              </w:rPr>
            </w:pPr>
          </w:p>
          <w:p w14:paraId="28FA7ED8" w14:textId="77777777" w:rsidR="009E0216" w:rsidRPr="00A52F41" w:rsidRDefault="009E0216" w:rsidP="00EA2E4C">
            <w:pPr>
              <w:spacing w:line="360" w:lineRule="auto"/>
              <w:contextualSpacing/>
              <w:jc w:val="both"/>
              <w:rPr>
                <w:rFonts w:ascii="Arial" w:hAnsi="Arial" w:cs="Arial"/>
                <w:sz w:val="20"/>
                <w:szCs w:val="20"/>
              </w:rPr>
            </w:pPr>
          </w:p>
          <w:p w14:paraId="2CE0E50F" w14:textId="77777777" w:rsidR="002948DD" w:rsidRPr="00A52F41" w:rsidRDefault="002948DD" w:rsidP="00EA2E4C">
            <w:pPr>
              <w:tabs>
                <w:tab w:val="left" w:pos="1492"/>
              </w:tabs>
              <w:suppressAutoHyphens/>
              <w:autoSpaceDN w:val="0"/>
              <w:spacing w:before="120" w:after="0" w:line="360" w:lineRule="auto"/>
              <w:contextualSpacing/>
              <w:jc w:val="both"/>
              <w:textAlignment w:val="baseline"/>
              <w:rPr>
                <w:rFonts w:ascii="Arial" w:eastAsia="Times New Roman" w:hAnsi="Arial" w:cs="Arial"/>
                <w:color w:val="000000" w:themeColor="text1"/>
                <w:sz w:val="20"/>
                <w:szCs w:val="20"/>
                <w:lang w:eastAsia="en-GB"/>
              </w:rPr>
            </w:pPr>
          </w:p>
        </w:tc>
      </w:tr>
    </w:tbl>
    <w:p w14:paraId="4B7C26BF" w14:textId="77777777" w:rsidR="001C215F" w:rsidRPr="00A52F41" w:rsidRDefault="001C215F" w:rsidP="00EA2E4C">
      <w:pPr>
        <w:pStyle w:val="Naslov1"/>
        <w:spacing w:line="360" w:lineRule="auto"/>
        <w:ind w:left="480"/>
        <w:jc w:val="both"/>
        <w:rPr>
          <w:rFonts w:ascii="Arial" w:eastAsiaTheme="minorHAnsi" w:hAnsi="Arial" w:cs="Arial"/>
          <w:b/>
          <w:color w:val="auto"/>
          <w:sz w:val="20"/>
          <w:szCs w:val="20"/>
        </w:rPr>
      </w:pPr>
    </w:p>
    <w:p w14:paraId="74E756CF" w14:textId="77777777" w:rsidR="00214241" w:rsidRPr="00BE756C" w:rsidRDefault="001C215F" w:rsidP="008D32AC">
      <w:pPr>
        <w:spacing w:before="200" w:line="360" w:lineRule="auto"/>
        <w:jc w:val="both"/>
        <w:rPr>
          <w:rFonts w:ascii="Arial" w:hAnsi="Arial" w:cs="Arial"/>
          <w:b/>
          <w:sz w:val="24"/>
          <w:szCs w:val="24"/>
        </w:rPr>
      </w:pPr>
      <w:r w:rsidRPr="00BE756C">
        <w:rPr>
          <w:rFonts w:ascii="Arial" w:hAnsi="Arial" w:cs="Arial"/>
          <w:b/>
          <w:sz w:val="24"/>
          <w:szCs w:val="24"/>
        </w:rPr>
        <w:t>GO</w:t>
      </w:r>
      <w:r w:rsidR="009E0216" w:rsidRPr="00BE756C">
        <w:rPr>
          <w:rFonts w:ascii="Arial" w:hAnsi="Arial" w:cs="Arial"/>
          <w:b/>
          <w:sz w:val="24"/>
          <w:szCs w:val="24"/>
        </w:rPr>
        <w:t>SPODARSTVO, ZAPOSLOVANJE IN BIOGOSPODARSTVO</w:t>
      </w:r>
    </w:p>
    <w:tbl>
      <w:tblPr>
        <w:tblW w:w="955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000" w:firstRow="0" w:lastRow="0" w:firstColumn="0" w:lastColumn="0" w:noHBand="0" w:noVBand="0"/>
      </w:tblPr>
      <w:tblGrid>
        <w:gridCol w:w="4776"/>
        <w:gridCol w:w="4777"/>
      </w:tblGrid>
      <w:tr w:rsidR="009E0216" w:rsidRPr="00A52F41" w14:paraId="692BD9A6" w14:textId="77777777" w:rsidTr="00C0502F">
        <w:tc>
          <w:tcPr>
            <w:tcW w:w="4776" w:type="dxa"/>
            <w:tcBorders>
              <w:bottom w:val="single" w:sz="4" w:space="0" w:color="000000" w:themeColor="text1"/>
            </w:tcBorders>
            <w:shd w:val="clear" w:color="auto" w:fill="92D050"/>
            <w:tcMar>
              <w:top w:w="55" w:type="dxa"/>
              <w:left w:w="55" w:type="dxa"/>
              <w:bottom w:w="55" w:type="dxa"/>
              <w:right w:w="55" w:type="dxa"/>
            </w:tcMar>
            <w:vAlign w:val="bottom"/>
          </w:tcPr>
          <w:p w14:paraId="69FA32D7" w14:textId="77777777" w:rsidR="009E0216" w:rsidRPr="00A52F41" w:rsidRDefault="009E0216" w:rsidP="00EA2E4C">
            <w:pPr>
              <w:tabs>
                <w:tab w:val="left" w:pos="1710"/>
              </w:tabs>
              <w:spacing w:after="0" w:line="360" w:lineRule="auto"/>
              <w:contextualSpacing/>
              <w:jc w:val="both"/>
              <w:rPr>
                <w:rFonts w:ascii="Arial" w:hAnsi="Arial" w:cs="Arial"/>
                <w:b/>
                <w:sz w:val="20"/>
                <w:szCs w:val="20"/>
              </w:rPr>
            </w:pPr>
            <w:r w:rsidRPr="00A52F41">
              <w:rPr>
                <w:rFonts w:ascii="Arial" w:hAnsi="Arial" w:cs="Arial"/>
                <w:b/>
                <w:sz w:val="20"/>
                <w:szCs w:val="20"/>
              </w:rPr>
              <w:t>PREDNOSTI</w:t>
            </w:r>
            <w:r w:rsidRPr="00A52F41">
              <w:rPr>
                <w:rFonts w:ascii="Arial" w:hAnsi="Arial" w:cs="Arial"/>
                <w:b/>
                <w:sz w:val="20"/>
                <w:szCs w:val="20"/>
              </w:rPr>
              <w:tab/>
            </w:r>
          </w:p>
        </w:tc>
        <w:tc>
          <w:tcPr>
            <w:tcW w:w="4777" w:type="dxa"/>
            <w:tcBorders>
              <w:bottom w:val="single" w:sz="4" w:space="0" w:color="000000" w:themeColor="text1"/>
            </w:tcBorders>
            <w:shd w:val="clear" w:color="auto" w:fill="92D050"/>
            <w:tcMar>
              <w:top w:w="55" w:type="dxa"/>
              <w:left w:w="55" w:type="dxa"/>
              <w:bottom w:w="55" w:type="dxa"/>
              <w:right w:w="55" w:type="dxa"/>
            </w:tcMar>
            <w:vAlign w:val="bottom"/>
          </w:tcPr>
          <w:p w14:paraId="3E7D54D2" w14:textId="77777777" w:rsidR="009E0216" w:rsidRPr="00A52F41" w:rsidRDefault="009E0216" w:rsidP="00EA2E4C">
            <w:pPr>
              <w:spacing w:after="0" w:line="360" w:lineRule="auto"/>
              <w:contextualSpacing/>
              <w:jc w:val="both"/>
              <w:rPr>
                <w:rFonts w:ascii="Arial" w:hAnsi="Arial" w:cs="Arial"/>
                <w:b/>
                <w:sz w:val="20"/>
                <w:szCs w:val="20"/>
              </w:rPr>
            </w:pPr>
            <w:r w:rsidRPr="00A52F41">
              <w:rPr>
                <w:rFonts w:ascii="Arial" w:hAnsi="Arial" w:cs="Arial"/>
                <w:b/>
                <w:sz w:val="20"/>
                <w:szCs w:val="20"/>
              </w:rPr>
              <w:t>SLABOSTI</w:t>
            </w:r>
          </w:p>
        </w:tc>
      </w:tr>
      <w:tr w:rsidR="009E0216" w:rsidRPr="00A52F41" w14:paraId="02C60515" w14:textId="77777777" w:rsidTr="00C0502F">
        <w:tc>
          <w:tcPr>
            <w:tcW w:w="4776" w:type="dxa"/>
            <w:tcBorders>
              <w:bottom w:val="single" w:sz="4" w:space="0" w:color="000000" w:themeColor="text1"/>
            </w:tcBorders>
            <w:shd w:val="clear" w:color="auto" w:fill="auto"/>
            <w:tcMar>
              <w:top w:w="55" w:type="dxa"/>
              <w:left w:w="55" w:type="dxa"/>
              <w:bottom w:w="55" w:type="dxa"/>
              <w:right w:w="55" w:type="dxa"/>
            </w:tcMar>
          </w:tcPr>
          <w:p w14:paraId="52499B95" w14:textId="77777777" w:rsidR="001C215F" w:rsidRPr="00A52F41" w:rsidRDefault="001C215F" w:rsidP="00A05198">
            <w:pPr>
              <w:numPr>
                <w:ilvl w:val="0"/>
                <w:numId w:val="2"/>
              </w:numPr>
              <w:spacing w:after="0" w:line="360" w:lineRule="auto"/>
              <w:ind w:left="371" w:hanging="284"/>
              <w:jc w:val="both"/>
              <w:rPr>
                <w:rFonts w:ascii="Arial" w:hAnsi="Arial" w:cs="Arial"/>
                <w:sz w:val="20"/>
                <w:szCs w:val="20"/>
              </w:rPr>
            </w:pPr>
            <w:r w:rsidRPr="00A52F41">
              <w:rPr>
                <w:rFonts w:ascii="Arial" w:hAnsi="Arial" w:cs="Arial"/>
                <w:sz w:val="20"/>
                <w:szCs w:val="20"/>
              </w:rPr>
              <w:t>veliko število podjetij na podeželju;</w:t>
            </w:r>
          </w:p>
          <w:p w14:paraId="6CE27AA5" w14:textId="77777777" w:rsidR="001C215F" w:rsidRPr="00A52F41" w:rsidRDefault="001C215F" w:rsidP="00A05198">
            <w:pPr>
              <w:numPr>
                <w:ilvl w:val="0"/>
                <w:numId w:val="2"/>
              </w:numPr>
              <w:spacing w:after="0" w:line="360" w:lineRule="auto"/>
              <w:ind w:left="371" w:hanging="284"/>
              <w:jc w:val="both"/>
              <w:rPr>
                <w:rFonts w:ascii="Arial" w:hAnsi="Arial" w:cs="Arial"/>
                <w:sz w:val="20"/>
                <w:szCs w:val="20"/>
              </w:rPr>
            </w:pPr>
            <w:r w:rsidRPr="00A52F41">
              <w:rPr>
                <w:rFonts w:ascii="Arial" w:hAnsi="Arial" w:cs="Arial"/>
                <w:sz w:val="20"/>
                <w:szCs w:val="20"/>
              </w:rPr>
              <w:t>dobro razvit turistični sektor;</w:t>
            </w:r>
          </w:p>
          <w:p w14:paraId="4787EBC6" w14:textId="77777777" w:rsidR="001C215F" w:rsidRPr="00A52F41" w:rsidRDefault="001C215F" w:rsidP="00A05198">
            <w:pPr>
              <w:numPr>
                <w:ilvl w:val="0"/>
                <w:numId w:val="2"/>
              </w:numPr>
              <w:spacing w:after="0" w:line="360" w:lineRule="auto"/>
              <w:ind w:left="371" w:hanging="284"/>
              <w:jc w:val="both"/>
              <w:rPr>
                <w:rFonts w:ascii="Arial" w:hAnsi="Arial" w:cs="Arial"/>
                <w:sz w:val="20"/>
                <w:szCs w:val="20"/>
              </w:rPr>
            </w:pPr>
            <w:r w:rsidRPr="00A52F41">
              <w:rPr>
                <w:rFonts w:ascii="Arial" w:hAnsi="Arial" w:cs="Arial"/>
                <w:sz w:val="20"/>
                <w:szCs w:val="20"/>
              </w:rPr>
              <w:t>število prenočitev in prihodov turistov iz leta v leto narašča;</w:t>
            </w:r>
          </w:p>
          <w:p w14:paraId="446CF10F" w14:textId="77777777" w:rsidR="001C215F" w:rsidRPr="00A52F41" w:rsidRDefault="001C215F" w:rsidP="00A05198">
            <w:pPr>
              <w:numPr>
                <w:ilvl w:val="0"/>
                <w:numId w:val="2"/>
              </w:numPr>
              <w:spacing w:after="0" w:line="360" w:lineRule="auto"/>
              <w:ind w:left="371" w:hanging="284"/>
              <w:jc w:val="both"/>
              <w:rPr>
                <w:rFonts w:ascii="Arial" w:hAnsi="Arial" w:cs="Arial"/>
                <w:sz w:val="20"/>
                <w:szCs w:val="20"/>
              </w:rPr>
            </w:pPr>
            <w:r w:rsidRPr="00A52F41">
              <w:rPr>
                <w:rFonts w:ascii="Arial" w:hAnsi="Arial" w:cs="Arial"/>
                <w:sz w:val="20"/>
                <w:szCs w:val="20"/>
              </w:rPr>
              <w:t>stopnja zaposlenosti je v Sloveniji vsa leta nad povprečjem EU;</w:t>
            </w:r>
          </w:p>
          <w:p w14:paraId="22689608" w14:textId="77777777" w:rsidR="001C215F" w:rsidRPr="00A52F41" w:rsidRDefault="001C215F" w:rsidP="00A05198">
            <w:pPr>
              <w:numPr>
                <w:ilvl w:val="0"/>
                <w:numId w:val="2"/>
              </w:numPr>
              <w:spacing w:after="0" w:line="360" w:lineRule="auto"/>
              <w:ind w:left="371" w:hanging="284"/>
              <w:jc w:val="both"/>
              <w:rPr>
                <w:rFonts w:ascii="Arial" w:hAnsi="Arial" w:cs="Arial"/>
                <w:color w:val="000000"/>
                <w:sz w:val="20"/>
                <w:szCs w:val="20"/>
              </w:rPr>
            </w:pPr>
            <w:r w:rsidRPr="00A52F41">
              <w:rPr>
                <w:rFonts w:ascii="Arial" w:hAnsi="Arial" w:cs="Arial"/>
                <w:color w:val="000000"/>
                <w:sz w:val="20"/>
                <w:szCs w:val="20"/>
              </w:rPr>
              <w:t>uspešna in izvozno usmerjena  MSP v različnih (konvencionalnih in novejših) panogah biogospodarstva, naraščajoče povpraševanje po bio-osnovanih proizvodih v tradicionalnih izvoznih panogah slovenskega gospodarstva (kemijska industrija, strojegradnja);</w:t>
            </w:r>
          </w:p>
          <w:p w14:paraId="2150729F" w14:textId="214A0BE1" w:rsidR="001C215F" w:rsidRPr="00A52F41" w:rsidRDefault="00480480" w:rsidP="00A05198">
            <w:pPr>
              <w:numPr>
                <w:ilvl w:val="0"/>
                <w:numId w:val="2"/>
              </w:numPr>
              <w:spacing w:after="0" w:line="360" w:lineRule="auto"/>
              <w:ind w:left="371" w:hanging="284"/>
              <w:jc w:val="both"/>
              <w:rPr>
                <w:rFonts w:ascii="Arial" w:hAnsi="Arial" w:cs="Arial"/>
                <w:sz w:val="20"/>
                <w:szCs w:val="20"/>
              </w:rPr>
            </w:pPr>
            <w:r>
              <w:rPr>
                <w:rFonts w:ascii="Arial" w:hAnsi="Arial" w:cs="Arial"/>
                <w:sz w:val="20"/>
                <w:szCs w:val="20"/>
              </w:rPr>
              <w:t>dodaten</w:t>
            </w:r>
            <w:r w:rsidRPr="00A52F41">
              <w:rPr>
                <w:rFonts w:ascii="Arial" w:hAnsi="Arial" w:cs="Arial"/>
                <w:sz w:val="20"/>
                <w:szCs w:val="20"/>
              </w:rPr>
              <w:t xml:space="preserve"> </w:t>
            </w:r>
            <w:r w:rsidR="001C215F" w:rsidRPr="00A52F41">
              <w:rPr>
                <w:rFonts w:ascii="Arial" w:hAnsi="Arial" w:cs="Arial"/>
                <w:sz w:val="20"/>
                <w:szCs w:val="20"/>
              </w:rPr>
              <w:t>dohod</w:t>
            </w:r>
            <w:r>
              <w:rPr>
                <w:rFonts w:ascii="Arial" w:hAnsi="Arial" w:cs="Arial"/>
                <w:sz w:val="20"/>
                <w:szCs w:val="20"/>
              </w:rPr>
              <w:t>ek</w:t>
            </w:r>
            <w:r w:rsidR="001C215F" w:rsidRPr="00A52F41">
              <w:rPr>
                <w:rFonts w:ascii="Arial" w:hAnsi="Arial" w:cs="Arial"/>
                <w:sz w:val="20"/>
                <w:szCs w:val="20"/>
              </w:rPr>
              <w:t xml:space="preserve"> iz opravljanja dopolnilnih dejavnostih na kmetijah;</w:t>
            </w:r>
          </w:p>
          <w:p w14:paraId="2649FCB4" w14:textId="77777777" w:rsidR="001C215F" w:rsidRPr="00A52F41" w:rsidRDefault="001C215F" w:rsidP="00A05198">
            <w:pPr>
              <w:numPr>
                <w:ilvl w:val="0"/>
                <w:numId w:val="2"/>
              </w:numPr>
              <w:spacing w:after="0" w:line="360" w:lineRule="auto"/>
              <w:ind w:left="371" w:hanging="284"/>
              <w:jc w:val="both"/>
              <w:rPr>
                <w:rFonts w:ascii="Arial" w:hAnsi="Arial" w:cs="Arial"/>
                <w:color w:val="000000"/>
                <w:sz w:val="20"/>
                <w:szCs w:val="20"/>
              </w:rPr>
            </w:pPr>
            <w:r w:rsidRPr="00A52F41">
              <w:rPr>
                <w:rFonts w:ascii="Arial" w:hAnsi="Arial" w:cs="Arial"/>
                <w:color w:val="000000"/>
                <w:sz w:val="20"/>
                <w:szCs w:val="20"/>
              </w:rPr>
              <w:t>povečanje obsega opravljanja dopolnilnih dejavnosti;</w:t>
            </w:r>
          </w:p>
          <w:p w14:paraId="7F704F0B" w14:textId="77777777" w:rsidR="001C215F" w:rsidRPr="00A52F41" w:rsidRDefault="001C215F" w:rsidP="00A05198">
            <w:pPr>
              <w:numPr>
                <w:ilvl w:val="0"/>
                <w:numId w:val="2"/>
              </w:numPr>
              <w:spacing w:after="0" w:line="360" w:lineRule="auto"/>
              <w:ind w:left="371" w:hanging="284"/>
              <w:jc w:val="both"/>
              <w:rPr>
                <w:rFonts w:ascii="Arial" w:hAnsi="Arial" w:cs="Arial"/>
                <w:color w:val="000000"/>
                <w:sz w:val="20"/>
                <w:szCs w:val="20"/>
              </w:rPr>
            </w:pPr>
            <w:r w:rsidRPr="00A52F41">
              <w:rPr>
                <w:rFonts w:ascii="Arial" w:hAnsi="Arial" w:cs="Arial"/>
                <w:color w:val="000000"/>
                <w:sz w:val="20"/>
                <w:szCs w:val="20"/>
              </w:rPr>
              <w:t>povečuje se proizvodnja OVE iz gozdarstva.</w:t>
            </w:r>
          </w:p>
          <w:p w14:paraId="1295480B" w14:textId="77777777" w:rsidR="009E0216" w:rsidRPr="00A52F41" w:rsidRDefault="009E0216" w:rsidP="00EA2E4C">
            <w:pPr>
              <w:suppressLineNumbers/>
              <w:suppressAutoHyphens/>
              <w:autoSpaceDN w:val="0"/>
              <w:spacing w:after="0" w:line="360" w:lineRule="auto"/>
              <w:ind w:left="720"/>
              <w:jc w:val="both"/>
              <w:textAlignment w:val="baseline"/>
              <w:rPr>
                <w:rFonts w:ascii="Arial" w:eastAsia="SimSun" w:hAnsi="Arial" w:cs="Arial"/>
                <w:kern w:val="3"/>
                <w:sz w:val="20"/>
                <w:szCs w:val="20"/>
                <w:lang w:eastAsia="zh-CN" w:bidi="hi-IN"/>
              </w:rPr>
            </w:pPr>
          </w:p>
          <w:p w14:paraId="03F988F8" w14:textId="77777777" w:rsidR="009E0216" w:rsidRPr="00A52F41" w:rsidRDefault="009E0216" w:rsidP="00EA2E4C">
            <w:pPr>
              <w:suppressLineNumbers/>
              <w:suppressAutoHyphens/>
              <w:autoSpaceDN w:val="0"/>
              <w:spacing w:after="0" w:line="360" w:lineRule="auto"/>
              <w:jc w:val="both"/>
              <w:textAlignment w:val="baseline"/>
              <w:rPr>
                <w:rFonts w:ascii="Arial" w:eastAsia="SimSun" w:hAnsi="Arial" w:cs="Arial"/>
                <w:kern w:val="3"/>
                <w:sz w:val="20"/>
                <w:szCs w:val="20"/>
                <w:lang w:eastAsia="zh-CN" w:bidi="hi-IN"/>
              </w:rPr>
            </w:pPr>
          </w:p>
        </w:tc>
        <w:tc>
          <w:tcPr>
            <w:tcW w:w="4777" w:type="dxa"/>
            <w:tcBorders>
              <w:bottom w:val="single" w:sz="4" w:space="0" w:color="000000" w:themeColor="text1"/>
            </w:tcBorders>
            <w:shd w:val="clear" w:color="auto" w:fill="auto"/>
            <w:tcMar>
              <w:top w:w="55" w:type="dxa"/>
              <w:left w:w="55" w:type="dxa"/>
              <w:bottom w:w="55" w:type="dxa"/>
              <w:right w:w="55" w:type="dxa"/>
            </w:tcMar>
          </w:tcPr>
          <w:p w14:paraId="170843B3" w14:textId="77777777" w:rsidR="001C215F" w:rsidRPr="00A52F41" w:rsidRDefault="001C215F" w:rsidP="00A05198">
            <w:pPr>
              <w:numPr>
                <w:ilvl w:val="0"/>
                <w:numId w:val="2"/>
              </w:numPr>
              <w:spacing w:after="0" w:line="360" w:lineRule="auto"/>
              <w:ind w:left="363" w:hanging="283"/>
              <w:jc w:val="both"/>
              <w:rPr>
                <w:rFonts w:ascii="Arial" w:hAnsi="Arial" w:cs="Arial"/>
                <w:sz w:val="20"/>
                <w:szCs w:val="20"/>
              </w:rPr>
            </w:pPr>
            <w:r w:rsidRPr="00A52F41">
              <w:rPr>
                <w:rFonts w:ascii="Arial" w:hAnsi="Arial" w:cs="Arial"/>
                <w:sz w:val="20"/>
                <w:szCs w:val="20"/>
              </w:rPr>
              <w:t>podjetja na podeželju so manjša od povprečja v Sloveniji;</w:t>
            </w:r>
          </w:p>
          <w:p w14:paraId="3319E6F2" w14:textId="77777777" w:rsidR="001C215F" w:rsidRPr="00A52F41" w:rsidRDefault="001C215F" w:rsidP="00A05198">
            <w:pPr>
              <w:numPr>
                <w:ilvl w:val="0"/>
                <w:numId w:val="2"/>
              </w:numPr>
              <w:spacing w:after="0" w:line="360" w:lineRule="auto"/>
              <w:ind w:left="363" w:hanging="283"/>
              <w:jc w:val="both"/>
              <w:rPr>
                <w:rFonts w:ascii="Arial" w:hAnsi="Arial" w:cs="Arial"/>
                <w:sz w:val="20"/>
                <w:szCs w:val="20"/>
              </w:rPr>
            </w:pPr>
            <w:r w:rsidRPr="00A52F41">
              <w:rPr>
                <w:rFonts w:ascii="Arial" w:hAnsi="Arial" w:cs="Arial"/>
                <w:sz w:val="20"/>
                <w:szCs w:val="20"/>
              </w:rPr>
              <w:t>povprečne plače v podjetjih na podeželju so nižje kot je povprečje v Sloveniji;</w:t>
            </w:r>
          </w:p>
          <w:p w14:paraId="03BD9F3E" w14:textId="77777777" w:rsidR="001C215F" w:rsidRPr="00A52F41" w:rsidRDefault="001C215F" w:rsidP="00A05198">
            <w:pPr>
              <w:numPr>
                <w:ilvl w:val="0"/>
                <w:numId w:val="2"/>
              </w:numPr>
              <w:spacing w:after="0" w:line="360" w:lineRule="auto"/>
              <w:ind w:left="363" w:hanging="283"/>
              <w:jc w:val="both"/>
              <w:rPr>
                <w:rFonts w:ascii="Arial" w:hAnsi="Arial" w:cs="Arial"/>
                <w:sz w:val="20"/>
                <w:szCs w:val="20"/>
              </w:rPr>
            </w:pPr>
            <w:r w:rsidRPr="00A52F41">
              <w:rPr>
                <w:rFonts w:ascii="Arial" w:hAnsi="Arial" w:cs="Arial"/>
                <w:sz w:val="20"/>
                <w:szCs w:val="20"/>
              </w:rPr>
              <w:t>manj investicij v podjetništvo na podeželju;</w:t>
            </w:r>
          </w:p>
          <w:p w14:paraId="1C92D263" w14:textId="77777777" w:rsidR="001C215F" w:rsidRPr="00A52F41" w:rsidRDefault="001C215F" w:rsidP="00A05198">
            <w:pPr>
              <w:numPr>
                <w:ilvl w:val="0"/>
                <w:numId w:val="2"/>
              </w:numPr>
              <w:spacing w:after="0" w:line="360" w:lineRule="auto"/>
              <w:ind w:left="363" w:hanging="283"/>
              <w:jc w:val="both"/>
              <w:rPr>
                <w:rFonts w:ascii="Arial" w:hAnsi="Arial" w:cs="Arial"/>
                <w:sz w:val="20"/>
                <w:szCs w:val="20"/>
              </w:rPr>
            </w:pPr>
            <w:r w:rsidRPr="00A52F41">
              <w:rPr>
                <w:rFonts w:ascii="Arial" w:hAnsi="Arial" w:cs="Arial"/>
                <w:sz w:val="20"/>
                <w:szCs w:val="20"/>
              </w:rPr>
              <w:t>neoptimalno izkoriščeni tokovi biomase iz ostankov primarne kmetijske proizvodnje in v proizvodnje in potrošnje živil (npr. sirotka, ostanki predelave žit in olj, klavniški ostanki, zavržena hrana);</w:t>
            </w:r>
          </w:p>
          <w:p w14:paraId="479DD0AB" w14:textId="77777777" w:rsidR="001C215F" w:rsidRPr="00A52F41" w:rsidRDefault="001C215F" w:rsidP="00A05198">
            <w:pPr>
              <w:numPr>
                <w:ilvl w:val="0"/>
                <w:numId w:val="2"/>
              </w:numPr>
              <w:spacing w:after="0" w:line="360" w:lineRule="auto"/>
              <w:ind w:left="363" w:hanging="283"/>
              <w:jc w:val="both"/>
              <w:rPr>
                <w:rFonts w:ascii="Arial" w:hAnsi="Arial" w:cs="Arial"/>
                <w:sz w:val="20"/>
                <w:szCs w:val="20"/>
              </w:rPr>
            </w:pPr>
            <w:r w:rsidRPr="00A52F41">
              <w:rPr>
                <w:rFonts w:ascii="Arial" w:hAnsi="Arial" w:cs="Arial"/>
                <w:sz w:val="20"/>
                <w:szCs w:val="20"/>
              </w:rPr>
              <w:t>podjetja v 'konvencionalnih' panogah biogospodarstva premalo pozornosti namenjajo učinkovitejši valorizaciji stranskih tokov biomase</w:t>
            </w:r>
          </w:p>
          <w:p w14:paraId="0C5B0C83" w14:textId="77777777" w:rsidR="001C215F" w:rsidRPr="00A52F41" w:rsidRDefault="001C215F" w:rsidP="00A05198">
            <w:pPr>
              <w:numPr>
                <w:ilvl w:val="0"/>
                <w:numId w:val="2"/>
              </w:numPr>
              <w:spacing w:after="0" w:line="360" w:lineRule="auto"/>
              <w:ind w:left="363" w:hanging="283"/>
              <w:jc w:val="both"/>
              <w:rPr>
                <w:rFonts w:ascii="Arial" w:hAnsi="Arial" w:cs="Arial"/>
                <w:sz w:val="20"/>
                <w:szCs w:val="20"/>
              </w:rPr>
            </w:pPr>
            <w:r w:rsidRPr="00A52F41">
              <w:rPr>
                <w:rFonts w:ascii="Arial" w:hAnsi="Arial" w:cs="Arial"/>
                <w:sz w:val="20"/>
                <w:szCs w:val="20"/>
              </w:rPr>
              <w:t>ni vzpostavljenih biorafinerijskih kapacitet  ki bi predstavljale materialno in tehnološko vozlišče za vzpostavitev biogospodarskih poslovnih grozdov;</w:t>
            </w:r>
          </w:p>
          <w:p w14:paraId="1BFBAFA5" w14:textId="77777777" w:rsidR="001C215F" w:rsidRPr="00A52F41" w:rsidRDefault="001C215F" w:rsidP="00A05198">
            <w:pPr>
              <w:numPr>
                <w:ilvl w:val="0"/>
                <w:numId w:val="2"/>
              </w:numPr>
              <w:spacing w:after="0" w:line="360" w:lineRule="auto"/>
              <w:ind w:left="363" w:hanging="283"/>
              <w:jc w:val="both"/>
              <w:rPr>
                <w:rFonts w:ascii="Arial" w:hAnsi="Arial" w:cs="Arial"/>
                <w:sz w:val="20"/>
                <w:szCs w:val="20"/>
              </w:rPr>
            </w:pPr>
            <w:r w:rsidRPr="00A52F41">
              <w:rPr>
                <w:rFonts w:ascii="Arial" w:hAnsi="Arial" w:cs="Arial"/>
                <w:sz w:val="20"/>
                <w:szCs w:val="20"/>
              </w:rPr>
              <w:t>velika finančna vlaganja za vzpostavitev bioplinarne;</w:t>
            </w:r>
          </w:p>
          <w:p w14:paraId="218E0D4F" w14:textId="77777777" w:rsidR="001C215F" w:rsidRPr="00A52F41" w:rsidRDefault="001C215F" w:rsidP="00A05198">
            <w:pPr>
              <w:numPr>
                <w:ilvl w:val="0"/>
                <w:numId w:val="2"/>
              </w:numPr>
              <w:spacing w:after="0" w:line="360" w:lineRule="auto"/>
              <w:ind w:left="363" w:hanging="283"/>
              <w:contextualSpacing/>
              <w:jc w:val="both"/>
              <w:rPr>
                <w:rFonts w:ascii="Arial" w:hAnsi="Arial" w:cs="Arial"/>
                <w:sz w:val="20"/>
                <w:szCs w:val="20"/>
              </w:rPr>
            </w:pPr>
            <w:r w:rsidRPr="00A52F41">
              <w:rPr>
                <w:rFonts w:ascii="Arial" w:hAnsi="Arial" w:cs="Arial"/>
                <w:sz w:val="20"/>
                <w:szCs w:val="20"/>
              </w:rPr>
              <w:t xml:space="preserve">negativno javno mnenje, povezano zlasti z energetsko rabo biomase in nekaterimi neustreznimi investicijami v preteklosti (npr. izgradnja predimenzioniranih in tehnološko neustreznih bioplinskih elektrarn). </w:t>
            </w:r>
          </w:p>
          <w:p w14:paraId="61A1444C" w14:textId="77777777" w:rsidR="009E0216" w:rsidRPr="00A52F41" w:rsidRDefault="009E0216" w:rsidP="00EA2E4C">
            <w:pPr>
              <w:tabs>
                <w:tab w:val="left" w:pos="1492"/>
              </w:tabs>
              <w:suppressAutoHyphens/>
              <w:autoSpaceDN w:val="0"/>
              <w:spacing w:before="120" w:after="0" w:line="360" w:lineRule="auto"/>
              <w:ind w:left="327"/>
              <w:contextualSpacing/>
              <w:jc w:val="both"/>
              <w:textAlignment w:val="baseline"/>
              <w:rPr>
                <w:rFonts w:ascii="Arial" w:eastAsia="Times New Roman" w:hAnsi="Arial" w:cs="Arial"/>
                <w:color w:val="000000" w:themeColor="text1"/>
                <w:sz w:val="20"/>
                <w:szCs w:val="20"/>
                <w:lang w:eastAsia="en-GB"/>
              </w:rPr>
            </w:pPr>
          </w:p>
        </w:tc>
      </w:tr>
      <w:tr w:rsidR="009E0216" w:rsidRPr="00A52F41" w14:paraId="4E8FF6F8" w14:textId="77777777" w:rsidTr="00C0502F">
        <w:tc>
          <w:tcPr>
            <w:tcW w:w="4776" w:type="dxa"/>
            <w:tcBorders>
              <w:bottom w:val="single" w:sz="4" w:space="0" w:color="000000" w:themeColor="text1"/>
            </w:tcBorders>
            <w:shd w:val="clear" w:color="auto" w:fill="92D050"/>
            <w:tcMar>
              <w:top w:w="55" w:type="dxa"/>
              <w:left w:w="55" w:type="dxa"/>
              <w:bottom w:w="55" w:type="dxa"/>
              <w:right w:w="55" w:type="dxa"/>
            </w:tcMar>
          </w:tcPr>
          <w:p w14:paraId="01BDB892" w14:textId="77777777" w:rsidR="009E0216" w:rsidRPr="00A52F41" w:rsidRDefault="009E0216" w:rsidP="00EA2E4C">
            <w:pPr>
              <w:spacing w:after="0" w:line="360" w:lineRule="auto"/>
              <w:contextualSpacing/>
              <w:jc w:val="both"/>
              <w:rPr>
                <w:rFonts w:ascii="Arial" w:hAnsi="Arial" w:cs="Arial"/>
                <w:b/>
                <w:color w:val="000000" w:themeColor="text1"/>
                <w:sz w:val="20"/>
                <w:szCs w:val="20"/>
              </w:rPr>
            </w:pPr>
            <w:r w:rsidRPr="00A52F41">
              <w:rPr>
                <w:rFonts w:ascii="Arial" w:hAnsi="Arial" w:cs="Arial"/>
                <w:b/>
                <w:color w:val="000000" w:themeColor="text1"/>
                <w:sz w:val="20"/>
                <w:szCs w:val="20"/>
              </w:rPr>
              <w:t>PRILOŽNOSTI</w:t>
            </w:r>
          </w:p>
        </w:tc>
        <w:tc>
          <w:tcPr>
            <w:tcW w:w="4777" w:type="dxa"/>
            <w:tcBorders>
              <w:bottom w:val="single" w:sz="4" w:space="0" w:color="000000" w:themeColor="text1"/>
            </w:tcBorders>
            <w:shd w:val="clear" w:color="auto" w:fill="92D050"/>
            <w:tcMar>
              <w:top w:w="55" w:type="dxa"/>
              <w:left w:w="55" w:type="dxa"/>
              <w:bottom w:w="55" w:type="dxa"/>
              <w:right w:w="55" w:type="dxa"/>
            </w:tcMar>
          </w:tcPr>
          <w:p w14:paraId="665E6685" w14:textId="77777777" w:rsidR="009E0216" w:rsidRPr="00A52F41" w:rsidRDefault="009E0216" w:rsidP="00EA2E4C">
            <w:pPr>
              <w:spacing w:after="0" w:line="360" w:lineRule="auto"/>
              <w:contextualSpacing/>
              <w:jc w:val="both"/>
              <w:rPr>
                <w:rFonts w:ascii="Arial" w:hAnsi="Arial" w:cs="Arial"/>
                <w:b/>
                <w:color w:val="000000" w:themeColor="text1"/>
                <w:sz w:val="20"/>
                <w:szCs w:val="20"/>
              </w:rPr>
            </w:pPr>
            <w:r w:rsidRPr="00A52F41">
              <w:rPr>
                <w:rFonts w:ascii="Arial" w:hAnsi="Arial" w:cs="Arial"/>
                <w:b/>
                <w:color w:val="000000" w:themeColor="text1"/>
                <w:sz w:val="20"/>
                <w:szCs w:val="20"/>
              </w:rPr>
              <w:t>NEVARNOSTI</w:t>
            </w:r>
          </w:p>
        </w:tc>
      </w:tr>
      <w:tr w:rsidR="009E0216" w:rsidRPr="00A52F41" w14:paraId="7CED3E3E" w14:textId="77777777" w:rsidTr="00C0502F">
        <w:tc>
          <w:tcPr>
            <w:tcW w:w="4776" w:type="dxa"/>
            <w:shd w:val="clear" w:color="auto" w:fill="auto"/>
            <w:tcMar>
              <w:top w:w="55" w:type="dxa"/>
              <w:left w:w="55" w:type="dxa"/>
              <w:bottom w:w="55" w:type="dxa"/>
              <w:right w:w="55" w:type="dxa"/>
            </w:tcMar>
          </w:tcPr>
          <w:p w14:paraId="0402678E" w14:textId="77777777" w:rsidR="001C215F" w:rsidRPr="00A52F41" w:rsidRDefault="001C215F" w:rsidP="00A05198">
            <w:pPr>
              <w:numPr>
                <w:ilvl w:val="0"/>
                <w:numId w:val="2"/>
              </w:numPr>
              <w:spacing w:after="0" w:line="360" w:lineRule="auto"/>
              <w:ind w:left="371" w:hanging="284"/>
              <w:jc w:val="both"/>
              <w:rPr>
                <w:rFonts w:ascii="Arial" w:hAnsi="Arial" w:cs="Arial"/>
                <w:sz w:val="20"/>
                <w:szCs w:val="20"/>
              </w:rPr>
            </w:pPr>
            <w:r w:rsidRPr="00A52F41">
              <w:rPr>
                <w:rFonts w:ascii="Arial" w:hAnsi="Arial" w:cs="Arial"/>
                <w:sz w:val="20"/>
                <w:szCs w:val="20"/>
              </w:rPr>
              <w:lastRenderedPageBreak/>
              <w:t>razvoj podpornega okolja za podjetništvo in ustvarjanje novih kakovostnih delovnih mest na podeželju;</w:t>
            </w:r>
          </w:p>
          <w:p w14:paraId="6B4B75CB" w14:textId="77777777" w:rsidR="001C215F" w:rsidRPr="00A52F41" w:rsidRDefault="001C215F" w:rsidP="00A05198">
            <w:pPr>
              <w:numPr>
                <w:ilvl w:val="0"/>
                <w:numId w:val="2"/>
              </w:numPr>
              <w:spacing w:after="0" w:line="360" w:lineRule="auto"/>
              <w:ind w:left="371" w:hanging="284"/>
              <w:jc w:val="both"/>
              <w:rPr>
                <w:rFonts w:ascii="Arial" w:hAnsi="Arial" w:cs="Arial"/>
                <w:sz w:val="20"/>
                <w:szCs w:val="20"/>
              </w:rPr>
            </w:pPr>
            <w:r w:rsidRPr="00A52F41">
              <w:rPr>
                <w:rFonts w:ascii="Arial" w:hAnsi="Arial" w:cs="Arial"/>
                <w:sz w:val="20"/>
                <w:szCs w:val="20"/>
              </w:rPr>
              <w:t>izboljšanje kakovosti v turizmu (skladna celotna ponudba);</w:t>
            </w:r>
          </w:p>
          <w:p w14:paraId="48F2EA53" w14:textId="77777777" w:rsidR="001C215F" w:rsidRPr="00A52F41" w:rsidRDefault="001C215F" w:rsidP="00A05198">
            <w:pPr>
              <w:numPr>
                <w:ilvl w:val="0"/>
                <w:numId w:val="2"/>
              </w:numPr>
              <w:spacing w:after="0" w:line="360" w:lineRule="auto"/>
              <w:ind w:left="371" w:hanging="284"/>
              <w:jc w:val="both"/>
              <w:rPr>
                <w:rFonts w:ascii="Arial" w:hAnsi="Arial" w:cs="Arial"/>
                <w:sz w:val="20"/>
                <w:szCs w:val="20"/>
              </w:rPr>
            </w:pPr>
            <w:r w:rsidRPr="00A52F41">
              <w:rPr>
                <w:rFonts w:ascii="Arial" w:hAnsi="Arial" w:cs="Arial"/>
                <w:sz w:val="20"/>
                <w:szCs w:val="20"/>
              </w:rPr>
              <w:t>vizija slovenskega turizma: Slovenija = zelena, aktivna in zdrava destinacija za 5* doživetja spodbuja turizem na podeželju;</w:t>
            </w:r>
          </w:p>
          <w:p w14:paraId="2A145C7A" w14:textId="77777777" w:rsidR="001C215F" w:rsidRPr="00A52F41" w:rsidRDefault="001C215F" w:rsidP="00A05198">
            <w:pPr>
              <w:numPr>
                <w:ilvl w:val="0"/>
                <w:numId w:val="2"/>
              </w:numPr>
              <w:spacing w:after="0" w:line="360" w:lineRule="auto"/>
              <w:ind w:left="371" w:hanging="284"/>
              <w:jc w:val="both"/>
              <w:rPr>
                <w:rFonts w:ascii="Arial" w:hAnsi="Arial" w:cs="Arial"/>
                <w:sz w:val="20"/>
                <w:szCs w:val="20"/>
              </w:rPr>
            </w:pPr>
            <w:r w:rsidRPr="00A52F41">
              <w:rPr>
                <w:rFonts w:ascii="Arial" w:hAnsi="Arial" w:cs="Arial"/>
                <w:sz w:val="20"/>
                <w:szCs w:val="20"/>
              </w:rPr>
              <w:t xml:space="preserve">z razvojem biogospodarstva izboljšanje izrabe naravnih virov (npr. lesa po naravnih nesrečah); </w:t>
            </w:r>
          </w:p>
          <w:p w14:paraId="6A2C847E" w14:textId="77777777" w:rsidR="001C215F" w:rsidRPr="00A52F41" w:rsidRDefault="001C215F" w:rsidP="00A05198">
            <w:pPr>
              <w:numPr>
                <w:ilvl w:val="0"/>
                <w:numId w:val="2"/>
              </w:numPr>
              <w:spacing w:after="0" w:line="360" w:lineRule="auto"/>
              <w:ind w:left="371" w:hanging="284"/>
              <w:jc w:val="both"/>
              <w:rPr>
                <w:rFonts w:ascii="Arial" w:hAnsi="Arial" w:cs="Arial"/>
                <w:sz w:val="20"/>
                <w:szCs w:val="20"/>
              </w:rPr>
            </w:pPr>
            <w:r w:rsidRPr="00A52F41">
              <w:rPr>
                <w:rFonts w:ascii="Arial" w:hAnsi="Arial" w:cs="Arial"/>
                <w:sz w:val="20"/>
                <w:szCs w:val="20"/>
              </w:rPr>
              <w:t xml:space="preserve">velika razpoložljivost in možnost uporabe stranskih tokov biomase (zlasti les slabše kakovosti, ostanki v predelavi lesa, papirniški in živilsko-predelovalni industriji); </w:t>
            </w:r>
          </w:p>
          <w:p w14:paraId="48E3BD40" w14:textId="77777777" w:rsidR="001C215F" w:rsidRPr="00A52F41" w:rsidRDefault="001C215F" w:rsidP="00A05198">
            <w:pPr>
              <w:numPr>
                <w:ilvl w:val="0"/>
                <w:numId w:val="2"/>
              </w:numPr>
              <w:spacing w:after="0" w:line="360" w:lineRule="auto"/>
              <w:ind w:left="371" w:hanging="284"/>
              <w:jc w:val="both"/>
              <w:rPr>
                <w:rFonts w:ascii="Arial" w:hAnsi="Arial" w:cs="Arial"/>
                <w:color w:val="000000"/>
                <w:sz w:val="20"/>
                <w:szCs w:val="20"/>
              </w:rPr>
            </w:pPr>
            <w:r w:rsidRPr="00A52F41">
              <w:rPr>
                <w:rFonts w:ascii="Arial" w:hAnsi="Arial" w:cs="Arial"/>
                <w:color w:val="000000"/>
                <w:sz w:val="20"/>
                <w:szCs w:val="20"/>
              </w:rPr>
              <w:t>bioplinarna kot dodana vrednost (dodatni prihodek) na kmetijskem gospodarstvu;</w:t>
            </w:r>
          </w:p>
          <w:p w14:paraId="63E0142B" w14:textId="77777777" w:rsidR="001C215F" w:rsidRPr="00A52F41" w:rsidRDefault="001C215F" w:rsidP="00A05198">
            <w:pPr>
              <w:numPr>
                <w:ilvl w:val="0"/>
                <w:numId w:val="2"/>
              </w:numPr>
              <w:spacing w:after="0" w:line="360" w:lineRule="auto"/>
              <w:ind w:left="371" w:hanging="284"/>
              <w:jc w:val="both"/>
              <w:rPr>
                <w:rFonts w:ascii="Arial" w:hAnsi="Arial" w:cs="Arial"/>
                <w:sz w:val="20"/>
                <w:szCs w:val="20"/>
              </w:rPr>
            </w:pPr>
            <w:r w:rsidRPr="00A52F41">
              <w:rPr>
                <w:rFonts w:ascii="Arial" w:hAnsi="Arial" w:cs="Arial"/>
                <w:sz w:val="20"/>
                <w:szCs w:val="20"/>
              </w:rPr>
              <w:t>možnost rasti predelovalnih dejavnosti na lokalni in nacionalni ravni (mali in veliki proizvajalci), ki so sposobni na podlagi lastnih izkušenj delovati kot ponudniki visokokakovostne biomase, kakor tudi uporabniki primernih tokov biomase za razvoj bio-osnovanih produktov z visoko dodano vrednostjo (npr. nutricevtika, nova živila in funkcionalna živila);</w:t>
            </w:r>
          </w:p>
          <w:p w14:paraId="2672A03F" w14:textId="77777777" w:rsidR="001C215F" w:rsidRPr="00A52F41" w:rsidRDefault="001C215F" w:rsidP="00A05198">
            <w:pPr>
              <w:numPr>
                <w:ilvl w:val="0"/>
                <w:numId w:val="2"/>
              </w:numPr>
              <w:spacing w:after="0" w:line="360" w:lineRule="auto"/>
              <w:ind w:left="371" w:hanging="284"/>
              <w:jc w:val="both"/>
              <w:rPr>
                <w:rFonts w:ascii="Arial" w:hAnsi="Arial" w:cs="Arial"/>
                <w:sz w:val="20"/>
                <w:szCs w:val="20"/>
              </w:rPr>
            </w:pPr>
            <w:r w:rsidRPr="00A52F41">
              <w:rPr>
                <w:rFonts w:ascii="Arial" w:hAnsi="Arial" w:cs="Arial"/>
                <w:sz w:val="20"/>
                <w:szCs w:val="20"/>
              </w:rPr>
              <w:t xml:space="preserve">možnost vzpostavitve kompleksnejših verig vrednosti in uvajanja novih poslovnih modelov za doseganje ekonomije obsega zlasti na področju izkoriščanja gozdno-lesne biomase  </w:t>
            </w:r>
          </w:p>
          <w:p w14:paraId="167A5693" w14:textId="77777777" w:rsidR="001C215F" w:rsidRPr="00A52F41" w:rsidRDefault="001C215F" w:rsidP="00A05198">
            <w:pPr>
              <w:numPr>
                <w:ilvl w:val="0"/>
                <w:numId w:val="2"/>
              </w:numPr>
              <w:spacing w:after="0" w:line="360" w:lineRule="auto"/>
              <w:ind w:left="371" w:hanging="284"/>
              <w:jc w:val="both"/>
              <w:rPr>
                <w:rFonts w:ascii="Arial" w:hAnsi="Arial" w:cs="Arial"/>
                <w:sz w:val="20"/>
                <w:szCs w:val="20"/>
              </w:rPr>
            </w:pPr>
            <w:r w:rsidRPr="00A52F41">
              <w:rPr>
                <w:rFonts w:ascii="Arial" w:hAnsi="Arial" w:cs="Arial"/>
                <w:sz w:val="20"/>
                <w:szCs w:val="20"/>
              </w:rPr>
              <w:t>izkoristek soproizvodnje toplotne energije v okviru bioplinarn (za rastlinjake, ogrevanje objektov,….);</w:t>
            </w:r>
          </w:p>
          <w:p w14:paraId="6E57F607" w14:textId="468D948B" w:rsidR="001C215F" w:rsidRPr="00A52F41" w:rsidRDefault="001C215F" w:rsidP="00A05198">
            <w:pPr>
              <w:numPr>
                <w:ilvl w:val="0"/>
                <w:numId w:val="2"/>
              </w:numPr>
              <w:spacing w:after="0" w:line="360" w:lineRule="auto"/>
              <w:ind w:left="371" w:hanging="284"/>
              <w:jc w:val="both"/>
              <w:rPr>
                <w:rFonts w:ascii="Arial" w:hAnsi="Arial" w:cs="Arial"/>
                <w:sz w:val="20"/>
                <w:szCs w:val="20"/>
              </w:rPr>
            </w:pPr>
            <w:r w:rsidRPr="00A52F41">
              <w:rPr>
                <w:rFonts w:ascii="Arial" w:hAnsi="Arial" w:cs="Arial"/>
                <w:sz w:val="20"/>
                <w:szCs w:val="20"/>
              </w:rPr>
              <w:t xml:space="preserve">povečanja števila </w:t>
            </w:r>
            <w:r w:rsidR="00480480">
              <w:rPr>
                <w:rFonts w:ascii="Arial" w:hAnsi="Arial" w:cs="Arial"/>
                <w:sz w:val="20"/>
                <w:szCs w:val="20"/>
              </w:rPr>
              <w:t xml:space="preserve">mikro </w:t>
            </w:r>
            <w:r w:rsidRPr="00A52F41">
              <w:rPr>
                <w:rFonts w:ascii="Arial" w:hAnsi="Arial" w:cs="Arial"/>
                <w:sz w:val="20"/>
                <w:szCs w:val="20"/>
              </w:rPr>
              <w:t>bioplinarn;</w:t>
            </w:r>
          </w:p>
          <w:p w14:paraId="3F866653" w14:textId="77777777" w:rsidR="001C215F" w:rsidRPr="00A52F41" w:rsidRDefault="001C215F" w:rsidP="00A05198">
            <w:pPr>
              <w:numPr>
                <w:ilvl w:val="0"/>
                <w:numId w:val="2"/>
              </w:numPr>
              <w:spacing w:after="0" w:line="360" w:lineRule="auto"/>
              <w:ind w:left="371" w:hanging="284"/>
              <w:jc w:val="both"/>
              <w:rPr>
                <w:rFonts w:ascii="Arial" w:hAnsi="Arial" w:cs="Arial"/>
                <w:color w:val="000000"/>
                <w:sz w:val="20"/>
                <w:szCs w:val="20"/>
              </w:rPr>
            </w:pPr>
            <w:r w:rsidRPr="00A52F41">
              <w:rPr>
                <w:rFonts w:ascii="Arial" w:hAnsi="Arial" w:cs="Arial"/>
                <w:color w:val="000000"/>
                <w:sz w:val="20"/>
                <w:szCs w:val="20"/>
              </w:rPr>
              <w:t>male-mikro bioplinarne kot dopolnilna dejavnost na kmetiji;</w:t>
            </w:r>
          </w:p>
          <w:p w14:paraId="22105AB1" w14:textId="77777777" w:rsidR="001C215F" w:rsidRPr="00A52F41" w:rsidRDefault="001C215F" w:rsidP="00A05198">
            <w:pPr>
              <w:numPr>
                <w:ilvl w:val="0"/>
                <w:numId w:val="2"/>
              </w:numPr>
              <w:spacing w:after="0" w:line="360" w:lineRule="auto"/>
              <w:ind w:left="371" w:hanging="284"/>
              <w:jc w:val="both"/>
              <w:rPr>
                <w:rFonts w:ascii="Arial" w:hAnsi="Arial" w:cs="Arial"/>
                <w:color w:val="000000"/>
                <w:sz w:val="20"/>
                <w:szCs w:val="20"/>
              </w:rPr>
            </w:pPr>
            <w:r w:rsidRPr="00A52F41">
              <w:rPr>
                <w:rFonts w:ascii="Arial" w:hAnsi="Arial" w:cs="Arial"/>
                <w:color w:val="000000"/>
                <w:sz w:val="20"/>
                <w:szCs w:val="20"/>
              </w:rPr>
              <w:t>zaključen cikel hranil (bioplinarna-kmetijsko gospodarstvo) – krožno gospodarstvo;</w:t>
            </w:r>
          </w:p>
          <w:p w14:paraId="6873F84A" w14:textId="77777777" w:rsidR="009E0216" w:rsidRPr="00A52F41" w:rsidRDefault="001C215F" w:rsidP="00A05198">
            <w:pPr>
              <w:numPr>
                <w:ilvl w:val="0"/>
                <w:numId w:val="2"/>
              </w:numPr>
              <w:spacing w:after="0" w:line="360" w:lineRule="auto"/>
              <w:ind w:left="371" w:hanging="284"/>
              <w:jc w:val="both"/>
              <w:rPr>
                <w:rFonts w:ascii="Arial" w:hAnsi="Arial" w:cs="Arial"/>
                <w:color w:val="000000"/>
                <w:sz w:val="20"/>
                <w:szCs w:val="20"/>
              </w:rPr>
            </w:pPr>
            <w:r w:rsidRPr="00A52F41">
              <w:rPr>
                <w:rFonts w:ascii="Arial" w:hAnsi="Arial" w:cs="Arial"/>
                <w:color w:val="000000"/>
                <w:sz w:val="20"/>
                <w:szCs w:val="20"/>
              </w:rPr>
              <w:t>bioplinarna kot možnost za zmanjšanje izpustov toplogrednih plinov oziroma možnost obnovljivega vira energije</w:t>
            </w:r>
          </w:p>
        </w:tc>
        <w:tc>
          <w:tcPr>
            <w:tcW w:w="4777" w:type="dxa"/>
            <w:shd w:val="clear" w:color="auto" w:fill="auto"/>
            <w:tcMar>
              <w:top w:w="55" w:type="dxa"/>
              <w:left w:w="55" w:type="dxa"/>
              <w:bottom w:w="55" w:type="dxa"/>
              <w:right w:w="55" w:type="dxa"/>
            </w:tcMar>
          </w:tcPr>
          <w:p w14:paraId="44090D5E" w14:textId="6254A34C" w:rsidR="001C215F" w:rsidRPr="00A52F41" w:rsidRDefault="001C215F" w:rsidP="00A05198">
            <w:pPr>
              <w:numPr>
                <w:ilvl w:val="0"/>
                <w:numId w:val="2"/>
              </w:numPr>
              <w:spacing w:after="0" w:line="360" w:lineRule="auto"/>
              <w:ind w:left="363" w:hanging="283"/>
              <w:jc w:val="both"/>
              <w:rPr>
                <w:rFonts w:ascii="Arial" w:hAnsi="Arial" w:cs="Arial"/>
                <w:sz w:val="20"/>
                <w:szCs w:val="20"/>
              </w:rPr>
            </w:pPr>
            <w:r w:rsidRPr="00A52F41">
              <w:rPr>
                <w:rFonts w:ascii="Arial" w:hAnsi="Arial" w:cs="Arial"/>
                <w:sz w:val="20"/>
                <w:szCs w:val="20"/>
              </w:rPr>
              <w:t xml:space="preserve">negativen vpliv </w:t>
            </w:r>
            <w:r w:rsidR="0087060F">
              <w:rPr>
                <w:rFonts w:ascii="Arial" w:hAnsi="Arial" w:cs="Arial"/>
                <w:sz w:val="20"/>
                <w:szCs w:val="20"/>
              </w:rPr>
              <w:t>negativnega trenda rasti</w:t>
            </w:r>
            <w:r w:rsidR="0087060F" w:rsidRPr="00A52F41">
              <w:rPr>
                <w:rFonts w:ascii="Arial" w:hAnsi="Arial" w:cs="Arial"/>
                <w:sz w:val="20"/>
                <w:szCs w:val="20"/>
              </w:rPr>
              <w:t xml:space="preserve"> </w:t>
            </w:r>
            <w:r w:rsidRPr="00A52F41">
              <w:rPr>
                <w:rFonts w:ascii="Arial" w:hAnsi="Arial" w:cs="Arial"/>
                <w:sz w:val="20"/>
                <w:szCs w:val="20"/>
              </w:rPr>
              <w:t xml:space="preserve">gospodarstva na  ohranjanje poseljenosti podeželja; </w:t>
            </w:r>
          </w:p>
          <w:p w14:paraId="2A52AADD" w14:textId="77777777" w:rsidR="001C215F" w:rsidRPr="00A52F41" w:rsidRDefault="001C215F" w:rsidP="00A05198">
            <w:pPr>
              <w:pStyle w:val="Odstavekseznama"/>
              <w:numPr>
                <w:ilvl w:val="0"/>
                <w:numId w:val="2"/>
              </w:numPr>
              <w:spacing w:after="0" w:line="360" w:lineRule="auto"/>
              <w:ind w:left="363" w:hanging="283"/>
              <w:contextualSpacing w:val="0"/>
              <w:jc w:val="both"/>
              <w:rPr>
                <w:rFonts w:ascii="Arial" w:hAnsi="Arial" w:cs="Arial"/>
                <w:sz w:val="20"/>
                <w:szCs w:val="20"/>
              </w:rPr>
            </w:pPr>
            <w:r w:rsidRPr="00A52F41">
              <w:rPr>
                <w:rFonts w:ascii="Arial" w:hAnsi="Arial" w:cs="Arial"/>
                <w:sz w:val="20"/>
                <w:szCs w:val="20"/>
              </w:rPr>
              <w:t>več prenočitev/prihodov turistov prinaša nove izzive za trajnostni razvoj in mobilnost;</w:t>
            </w:r>
          </w:p>
          <w:p w14:paraId="4071A059" w14:textId="77777777" w:rsidR="001C215F" w:rsidRPr="00A52F41" w:rsidRDefault="001C215F" w:rsidP="00A05198">
            <w:pPr>
              <w:numPr>
                <w:ilvl w:val="0"/>
                <w:numId w:val="2"/>
              </w:numPr>
              <w:spacing w:after="0" w:line="360" w:lineRule="auto"/>
              <w:ind w:left="363" w:hanging="283"/>
              <w:jc w:val="both"/>
              <w:rPr>
                <w:rFonts w:ascii="Arial" w:hAnsi="Arial" w:cs="Arial"/>
                <w:sz w:val="20"/>
                <w:szCs w:val="20"/>
              </w:rPr>
            </w:pPr>
            <w:r w:rsidRPr="00A52F41">
              <w:rPr>
                <w:rFonts w:ascii="Arial" w:hAnsi="Arial" w:cs="Arial"/>
                <w:sz w:val="20"/>
                <w:szCs w:val="20"/>
              </w:rPr>
              <w:t>neustrezno umeščanje bioplinarn v prostor</w:t>
            </w:r>
          </w:p>
          <w:p w14:paraId="62215BC8" w14:textId="77777777" w:rsidR="001C215F" w:rsidRPr="00A52F41" w:rsidRDefault="001C215F" w:rsidP="00A05198">
            <w:pPr>
              <w:numPr>
                <w:ilvl w:val="0"/>
                <w:numId w:val="2"/>
              </w:numPr>
              <w:spacing w:after="0" w:line="360" w:lineRule="auto"/>
              <w:ind w:left="363" w:hanging="283"/>
              <w:contextualSpacing/>
              <w:jc w:val="both"/>
              <w:rPr>
                <w:rFonts w:ascii="Arial" w:hAnsi="Arial" w:cs="Arial"/>
                <w:sz w:val="20"/>
                <w:szCs w:val="20"/>
              </w:rPr>
            </w:pPr>
            <w:r w:rsidRPr="00A52F41">
              <w:rPr>
                <w:rFonts w:ascii="Arial" w:hAnsi="Arial" w:cs="Arial"/>
                <w:sz w:val="20"/>
                <w:szCs w:val="20"/>
              </w:rPr>
              <w:t xml:space="preserve">(ne)razpoložljivost biomase (gozdne in kmetijske); </w:t>
            </w:r>
          </w:p>
          <w:p w14:paraId="34CB059D" w14:textId="77777777" w:rsidR="001C215F" w:rsidRPr="00A52F41" w:rsidRDefault="001C215F" w:rsidP="00A05198">
            <w:pPr>
              <w:numPr>
                <w:ilvl w:val="0"/>
                <w:numId w:val="2"/>
              </w:numPr>
              <w:spacing w:after="0" w:line="360" w:lineRule="auto"/>
              <w:ind w:left="363" w:hanging="283"/>
              <w:jc w:val="both"/>
              <w:rPr>
                <w:rFonts w:ascii="Arial" w:hAnsi="Arial" w:cs="Arial"/>
                <w:sz w:val="20"/>
                <w:szCs w:val="20"/>
              </w:rPr>
            </w:pPr>
            <w:r w:rsidRPr="00A52F41">
              <w:rPr>
                <w:rFonts w:ascii="Arial" w:hAnsi="Arial" w:cs="Arial"/>
                <w:sz w:val="20"/>
                <w:szCs w:val="20"/>
              </w:rPr>
              <w:t xml:space="preserve">kapitalsko močna in tehnološko napredna konkurenca za odkup (zlasti lesne) biomase v sosednjih regijah; </w:t>
            </w:r>
          </w:p>
          <w:p w14:paraId="6BA31879" w14:textId="77777777" w:rsidR="001C215F" w:rsidRPr="00A52F41" w:rsidRDefault="001C215F" w:rsidP="00A05198">
            <w:pPr>
              <w:numPr>
                <w:ilvl w:val="0"/>
                <w:numId w:val="2"/>
              </w:numPr>
              <w:spacing w:after="0" w:line="360" w:lineRule="auto"/>
              <w:ind w:left="363" w:hanging="283"/>
              <w:jc w:val="both"/>
              <w:rPr>
                <w:rFonts w:ascii="Arial" w:hAnsi="Arial" w:cs="Arial"/>
                <w:sz w:val="20"/>
                <w:szCs w:val="20"/>
              </w:rPr>
            </w:pPr>
            <w:r w:rsidRPr="00A52F41">
              <w:rPr>
                <w:rFonts w:ascii="Arial" w:hAnsi="Arial" w:cs="Arial"/>
                <w:sz w:val="20"/>
                <w:szCs w:val="20"/>
              </w:rPr>
              <w:t>možne konfliktne situacije med alternativnimi rabami biomase in nevarnost prekomernega izkoriščanja naravnih virov (npr. zemljišč);</w:t>
            </w:r>
          </w:p>
          <w:p w14:paraId="6AEEBBE3" w14:textId="77777777" w:rsidR="001C215F" w:rsidRPr="00A52F41" w:rsidRDefault="001C215F" w:rsidP="00A05198">
            <w:pPr>
              <w:numPr>
                <w:ilvl w:val="0"/>
                <w:numId w:val="2"/>
              </w:numPr>
              <w:spacing w:after="0" w:line="360" w:lineRule="auto"/>
              <w:ind w:left="363" w:hanging="283"/>
              <w:jc w:val="both"/>
              <w:rPr>
                <w:rFonts w:ascii="Arial" w:hAnsi="Arial" w:cs="Arial"/>
                <w:sz w:val="20"/>
                <w:szCs w:val="20"/>
              </w:rPr>
            </w:pPr>
            <w:r w:rsidRPr="00A52F41">
              <w:rPr>
                <w:rFonts w:ascii="Arial" w:hAnsi="Arial" w:cs="Arial"/>
                <w:sz w:val="20"/>
                <w:szCs w:val="20"/>
              </w:rPr>
              <w:t>intenzivne oblike uporabe turizma povzročajo veliko porabo virov.</w:t>
            </w:r>
          </w:p>
          <w:p w14:paraId="63AADCE3" w14:textId="77777777" w:rsidR="009E0216" w:rsidRPr="00A52F41" w:rsidRDefault="009E0216" w:rsidP="00BE756C">
            <w:pPr>
              <w:spacing w:after="0" w:line="360" w:lineRule="auto"/>
              <w:contextualSpacing/>
              <w:jc w:val="both"/>
              <w:rPr>
                <w:rFonts w:ascii="Arial" w:hAnsi="Arial" w:cs="Arial"/>
                <w:sz w:val="20"/>
                <w:szCs w:val="20"/>
              </w:rPr>
            </w:pPr>
          </w:p>
          <w:p w14:paraId="2CE8E02F" w14:textId="77777777" w:rsidR="009E0216" w:rsidRPr="00A52F41" w:rsidRDefault="009E0216" w:rsidP="00BE756C">
            <w:pPr>
              <w:tabs>
                <w:tab w:val="left" w:pos="1492"/>
              </w:tabs>
              <w:suppressAutoHyphens/>
              <w:autoSpaceDN w:val="0"/>
              <w:spacing w:after="0" w:line="360" w:lineRule="auto"/>
              <w:contextualSpacing/>
              <w:jc w:val="both"/>
              <w:textAlignment w:val="baseline"/>
              <w:rPr>
                <w:rFonts w:ascii="Arial" w:eastAsia="Times New Roman" w:hAnsi="Arial" w:cs="Arial"/>
                <w:color w:val="000000" w:themeColor="text1"/>
                <w:sz w:val="20"/>
                <w:szCs w:val="20"/>
                <w:lang w:eastAsia="en-GB"/>
              </w:rPr>
            </w:pPr>
          </w:p>
        </w:tc>
      </w:tr>
    </w:tbl>
    <w:p w14:paraId="375F41CA" w14:textId="0EBE89E0" w:rsidR="00C0502F" w:rsidRPr="00A32B6B" w:rsidRDefault="00034A97" w:rsidP="00A32B6B">
      <w:pPr>
        <w:spacing w:line="360" w:lineRule="auto"/>
        <w:jc w:val="both"/>
        <w:rPr>
          <w:rFonts w:ascii="Arial" w:hAnsi="Arial" w:cs="Arial"/>
          <w:b/>
          <w:sz w:val="28"/>
          <w:szCs w:val="28"/>
        </w:rPr>
      </w:pPr>
      <w:r w:rsidRPr="00A32B6B">
        <w:rPr>
          <w:rFonts w:ascii="Arial" w:hAnsi="Arial" w:cs="Arial"/>
          <w:b/>
          <w:sz w:val="28"/>
          <w:szCs w:val="28"/>
        </w:rPr>
        <w:lastRenderedPageBreak/>
        <w:t>O</w:t>
      </w:r>
      <w:r w:rsidR="0059195F" w:rsidRPr="00A32B6B">
        <w:rPr>
          <w:rFonts w:ascii="Arial" w:hAnsi="Arial" w:cs="Arial"/>
          <w:b/>
          <w:sz w:val="28"/>
          <w:szCs w:val="28"/>
        </w:rPr>
        <w:t>PREDELITEV POTREB</w:t>
      </w:r>
    </w:p>
    <w:tbl>
      <w:tblPr>
        <w:tblStyle w:val="Tabelamrea"/>
        <w:tblW w:w="9493" w:type="dxa"/>
        <w:tblLayout w:type="fixed"/>
        <w:tblLook w:val="04A0" w:firstRow="1" w:lastRow="0" w:firstColumn="1" w:lastColumn="0" w:noHBand="0" w:noVBand="1"/>
      </w:tblPr>
      <w:tblGrid>
        <w:gridCol w:w="704"/>
        <w:gridCol w:w="1701"/>
        <w:gridCol w:w="7088"/>
      </w:tblGrid>
      <w:tr w:rsidR="005B5B34" w:rsidRPr="00A52F41" w14:paraId="7F8B67BC" w14:textId="77777777" w:rsidTr="005B5B34">
        <w:tc>
          <w:tcPr>
            <w:tcW w:w="704" w:type="dxa"/>
            <w:shd w:val="clear" w:color="auto" w:fill="92D050"/>
          </w:tcPr>
          <w:p w14:paraId="30C486BB" w14:textId="1271B534" w:rsidR="005B5B34" w:rsidRPr="00A52F41" w:rsidRDefault="005B5B34" w:rsidP="00EA2E4C">
            <w:pPr>
              <w:spacing w:line="360" w:lineRule="auto"/>
              <w:jc w:val="both"/>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Št.</w:t>
            </w:r>
          </w:p>
        </w:tc>
        <w:tc>
          <w:tcPr>
            <w:tcW w:w="1701" w:type="dxa"/>
            <w:shd w:val="clear" w:color="auto" w:fill="92D050"/>
          </w:tcPr>
          <w:p w14:paraId="5C6BA72A" w14:textId="5AB5092F" w:rsidR="005B5B34" w:rsidRPr="00A52F41" w:rsidRDefault="005B5B34" w:rsidP="00EA2E4C">
            <w:pPr>
              <w:spacing w:line="360" w:lineRule="auto"/>
              <w:jc w:val="both"/>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PORTEBA</w:t>
            </w:r>
          </w:p>
        </w:tc>
        <w:tc>
          <w:tcPr>
            <w:tcW w:w="7088" w:type="dxa"/>
            <w:shd w:val="clear" w:color="auto" w:fill="92D050"/>
          </w:tcPr>
          <w:p w14:paraId="28F8ECB9" w14:textId="7E356234" w:rsidR="005B5B34" w:rsidRPr="00A52F41" w:rsidRDefault="005B5B34" w:rsidP="00EA2E4C">
            <w:pPr>
              <w:spacing w:line="360" w:lineRule="auto"/>
              <w:jc w:val="both"/>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UTEMELJITEV IZ ANALIZE STANJA IN ANALIZE SWOT</w:t>
            </w:r>
          </w:p>
        </w:tc>
      </w:tr>
      <w:tr w:rsidR="005B5B34" w:rsidRPr="00A52F41" w14:paraId="2D0F02EB" w14:textId="77777777" w:rsidTr="005B5B34">
        <w:tc>
          <w:tcPr>
            <w:tcW w:w="704" w:type="dxa"/>
          </w:tcPr>
          <w:p w14:paraId="62509985" w14:textId="0C38B977" w:rsidR="005B5B34" w:rsidRPr="00A52F41" w:rsidRDefault="005B5B34" w:rsidP="00EA2E4C">
            <w:pPr>
              <w:spacing w:line="360" w:lineRule="auto"/>
              <w:jc w:val="both"/>
              <w:rPr>
                <w:rFonts w:ascii="Arial" w:hAnsi="Arial" w:cs="Arial"/>
                <w:b/>
                <w:sz w:val="20"/>
                <w:szCs w:val="20"/>
              </w:rPr>
            </w:pPr>
            <w:r>
              <w:rPr>
                <w:rFonts w:ascii="Arial" w:hAnsi="Arial" w:cs="Arial"/>
                <w:b/>
                <w:sz w:val="20"/>
                <w:szCs w:val="20"/>
              </w:rPr>
              <w:t>1</w:t>
            </w:r>
          </w:p>
        </w:tc>
        <w:tc>
          <w:tcPr>
            <w:tcW w:w="1701" w:type="dxa"/>
          </w:tcPr>
          <w:p w14:paraId="2217819F" w14:textId="7E71798A" w:rsidR="005B5B34" w:rsidRPr="00A52F41" w:rsidRDefault="005B5B34" w:rsidP="00EA2E4C">
            <w:pPr>
              <w:spacing w:line="360" w:lineRule="auto"/>
              <w:jc w:val="both"/>
              <w:rPr>
                <w:rFonts w:ascii="Arial" w:hAnsi="Arial" w:cs="Arial"/>
                <w:b/>
                <w:sz w:val="20"/>
                <w:szCs w:val="20"/>
              </w:rPr>
            </w:pPr>
            <w:r w:rsidRPr="00A52F41">
              <w:rPr>
                <w:rFonts w:ascii="Arial" w:hAnsi="Arial" w:cs="Arial"/>
                <w:b/>
                <w:sz w:val="20"/>
                <w:szCs w:val="20"/>
              </w:rPr>
              <w:t>Razvoj osnovnih storitev, dvig kakovosti življenja in zagotavljanje infrastrukturnega razvoja na podeželju</w:t>
            </w:r>
          </w:p>
          <w:p w14:paraId="7AD48102" w14:textId="77777777" w:rsidR="005B5B34" w:rsidRPr="00A52F41" w:rsidRDefault="005B5B34" w:rsidP="00EA2E4C">
            <w:pPr>
              <w:spacing w:line="360" w:lineRule="auto"/>
              <w:jc w:val="both"/>
              <w:rPr>
                <w:rFonts w:ascii="Arial" w:hAnsi="Arial" w:cs="Arial"/>
                <w:sz w:val="20"/>
                <w:szCs w:val="20"/>
              </w:rPr>
            </w:pPr>
          </w:p>
        </w:tc>
        <w:tc>
          <w:tcPr>
            <w:tcW w:w="7088" w:type="dxa"/>
          </w:tcPr>
          <w:p w14:paraId="4566182C" w14:textId="77777777" w:rsidR="005B5B34" w:rsidRPr="00A52F41" w:rsidRDefault="005B5B34" w:rsidP="00EA2E4C">
            <w:pPr>
              <w:spacing w:line="360" w:lineRule="auto"/>
              <w:jc w:val="both"/>
              <w:rPr>
                <w:rFonts w:ascii="Arial" w:hAnsi="Arial" w:cs="Arial"/>
                <w:sz w:val="20"/>
                <w:szCs w:val="20"/>
              </w:rPr>
            </w:pPr>
            <w:r w:rsidRPr="00A52F41">
              <w:rPr>
                <w:rFonts w:ascii="Arial" w:hAnsi="Arial" w:cs="Arial"/>
                <w:sz w:val="20"/>
                <w:szCs w:val="20"/>
              </w:rPr>
              <w:t>Demografske spremembe za podeželje prinašajo številne posledice: območja praznenja prebivalstva, problematiko razvoja obmejnih območij, problem staranja prebivalstva na podeželju, posledice, ki jih imajo demografske spremembe na gospodarstvo in zaposlovanje, problematiko oskrbe in zagotavljanja storitev splošnega ter splošnega gospodarskega pomena, slabšega infrastrukturnega razvoja, opuščanje stavbnega fonda, kulturne krajine in druge negativne posledice.</w:t>
            </w:r>
          </w:p>
          <w:p w14:paraId="78BA1FEE" w14:textId="403B457E"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r w:rsidRPr="00A52F41">
              <w:rPr>
                <w:rFonts w:ascii="Arial" w:hAnsi="Arial" w:cs="Arial"/>
                <w:sz w:val="20"/>
                <w:szCs w:val="20"/>
              </w:rPr>
              <w:t>Na podeželju, še posebej na območjih praznjenja, je zato potrebno zagotavljati oskrbo vseh skupin prebivalcev z osnovnimi storitvami, s storitvami splošnega in splošnega gospodarskega pomena, kot so npr. zdravstvo, socialno varstvo,</w:t>
            </w:r>
            <w:r>
              <w:rPr>
                <w:rFonts w:ascii="Arial" w:hAnsi="Arial" w:cs="Arial"/>
                <w:sz w:val="20"/>
                <w:szCs w:val="20"/>
              </w:rPr>
              <w:t xml:space="preserve"> </w:t>
            </w:r>
            <w:r w:rsidRPr="00A52F41">
              <w:rPr>
                <w:rFonts w:ascii="Arial" w:hAnsi="Arial" w:cs="Arial"/>
                <w:sz w:val="20"/>
                <w:szCs w:val="20"/>
              </w:rPr>
              <w:t>javni potniški promet.</w:t>
            </w:r>
          </w:p>
          <w:p w14:paraId="1767E666" w14:textId="77777777"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r w:rsidRPr="00A52F41">
              <w:rPr>
                <w:rFonts w:ascii="Arial" w:hAnsi="Arial" w:cs="Arial"/>
                <w:sz w:val="20"/>
                <w:szCs w:val="20"/>
              </w:rPr>
              <w:t>Za ohranjanje vitalnosti podeželskih območij je potrebno omogočiti razvoj kulturnih, prostočasnih in drugih dejavnosti ter infrastrukture, predvsem na površinah in v večnamenskih objektih, ki so na podeželju pogosto prazni, brez prave namembnosti.</w:t>
            </w:r>
          </w:p>
          <w:p w14:paraId="07FE9121" w14:textId="77777777"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r w:rsidRPr="00A52F41">
              <w:rPr>
                <w:rFonts w:ascii="Arial" w:hAnsi="Arial" w:cs="Arial"/>
                <w:sz w:val="20"/>
                <w:szCs w:val="20"/>
              </w:rPr>
              <w:t>Potrebno je izboljšati življenjske pogoje v podeželskih skupnostih in tako prispevati k privlačnosti vaškega okolja kot bivanjskega prostora tudi za mlade in potenciala za razvoj drugih gospodarskih dejavnosti ter na tak način zmanjševati razkorak med regijami ter mesti in podeželjem</w:t>
            </w:r>
          </w:p>
          <w:p w14:paraId="4C1249B2" w14:textId="77777777"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r w:rsidRPr="00A52F41">
              <w:rPr>
                <w:rFonts w:ascii="Arial" w:hAnsi="Arial" w:cs="Arial"/>
                <w:sz w:val="20"/>
                <w:szCs w:val="20"/>
              </w:rPr>
              <w:t>Potrebno je omogočiti vlaganja v ohranitev dediščine na podeželju ter omogočiti povezovanje kulturne dediščine in naravnih vrednot  z ustreznim razvojem turizma (v povezani v kmetijstvom, lokalno kulinariko, butične in specializirane oblike,..) in preživljanjem prostega časa, izboljšati kakovost življenja na podeželju za ohranitev poseljenosti in posredno vplivati tudi na večjo gospodarsko vitalnost podeželja.</w:t>
            </w:r>
          </w:p>
          <w:p w14:paraId="74A22008" w14:textId="77777777" w:rsidR="005B5B34" w:rsidRPr="00A52F41" w:rsidRDefault="005B5B34" w:rsidP="00EA2E4C">
            <w:pPr>
              <w:spacing w:line="360" w:lineRule="auto"/>
              <w:contextualSpacing/>
              <w:jc w:val="both"/>
              <w:rPr>
                <w:rFonts w:ascii="Arial" w:hAnsi="Arial" w:cs="Arial"/>
                <w:sz w:val="20"/>
                <w:szCs w:val="20"/>
              </w:rPr>
            </w:pPr>
            <w:r w:rsidRPr="00A52F41">
              <w:rPr>
                <w:rFonts w:ascii="Arial" w:hAnsi="Arial" w:cs="Arial"/>
                <w:sz w:val="20"/>
                <w:szCs w:val="20"/>
              </w:rPr>
              <w:t>Potrebe se bodo naslavljale preko podpor v obnovo in razvoj vasi po konceptu pametnih vasi, zlasti z uporabo digitalnih rešitev, socialnimi in tehnološkimi inovacijami, sodelovanjem lokalnih akterjev ter po pristopu lokalnega razvoja, ki ga vodi skupnost.</w:t>
            </w:r>
          </w:p>
        </w:tc>
      </w:tr>
      <w:tr w:rsidR="005B5B34" w:rsidRPr="00A52F41" w14:paraId="2B92F322" w14:textId="77777777" w:rsidTr="005B5B34">
        <w:tc>
          <w:tcPr>
            <w:tcW w:w="704" w:type="dxa"/>
          </w:tcPr>
          <w:p w14:paraId="2CDD19B9" w14:textId="0FB202FA" w:rsidR="005B5B34" w:rsidRPr="00A52F41" w:rsidRDefault="005B5B34" w:rsidP="00EA2E4C">
            <w:pPr>
              <w:spacing w:line="360" w:lineRule="auto"/>
              <w:jc w:val="both"/>
              <w:rPr>
                <w:rFonts w:ascii="Arial" w:hAnsi="Arial" w:cs="Arial"/>
                <w:b/>
                <w:sz w:val="20"/>
                <w:szCs w:val="20"/>
              </w:rPr>
            </w:pPr>
            <w:r>
              <w:rPr>
                <w:rFonts w:ascii="Arial" w:hAnsi="Arial" w:cs="Arial"/>
                <w:b/>
                <w:sz w:val="20"/>
                <w:szCs w:val="20"/>
              </w:rPr>
              <w:t>2</w:t>
            </w:r>
          </w:p>
        </w:tc>
        <w:tc>
          <w:tcPr>
            <w:tcW w:w="1701" w:type="dxa"/>
          </w:tcPr>
          <w:p w14:paraId="33EFCD29" w14:textId="491E5CDB" w:rsidR="005B5B34" w:rsidRPr="00A52F41" w:rsidRDefault="005B5B34" w:rsidP="00EA2E4C">
            <w:pPr>
              <w:spacing w:line="360" w:lineRule="auto"/>
              <w:jc w:val="both"/>
              <w:rPr>
                <w:rFonts w:ascii="Arial" w:hAnsi="Arial" w:cs="Arial"/>
                <w:b/>
                <w:sz w:val="20"/>
                <w:szCs w:val="20"/>
              </w:rPr>
            </w:pPr>
            <w:r w:rsidRPr="00A52F41">
              <w:rPr>
                <w:rFonts w:ascii="Arial" w:hAnsi="Arial" w:cs="Arial"/>
                <w:b/>
                <w:sz w:val="20"/>
                <w:szCs w:val="20"/>
              </w:rPr>
              <w:t>Socialna vključenost vseh prebivalcev</w:t>
            </w:r>
          </w:p>
          <w:p w14:paraId="119E64EE" w14:textId="77777777" w:rsidR="005B5B34" w:rsidRPr="00A52F41" w:rsidRDefault="005B5B34" w:rsidP="00EA2E4C">
            <w:pPr>
              <w:spacing w:line="360" w:lineRule="auto"/>
              <w:jc w:val="both"/>
              <w:rPr>
                <w:rFonts w:ascii="Arial" w:hAnsi="Arial" w:cs="Arial"/>
                <w:sz w:val="20"/>
                <w:szCs w:val="20"/>
              </w:rPr>
            </w:pPr>
          </w:p>
        </w:tc>
        <w:tc>
          <w:tcPr>
            <w:tcW w:w="7088" w:type="dxa"/>
          </w:tcPr>
          <w:p w14:paraId="0492B96F" w14:textId="77777777" w:rsidR="005B5B34" w:rsidRPr="00A52F41" w:rsidRDefault="005B5B34" w:rsidP="00EA2E4C">
            <w:pPr>
              <w:spacing w:line="360" w:lineRule="auto"/>
              <w:contextualSpacing/>
              <w:jc w:val="both"/>
              <w:rPr>
                <w:rFonts w:ascii="Arial" w:hAnsi="Arial" w:cs="Arial"/>
                <w:sz w:val="20"/>
                <w:szCs w:val="20"/>
              </w:rPr>
            </w:pPr>
            <w:r w:rsidRPr="00A52F41">
              <w:rPr>
                <w:rFonts w:ascii="Arial" w:hAnsi="Arial" w:cs="Arial"/>
                <w:sz w:val="20"/>
                <w:szCs w:val="20"/>
              </w:rPr>
              <w:t>Kljub splošnemu izboljšanju kazalnikov kakovosti življenja in socialne vključenosti v Sloveniji v zadnjih letih, še vedno pa ostajajo določene ranljive skupine in medregionalne razlike, ki jih je potrebno posebej obravnavati.</w:t>
            </w:r>
          </w:p>
          <w:p w14:paraId="0BE088EE" w14:textId="77777777"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r w:rsidRPr="00A52F41">
              <w:rPr>
                <w:rFonts w:ascii="Arial" w:hAnsi="Arial" w:cs="Arial"/>
                <w:sz w:val="20"/>
                <w:szCs w:val="20"/>
              </w:rPr>
              <w:t>Z analizo so bile prepoznane določene ranljive skupine na podeželju ki jim je potrebno omogočiti bolj kakovostno življenje in zmanjšati tveganje za njihovo socialno izključenost.</w:t>
            </w:r>
          </w:p>
          <w:p w14:paraId="3FF1CF61" w14:textId="77777777"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r w:rsidRPr="00A52F41">
              <w:rPr>
                <w:rFonts w:ascii="Arial" w:hAnsi="Arial" w:cs="Arial"/>
                <w:sz w:val="20"/>
                <w:szCs w:val="20"/>
              </w:rPr>
              <w:t xml:space="preserve">Na podeželju je potrebno ohranjati heterogeno strukturo prebivalstva predvsem zaradi ohranjanja vitalnosti naselij, preprečevanja njihovega </w:t>
            </w:r>
            <w:r w:rsidRPr="00A52F41">
              <w:rPr>
                <w:rFonts w:ascii="Arial" w:hAnsi="Arial" w:cs="Arial"/>
                <w:sz w:val="20"/>
                <w:szCs w:val="20"/>
              </w:rPr>
              <w:lastRenderedPageBreak/>
              <w:t>demografskega in fizičnega propada ter razvoja tolerantnosti do socialnih in kulturnih razlik.</w:t>
            </w:r>
          </w:p>
          <w:p w14:paraId="3AAD8991" w14:textId="77777777"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r w:rsidRPr="00A52F41">
              <w:rPr>
                <w:rFonts w:ascii="Arial" w:hAnsi="Arial" w:cs="Arial"/>
                <w:sz w:val="20"/>
                <w:szCs w:val="20"/>
              </w:rPr>
              <w:t>Z razvojnega vidika je potrebno prepoznati in aktivirati produktivno zmogljivost teh ranljivih skupin na podeželju (npr. dodatno usposabljanje, formalno in vseživljenjsko izobraževanje, prekvalifikacija, uporabiti njihovo znanje in izkušnje) ter jih ustrezno socialno vključiti.</w:t>
            </w:r>
          </w:p>
          <w:p w14:paraId="2E834489" w14:textId="77777777"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r w:rsidRPr="00A52F41">
              <w:rPr>
                <w:rFonts w:ascii="Arial" w:hAnsi="Arial" w:cs="Arial"/>
                <w:sz w:val="20"/>
                <w:szCs w:val="20"/>
              </w:rPr>
              <w:t>Potrebno je skrbeti za čim daljše ohranjanje aktivnosti starejših in za čim daljšo dejavno vključenost v domačem (podeželskem) okolju.</w:t>
            </w:r>
          </w:p>
          <w:p w14:paraId="7CE912D5" w14:textId="77777777"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r w:rsidRPr="00A52F41">
              <w:rPr>
                <w:rFonts w:ascii="Arial" w:hAnsi="Arial" w:cs="Arial"/>
                <w:sz w:val="20"/>
                <w:szCs w:val="20"/>
              </w:rPr>
              <w:t>Potrebno je povezovati tako institucionalizirane kot deinstitucionalizirane mehanizme za doseganje aktivnega in zdravega staranja ter povezati formalno in neformalno oskrbo starostnikov, kot so npr. oskrba na domu, alternativne oblike varstva starostnikov ipd.</w:t>
            </w:r>
          </w:p>
          <w:p w14:paraId="14847822" w14:textId="77777777"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r w:rsidRPr="00A52F41">
              <w:rPr>
                <w:rFonts w:ascii="Arial" w:hAnsi="Arial" w:cs="Arial"/>
                <w:sz w:val="20"/>
                <w:szCs w:val="20"/>
              </w:rPr>
              <w:t>K zmanjšanju socialne izključenosti in socialni integraciji posameznih ranljivih skupin lahko pomembno prispevajo medgeneracijski programi, v katerih se lahko starejši in mladi skozi različne dejavnosti povezujejo, izmenjujejo izkušnje, znanja, s tem pa pridobivajo pomembne socialne in druge veščine ter ohranjajo vrednote.</w:t>
            </w:r>
          </w:p>
          <w:p w14:paraId="3901627B" w14:textId="77777777"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r w:rsidRPr="00A52F41">
              <w:rPr>
                <w:rFonts w:ascii="Arial" w:hAnsi="Arial" w:cs="Arial"/>
                <w:sz w:val="20"/>
                <w:szCs w:val="20"/>
              </w:rPr>
              <w:t>Za ohranjanje prebivalstva na podeželju, še zlasti mladih, je potrebno izboljšati možnosti za varstvo otrok, za interesne dejavnosti, športne aktivnosti, in družbene stike.</w:t>
            </w:r>
          </w:p>
          <w:p w14:paraId="052BD005" w14:textId="77777777"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r w:rsidRPr="00A52F41">
              <w:rPr>
                <w:rFonts w:ascii="Arial" w:hAnsi="Arial" w:cs="Arial"/>
                <w:sz w:val="20"/>
                <w:szCs w:val="20"/>
              </w:rPr>
              <w:t>Potrebno je uvajanje inovativnih socialnih storitev in novih oblik mobilnosti (kot je npr. sopotništvo, organizirano spremljanje otrok), da se lokalnim prebivalcem lahko zagotavlja dostopnost do storitev in ohranja njihovo vključenost v družbo, z aktivno mobilnostjo pa se lahko poveča količina njihove dnevne telesne dejavnosti.</w:t>
            </w:r>
          </w:p>
          <w:p w14:paraId="7CD8004B" w14:textId="77777777" w:rsidR="005B5B34" w:rsidRPr="00A52F41" w:rsidRDefault="005B5B34" w:rsidP="00EA2E4C">
            <w:pPr>
              <w:spacing w:line="360" w:lineRule="auto"/>
              <w:contextualSpacing/>
              <w:jc w:val="both"/>
              <w:rPr>
                <w:rFonts w:ascii="Arial" w:hAnsi="Arial" w:cs="Arial"/>
                <w:sz w:val="20"/>
                <w:szCs w:val="20"/>
              </w:rPr>
            </w:pPr>
            <w:r w:rsidRPr="00A52F41">
              <w:rPr>
                <w:rFonts w:ascii="Arial" w:hAnsi="Arial" w:cs="Arial"/>
                <w:sz w:val="20"/>
                <w:szCs w:val="20"/>
              </w:rPr>
              <w:t>Potrebe se bodo naslavljale s projekti EIP ter pristopom lokalnega razvoja, ki ga vodi skupnost, pri katerem se lokalno prebivalstvo spodbuja, da aktivno odloča in usmerja razvoj lokalnega območja. S tem se namreč krepi lokalna identiteta, občutek pripadnosti in možnosti vplivanja na razvoj, socialna kohezija med prebivalci, ustvarjajo se pogoji za boljše izkoriščanje endogenih razvojnih potencialov lokalnega okolja.</w:t>
            </w:r>
          </w:p>
        </w:tc>
      </w:tr>
      <w:tr w:rsidR="005B5B34" w:rsidRPr="00A52F41" w14:paraId="0055037C" w14:textId="77777777" w:rsidTr="005B5B34">
        <w:tc>
          <w:tcPr>
            <w:tcW w:w="704" w:type="dxa"/>
          </w:tcPr>
          <w:p w14:paraId="17530C93" w14:textId="053AB041" w:rsidR="005B5B34" w:rsidRPr="00A52F41" w:rsidRDefault="00B17449" w:rsidP="00EA2E4C">
            <w:pPr>
              <w:spacing w:line="360" w:lineRule="auto"/>
              <w:jc w:val="both"/>
              <w:rPr>
                <w:rFonts w:ascii="Arial" w:hAnsi="Arial" w:cs="Arial"/>
                <w:b/>
                <w:sz w:val="20"/>
                <w:szCs w:val="20"/>
              </w:rPr>
            </w:pPr>
            <w:r>
              <w:rPr>
                <w:rFonts w:ascii="Arial" w:hAnsi="Arial" w:cs="Arial"/>
                <w:b/>
                <w:sz w:val="20"/>
                <w:szCs w:val="20"/>
              </w:rPr>
              <w:lastRenderedPageBreak/>
              <w:t>3</w:t>
            </w:r>
          </w:p>
        </w:tc>
        <w:tc>
          <w:tcPr>
            <w:tcW w:w="1701" w:type="dxa"/>
          </w:tcPr>
          <w:p w14:paraId="3F861873" w14:textId="393091B8" w:rsidR="005B5B34" w:rsidRPr="00A52F41" w:rsidRDefault="005B5B34" w:rsidP="00EA2E4C">
            <w:pPr>
              <w:spacing w:line="360" w:lineRule="auto"/>
              <w:jc w:val="both"/>
              <w:rPr>
                <w:rFonts w:ascii="Arial" w:hAnsi="Arial" w:cs="Arial"/>
                <w:b/>
                <w:sz w:val="20"/>
                <w:szCs w:val="20"/>
              </w:rPr>
            </w:pPr>
            <w:r w:rsidRPr="00A52F41">
              <w:rPr>
                <w:rFonts w:ascii="Arial" w:hAnsi="Arial" w:cs="Arial"/>
                <w:b/>
                <w:sz w:val="20"/>
                <w:szCs w:val="20"/>
              </w:rPr>
              <w:t>Spodbujanje zaposlovanja in podjetništvo na podeželju</w:t>
            </w:r>
          </w:p>
          <w:p w14:paraId="1664B6FE" w14:textId="77777777" w:rsidR="005B5B34" w:rsidRPr="00A52F41" w:rsidRDefault="005B5B34" w:rsidP="00EA2E4C">
            <w:pPr>
              <w:spacing w:line="360" w:lineRule="auto"/>
              <w:jc w:val="both"/>
              <w:rPr>
                <w:rFonts w:ascii="Arial" w:hAnsi="Arial" w:cs="Arial"/>
                <w:sz w:val="20"/>
                <w:szCs w:val="20"/>
              </w:rPr>
            </w:pPr>
          </w:p>
        </w:tc>
        <w:tc>
          <w:tcPr>
            <w:tcW w:w="7088" w:type="dxa"/>
          </w:tcPr>
          <w:p w14:paraId="30CCDF21" w14:textId="77777777" w:rsidR="005B5B34" w:rsidRPr="00A52F41" w:rsidRDefault="005B5B34" w:rsidP="00EA2E4C">
            <w:pPr>
              <w:spacing w:line="360" w:lineRule="auto"/>
              <w:contextualSpacing/>
              <w:jc w:val="both"/>
              <w:rPr>
                <w:rFonts w:ascii="Arial" w:hAnsi="Arial" w:cs="Arial"/>
                <w:sz w:val="20"/>
                <w:szCs w:val="20"/>
              </w:rPr>
            </w:pPr>
            <w:r w:rsidRPr="00A52F41">
              <w:rPr>
                <w:rFonts w:ascii="Arial" w:hAnsi="Arial" w:cs="Arial"/>
                <w:sz w:val="20"/>
                <w:szCs w:val="20"/>
              </w:rPr>
              <w:t>Demografske spremembe ob zmanjšanju generacij mladih v formalnem izobraževanju in dnevnih migracijah in odseljevanju s podeželja za boljšimi pogoji za delo in življenje zmanjšujejo ponudbo delovne sile na podeželju, kar lahko v prihodnosti postane omejitveni dejavnik za gospodarski razvoj. Po drugi strani pa se dosežena stopnja izobrazbe izboljšuje, še posebej žensk, ki na podeželju ne najdejo ustreznih delovnih mest.</w:t>
            </w:r>
          </w:p>
          <w:p w14:paraId="3E98B8F3" w14:textId="77777777" w:rsidR="005B5B34" w:rsidRPr="00A52F41" w:rsidRDefault="005B5B34" w:rsidP="00EA2E4C">
            <w:pPr>
              <w:spacing w:line="360" w:lineRule="auto"/>
              <w:contextualSpacing/>
              <w:jc w:val="both"/>
              <w:rPr>
                <w:rFonts w:ascii="Arial" w:hAnsi="Arial" w:cs="Arial"/>
                <w:sz w:val="20"/>
                <w:szCs w:val="20"/>
              </w:rPr>
            </w:pPr>
            <w:r w:rsidRPr="00A52F41">
              <w:rPr>
                <w:rFonts w:ascii="Arial" w:hAnsi="Arial" w:cs="Arial"/>
                <w:sz w:val="20"/>
                <w:szCs w:val="20"/>
              </w:rPr>
              <w:t>Stopnja brezposelnosti se po ohlajanju gospodarstva v zadnjih letih in po razglasitvi epidemije COVID-19 povečuje, še posebej med mladimi, pa tudi med starejšimi trajno presežnimi delavci.</w:t>
            </w:r>
          </w:p>
          <w:p w14:paraId="03FC1274" w14:textId="18998054"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r w:rsidRPr="00A52F41">
              <w:rPr>
                <w:rFonts w:ascii="Arial" w:hAnsi="Arial" w:cs="Arial"/>
                <w:sz w:val="20"/>
                <w:szCs w:val="20"/>
              </w:rPr>
              <w:lastRenderedPageBreak/>
              <w:t>Za preživetje in vitalnost podeželja je ključno oblikovanje delovnih mest tudi izven kmetijstva, diverzifikacija gospodarskih dejavnosti,</w:t>
            </w:r>
            <w:r>
              <w:rPr>
                <w:rFonts w:ascii="Arial" w:hAnsi="Arial" w:cs="Arial"/>
                <w:sz w:val="20"/>
                <w:szCs w:val="20"/>
              </w:rPr>
              <w:t xml:space="preserve"> </w:t>
            </w:r>
            <w:r w:rsidRPr="00A52F41">
              <w:rPr>
                <w:rFonts w:ascii="Arial" w:hAnsi="Arial" w:cs="Arial"/>
                <w:sz w:val="20"/>
                <w:szCs w:val="20"/>
              </w:rPr>
              <w:t>in intenzivnejše medsebojno poslovanje med gospodarskimi subjekti.</w:t>
            </w:r>
          </w:p>
          <w:p w14:paraId="785CAD40" w14:textId="77777777"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r w:rsidRPr="00A52F41">
              <w:rPr>
                <w:rFonts w:ascii="Arial" w:hAnsi="Arial" w:cs="Arial"/>
                <w:sz w:val="20"/>
                <w:szCs w:val="20"/>
              </w:rPr>
              <w:t>Problem odseljevanja mladih s podeželja in dnevnih migracij je potrebno reševati s spodbujanjem gospodarske aktivnosti na podeželju, ustavljanjem ugodnega podjetniškega okolja za vse stopnje izobrazbe prebivalcev, tudi za visoko izobražene.</w:t>
            </w:r>
          </w:p>
          <w:p w14:paraId="166F6A89" w14:textId="77777777"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r w:rsidRPr="00A52F41">
              <w:rPr>
                <w:rFonts w:ascii="Arial" w:hAnsi="Arial" w:cs="Arial"/>
                <w:sz w:val="20"/>
                <w:szCs w:val="20"/>
              </w:rPr>
              <w:t>Za pospešitev gospodarskih aktivnosti in podjetniškega okolja je potrebno omogočiti investicije v podjetja.</w:t>
            </w:r>
          </w:p>
          <w:p w14:paraId="4B56CE07" w14:textId="77777777"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r w:rsidRPr="00A52F41">
              <w:rPr>
                <w:rFonts w:ascii="Arial" w:hAnsi="Arial" w:cs="Arial"/>
                <w:sz w:val="20"/>
                <w:szCs w:val="20"/>
              </w:rPr>
              <w:t>Zagotoviti je potrebno podporo mikro in malim podjetjem ter kmetijam z dopolnilno dejavnostjo, ki svoj razvoj povezujejo z aktivacijo endogenih potencialov na podeželju in s tem ustvarjajo pogoje za ohranitev obstoječih in vzpostavitev novih delovnih mest, kot tudi dodaten vir dohodka na podeželju.</w:t>
            </w:r>
          </w:p>
          <w:p w14:paraId="5C2ACE97" w14:textId="77777777" w:rsidR="005B5B34" w:rsidRPr="00A52F41" w:rsidRDefault="005B5B34" w:rsidP="00EA2E4C">
            <w:pPr>
              <w:spacing w:line="360" w:lineRule="auto"/>
              <w:contextualSpacing/>
              <w:jc w:val="both"/>
              <w:rPr>
                <w:rFonts w:ascii="Arial" w:hAnsi="Arial" w:cs="Arial"/>
                <w:sz w:val="20"/>
                <w:szCs w:val="20"/>
              </w:rPr>
            </w:pPr>
          </w:p>
        </w:tc>
      </w:tr>
      <w:tr w:rsidR="005B5B34" w:rsidRPr="00A52F41" w14:paraId="29A6A21C" w14:textId="77777777" w:rsidTr="005B5B34">
        <w:tc>
          <w:tcPr>
            <w:tcW w:w="704" w:type="dxa"/>
          </w:tcPr>
          <w:p w14:paraId="32788769" w14:textId="2D840D40" w:rsidR="005B5B34" w:rsidRPr="00A52F41" w:rsidRDefault="00B17449" w:rsidP="00EA2E4C">
            <w:pPr>
              <w:spacing w:line="360" w:lineRule="auto"/>
              <w:jc w:val="both"/>
              <w:rPr>
                <w:rFonts w:ascii="Arial" w:hAnsi="Arial" w:cs="Arial"/>
                <w:b/>
                <w:sz w:val="20"/>
                <w:szCs w:val="20"/>
              </w:rPr>
            </w:pPr>
            <w:r>
              <w:rPr>
                <w:rFonts w:ascii="Arial" w:hAnsi="Arial" w:cs="Arial"/>
                <w:b/>
                <w:sz w:val="20"/>
                <w:szCs w:val="20"/>
              </w:rPr>
              <w:lastRenderedPageBreak/>
              <w:t>4</w:t>
            </w:r>
          </w:p>
        </w:tc>
        <w:tc>
          <w:tcPr>
            <w:tcW w:w="1701" w:type="dxa"/>
          </w:tcPr>
          <w:p w14:paraId="58736AE9" w14:textId="681616E0" w:rsidR="005B5B34" w:rsidRPr="00A52F41" w:rsidRDefault="005B5B34" w:rsidP="00EA2E4C">
            <w:pPr>
              <w:spacing w:line="360" w:lineRule="auto"/>
              <w:jc w:val="both"/>
              <w:rPr>
                <w:rFonts w:ascii="Arial" w:hAnsi="Arial" w:cs="Arial"/>
                <w:sz w:val="20"/>
                <w:szCs w:val="20"/>
              </w:rPr>
            </w:pPr>
            <w:r w:rsidRPr="00A52F41">
              <w:rPr>
                <w:rFonts w:ascii="Arial" w:hAnsi="Arial" w:cs="Arial"/>
                <w:b/>
                <w:sz w:val="20"/>
                <w:szCs w:val="20"/>
              </w:rPr>
              <w:t>Razvoj krožnega gospodarstva in  biogospodarstva na podeželju</w:t>
            </w:r>
          </w:p>
        </w:tc>
        <w:tc>
          <w:tcPr>
            <w:tcW w:w="7088" w:type="dxa"/>
          </w:tcPr>
          <w:p w14:paraId="6F15F2A0" w14:textId="77777777" w:rsidR="005B5B34" w:rsidRPr="001B07B3" w:rsidRDefault="005B5B34" w:rsidP="00A05198">
            <w:pPr>
              <w:pStyle w:val="Odstavekseznama"/>
              <w:numPr>
                <w:ilvl w:val="0"/>
                <w:numId w:val="41"/>
              </w:numPr>
              <w:spacing w:line="360" w:lineRule="auto"/>
              <w:ind w:left="202" w:hanging="142"/>
              <w:jc w:val="both"/>
              <w:rPr>
                <w:rFonts w:ascii="Arial" w:hAnsi="Arial" w:cs="Arial"/>
                <w:sz w:val="20"/>
                <w:szCs w:val="20"/>
              </w:rPr>
            </w:pPr>
            <w:r w:rsidRPr="001B07B3">
              <w:rPr>
                <w:rFonts w:ascii="Arial" w:hAnsi="Arial" w:cs="Arial"/>
                <w:sz w:val="20"/>
                <w:szCs w:val="20"/>
              </w:rPr>
              <w:t xml:space="preserve">Uvajanje trajnostnih načel v gospodarstvo v okviru krožnega gospodarstva in biogospodarstva vodi tudi k ustvarjanju novih delovnih mest, zlasti na podeželskih območjih z večjo udeležbo primarnih proizvajalcev v lokalnem okolju. </w:t>
            </w:r>
          </w:p>
          <w:p w14:paraId="3809D4D1" w14:textId="314B5639" w:rsidR="005B5B34" w:rsidRPr="001B07B3" w:rsidRDefault="005B5B34" w:rsidP="00BE756C">
            <w:pPr>
              <w:pStyle w:val="Odstavekseznama"/>
              <w:spacing w:line="360" w:lineRule="auto"/>
              <w:ind w:left="202"/>
              <w:jc w:val="both"/>
              <w:rPr>
                <w:rFonts w:ascii="Arial" w:hAnsi="Arial" w:cs="Arial"/>
                <w:sz w:val="20"/>
                <w:szCs w:val="20"/>
              </w:rPr>
            </w:pPr>
            <w:r w:rsidRPr="001B07B3">
              <w:rPr>
                <w:rFonts w:ascii="Arial" w:hAnsi="Arial" w:cs="Arial"/>
                <w:sz w:val="20"/>
                <w:szCs w:val="20"/>
              </w:rPr>
              <w:t>V okviru zasledovanja ciljev iz te potrebe je potrebno zagotoviti podporo različnim vrstam subjekt</w:t>
            </w:r>
            <w:r>
              <w:rPr>
                <w:rFonts w:ascii="Arial" w:hAnsi="Arial" w:cs="Arial"/>
                <w:sz w:val="20"/>
                <w:szCs w:val="20"/>
              </w:rPr>
              <w:t>o</w:t>
            </w:r>
            <w:r w:rsidRPr="001B07B3">
              <w:rPr>
                <w:rFonts w:ascii="Arial" w:hAnsi="Arial" w:cs="Arial"/>
                <w:sz w:val="20"/>
                <w:szCs w:val="20"/>
              </w:rPr>
              <w:t>v na podeželju za izvajanje aktivnosti vključene</w:t>
            </w:r>
            <w:r>
              <w:rPr>
                <w:rFonts w:ascii="Arial" w:hAnsi="Arial" w:cs="Arial"/>
                <w:sz w:val="20"/>
                <w:szCs w:val="20"/>
              </w:rPr>
              <w:t xml:space="preserve"> v</w:t>
            </w:r>
            <w:r w:rsidRPr="001B07B3">
              <w:rPr>
                <w:rFonts w:ascii="Arial" w:hAnsi="Arial" w:cs="Arial"/>
                <w:sz w:val="20"/>
                <w:szCs w:val="20"/>
              </w:rPr>
              <w:t xml:space="preserve"> vsebine krožnega gospodarstva in biogospodarstva (kot npr. ponovna uporaba odpadnih surovin iz kmetijstva, trajnostna raba naravnih virov, npr. vode, razvoj novih procesov in tehnologij za zmanjšanje obremenitev na okolje iz kmetijstva, razvoj novih produktov iz biomasnih ostankov</w:t>
            </w:r>
            <w:r>
              <w:rPr>
                <w:rFonts w:ascii="Arial" w:hAnsi="Arial" w:cs="Arial"/>
                <w:sz w:val="20"/>
                <w:szCs w:val="20"/>
              </w:rPr>
              <w:t>, pridobivanje energije iz OVE</w:t>
            </w:r>
            <w:r w:rsidRPr="001B07B3">
              <w:rPr>
                <w:rFonts w:ascii="Arial" w:hAnsi="Arial" w:cs="Arial"/>
                <w:sz w:val="20"/>
                <w:szCs w:val="20"/>
              </w:rPr>
              <w:t xml:space="preserve"> idr.). Razvoj krožnega gospodarstva in biogospodarstva na podeželskih območjih se bo podpiralo in naslavljalo tako skozi intervencijo v okviru tega specifičnega cilja kakor tudi skozi druge intervencije v </w:t>
            </w:r>
            <w:r>
              <w:rPr>
                <w:rFonts w:ascii="Arial" w:hAnsi="Arial" w:cs="Arial"/>
                <w:sz w:val="20"/>
                <w:szCs w:val="20"/>
              </w:rPr>
              <w:t>okviru drugih specifičnih ciljev</w:t>
            </w:r>
            <w:r w:rsidRPr="001B07B3">
              <w:rPr>
                <w:rFonts w:ascii="Arial" w:hAnsi="Arial" w:cs="Arial"/>
                <w:sz w:val="20"/>
                <w:szCs w:val="20"/>
              </w:rPr>
              <w:t xml:space="preserve"> saj gre tudi za horizontalni pristop naslavljanja </w:t>
            </w:r>
            <w:r>
              <w:rPr>
                <w:rFonts w:ascii="Arial" w:hAnsi="Arial" w:cs="Arial"/>
                <w:sz w:val="20"/>
                <w:szCs w:val="20"/>
              </w:rPr>
              <w:t xml:space="preserve">omenjene </w:t>
            </w:r>
            <w:r w:rsidRPr="001B07B3">
              <w:rPr>
                <w:rFonts w:ascii="Arial" w:hAnsi="Arial" w:cs="Arial"/>
                <w:sz w:val="20"/>
                <w:szCs w:val="20"/>
              </w:rPr>
              <w:t>potrebe.</w:t>
            </w:r>
          </w:p>
          <w:p w14:paraId="5ED955B2" w14:textId="1F216191"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p>
        </w:tc>
      </w:tr>
      <w:tr w:rsidR="005B5B34" w:rsidRPr="00A52F41" w14:paraId="43C772C5" w14:textId="77777777" w:rsidTr="005B5B34">
        <w:tc>
          <w:tcPr>
            <w:tcW w:w="704" w:type="dxa"/>
          </w:tcPr>
          <w:p w14:paraId="07EE7600" w14:textId="596BD5FE" w:rsidR="005B5B34" w:rsidRPr="00A52F41" w:rsidRDefault="00B17449" w:rsidP="00EA2E4C">
            <w:pPr>
              <w:spacing w:line="360" w:lineRule="auto"/>
              <w:jc w:val="both"/>
              <w:rPr>
                <w:rFonts w:ascii="Arial" w:hAnsi="Arial" w:cs="Arial"/>
                <w:b/>
                <w:sz w:val="20"/>
                <w:szCs w:val="20"/>
              </w:rPr>
            </w:pPr>
            <w:r>
              <w:rPr>
                <w:rFonts w:ascii="Arial" w:hAnsi="Arial" w:cs="Arial"/>
                <w:b/>
                <w:sz w:val="20"/>
                <w:szCs w:val="20"/>
              </w:rPr>
              <w:t>5</w:t>
            </w:r>
          </w:p>
        </w:tc>
        <w:tc>
          <w:tcPr>
            <w:tcW w:w="1701" w:type="dxa"/>
          </w:tcPr>
          <w:p w14:paraId="78A5C9FC" w14:textId="54EFA088" w:rsidR="005B5B34" w:rsidRPr="00A52F41" w:rsidRDefault="005B5B34" w:rsidP="00EA2E4C">
            <w:pPr>
              <w:spacing w:line="360" w:lineRule="auto"/>
              <w:jc w:val="both"/>
              <w:rPr>
                <w:rFonts w:ascii="Arial" w:hAnsi="Arial" w:cs="Arial"/>
                <w:sz w:val="20"/>
                <w:szCs w:val="20"/>
              </w:rPr>
            </w:pPr>
            <w:r w:rsidRPr="00A52F41">
              <w:rPr>
                <w:rFonts w:ascii="Arial" w:hAnsi="Arial" w:cs="Arial"/>
                <w:b/>
                <w:sz w:val="20"/>
                <w:szCs w:val="20"/>
              </w:rPr>
              <w:t>Spodbujanje različnih oblik sodelovanja ter izboljšanje prenosa znanja in ter informiranje deležnikov na podeželju</w:t>
            </w:r>
          </w:p>
        </w:tc>
        <w:tc>
          <w:tcPr>
            <w:tcW w:w="7088" w:type="dxa"/>
          </w:tcPr>
          <w:p w14:paraId="0B42C322" w14:textId="77777777" w:rsidR="005B5B34" w:rsidRPr="00A52F41" w:rsidRDefault="005B5B34" w:rsidP="00EA2E4C">
            <w:pPr>
              <w:spacing w:line="360" w:lineRule="auto"/>
              <w:contextualSpacing/>
              <w:jc w:val="both"/>
              <w:rPr>
                <w:rFonts w:ascii="Arial" w:hAnsi="Arial" w:cs="Arial"/>
                <w:sz w:val="20"/>
                <w:szCs w:val="20"/>
              </w:rPr>
            </w:pPr>
            <w:r w:rsidRPr="00A52F41">
              <w:rPr>
                <w:rFonts w:ascii="Arial" w:hAnsi="Arial" w:cs="Arial"/>
                <w:sz w:val="20"/>
                <w:szCs w:val="20"/>
              </w:rPr>
              <w:t>Na podlagi analize je ugotovljeno, da se vključenost prebivalcev v vseživljenjsko učenje še ni začela povečevati, kar zmanjšuje možnost odraslih za uspešno vključevanje v družbo. Izstopa nizka vključenost nizko izobraženih, starejših in moških v vseživljenjsko učenje, ki zmanjšuje njihove možnosti za vključenost v družbo. spodbujati  vključevanje v vseživljenjsko učenje, ki izboljšuje možnosti za vključenost v družbo.</w:t>
            </w:r>
          </w:p>
          <w:p w14:paraId="1B44A920" w14:textId="77777777"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r w:rsidRPr="00A52F41">
              <w:rPr>
                <w:rFonts w:ascii="Arial" w:hAnsi="Arial" w:cs="Arial"/>
                <w:sz w:val="20"/>
                <w:szCs w:val="20"/>
              </w:rPr>
              <w:t xml:space="preserve">Za pospeševanje podjetništva na podeželju je potrebno omogočiti dobro poznavanje posebnosti in značilnosti poslovnega okolja, na podeželju pa </w:t>
            </w:r>
            <w:r w:rsidRPr="00A52F41">
              <w:rPr>
                <w:rFonts w:ascii="Arial" w:hAnsi="Arial" w:cs="Arial"/>
                <w:sz w:val="20"/>
                <w:szCs w:val="20"/>
              </w:rPr>
              <w:lastRenderedPageBreak/>
              <w:t>tudi značilnosti podeželskega prebivalstva in vsekakor tudi posebnosti gospodarske strukture podeželskih podjetij.</w:t>
            </w:r>
          </w:p>
          <w:p w14:paraId="3418E5D3" w14:textId="77777777"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r w:rsidRPr="00A52F41">
              <w:rPr>
                <w:rFonts w:ascii="Arial" w:hAnsi="Arial" w:cs="Arial"/>
                <w:sz w:val="20"/>
                <w:szCs w:val="20"/>
              </w:rPr>
              <w:t>Za pospeševanje poslovnega okolja na podeželju je potrebno povečati digitalne spretnosti prebivalstva.</w:t>
            </w:r>
          </w:p>
          <w:p w14:paraId="3A35A825" w14:textId="77777777" w:rsidR="005B5B34" w:rsidRPr="00A52F41" w:rsidRDefault="005B5B34" w:rsidP="00A05198">
            <w:pPr>
              <w:pStyle w:val="Odstavekseznama"/>
              <w:numPr>
                <w:ilvl w:val="0"/>
                <w:numId w:val="41"/>
              </w:numPr>
              <w:spacing w:line="360" w:lineRule="auto"/>
              <w:ind w:left="202" w:hanging="142"/>
              <w:jc w:val="both"/>
              <w:rPr>
                <w:rFonts w:ascii="Arial" w:hAnsi="Arial" w:cs="Arial"/>
                <w:sz w:val="20"/>
                <w:szCs w:val="20"/>
              </w:rPr>
            </w:pPr>
            <w:r w:rsidRPr="00A52F41">
              <w:rPr>
                <w:rFonts w:ascii="Arial" w:hAnsi="Arial" w:cs="Arial"/>
                <w:sz w:val="20"/>
                <w:szCs w:val="20"/>
              </w:rPr>
              <w:t>Potrebno je zagotavljati usposobljenost vodilnih partnerjev lokalnih akcijskih skupina, ter jim omogočiti poznavanje različnih področij zakonodaje, javnega naročanja, projektnega dela idr.</w:t>
            </w:r>
          </w:p>
        </w:tc>
      </w:tr>
    </w:tbl>
    <w:p w14:paraId="4912844E" w14:textId="77777777" w:rsidR="00C0502F" w:rsidRPr="00A52F41" w:rsidRDefault="00C0502F" w:rsidP="00EA2E4C">
      <w:pPr>
        <w:spacing w:line="360" w:lineRule="auto"/>
        <w:jc w:val="both"/>
        <w:rPr>
          <w:rFonts w:ascii="Arial" w:hAnsi="Arial" w:cs="Arial"/>
        </w:rPr>
      </w:pPr>
      <w:r w:rsidRPr="00A52F41">
        <w:rPr>
          <w:rFonts w:ascii="Arial" w:hAnsi="Arial" w:cs="Arial"/>
        </w:rPr>
        <w:lastRenderedPageBreak/>
        <w:br w:type="page"/>
      </w:r>
    </w:p>
    <w:p w14:paraId="666A86A4" w14:textId="3735BA80" w:rsidR="00186223" w:rsidRPr="00A32B6B" w:rsidRDefault="00186223" w:rsidP="00F2549A">
      <w:pPr>
        <w:pStyle w:val="Odstavekseznama"/>
        <w:spacing w:line="360" w:lineRule="auto"/>
        <w:ind w:left="644"/>
        <w:jc w:val="both"/>
        <w:rPr>
          <w:rFonts w:ascii="Arial" w:hAnsi="Arial" w:cs="Arial"/>
          <w:b/>
          <w:sz w:val="28"/>
          <w:szCs w:val="28"/>
        </w:rPr>
      </w:pPr>
      <w:r w:rsidRPr="00A32B6B">
        <w:rPr>
          <w:rFonts w:ascii="Arial" w:hAnsi="Arial" w:cs="Arial"/>
          <w:b/>
          <w:sz w:val="28"/>
          <w:szCs w:val="28"/>
        </w:rPr>
        <w:lastRenderedPageBreak/>
        <w:t>VIRI IN LITARATURA</w:t>
      </w:r>
    </w:p>
    <w:p w14:paraId="1FBC2768" w14:textId="77777777" w:rsidR="00A77E41" w:rsidRPr="00140E7C" w:rsidRDefault="00A77E41" w:rsidP="00A05198">
      <w:pPr>
        <w:pStyle w:val="Sprotnaopomba-besedilo"/>
        <w:numPr>
          <w:ilvl w:val="0"/>
          <w:numId w:val="43"/>
        </w:numPr>
        <w:spacing w:before="200" w:after="200" w:line="360" w:lineRule="auto"/>
        <w:jc w:val="left"/>
        <w:rPr>
          <w:rFonts w:ascii="Arial" w:hAnsi="Arial" w:cs="Arial"/>
        </w:rPr>
      </w:pPr>
      <w:r w:rsidRPr="00BE756C">
        <w:rPr>
          <w:rFonts w:ascii="Arial" w:hAnsi="Arial" w:cs="Arial"/>
        </w:rPr>
        <w:t xml:space="preserve">AJPES, 2020: Podatki iz Poslovnega registra Slovenije. Pridobljeno avgusta 2020, s </w:t>
      </w:r>
      <w:hyperlink r:id="rId61" w:history="1">
        <w:r w:rsidRPr="00140E7C">
          <w:rPr>
            <w:rStyle w:val="Hiperpovezava"/>
            <w:rFonts w:ascii="Arial" w:hAnsi="Arial" w:cs="Arial"/>
          </w:rPr>
          <w:t>https://www.ajpes.si/Registri/Poslovni_register/Porocila</w:t>
        </w:r>
      </w:hyperlink>
    </w:p>
    <w:p w14:paraId="104094DB" w14:textId="77777777" w:rsidR="00A77E41" w:rsidRPr="00BE756C" w:rsidRDefault="00A77E41" w:rsidP="00A05198">
      <w:pPr>
        <w:pStyle w:val="Sprotnaopomba-besedilo"/>
        <w:numPr>
          <w:ilvl w:val="0"/>
          <w:numId w:val="43"/>
        </w:numPr>
        <w:spacing w:before="200" w:after="200" w:line="360" w:lineRule="auto"/>
        <w:jc w:val="left"/>
        <w:rPr>
          <w:rFonts w:ascii="Arial" w:hAnsi="Arial" w:cs="Arial"/>
        </w:rPr>
      </w:pPr>
      <w:r w:rsidRPr="00BE756C">
        <w:rPr>
          <w:rFonts w:ascii="Arial" w:hAnsi="Arial" w:cs="Arial"/>
        </w:rPr>
        <w:t xml:space="preserve">ARSO 2017: Agencija RS za okolje, Kazalci okolja, Obnovljivi viri energije. Pridobljeno avgusta 2020 s </w:t>
      </w:r>
      <w:hyperlink r:id="rId62" w:history="1">
        <w:r w:rsidRPr="00BE756C">
          <w:rPr>
            <w:rStyle w:val="Hiperpovezava"/>
            <w:rFonts w:ascii="Arial" w:hAnsi="Arial" w:cs="Arial"/>
          </w:rPr>
          <w:t>http://kazalci.arso.gov.si/sl/content/obnovljivi-viri-energije-3</w:t>
        </w:r>
      </w:hyperlink>
    </w:p>
    <w:p w14:paraId="189B4165" w14:textId="77777777" w:rsidR="00A77E41" w:rsidRPr="00BE756C" w:rsidRDefault="00A77E41" w:rsidP="00A05198">
      <w:pPr>
        <w:pStyle w:val="Sprotnaopomba-besedilo"/>
        <w:numPr>
          <w:ilvl w:val="0"/>
          <w:numId w:val="43"/>
        </w:numPr>
        <w:spacing w:before="200" w:after="200" w:line="360" w:lineRule="auto"/>
        <w:jc w:val="left"/>
        <w:rPr>
          <w:rStyle w:val="inline"/>
          <w:rFonts w:ascii="Arial" w:hAnsi="Arial" w:cs="Arial"/>
        </w:rPr>
      </w:pPr>
      <w:r w:rsidRPr="00BE756C">
        <w:rPr>
          <w:rFonts w:ascii="Arial" w:hAnsi="Arial" w:cs="Arial"/>
        </w:rPr>
        <w:t>ARSO 2020: Agencija RS za okolje, Kazalci okolja</w:t>
      </w:r>
      <w:r w:rsidRPr="00BE756C">
        <w:rPr>
          <w:rStyle w:val="inline"/>
          <w:rFonts w:ascii="Arial" w:hAnsi="Arial" w:cs="Arial"/>
        </w:rPr>
        <w:t xml:space="preserve">, Lesna zaloga s prirastkom in posekom pridobljeno avgusta 2020 s </w:t>
      </w:r>
      <w:hyperlink r:id="rId63" w:history="1">
        <w:r w:rsidRPr="00BE756C">
          <w:rPr>
            <w:rStyle w:val="Hiperpovezava"/>
            <w:rFonts w:ascii="Arial" w:hAnsi="Arial" w:cs="Arial"/>
          </w:rPr>
          <w:t>http://kazalci.arso.gov.si/sl/content/lesna-zaloga-s-prirastkom-posekom-3</w:t>
        </w:r>
      </w:hyperlink>
    </w:p>
    <w:p w14:paraId="022EB02D" w14:textId="77777777" w:rsidR="00613283" w:rsidRDefault="00D93097" w:rsidP="00A05198">
      <w:pPr>
        <w:pStyle w:val="1"/>
        <w:numPr>
          <w:ilvl w:val="0"/>
          <w:numId w:val="43"/>
        </w:numPr>
        <w:spacing w:before="200" w:after="200" w:line="360" w:lineRule="auto"/>
        <w:jc w:val="left"/>
      </w:pPr>
      <w:r w:rsidRPr="00BE756C">
        <w:t xml:space="preserve">Analytical factsheet EUROSTAT. (2020). Pridobljeno s </w:t>
      </w:r>
      <w:hyperlink r:id="rId64" w:history="1">
        <w:r w:rsidRPr="00BE756C">
          <w:rPr>
            <w:rStyle w:val="Hiperpovezava"/>
          </w:rPr>
          <w:t>https://ec.europa.eu/info/sites/info/files/food-farming-fisheries/key_policies/documents/impact-indicator-fiches_en.pdf</w:t>
        </w:r>
      </w:hyperlink>
    </w:p>
    <w:p w14:paraId="7047BC17" w14:textId="181F41DE" w:rsidR="00D93097" w:rsidRPr="00BE756C" w:rsidRDefault="00D93097" w:rsidP="00A05198">
      <w:pPr>
        <w:pStyle w:val="1"/>
        <w:numPr>
          <w:ilvl w:val="0"/>
          <w:numId w:val="43"/>
        </w:numPr>
        <w:spacing w:before="200" w:after="200" w:line="360" w:lineRule="auto"/>
        <w:jc w:val="left"/>
      </w:pPr>
      <w:r w:rsidRPr="00BE756C">
        <w:t>Anketa o konceptu pametnih vasi. (2020). Pridobljeno s https://www.program-podezelja.si/sl/podezelje-prihodnosti-pametne-vasi/252-pametne-vasi-novice/1171-anketa-o-konceptu-pametnih-vasi</w:t>
      </w:r>
      <w:r w:rsidRPr="00BE756C" w:rsidDel="004B0DB6">
        <w:t xml:space="preserve"> </w:t>
      </w:r>
    </w:p>
    <w:p w14:paraId="0B07BE69" w14:textId="77777777" w:rsidR="00A77E41" w:rsidRPr="00BE756C" w:rsidRDefault="00A77E41"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BEF2, 2015: Bio Energy Farm 2, EU-Project: Market overview micro scale digesters, Plants in EU Countries Pridobljeno julij 2020 s http://www.bioenergyfarm.eu/wp-content/uploads/2015/05/D2.1_EN-Market-overview.pdf</w:t>
      </w:r>
    </w:p>
    <w:p w14:paraId="51BFCA3D" w14:textId="77777777" w:rsidR="00D93097" w:rsidRPr="00BE756C" w:rsidRDefault="00D93097" w:rsidP="00A05198">
      <w:pPr>
        <w:pStyle w:val="1"/>
        <w:numPr>
          <w:ilvl w:val="0"/>
          <w:numId w:val="43"/>
        </w:numPr>
        <w:spacing w:before="200" w:after="200" w:line="360" w:lineRule="auto"/>
        <w:jc w:val="left"/>
      </w:pPr>
      <w:r w:rsidRPr="00BE756C">
        <w:t xml:space="preserve">Blejska deklaracija. (2018). Pridobljeno s </w:t>
      </w:r>
      <w:hyperlink r:id="rId65" w:history="1">
        <w:r w:rsidRPr="00BE756C">
          <w:rPr>
            <w:rStyle w:val="Hiperpovezava"/>
          </w:rPr>
          <w:t>http://pametne-vasi.info/wp-content/uploads/2018/04/Blejska-Deklaracije-Za-za-pametnej%C5%A1o-prihodnost-pode%C5%BEelskih-obmocij-v-EU.pdf</w:t>
        </w:r>
      </w:hyperlink>
    </w:p>
    <w:p w14:paraId="36BD0BE9" w14:textId="77777777" w:rsidR="00D93097" w:rsidRPr="00BE756C" w:rsidRDefault="00D93097" w:rsidP="00A05198">
      <w:pPr>
        <w:pStyle w:val="1"/>
        <w:numPr>
          <w:ilvl w:val="0"/>
          <w:numId w:val="43"/>
        </w:numPr>
        <w:spacing w:before="200" w:after="200" w:line="360" w:lineRule="auto"/>
        <w:jc w:val="left"/>
      </w:pPr>
      <w:r w:rsidRPr="00BE756C">
        <w:t>Črnčič L. (2016). Akcijski prostor mladih na podeželju (diplomsko delo). Filozofska fakulteta, Maribor.</w:t>
      </w:r>
    </w:p>
    <w:p w14:paraId="0D7EB4F3" w14:textId="77777777" w:rsidR="007F5AA9" w:rsidRPr="00BE756C" w:rsidRDefault="007F5AA9"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EBA 2018: European Biogas Association,  Statistical Report2018Annual Statistical Report of the European Biogas Association Pridobljeno julija 2020 s </w:t>
      </w:r>
      <w:hyperlink r:id="rId66" w:history="1">
        <w:r w:rsidRPr="00BE756C">
          <w:rPr>
            <w:rStyle w:val="Hiperpovezava"/>
            <w:rFonts w:ascii="Arial" w:hAnsi="Arial" w:cs="Arial"/>
            <w:sz w:val="20"/>
            <w:szCs w:val="20"/>
          </w:rPr>
          <w:t>https://www.europeanbiogas.eu/wp-content/uploads/2019/11/EBA_report2018_abriged_A4_vers12_220519_RZweb.pdf</w:t>
        </w:r>
      </w:hyperlink>
    </w:p>
    <w:p w14:paraId="50F096CF"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EK 2020: Evropska komisija, Podatki pridobljeni, 20. 8. 2020 s </w:t>
      </w:r>
      <w:hyperlink r:id="rId67" w:history="1">
        <w:r w:rsidRPr="00BE756C">
          <w:rPr>
            <w:rStyle w:val="Hiperpovezava"/>
            <w:rFonts w:ascii="Arial" w:hAnsi="Arial" w:cs="Arial"/>
            <w:sz w:val="20"/>
            <w:szCs w:val="20"/>
          </w:rPr>
          <w:t>https://datam.jrc.ec.europa.eu/datam/mashup/BIOECONOMICS/index.html</w:t>
        </w:r>
      </w:hyperlink>
    </w:p>
    <w:p w14:paraId="38D65672"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EK 2018: Evropska komisija: Trajnostno biogospodarstvo za Evropo: krepitev povezave med gospodarstvom, družbo in okoljem. Pridobljeno avgusta 2020 s </w:t>
      </w:r>
      <w:hyperlink r:id="rId68" w:history="1">
        <w:r w:rsidRPr="00BE756C">
          <w:rPr>
            <w:rStyle w:val="Hiperpovezava"/>
            <w:rFonts w:ascii="Arial" w:hAnsi="Arial" w:cs="Arial"/>
            <w:sz w:val="20"/>
            <w:szCs w:val="20"/>
          </w:rPr>
          <w:t>https://eur-lex.europa.eu/legal-content/SL/TXT/PDF/?uri=CELEX:52018DC0673&amp;from=EN</w:t>
        </w:r>
      </w:hyperlink>
    </w:p>
    <w:p w14:paraId="11BF25B0"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EK Data, 2020: Evropska komisija, Data Explorer, Pridobljeno avgusta 2020 s </w:t>
      </w:r>
      <w:hyperlink r:id="rId69" w:history="1">
        <w:r w:rsidRPr="00BE756C">
          <w:rPr>
            <w:rStyle w:val="Hiperpovezava"/>
            <w:rFonts w:ascii="Arial" w:hAnsi="Arial" w:cs="Arial"/>
            <w:sz w:val="20"/>
            <w:szCs w:val="20"/>
          </w:rPr>
          <w:t>https://agridata.ec.europa.eu/extensions/DashboardIndicators/DataExplorer.html</w:t>
        </w:r>
      </w:hyperlink>
    </w:p>
    <w:p w14:paraId="6D159558"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lastRenderedPageBreak/>
        <w:t xml:space="preserve">EK CAP Indicators, 2020: Evropska komisija, CAP Indicators: Pridobljeno julija 2020 s </w:t>
      </w:r>
      <w:hyperlink r:id="rId70" w:history="1">
        <w:r w:rsidRPr="00BE756C">
          <w:rPr>
            <w:rStyle w:val="Hiperpovezava"/>
            <w:rFonts w:ascii="Arial" w:hAnsi="Arial" w:cs="Arial"/>
            <w:sz w:val="20"/>
            <w:szCs w:val="20"/>
          </w:rPr>
          <w:t>https://ec.europa.eu/info/food-farming-fisheries/farming/facts-and-figures/performance-agricultural-policy/cap-indicators/context-indicators_en</w:t>
        </w:r>
      </w:hyperlink>
    </w:p>
    <w:p w14:paraId="700F4AF3"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DE5E3F">
        <w:rPr>
          <w:rFonts w:ascii="Arial" w:eastAsia="Arial" w:hAnsi="Arial" w:cs="Arial"/>
          <w:sz w:val="20"/>
          <w:szCs w:val="20"/>
        </w:rPr>
        <w:t xml:space="preserve">EK Factsheet, 2019: </w:t>
      </w:r>
      <w:r w:rsidRPr="00DE5E3F">
        <w:rPr>
          <w:rFonts w:ascii="Arial" w:eastAsia="Arial" w:hAnsi="Arial" w:cs="Arial"/>
          <w:caps/>
          <w:sz w:val="20"/>
          <w:szCs w:val="20"/>
        </w:rPr>
        <w:t>EU C</w:t>
      </w:r>
      <w:r w:rsidRPr="00DE5E3F">
        <w:rPr>
          <w:rFonts w:ascii="Arial" w:eastAsia="Arial" w:hAnsi="Arial" w:cs="Arial"/>
          <w:sz w:val="20"/>
          <w:szCs w:val="20"/>
        </w:rPr>
        <w:t>ommission, Analytical factsheet for Slovenia, Sept</w:t>
      </w:r>
      <w:r w:rsidRPr="00DE5E3F">
        <w:rPr>
          <w:rFonts w:ascii="Arial" w:eastAsia="Arial" w:hAnsi="Arial" w:cs="Arial"/>
          <w:caps/>
          <w:sz w:val="20"/>
          <w:szCs w:val="20"/>
        </w:rPr>
        <w:t>. 2019</w:t>
      </w:r>
      <w:r w:rsidRPr="00DE5E3F">
        <w:rPr>
          <w:rFonts w:ascii="Arial" w:eastAsia="Arial" w:hAnsi="Arial" w:cs="Arial"/>
          <w:sz w:val="20"/>
          <w:szCs w:val="20"/>
        </w:rPr>
        <w:t xml:space="preserve">. Dostopno: </w:t>
      </w:r>
      <w:hyperlink r:id="rId71" w:history="1">
        <w:r w:rsidRPr="00DE5E3F">
          <w:rPr>
            <w:rStyle w:val="Hiperpovezava"/>
            <w:rFonts w:ascii="Arial" w:hAnsi="Arial" w:cs="Arial"/>
            <w:sz w:val="20"/>
            <w:szCs w:val="20"/>
          </w:rPr>
          <w:t>https://ec.europa.eu/info/sites/info/files/food-farming-fisheries/by_country/documents/analytical_factsheet_sl.pdf</w:t>
        </w:r>
      </w:hyperlink>
    </w:p>
    <w:p w14:paraId="4BC86F92"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Eurostat. (2020). Pridobljeno s </w:t>
      </w:r>
      <w:hyperlink r:id="rId72" w:history="1">
        <w:r w:rsidRPr="00BE756C">
          <w:rPr>
            <w:rStyle w:val="Hiperpovezava"/>
            <w:rFonts w:ascii="Arial" w:hAnsi="Arial" w:cs="Arial"/>
            <w:sz w:val="20"/>
            <w:szCs w:val="20"/>
          </w:rPr>
          <w:t>https://ec.europa.eu/eurostat/home</w:t>
        </w:r>
      </w:hyperlink>
      <w:r w:rsidRPr="00BE756C">
        <w:rPr>
          <w:rFonts w:ascii="Arial" w:hAnsi="Arial" w:cs="Arial"/>
          <w:sz w:val="20"/>
          <w:szCs w:val="20"/>
        </w:rPr>
        <w:t>?</w:t>
      </w:r>
    </w:p>
    <w:p w14:paraId="636D1080" w14:textId="77777777" w:rsidR="00A77E41" w:rsidRPr="00BE756C" w:rsidRDefault="00A77E41" w:rsidP="00A05198">
      <w:pPr>
        <w:pStyle w:val="Sprotnaopomba-besedilo"/>
        <w:numPr>
          <w:ilvl w:val="0"/>
          <w:numId w:val="43"/>
        </w:numPr>
        <w:spacing w:before="200" w:after="200" w:line="360" w:lineRule="auto"/>
        <w:jc w:val="left"/>
        <w:rPr>
          <w:rFonts w:ascii="Arial" w:hAnsi="Arial" w:cs="Arial"/>
        </w:rPr>
      </w:pPr>
      <w:r w:rsidRPr="00BE756C">
        <w:rPr>
          <w:rFonts w:ascii="Arial" w:hAnsi="Arial" w:cs="Arial"/>
        </w:rPr>
        <w:t xml:space="preserve">Eurostat, 2020: Employment rates by sex, age and citizenship (%),  [lfsa_ergan]. Pridobljeno s </w:t>
      </w:r>
      <w:hyperlink r:id="rId73" w:history="1">
        <w:r w:rsidRPr="00BE756C">
          <w:rPr>
            <w:rStyle w:val="Hiperpovezava"/>
            <w:rFonts w:ascii="Arial" w:hAnsi="Arial" w:cs="Arial"/>
          </w:rPr>
          <w:t>https://ec.europa.eu/eurostat/data/database</w:t>
        </w:r>
      </w:hyperlink>
    </w:p>
    <w:p w14:paraId="6A1EDDE2" w14:textId="7DFC4B54" w:rsidR="00A77E41" w:rsidRPr="008D32AC" w:rsidRDefault="00A77E41" w:rsidP="00A05198">
      <w:pPr>
        <w:pStyle w:val="Odstavekseznama"/>
        <w:numPr>
          <w:ilvl w:val="0"/>
          <w:numId w:val="43"/>
        </w:numPr>
        <w:spacing w:before="200" w:line="360" w:lineRule="auto"/>
        <w:contextualSpacing w:val="0"/>
        <w:rPr>
          <w:rStyle w:val="Hiperpovezava"/>
          <w:rFonts w:ascii="Arial" w:hAnsi="Arial" w:cs="Arial"/>
          <w:color w:val="auto"/>
          <w:sz w:val="20"/>
          <w:szCs w:val="20"/>
          <w:u w:val="none"/>
        </w:rPr>
      </w:pPr>
      <w:r w:rsidRPr="00BE756C">
        <w:rPr>
          <w:rFonts w:ascii="Arial" w:hAnsi="Arial" w:cs="Arial"/>
          <w:sz w:val="20"/>
          <w:szCs w:val="20"/>
        </w:rPr>
        <w:t>Eurostat, 2020:</w:t>
      </w:r>
      <w:r w:rsidRPr="00DE5E3F">
        <w:rPr>
          <w:rFonts w:ascii="Arial" w:hAnsi="Arial" w:cs="Arial"/>
          <w:sz w:val="20"/>
          <w:szCs w:val="20"/>
        </w:rPr>
        <w:t xml:space="preserve"> [tour_occ_ninat] Pridobljeno s </w:t>
      </w:r>
      <w:hyperlink r:id="rId74" w:history="1">
        <w:r w:rsidRPr="00DE5E3F">
          <w:rPr>
            <w:rStyle w:val="Hiperpovezava"/>
            <w:rFonts w:ascii="Arial" w:hAnsi="Arial" w:cs="Arial"/>
            <w:sz w:val="20"/>
            <w:szCs w:val="20"/>
          </w:rPr>
          <w:t>https://ec.europa.eu/eurostat/data/database</w:t>
        </w:r>
      </w:hyperlink>
    </w:p>
    <w:p w14:paraId="52E2BEDD" w14:textId="479B91D2" w:rsidR="00276257" w:rsidRPr="00DE5E3F" w:rsidRDefault="00276257" w:rsidP="00276257">
      <w:pPr>
        <w:pStyle w:val="Odstavekseznama"/>
        <w:numPr>
          <w:ilvl w:val="0"/>
          <w:numId w:val="43"/>
        </w:numPr>
        <w:spacing w:before="200" w:line="360" w:lineRule="auto"/>
        <w:contextualSpacing w:val="0"/>
        <w:rPr>
          <w:rFonts w:ascii="Arial" w:hAnsi="Arial" w:cs="Arial"/>
          <w:sz w:val="20"/>
          <w:szCs w:val="20"/>
        </w:rPr>
      </w:pPr>
      <w:r>
        <w:rPr>
          <w:rFonts w:ascii="Arial" w:hAnsi="Arial" w:cs="Arial"/>
          <w:sz w:val="20"/>
          <w:szCs w:val="20"/>
        </w:rPr>
        <w:t>Globalni podjetniški monitor, 201</w:t>
      </w:r>
      <w:r w:rsidR="004542C8">
        <w:rPr>
          <w:rFonts w:ascii="Arial" w:hAnsi="Arial" w:cs="Arial"/>
          <w:sz w:val="20"/>
          <w:szCs w:val="20"/>
        </w:rPr>
        <w:t>9</w:t>
      </w:r>
      <w:r>
        <w:rPr>
          <w:rFonts w:ascii="Arial" w:hAnsi="Arial" w:cs="Arial"/>
          <w:sz w:val="20"/>
          <w:szCs w:val="20"/>
        </w:rPr>
        <w:t xml:space="preserve"> (</w:t>
      </w:r>
      <w:r w:rsidR="004542C8">
        <w:rPr>
          <w:rFonts w:ascii="Arial" w:hAnsi="Arial" w:cs="Arial"/>
          <w:sz w:val="20"/>
          <w:szCs w:val="20"/>
        </w:rPr>
        <w:t>GPM Slovenija</w:t>
      </w:r>
      <w:r>
        <w:rPr>
          <w:rFonts w:ascii="Arial" w:hAnsi="Arial" w:cs="Arial"/>
          <w:sz w:val="20"/>
          <w:szCs w:val="20"/>
        </w:rPr>
        <w:t xml:space="preserve">). Pridobljeno s: </w:t>
      </w:r>
      <w:r w:rsidR="004542C8" w:rsidRPr="004542C8">
        <w:t>http</w:t>
      </w:r>
      <w:r w:rsidRPr="005D7155">
        <w:t>://ipmmp.um.si/wp-content/uploads/</w:t>
      </w:r>
      <w:r w:rsidR="004542C8" w:rsidRPr="004542C8">
        <w:t>2020</w:t>
      </w:r>
      <w:r w:rsidRPr="005D7155">
        <w:t>/06/GEM_2019_</w:t>
      </w:r>
      <w:r w:rsidR="004542C8" w:rsidRPr="004542C8">
        <w:t>monografija</w:t>
      </w:r>
      <w:r w:rsidRPr="005D7155">
        <w:t>.pdf</w:t>
      </w:r>
    </w:p>
    <w:p w14:paraId="3D3309B5" w14:textId="77777777" w:rsidR="00A77E41" w:rsidRPr="00BE756C" w:rsidRDefault="00A77E41"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GV, 2019: Arnič, D., Prislan, P., Juvančič, L.,: Raba lesa v slovenskem biogospodarstvu; Gozdarski vestnik, 77/2019, št. 10. Pridobljeno s </w:t>
      </w:r>
      <w:hyperlink r:id="rId75" w:history="1">
        <w:r w:rsidRPr="00BE756C">
          <w:rPr>
            <w:rFonts w:ascii="Arial" w:hAnsi="Arial" w:cs="Arial"/>
            <w:sz w:val="20"/>
            <w:szCs w:val="20"/>
          </w:rPr>
          <w:t>https://dirros.openscience.si/IzpisGradiva.php?id=10463</w:t>
        </w:r>
      </w:hyperlink>
    </w:p>
    <w:p w14:paraId="598F9C4E"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Hostnik B. (ur.). (2015). Obnova objektov kulturne dediščine v okviru Programa razvoja podeželja Republike Slovenije 2007-2013. Ljubljana : Ministrstvo za kmetijstvo, gozdarstvo in prehrano.</w:t>
      </w:r>
    </w:p>
    <w:p w14:paraId="756C3007"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Informacija o poslovanju društev v Republiki Sloveniji v letu 2008. (2009). Pridobljeno s https://www.ajpes.si/doc/LP/Informacije/Informacija_LP_drustva_2008.pdf</w:t>
      </w:r>
    </w:p>
    <w:p w14:paraId="527B78A0"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Informacija o poslovanju društev v Republiki Sloveniji v letu 2013. (2014). Pridobljeno s https://www.ajpes.si/doc/LP/Informacije/Informacija_LP_drustva_2013.pdf</w:t>
      </w:r>
    </w:p>
    <w:p w14:paraId="65CF642B"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Informacija o poslovanju društev v Republiki Sloveniji v letu 2018. (2019). Pridobljeno s </w:t>
      </w:r>
      <w:hyperlink r:id="rId76" w:history="1">
        <w:r w:rsidRPr="00BE756C">
          <w:rPr>
            <w:rStyle w:val="Hiperpovezava"/>
            <w:rFonts w:ascii="Arial" w:hAnsi="Arial" w:cs="Arial"/>
            <w:sz w:val="20"/>
            <w:szCs w:val="20"/>
          </w:rPr>
          <w:t>https://www.ajpes.si/Doc/LP/Informacije/Informacija_LP_drustva_2018.pdf</w:t>
        </w:r>
      </w:hyperlink>
    </w:p>
    <w:p w14:paraId="6042C1DA" w14:textId="77777777" w:rsidR="00D93097" w:rsidRPr="00BE756C" w:rsidRDefault="00D93097" w:rsidP="00A05198">
      <w:pPr>
        <w:pStyle w:val="1"/>
        <w:numPr>
          <w:ilvl w:val="0"/>
          <w:numId w:val="43"/>
        </w:numPr>
        <w:spacing w:before="200" w:after="200" w:line="360" w:lineRule="auto"/>
        <w:jc w:val="left"/>
      </w:pPr>
      <w:r w:rsidRPr="00BE756C">
        <w:t xml:space="preserve">Informacija o poslovanju nepridobitnih organizacij – pravnih oseb zasebnega prava v Republiki Sloveniji v letu 2008. (2009). Pridobljeno s https://www.ajpes.si/doc/LP/Informacije/Informacija_LP_nepridobitne_organizacije_2008.pdf </w:t>
      </w:r>
    </w:p>
    <w:p w14:paraId="1927BA57" w14:textId="77777777" w:rsidR="00D93097" w:rsidRPr="00BE756C" w:rsidRDefault="00D93097" w:rsidP="00A05198">
      <w:pPr>
        <w:pStyle w:val="1"/>
        <w:numPr>
          <w:ilvl w:val="0"/>
          <w:numId w:val="43"/>
        </w:numPr>
        <w:spacing w:before="200" w:after="200" w:line="360" w:lineRule="auto"/>
        <w:jc w:val="left"/>
      </w:pPr>
      <w:r w:rsidRPr="00BE756C">
        <w:t xml:space="preserve">Informacija o poslovanju nepridobitnih organizacij – pravnih oseb zasebnega prava v Republiki Sloveniji v letu 2013. (2014). Pridobljeno s </w:t>
      </w:r>
      <w:hyperlink r:id="rId77" w:history="1">
        <w:r w:rsidRPr="00BE756C">
          <w:rPr>
            <w:rStyle w:val="Hiperpovezava"/>
          </w:rPr>
          <w:t>https://www.ajpes.si/doc/LP/Informacije/Informacija_LP_nepridobitne_organizacije_2013.pdf</w:t>
        </w:r>
      </w:hyperlink>
    </w:p>
    <w:p w14:paraId="21031E68" w14:textId="77777777" w:rsidR="00D93097" w:rsidRPr="00BE756C" w:rsidRDefault="00D93097" w:rsidP="00A05198">
      <w:pPr>
        <w:pStyle w:val="1"/>
        <w:numPr>
          <w:ilvl w:val="0"/>
          <w:numId w:val="43"/>
        </w:numPr>
        <w:spacing w:before="200" w:after="200" w:line="360" w:lineRule="auto"/>
        <w:jc w:val="left"/>
      </w:pPr>
      <w:r w:rsidRPr="00BE756C">
        <w:t xml:space="preserve">Informacija o poslovanju nepridobitnih organizacij – pravnih oseb zasebnega prava v Republiki Sloveniji v letu 2018. (2019). Pridobljeno s </w:t>
      </w:r>
      <w:hyperlink r:id="rId78" w:history="1">
        <w:r w:rsidRPr="00BE756C">
          <w:rPr>
            <w:rStyle w:val="Hiperpovezava"/>
          </w:rPr>
          <w:t>https://www.ajpes.si/Doc/LP/Informacije/Informacija_LP_nepridobitne_organizacije_2018.pdf</w:t>
        </w:r>
      </w:hyperlink>
    </w:p>
    <w:p w14:paraId="426701AA" w14:textId="77777777" w:rsidR="00D93097" w:rsidRPr="00BE756C" w:rsidRDefault="00D93097" w:rsidP="00A05198">
      <w:pPr>
        <w:pStyle w:val="1"/>
        <w:numPr>
          <w:ilvl w:val="0"/>
          <w:numId w:val="43"/>
        </w:numPr>
        <w:spacing w:before="200" w:after="200" w:line="360" w:lineRule="auto"/>
        <w:jc w:val="left"/>
        <w:rPr>
          <w:rStyle w:val="Hiperpovezava"/>
        </w:rPr>
      </w:pPr>
      <w:r w:rsidRPr="00BE756C">
        <w:lastRenderedPageBreak/>
        <w:t xml:space="preserve">Izvajanje pomoči na domu, Analiza stanja v letu 2017 (končno poročilo). (2018). Pridobljeno s </w:t>
      </w:r>
      <w:hyperlink r:id="rId79" w:history="1">
        <w:r w:rsidRPr="00BE756C">
          <w:rPr>
            <w:rStyle w:val="Hiperpovezava"/>
          </w:rPr>
          <w:t>https://www.irssv.si/upload2/Analiza%20izvajanja%20PND%20za%20leto%202017.pdf</w:t>
        </w:r>
      </w:hyperlink>
    </w:p>
    <w:p w14:paraId="1712A2D7"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lang w:eastAsia="sl-SI"/>
        </w:rPr>
        <w:t xml:space="preserve">Klemenčič M., Lampič B. in Potočnik Slavič I. (2008). Življenjska (ne)moč obrobnih podeželskih območij v Sloveniji. </w:t>
      </w:r>
      <w:r w:rsidRPr="00BE756C">
        <w:rPr>
          <w:rFonts w:ascii="Arial" w:hAnsi="Arial" w:cs="Arial"/>
          <w:sz w:val="20"/>
          <w:szCs w:val="20"/>
        </w:rPr>
        <w:t>Ljubljana : Znanstvena založba Filozofske fakultete, Oddelek za geografijo.</w:t>
      </w:r>
    </w:p>
    <w:p w14:paraId="40FDDF82" w14:textId="77777777" w:rsidR="00D93097" w:rsidRPr="00BE756C" w:rsidRDefault="00D93097" w:rsidP="00A05198">
      <w:pPr>
        <w:pStyle w:val="1"/>
        <w:numPr>
          <w:ilvl w:val="0"/>
          <w:numId w:val="43"/>
        </w:numPr>
        <w:spacing w:before="200" w:after="200" w:line="360" w:lineRule="auto"/>
        <w:jc w:val="left"/>
      </w:pPr>
      <w:r w:rsidRPr="00BE756C">
        <w:t>Kulturna dediščina, krajina in razvoj podeželja. Rezultati projekta, pridobljena spoznanja in splošna priporočila. (2014). Ljubljana: Univerza v Ljubljani.</w:t>
      </w:r>
    </w:p>
    <w:p w14:paraId="1649CE09" w14:textId="77777777" w:rsidR="00D93097" w:rsidRPr="00BE756C" w:rsidRDefault="00D93097" w:rsidP="00A05198">
      <w:pPr>
        <w:pStyle w:val="1"/>
        <w:numPr>
          <w:ilvl w:val="0"/>
          <w:numId w:val="43"/>
        </w:numPr>
        <w:spacing w:before="200" w:after="200" w:line="360" w:lineRule="auto"/>
        <w:jc w:val="left"/>
      </w:pPr>
      <w:r w:rsidRPr="00BE756C">
        <w:t xml:space="preserve">Kump N. (2017). Socialno-ekonomski položaj upokojencev in starejšega prebivalstva v Sloveniji: končno poročilo. Pridobljeno s </w:t>
      </w:r>
      <w:hyperlink r:id="rId80" w:history="1">
        <w:r w:rsidRPr="00BE756C">
          <w:rPr>
            <w:rStyle w:val="Hiperpovezava"/>
          </w:rPr>
          <w:t>https://www.zpiz.si/cms/engine/download.php?actionID=inf&amp;id=75&amp;name=Raziskava%20Socialno-ekonomski%20polo%C5%BEaj%20upokojencev%20v%20RS_2017.pdf</w:t>
        </w:r>
      </w:hyperlink>
    </w:p>
    <w:p w14:paraId="3484A604" w14:textId="77777777" w:rsidR="00D93097" w:rsidRPr="00BE756C" w:rsidRDefault="00D93097" w:rsidP="00A05198">
      <w:pPr>
        <w:pStyle w:val="1"/>
        <w:numPr>
          <w:ilvl w:val="0"/>
          <w:numId w:val="43"/>
        </w:numPr>
        <w:spacing w:before="200" w:after="200" w:line="360" w:lineRule="auto"/>
        <w:jc w:val="left"/>
      </w:pPr>
      <w:r w:rsidRPr="00BE756C">
        <w:t>Kušar S. in Bobovnik N. (2019). Razvojna problematika obmejnih problemskih območij. V Nared J., Polajnar Horvat K. in Razpotnik Visković N. (ur.). Demografske spremembe in regionalni razvoj. Ljubljana: ZRC SAZU, Geografski inštitut Antona Melika.</w:t>
      </w:r>
    </w:p>
    <w:p w14:paraId="196A1506" w14:textId="77777777" w:rsidR="00D93097" w:rsidRPr="00BE756C" w:rsidRDefault="00D93097" w:rsidP="00A05198">
      <w:pPr>
        <w:pStyle w:val="1"/>
        <w:numPr>
          <w:ilvl w:val="0"/>
          <w:numId w:val="43"/>
        </w:numPr>
        <w:spacing w:before="200" w:after="200" w:line="360" w:lineRule="auto"/>
        <w:jc w:val="left"/>
      </w:pPr>
      <w:r w:rsidRPr="00BE756C">
        <w:t xml:space="preserve">Letno poročilo AJPES za leto 2016. (2017). Pridobljeno s </w:t>
      </w:r>
      <w:hyperlink r:id="rId81" w:history="1">
        <w:r w:rsidRPr="00BE756C">
          <w:rPr>
            <w:rStyle w:val="Hiperpovezava"/>
          </w:rPr>
          <w:t>https://www.ajpes.si/Doc/AJPES/KIJZ/Letno_porocilo_AJPES_za_leto_2016.pdf</w:t>
        </w:r>
      </w:hyperlink>
    </w:p>
    <w:p w14:paraId="689762A9" w14:textId="77777777" w:rsidR="00D93097" w:rsidRPr="00BE756C" w:rsidRDefault="00D93097" w:rsidP="00A05198">
      <w:pPr>
        <w:pStyle w:val="1"/>
        <w:numPr>
          <w:ilvl w:val="0"/>
          <w:numId w:val="43"/>
        </w:numPr>
        <w:spacing w:before="200" w:after="200" w:line="360" w:lineRule="auto"/>
        <w:jc w:val="left"/>
      </w:pPr>
      <w:r w:rsidRPr="00BE756C">
        <w:t>Letno poročilo AJPES za leto 2019. (2020). Pridobljeno s https://www.ajpes.si/Doc/AJPES/KIJZ/Letno_porocilo_AJPES_za_leto_2019.pdf</w:t>
      </w:r>
    </w:p>
    <w:p w14:paraId="27222911"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bCs/>
          <w:sz w:val="20"/>
          <w:szCs w:val="20"/>
        </w:rPr>
        <w:t>Letno poročilo o izvajanju za ESPR 2019. (2019). Pridobljeno s http://www.ribiski-sklad.si/f/docs/Dokumenti/Implementation_report_2014SI14MFOP001_2018_0_.pdf</w:t>
      </w:r>
    </w:p>
    <w:p w14:paraId="648E4937" w14:textId="77777777" w:rsidR="00D93097" w:rsidRPr="00BE756C" w:rsidRDefault="00D93097" w:rsidP="00A05198">
      <w:pPr>
        <w:pStyle w:val="1"/>
        <w:numPr>
          <w:ilvl w:val="0"/>
          <w:numId w:val="43"/>
        </w:numPr>
        <w:spacing w:before="200" w:after="200" w:line="360" w:lineRule="auto"/>
        <w:jc w:val="left"/>
      </w:pPr>
      <w:r w:rsidRPr="00BE756C">
        <w:t>Ministrstvo za kulturo. (2020). Kulturna dediščina podeželja, Kratka analiza stanja (interno gradivo). Ministrstvo za kulturo, Ljubljana.</w:t>
      </w:r>
    </w:p>
    <w:p w14:paraId="0C5179A4" w14:textId="77777777" w:rsidR="00D93097" w:rsidRPr="00BE756C" w:rsidRDefault="00D93097" w:rsidP="00A05198">
      <w:pPr>
        <w:pStyle w:val="1"/>
        <w:numPr>
          <w:ilvl w:val="0"/>
          <w:numId w:val="43"/>
        </w:numPr>
        <w:spacing w:before="200" w:after="200" w:line="360" w:lineRule="auto"/>
        <w:jc w:val="left"/>
      </w:pPr>
      <w:r w:rsidRPr="00BE756C">
        <w:t xml:space="preserve">MKGP. (2020). Analiza letnih poročil LAS za leto 2019, obdelava MKGP (interno gradivo). Ministrstvo za kmetijstvo, gozdarstvo in prehrano, Ljubljana. </w:t>
      </w:r>
    </w:p>
    <w:p w14:paraId="1C19F81C" w14:textId="77777777" w:rsidR="00D93097" w:rsidRPr="00BE756C" w:rsidRDefault="00D93097" w:rsidP="00A05198">
      <w:pPr>
        <w:pStyle w:val="Odstavekseznama"/>
        <w:widowControl w:val="0"/>
        <w:numPr>
          <w:ilvl w:val="0"/>
          <w:numId w:val="43"/>
        </w:numPr>
        <w:autoSpaceDE w:val="0"/>
        <w:autoSpaceDN w:val="0"/>
        <w:adjustRightInd w:val="0"/>
        <w:spacing w:before="200" w:line="360" w:lineRule="auto"/>
        <w:contextualSpacing w:val="0"/>
        <w:rPr>
          <w:rFonts w:ascii="Arial" w:hAnsi="Arial" w:cs="Arial"/>
          <w:sz w:val="20"/>
          <w:szCs w:val="20"/>
        </w:rPr>
      </w:pPr>
      <w:r w:rsidRPr="00BE756C">
        <w:rPr>
          <w:rFonts w:ascii="Arial" w:hAnsi="Arial" w:cs="Arial"/>
          <w:sz w:val="20"/>
          <w:szCs w:val="20"/>
        </w:rPr>
        <w:t>MKGP. (2020). Analiza ankete za pridobitev stališč o konceptu Pametnih vasi v Sloveniji (interno gradivo). Ministrstvo za kmetijstvo, gozdarstvo in prehrano, Ljubljana.</w:t>
      </w:r>
    </w:p>
    <w:p w14:paraId="2B5011F4"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MKGP, 2020: Register kmetijskih gospodarstev – avgust 2020</w:t>
      </w:r>
    </w:p>
    <w:p w14:paraId="39CD97EE"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MKGP 2020: Podatki naložb v okviru Programa razvoja podeželja 2014-2020 in Programa razvoja podeželja 2007-2013</w:t>
      </w:r>
    </w:p>
    <w:p w14:paraId="1F4A5A95"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MGRT, 2017: Strategija trajnostne rasti slovenskega turizma 2017–2021, Pridobljeno s </w:t>
      </w:r>
      <w:hyperlink r:id="rId82" w:history="1">
        <w:r w:rsidRPr="00BE756C">
          <w:rPr>
            <w:rStyle w:val="Hiperpovezava"/>
            <w:rFonts w:ascii="Arial" w:hAnsi="Arial" w:cs="Arial"/>
            <w:sz w:val="20"/>
            <w:szCs w:val="20"/>
          </w:rPr>
          <w:t>https://www.slovenia.info/uploads/dokumenti/kljuni_dokumenti/strategija_turizem_koncno_9.10.2017.pdf</w:t>
        </w:r>
      </w:hyperlink>
    </w:p>
    <w:p w14:paraId="0281C6CC" w14:textId="77777777" w:rsidR="00D93097" w:rsidRPr="00BE756C" w:rsidRDefault="00D93097" w:rsidP="00A05198">
      <w:pPr>
        <w:pStyle w:val="1"/>
        <w:keepLines/>
        <w:numPr>
          <w:ilvl w:val="0"/>
          <w:numId w:val="43"/>
        </w:numPr>
        <w:spacing w:before="200" w:after="200" w:line="360" w:lineRule="auto"/>
        <w:ind w:left="714" w:hanging="357"/>
        <w:jc w:val="left"/>
      </w:pPr>
      <w:r w:rsidRPr="00BE756C">
        <w:lastRenderedPageBreak/>
        <w:t xml:space="preserve">Nagode M. (2011). Razširjenost in dostopnost socialnovarstvene storitve pomoči družini na domu v Sloveniji. Pridobljeno s </w:t>
      </w:r>
      <w:hyperlink r:id="rId83" w:history="1">
        <w:r w:rsidRPr="00BE756C">
          <w:t>https://www.irssv.si/upload2/Razsirjenost%20in%20dostopnost%20pomoci%20na%20domu.pdf</w:t>
        </w:r>
      </w:hyperlink>
    </w:p>
    <w:p w14:paraId="65C48355" w14:textId="77777777" w:rsidR="00D93097" w:rsidRPr="00BE756C" w:rsidRDefault="00D93097" w:rsidP="00A05198">
      <w:pPr>
        <w:pStyle w:val="1"/>
        <w:numPr>
          <w:ilvl w:val="0"/>
          <w:numId w:val="43"/>
        </w:numPr>
        <w:spacing w:before="200" w:after="200" w:line="360" w:lineRule="auto"/>
        <w:jc w:val="left"/>
      </w:pPr>
      <w:r w:rsidRPr="00BE756C">
        <w:t>Nared J., Bole D., Breg Valjavec M., Ciglič R., Goluža M., Kozina J., Razpotnik Visković N., Repolusk P., Rus P., Tiran J. in Černič Istenič M. (2017). Central settlements in Slovenia in 2016. Acta geographica Slovenica 57-2. Pridobljeno s https://ojs.zrc-sazu.si/ags/article/view/4606/4720</w:t>
      </w:r>
    </w:p>
    <w:p w14:paraId="78D0BC7A" w14:textId="77777777" w:rsidR="00D93097" w:rsidRPr="00BE756C" w:rsidRDefault="00D93097" w:rsidP="00A05198">
      <w:pPr>
        <w:pStyle w:val="1"/>
        <w:numPr>
          <w:ilvl w:val="0"/>
          <w:numId w:val="43"/>
        </w:numPr>
        <w:spacing w:before="200" w:after="200" w:line="360" w:lineRule="auto"/>
        <w:jc w:val="left"/>
      </w:pPr>
      <w:r w:rsidRPr="00BE756C">
        <w:t>Nared J., Polajnar Horvat K. in Razpotnik Visković N. (ur.). (2017).Prostor, regija, razvoj. Ljubljana: ZRC SAZU, Geografski inštitut Antona Melika.</w:t>
      </w:r>
    </w:p>
    <w:p w14:paraId="559B61E4" w14:textId="77777777" w:rsidR="00D93097" w:rsidRPr="00BE756C" w:rsidRDefault="00D93097" w:rsidP="00A05198">
      <w:pPr>
        <w:pStyle w:val="1"/>
        <w:numPr>
          <w:ilvl w:val="0"/>
          <w:numId w:val="43"/>
        </w:numPr>
        <w:spacing w:before="200" w:after="200" w:line="360" w:lineRule="auto"/>
        <w:jc w:val="left"/>
      </w:pPr>
      <w:r w:rsidRPr="00BE756C">
        <w:t xml:space="preserve">Nared J. (2019). Celovita demografska analiza s projekcijami za podeželska in urbana območja (končno poročilo). Pridobljeno s https://www.gov.si/assets/ministrstva/MOP/Dokumenti/Prostorski-razvoj/SPRS/Celovita_demografska_analiza_podezelska_urbana_obmocja.pdf </w:t>
      </w:r>
    </w:p>
    <w:p w14:paraId="42E7C95D" w14:textId="77777777" w:rsidR="00D93097" w:rsidRPr="00BE756C" w:rsidRDefault="00D93097" w:rsidP="00A05198">
      <w:pPr>
        <w:pStyle w:val="1"/>
        <w:numPr>
          <w:ilvl w:val="0"/>
          <w:numId w:val="43"/>
        </w:numPr>
        <w:spacing w:before="200" w:after="200" w:line="360" w:lineRule="auto"/>
        <w:jc w:val="left"/>
      </w:pPr>
      <w:r w:rsidRPr="00BE756C">
        <w:t>Nared J., Polajnar Horvat K. in Razpotnik Visković N. (ur.). (2019). Demografske spremembe in regionalni razvoj. Ljubljana: ZRC SAZU, Geografski inštitut Antona Melika.</w:t>
      </w:r>
    </w:p>
    <w:p w14:paraId="09154476"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Operativni program ESPR. (2015). Pridobljeno s </w:t>
      </w:r>
      <w:hyperlink r:id="rId84" w:history="1">
        <w:r w:rsidRPr="00BE756C">
          <w:rPr>
            <w:rStyle w:val="Hiperpovezava"/>
            <w:rFonts w:ascii="Arial" w:hAnsi="Arial" w:cs="Arial"/>
            <w:sz w:val="20"/>
            <w:szCs w:val="20"/>
          </w:rPr>
          <w:t>http://ribiski-sklad.si/f/docs/Dokumenti/OP_ESPR_2014-2020_latest_version_SI.pdf</w:t>
        </w:r>
      </w:hyperlink>
    </w:p>
    <w:p w14:paraId="0FF00DCE"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Operativni program za izvajanje Evropske kohezijske politike v obdobju 2014–2020. (2015) Pridobljeno s </w:t>
      </w:r>
      <w:hyperlink r:id="rId85" w:history="1">
        <w:r w:rsidRPr="00BE756C">
          <w:rPr>
            <w:rStyle w:val="Hiperpovezava"/>
            <w:rFonts w:ascii="Arial" w:hAnsi="Arial" w:cs="Arial"/>
            <w:sz w:val="20"/>
            <w:szCs w:val="20"/>
          </w:rPr>
          <w:t>https://www.eu-skladi.si/sl/dokumenti/kljucni-dokumenti/op_slo_web.pdf</w:t>
        </w:r>
      </w:hyperlink>
    </w:p>
    <w:p w14:paraId="074E4E63" w14:textId="77777777" w:rsidR="00D93097" w:rsidRPr="00BE756C" w:rsidRDefault="00D93097" w:rsidP="00A05198">
      <w:pPr>
        <w:pStyle w:val="1"/>
        <w:numPr>
          <w:ilvl w:val="0"/>
          <w:numId w:val="43"/>
        </w:numPr>
        <w:spacing w:before="200" w:after="200" w:line="360" w:lineRule="auto"/>
        <w:jc w:val="left"/>
      </w:pPr>
      <w:r w:rsidRPr="00BE756C">
        <w:t>Pečar J. (2018). Indeks razvojne ogroženosti regij 2014–2020, metodologija izračuna. Pridobljeno s https://www.umar.gov.si/fileadmin/user_upload/publikacije/dz/2018/Indeks_razvojne_ogrozenosti_regij_2014_2020_metodologija_izracuna.pdf</w:t>
      </w:r>
    </w:p>
    <w:p w14:paraId="6221E86E"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PMS, 2018: Projektna mrežaSlovenije, Hudernik, J., Vrečko, I.: S projekti izgradnje mikro bioplinskih naprav do večje samooskrbe. Pridobljeno avgusta 2020 s </w:t>
      </w:r>
      <w:hyperlink r:id="rId86" w:history="1">
        <w:r w:rsidRPr="00BE756C">
          <w:rPr>
            <w:rStyle w:val="Hiperpovezava"/>
            <w:rFonts w:ascii="Arial" w:hAnsi="Arial" w:cs="Arial"/>
            <w:sz w:val="20"/>
            <w:szCs w:val="20"/>
          </w:rPr>
          <w:t>http://zpm.si/projektna-mreza-slovenije/wp-content/uploads/2018/02/Hudernik-Vrecko-II-2-2016-paper.pdf</w:t>
        </w:r>
      </w:hyperlink>
    </w:p>
    <w:p w14:paraId="7FB40C79"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Poročilo o izvajanju Evropske kohezijske politike 2014–2020 za obdobje od januarja 2014 do konca marca 2020. (2020). Pridobljeno s </w:t>
      </w:r>
      <w:hyperlink r:id="rId87" w:history="1">
        <w:r w:rsidRPr="00BE756C">
          <w:rPr>
            <w:rStyle w:val="Hiperpovezava"/>
            <w:rFonts w:ascii="Arial" w:hAnsi="Arial" w:cs="Arial"/>
            <w:sz w:val="20"/>
            <w:szCs w:val="20"/>
          </w:rPr>
          <w:t>https://www.eu-skladi.si/portal/sl/ekp/izvajanje/porocila-1</w:t>
        </w:r>
      </w:hyperlink>
    </w:p>
    <w:p w14:paraId="38E7253B" w14:textId="77777777" w:rsidR="00D93097" w:rsidRPr="00BE756C" w:rsidRDefault="00D93097" w:rsidP="00A05198">
      <w:pPr>
        <w:pStyle w:val="1"/>
        <w:numPr>
          <w:ilvl w:val="0"/>
          <w:numId w:val="43"/>
        </w:numPr>
        <w:spacing w:before="200" w:after="200" w:line="360" w:lineRule="auto"/>
        <w:jc w:val="left"/>
      </w:pPr>
      <w:r w:rsidRPr="00BE756C">
        <w:t xml:space="preserve">Poročilo o razvoju 2020. (2020). Pridobljeno s </w:t>
      </w:r>
      <w:hyperlink r:id="rId88" w:history="1">
        <w:r w:rsidRPr="00BE756C">
          <w:rPr>
            <w:rStyle w:val="Hiperpovezava"/>
          </w:rPr>
          <w:t>https://www.umar.gov.si/razvoj-slovenije/porocilo/news/porocilo-o-razvoju-2020-1/?tx_news_pi1%5Bcontroller%5D=News&amp;tx_news_pi1%5Baction%5D=detail&amp;cHash=ff829b79ddcf921917a8a54fa6870d6d</w:t>
        </w:r>
      </w:hyperlink>
    </w:p>
    <w:p w14:paraId="1A1CBCD1" w14:textId="77777777" w:rsidR="00D93097" w:rsidRPr="00BE756C" w:rsidRDefault="00D93097" w:rsidP="00A05198">
      <w:pPr>
        <w:pStyle w:val="1"/>
        <w:numPr>
          <w:ilvl w:val="0"/>
          <w:numId w:val="43"/>
        </w:numPr>
        <w:spacing w:before="200" w:after="200" w:line="360" w:lineRule="auto"/>
        <w:jc w:val="left"/>
      </w:pPr>
      <w:r w:rsidRPr="00BE756C">
        <w:lastRenderedPageBreak/>
        <w:t>Potočnik Slavič I. (2019). Staranje na podeželju: dejstva, pričakovanja in prostorske razsežnosti. V Nared J., Polajnar Horvat K. in Razpotnik Visković N. (ur.). Demografske spremembe in regionalni razvoj. Ljubljana: ZRC SAZU, Geografski inštitut Antona Melika.</w:t>
      </w:r>
    </w:p>
    <w:p w14:paraId="02B45A3C" w14:textId="77777777" w:rsidR="00D93097" w:rsidRPr="00BE756C" w:rsidRDefault="00D93097" w:rsidP="00A05198">
      <w:pPr>
        <w:pStyle w:val="1"/>
        <w:numPr>
          <w:ilvl w:val="0"/>
          <w:numId w:val="43"/>
        </w:numPr>
        <w:spacing w:before="200" w:after="200" w:line="360" w:lineRule="auto"/>
        <w:jc w:val="left"/>
      </w:pPr>
      <w:r w:rsidRPr="00BE756C">
        <w:t xml:space="preserve">Priložnosti dediščine slovenskega podeželja. (2019). Pridobljeno s </w:t>
      </w:r>
      <w:hyperlink r:id="rId89" w:history="1">
        <w:r w:rsidRPr="00BE756C">
          <w:t>http://mao.si/Dogodek/Priloznosti-Dediscina-Slovenskega-Podezelja.aspx</w:t>
        </w:r>
      </w:hyperlink>
    </w:p>
    <w:p w14:paraId="15C9EBED" w14:textId="77777777" w:rsidR="00D93097" w:rsidRPr="00BE756C" w:rsidRDefault="00D93097" w:rsidP="00A05198">
      <w:pPr>
        <w:pStyle w:val="1"/>
        <w:numPr>
          <w:ilvl w:val="0"/>
          <w:numId w:val="43"/>
        </w:numPr>
        <w:spacing w:before="200" w:after="200" w:line="360" w:lineRule="auto"/>
        <w:jc w:val="left"/>
      </w:pPr>
      <w:r w:rsidRPr="00BE756C">
        <w:t xml:space="preserve">Rupert J. in Vilič Klenovšek T. (2010). Značilnosti izbranih ranljivih skupin odraslih in svetovalno delo za izobraževanje odraslih. Pridobljeno s </w:t>
      </w:r>
      <w:hyperlink r:id="rId90" w:history="1">
        <w:r w:rsidRPr="00BE756C">
          <w:rPr>
            <w:rStyle w:val="Hiperpovezava"/>
          </w:rPr>
          <w:t>https://arhiv.acs.si/ucna_gradiva/ISIO_nadaljnje-Rupert_Vilic-Klenovsek.pdf</w:t>
        </w:r>
      </w:hyperlink>
    </w:p>
    <w:p w14:paraId="29463B24" w14:textId="77777777" w:rsidR="00D93097" w:rsidRPr="00BE756C" w:rsidRDefault="00D93097" w:rsidP="00A05198">
      <w:pPr>
        <w:pStyle w:val="1"/>
        <w:numPr>
          <w:ilvl w:val="0"/>
          <w:numId w:val="43"/>
        </w:numPr>
        <w:spacing w:before="200" w:after="200" w:line="360" w:lineRule="auto"/>
        <w:jc w:val="left"/>
      </w:pPr>
      <w:r w:rsidRPr="00BE756C">
        <w:t xml:space="preserve">Skupno poročilo o prostovoljstvu v Republiki Sloveniji za leto 2013. (b. l.) Pridobljeno s https://www.ajpes.si/doc/LP/Prostovoljske_organizacije/Skupno_porocilo_o_prostovoljstvu_2013.pdf </w:t>
      </w:r>
    </w:p>
    <w:p w14:paraId="6B817002" w14:textId="77777777" w:rsidR="00D93097" w:rsidRPr="00BE756C" w:rsidRDefault="00D93097" w:rsidP="00A05198">
      <w:pPr>
        <w:pStyle w:val="1"/>
        <w:numPr>
          <w:ilvl w:val="0"/>
          <w:numId w:val="43"/>
        </w:numPr>
        <w:spacing w:before="200" w:after="200" w:line="360" w:lineRule="auto"/>
        <w:jc w:val="left"/>
      </w:pPr>
      <w:r w:rsidRPr="00BE756C">
        <w:t xml:space="preserve">Skupno poročilo o prostovoljstvu v Republiki Sloveniji za leto 2018. (b. l.) Pridobljeno s </w:t>
      </w:r>
      <w:hyperlink r:id="rId91" w:history="1">
        <w:r w:rsidRPr="00BE756C">
          <w:rPr>
            <w:rStyle w:val="Hiperpovezava"/>
          </w:rPr>
          <w:t>https://www.ajpes.si/Doc/LP/Prostovoljske_organizacije/Porocilo_o_prostovoljstvu_2018.pdf</w:t>
        </w:r>
      </w:hyperlink>
    </w:p>
    <w:p w14:paraId="6E42635D" w14:textId="77777777" w:rsidR="00D93097" w:rsidRPr="00BE756C" w:rsidRDefault="00D93097" w:rsidP="00A05198">
      <w:pPr>
        <w:pStyle w:val="1"/>
        <w:numPr>
          <w:ilvl w:val="0"/>
          <w:numId w:val="43"/>
        </w:numPr>
        <w:spacing w:before="200" w:after="200" w:line="360" w:lineRule="auto"/>
        <w:jc w:val="left"/>
      </w:pPr>
      <w:r w:rsidRPr="00BE756C">
        <w:t xml:space="preserve">Skupnost socialnih zavodov Slovenije. (2020). Pridobljeno s </w:t>
      </w:r>
      <w:hyperlink r:id="rId92" w:history="1">
        <w:r w:rsidRPr="00BE756C">
          <w:t>http://www.ssz-slo.si/splosno-o-domovih-in-posebnih-zavodih/</w:t>
        </w:r>
      </w:hyperlink>
    </w:p>
    <w:p w14:paraId="641CBB8E" w14:textId="77777777" w:rsidR="00D93097" w:rsidRPr="00BE756C" w:rsidRDefault="00D93097" w:rsidP="00A05198">
      <w:pPr>
        <w:pStyle w:val="1"/>
        <w:numPr>
          <w:ilvl w:val="0"/>
          <w:numId w:val="43"/>
        </w:numPr>
        <w:spacing w:before="200" w:after="200" w:line="360" w:lineRule="auto"/>
        <w:jc w:val="left"/>
        <w:rPr>
          <w:rStyle w:val="Hiperpovezava"/>
        </w:rPr>
      </w:pPr>
      <w:r w:rsidRPr="00BE756C">
        <w:t xml:space="preserve">Statistični urad Republike Slovenije - SURS. (2020). Pridobljeno s </w:t>
      </w:r>
      <w:hyperlink r:id="rId93" w:history="1">
        <w:r w:rsidRPr="00BE756C">
          <w:rPr>
            <w:rStyle w:val="Hiperpovezava"/>
          </w:rPr>
          <w:t>https://www.stat.si/statweb</w:t>
        </w:r>
      </w:hyperlink>
    </w:p>
    <w:p w14:paraId="3D5433B7" w14:textId="77777777" w:rsidR="00140E7C" w:rsidRPr="00BE756C" w:rsidRDefault="00140E7C" w:rsidP="00A05198">
      <w:pPr>
        <w:pStyle w:val="1"/>
        <w:numPr>
          <w:ilvl w:val="0"/>
          <w:numId w:val="43"/>
        </w:numPr>
        <w:spacing w:before="200" w:after="200" w:line="360" w:lineRule="auto"/>
        <w:jc w:val="left"/>
      </w:pPr>
      <w:r w:rsidRPr="00140E7C">
        <w:t xml:space="preserve">STO, 2020: Turizem v številkah, 2020, Pridobljeno, avgust 2020 s </w:t>
      </w:r>
      <w:hyperlink r:id="rId94" w:history="1">
        <w:r w:rsidRPr="00140E7C">
          <w:rPr>
            <w:rStyle w:val="Hiperpovezava"/>
          </w:rPr>
          <w:t>https://www.slovenia.info/sl/poslovne-strani/raziskave-in-analize/turizem-v-stevilkah</w:t>
        </w:r>
      </w:hyperlink>
    </w:p>
    <w:p w14:paraId="6250DA5B" w14:textId="77777777" w:rsidR="00333A8A" w:rsidRPr="00BE756C" w:rsidRDefault="000F7702" w:rsidP="00A05198">
      <w:pPr>
        <w:pStyle w:val="1"/>
        <w:numPr>
          <w:ilvl w:val="0"/>
          <w:numId w:val="43"/>
        </w:numPr>
        <w:spacing w:before="200" w:after="200" w:line="360" w:lineRule="auto"/>
        <w:jc w:val="left"/>
      </w:pPr>
      <w:r w:rsidRPr="00BE756C">
        <w:t xml:space="preserve">SVRK, 2017: </w:t>
      </w:r>
      <w:r w:rsidR="00333A8A" w:rsidRPr="00BE756C">
        <w:t>Strategija razvoja Slovenije 2030. (2020). Pridobljeno s https://www.gov.si/assets/vladne-sluzbe/SVRK/Strategija-razvoja-Slovenije-2030/Strategija_razvoja_Slovenije_2030.pdf</w:t>
      </w:r>
    </w:p>
    <w:p w14:paraId="52D5BDF5"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SURS 2020: Pridobljeno avgusta 2020 s </w:t>
      </w:r>
      <w:hyperlink r:id="rId95" w:history="1">
        <w:r w:rsidRPr="00BE756C">
          <w:rPr>
            <w:rStyle w:val="Hiperpovezava"/>
            <w:rFonts w:ascii="Arial" w:hAnsi="Arial" w:cs="Arial"/>
            <w:sz w:val="20"/>
            <w:szCs w:val="20"/>
          </w:rPr>
          <w:t>https://www.stat.si/StatWeb/</w:t>
        </w:r>
      </w:hyperlink>
    </w:p>
    <w:p w14:paraId="6CE5453B" w14:textId="77777777" w:rsidR="00140E7C" w:rsidRPr="00BE756C" w:rsidRDefault="00140E7C" w:rsidP="00A05198">
      <w:pPr>
        <w:pStyle w:val="Odstavekseznama"/>
        <w:numPr>
          <w:ilvl w:val="0"/>
          <w:numId w:val="43"/>
        </w:numPr>
        <w:spacing w:before="200" w:line="360" w:lineRule="auto"/>
        <w:contextualSpacing w:val="0"/>
        <w:rPr>
          <w:rFonts w:ascii="Arial" w:hAnsi="Arial" w:cs="Arial"/>
          <w:iCs/>
          <w:sz w:val="20"/>
          <w:szCs w:val="20"/>
        </w:rPr>
      </w:pPr>
      <w:r w:rsidRPr="00BE756C">
        <w:rPr>
          <w:rFonts w:ascii="Arial" w:hAnsi="Arial" w:cs="Arial"/>
          <w:sz w:val="20"/>
          <w:szCs w:val="20"/>
        </w:rPr>
        <w:t xml:space="preserve">SURS Kazalniki 2020: </w:t>
      </w:r>
      <w:r w:rsidRPr="00BE756C">
        <w:rPr>
          <w:rStyle w:val="hierarchicaltableinformationtitle"/>
          <w:rFonts w:ascii="Arial" w:hAnsi="Arial" w:cs="Arial"/>
          <w:sz w:val="20"/>
          <w:szCs w:val="20"/>
        </w:rPr>
        <w:t xml:space="preserve">Kazalniki temeljnih naravnih dobrin, Slovenija, letno. </w:t>
      </w:r>
      <w:r w:rsidRPr="00BE756C">
        <w:rPr>
          <w:rFonts w:ascii="Arial" w:hAnsi="Arial" w:cs="Arial"/>
          <w:sz w:val="20"/>
          <w:szCs w:val="20"/>
        </w:rPr>
        <w:t xml:space="preserve">Pridobljeno avgusta 2020 s </w:t>
      </w:r>
      <w:hyperlink r:id="rId96" w:history="1">
        <w:r w:rsidRPr="00BE756C">
          <w:rPr>
            <w:rStyle w:val="Hiperpovezava"/>
            <w:rFonts w:ascii="Arial" w:hAnsi="Arial" w:cs="Arial"/>
            <w:iCs/>
            <w:sz w:val="20"/>
            <w:szCs w:val="20"/>
          </w:rPr>
          <w:t>https://pxweb.stat.si/SiStatDb/pxweb/sl/30_Okolje/30_Okolje__27_okolje__01_27752_kaz_zelene_rasti/2775202S.px/table/tableViewLayout2</w:t>
        </w:r>
      </w:hyperlink>
    </w:p>
    <w:p w14:paraId="6B7A4EFF" w14:textId="77777777" w:rsidR="00D93097" w:rsidRPr="00BE756C" w:rsidRDefault="00D93097" w:rsidP="00A05198">
      <w:pPr>
        <w:pStyle w:val="1"/>
        <w:numPr>
          <w:ilvl w:val="0"/>
          <w:numId w:val="43"/>
        </w:numPr>
        <w:spacing w:before="200" w:after="200" w:line="360" w:lineRule="auto"/>
        <w:jc w:val="left"/>
      </w:pPr>
      <w:r w:rsidRPr="00BE756C">
        <w:t xml:space="preserve">Urad RS za makroekonomske analize in razvoj - UMAR. (2020). Pridobljeno s: </w:t>
      </w:r>
      <w:hyperlink r:id="rId97" w:history="1">
        <w:r w:rsidRPr="00BE756C">
          <w:rPr>
            <w:rStyle w:val="Hiperpovezava"/>
          </w:rPr>
          <w:t>https://www.umar.gov.si/?no_cache=1</w:t>
        </w:r>
      </w:hyperlink>
    </w:p>
    <w:p w14:paraId="74CB240F" w14:textId="77777777" w:rsidR="00D93097" w:rsidRPr="00BE756C" w:rsidRDefault="00D93097" w:rsidP="00A05198">
      <w:pPr>
        <w:pStyle w:val="1"/>
        <w:numPr>
          <w:ilvl w:val="0"/>
          <w:numId w:val="43"/>
        </w:numPr>
        <w:spacing w:before="200" w:after="200" w:line="360" w:lineRule="auto"/>
        <w:jc w:val="left"/>
        <w:rPr>
          <w:rFonts w:eastAsia="Arial"/>
        </w:rPr>
      </w:pPr>
      <w:r w:rsidRPr="00BE756C">
        <w:t xml:space="preserve">Uredba o spremembi Uredbe o določitvi obmejnih problemskih območij. (2020). </w:t>
      </w:r>
      <w:r w:rsidRPr="00BE756C">
        <w:rPr>
          <w:rFonts w:eastAsia="Arial"/>
        </w:rPr>
        <w:t>Uradni list Republike Slovenije št. 101.</w:t>
      </w:r>
    </w:p>
    <w:p w14:paraId="30333BE7"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UMAR (2020): Poročilo o razvoju 2020. Pridobljeno s </w:t>
      </w:r>
      <w:hyperlink r:id="rId98" w:history="1">
        <w:r w:rsidRPr="00BE756C">
          <w:rPr>
            <w:rStyle w:val="Hiperpovezava"/>
            <w:rFonts w:ascii="Arial" w:hAnsi="Arial" w:cs="Arial"/>
            <w:sz w:val="20"/>
            <w:szCs w:val="20"/>
          </w:rPr>
          <w:t>https://www.umar.gov.si/razvoj-slovenije/porocilo/news/porocilo-o-razvoju-2020-</w:t>
        </w:r>
        <w:r w:rsidRPr="00BE756C">
          <w:rPr>
            <w:rStyle w:val="Hiperpovezava"/>
            <w:rFonts w:ascii="Arial" w:hAnsi="Arial" w:cs="Arial"/>
            <w:sz w:val="20"/>
            <w:szCs w:val="20"/>
          </w:rPr>
          <w:lastRenderedPageBreak/>
          <w:t>1/?tx_news_pi1%5Bcontroller%5D=News&amp;tx_news_pi1%5Baction%5D=detail&amp;cHash=ff829b79ddcf921917a8a54fa6870d6d</w:t>
        </w:r>
      </w:hyperlink>
    </w:p>
    <w:p w14:paraId="388DC87D"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UM FE, 2011: Univerza v Mariboru, Fakulteta za energetiko, Journal of energy technology, Vol. 4/Issue 5, Nov 2011. Pridobljeno julija 2020 s </w:t>
      </w:r>
      <w:hyperlink r:id="rId99" w:history="1">
        <w:r w:rsidRPr="00BE756C">
          <w:rPr>
            <w:rStyle w:val="Hiperpovezava"/>
            <w:rFonts w:ascii="Arial" w:hAnsi="Arial" w:cs="Arial"/>
            <w:sz w:val="20"/>
            <w:szCs w:val="20"/>
          </w:rPr>
          <w:t>https://www.fe.um.si/images/jet/jet4-5-internet.pdf</w:t>
        </w:r>
      </w:hyperlink>
    </w:p>
    <w:p w14:paraId="32512666" w14:textId="77777777" w:rsidR="00411A88" w:rsidRPr="00BE756C" w:rsidRDefault="00411A88" w:rsidP="00A05198">
      <w:pPr>
        <w:pStyle w:val="1"/>
        <w:numPr>
          <w:ilvl w:val="0"/>
          <w:numId w:val="43"/>
        </w:numPr>
        <w:spacing w:before="200" w:after="200" w:line="360" w:lineRule="auto"/>
        <w:jc w:val="left"/>
      </w:pPr>
      <w:r w:rsidRPr="00BE756C">
        <w:t>Viaggi, D (2018). The bioeconomy: delivering sustainable green growth. CABI, Wallingford, 208 str.</w:t>
      </w:r>
    </w:p>
    <w:p w14:paraId="62B1BB78" w14:textId="77777777" w:rsidR="00D93097" w:rsidRPr="00BE756C" w:rsidRDefault="00D93097" w:rsidP="00A05198">
      <w:pPr>
        <w:pStyle w:val="1"/>
        <w:numPr>
          <w:ilvl w:val="0"/>
          <w:numId w:val="43"/>
        </w:numPr>
        <w:spacing w:before="200" w:after="200" w:line="360" w:lineRule="auto"/>
        <w:jc w:val="left"/>
        <w:rPr>
          <w:rFonts w:eastAsia="Arial"/>
        </w:rPr>
      </w:pPr>
      <w:r w:rsidRPr="00BE756C">
        <w:rPr>
          <w:rFonts w:eastAsia="Arial"/>
        </w:rPr>
        <w:t>Zakon o spodbujanju skladnega regionalnega razvoja (ZSRR-2). (2011). Uradni list Republike Slovenije št. 20.</w:t>
      </w:r>
    </w:p>
    <w:p w14:paraId="5771E001"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Zavod RS za zaposlovanje, 2020: Trg dela Julij 2020: </w:t>
      </w:r>
      <w:hyperlink r:id="rId100" w:history="1">
        <w:r w:rsidRPr="00BE756C">
          <w:rPr>
            <w:rStyle w:val="Hiperpovezava"/>
            <w:rFonts w:ascii="Arial" w:hAnsi="Arial" w:cs="Arial"/>
            <w:sz w:val="20"/>
            <w:szCs w:val="20"/>
          </w:rPr>
          <w:t>https://www.ess.gov.si/_files/13521/Trg_dela_julij_2020.pdf</w:t>
        </w:r>
      </w:hyperlink>
    </w:p>
    <w:p w14:paraId="3B36F2CA"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ZS 2020: Zelena Slovenija, Obnovljivi viri energije v Sloveniji, Pridobljeno julij 2020 s http://www.zelenaslovenija.si/images/stories/pdf_dokumenti/Obnovljivi-viri-energije-v-Sloveniji.pdf</w:t>
      </w:r>
    </w:p>
    <w:p w14:paraId="460D1463" w14:textId="77777777" w:rsidR="00EA2E4C" w:rsidRPr="00DE5E3F"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ZS EOL 2020: Zelena Slovenija, Revija EOL, št 127. Pridobljeno julija 2020 s </w:t>
      </w:r>
      <w:hyperlink r:id="rId101" w:tooltip="http://www.zelenaslovenija.si/revija-eol-/aktualna-stevilka/okolje/4465-izkoriscanje-bioplina-upraviceno-le-ob-upostevanju-okoljskih-standardov-eol-127" w:history="1">
        <w:r w:rsidRPr="00BE756C">
          <w:rPr>
            <w:rFonts w:ascii="Arial" w:hAnsi="Arial" w:cs="Arial"/>
            <w:sz w:val="20"/>
            <w:szCs w:val="20"/>
          </w:rPr>
          <w:t>http://www.zelenaslovenija.si/revija-eol-/aktualna-stevilka/okolje/4465-izkoriscanje-bioplina-upraviceno-le-ob-upostevanju-okoljskih-standardov-eol-127</w:t>
        </w:r>
      </w:hyperlink>
    </w:p>
    <w:sectPr w:rsidR="00EA2E4C" w:rsidRPr="00DE5E3F" w:rsidSect="00240F7A">
      <w:footerReference w:type="default" r:id="rId10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3BEAE" w14:textId="77777777" w:rsidR="00157A6F" w:rsidRDefault="00157A6F" w:rsidP="00240F7A">
      <w:pPr>
        <w:spacing w:after="0" w:line="240" w:lineRule="auto"/>
      </w:pPr>
      <w:r>
        <w:separator/>
      </w:r>
    </w:p>
  </w:endnote>
  <w:endnote w:type="continuationSeparator" w:id="0">
    <w:p w14:paraId="15A6E44A" w14:textId="77777777" w:rsidR="00157A6F" w:rsidRDefault="00157A6F" w:rsidP="00240F7A">
      <w:pPr>
        <w:spacing w:after="0" w:line="240" w:lineRule="auto"/>
      </w:pPr>
      <w:r>
        <w:continuationSeparator/>
      </w:r>
    </w:p>
  </w:endnote>
  <w:endnote w:type="continuationNotice" w:id="1">
    <w:p w14:paraId="4E06965C" w14:textId="77777777" w:rsidR="00157A6F" w:rsidRDefault="00157A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FTERJY+MyriadPro-Regular">
    <w:altName w:val="Arial"/>
    <w:panose1 w:val="00000000000000000000"/>
    <w:charset w:val="00"/>
    <w:family w:val="swiss"/>
    <w:notTrueType/>
    <w:pitch w:val="default"/>
    <w:sig w:usb0="00000001" w:usb1="00000000" w:usb2="00000000" w:usb3="00000000" w:csb0="00000003" w:csb1="00000000"/>
  </w:font>
  <w:font w:name="Source Sans Pro Light">
    <w:altName w:val="Arial"/>
    <w:charset w:val="EE"/>
    <w:family w:val="swiss"/>
    <w:pitch w:val="variable"/>
    <w:sig w:usb0="600002F7" w:usb1="02000001" w:usb2="00000000" w:usb3="00000000" w:csb0="0000019F" w:csb1="00000000"/>
  </w:font>
  <w:font w:name="Myriad Pro Light">
    <w:altName w:val="Arial"/>
    <w:panose1 w:val="00000000000000000000"/>
    <w:charset w:val="EE"/>
    <w:family w:val="swiss"/>
    <w:notTrueType/>
    <w:pitch w:val="default"/>
    <w:sig w:usb0="00000001" w:usb1="00000000" w:usb2="00000000" w:usb3="00000000" w:csb0="00000003" w:csb1="00000000"/>
  </w:font>
  <w:font w:name="Candara">
    <w:panose1 w:val="020E0502030303020204"/>
    <w:charset w:val="EE"/>
    <w:family w:val="swiss"/>
    <w:pitch w:val="variable"/>
    <w:sig w:usb0="A00002EF" w:usb1="4000A44B" w:usb2="00000000" w:usb3="00000000" w:csb0="0000019F" w:csb1="00000000"/>
  </w:font>
  <w:font w:name="Helvetica">
    <w:panose1 w:val="020B0604020202020204"/>
    <w:charset w:val="EE"/>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8979606"/>
      <w:docPartObj>
        <w:docPartGallery w:val="Page Numbers (Bottom of Page)"/>
        <w:docPartUnique/>
      </w:docPartObj>
    </w:sdtPr>
    <w:sdtEndPr/>
    <w:sdtContent>
      <w:p w14:paraId="0D182E5B" w14:textId="14BAF274" w:rsidR="00157A6F" w:rsidRDefault="00157A6F">
        <w:pPr>
          <w:pStyle w:val="Noga"/>
          <w:jc w:val="center"/>
        </w:pPr>
        <w:r>
          <w:fldChar w:fldCharType="begin"/>
        </w:r>
        <w:r>
          <w:instrText>PAGE   \* MERGEFORMAT</w:instrText>
        </w:r>
        <w:r>
          <w:fldChar w:fldCharType="separate"/>
        </w:r>
        <w:r w:rsidR="00CF4E86">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1120E" w14:textId="77777777" w:rsidR="00157A6F" w:rsidRDefault="00157A6F" w:rsidP="00240F7A">
      <w:pPr>
        <w:spacing w:after="0" w:line="240" w:lineRule="auto"/>
      </w:pPr>
      <w:r>
        <w:separator/>
      </w:r>
    </w:p>
  </w:footnote>
  <w:footnote w:type="continuationSeparator" w:id="0">
    <w:p w14:paraId="12489EC2" w14:textId="77777777" w:rsidR="00157A6F" w:rsidRDefault="00157A6F" w:rsidP="00240F7A">
      <w:pPr>
        <w:spacing w:after="0" w:line="240" w:lineRule="auto"/>
      </w:pPr>
      <w:r>
        <w:continuationSeparator/>
      </w:r>
    </w:p>
  </w:footnote>
  <w:footnote w:type="continuationNotice" w:id="1">
    <w:p w14:paraId="07909272" w14:textId="77777777" w:rsidR="00157A6F" w:rsidRDefault="00157A6F">
      <w:pPr>
        <w:spacing w:after="0" w:line="240" w:lineRule="auto"/>
      </w:pPr>
    </w:p>
  </w:footnote>
  <w:footnote w:id="2">
    <w:p w14:paraId="667264D0" w14:textId="77777777" w:rsidR="00157A6F" w:rsidRDefault="00157A6F" w:rsidP="00026AF3">
      <w:pPr>
        <w:pStyle w:val="Sprotnaopomba-besedilo"/>
      </w:pPr>
      <w:r>
        <w:rPr>
          <w:rStyle w:val="Sprotnaopomba-sklic"/>
        </w:rPr>
        <w:footnoteRef/>
      </w:r>
      <w:r>
        <w:t xml:space="preserve"> </w:t>
      </w:r>
      <w:r w:rsidRPr="00BE756C">
        <w:rPr>
          <w:rFonts w:ascii="Arial" w:hAnsi="Arial" w:cs="Arial"/>
          <w:sz w:val="16"/>
          <w:szCs w:val="16"/>
        </w:rPr>
        <w:t xml:space="preserve">Podatkov o bruto dodani vrednosti na zaposlenega iz administrativnih virov SURS v taki obliki ne objavlja več. </w:t>
      </w:r>
    </w:p>
  </w:footnote>
  <w:footnote w:id="3">
    <w:p w14:paraId="3955AE10" w14:textId="713715C3" w:rsidR="00157A6F" w:rsidRPr="000B0074" w:rsidRDefault="00157A6F" w:rsidP="000B0074">
      <w:pPr>
        <w:pStyle w:val="Sprotnaopomba-besedilo"/>
        <w:rPr>
          <w:rFonts w:ascii="Arial" w:hAnsi="Arial" w:cs="Arial"/>
          <w:bCs/>
          <w:color w:val="000000"/>
          <w:lang w:eastAsia="sl-SI"/>
        </w:rPr>
      </w:pPr>
      <w:r>
        <w:rPr>
          <w:rStyle w:val="Sprotnaopomba-sklic"/>
        </w:rPr>
        <w:footnoteRef/>
      </w:r>
      <w:r>
        <w:t xml:space="preserve"> </w:t>
      </w:r>
      <w:r w:rsidRPr="000B0074">
        <w:rPr>
          <w:rFonts w:ascii="Arial" w:hAnsi="Arial" w:cs="Arial"/>
          <w:sz w:val="16"/>
          <w:szCs w:val="16"/>
        </w:rPr>
        <w:t>Iz skupine dopolnilnih dejavnosti p</w:t>
      </w:r>
      <w:r>
        <w:rPr>
          <w:rFonts w:ascii="Arial" w:hAnsi="Arial" w:cs="Arial"/>
          <w:bCs/>
          <w:color w:val="000000"/>
          <w:sz w:val="16"/>
          <w:szCs w:val="16"/>
          <w:lang w:eastAsia="sl-SI"/>
        </w:rPr>
        <w:t>ovezanih</w:t>
      </w:r>
      <w:r w:rsidRPr="000B0074">
        <w:rPr>
          <w:rFonts w:ascii="Arial" w:hAnsi="Arial" w:cs="Arial"/>
          <w:bCs/>
          <w:color w:val="000000"/>
          <w:sz w:val="16"/>
          <w:szCs w:val="16"/>
          <w:lang w:eastAsia="sl-SI"/>
        </w:rPr>
        <w:t xml:space="preserve"> s tradicionalnimi znanji na kmetiji, storitvami oziroma izdelki so izvzete dopolnilne dejavnosti </w:t>
      </w:r>
      <w:r w:rsidRPr="00130C85">
        <w:rPr>
          <w:rFonts w:ascii="Arial" w:hAnsi="Arial" w:cs="Arial"/>
          <w:bCs/>
          <w:color w:val="000000"/>
          <w:sz w:val="16"/>
          <w:szCs w:val="16"/>
          <w:lang w:eastAsia="sl-SI"/>
        </w:rPr>
        <w:t>medičarstvo in lectarstvo, dražgoški kruhki, medenjaki, pecivo in slaščice</w:t>
      </w:r>
      <w:r>
        <w:rPr>
          <w:rFonts w:ascii="Arial" w:hAnsi="Arial" w:cs="Arial"/>
          <w:bCs/>
          <w:color w:val="000000"/>
          <w:sz w:val="16"/>
          <w:szCs w:val="16"/>
          <w:lang w:eastAsia="sl-SI"/>
        </w:rPr>
        <w:t xml:space="preserve">, </w:t>
      </w:r>
      <w:r w:rsidRPr="000B0074">
        <w:rPr>
          <w:rFonts w:ascii="Arial" w:hAnsi="Arial" w:cs="Arial"/>
          <w:bCs/>
          <w:color w:val="000000"/>
          <w:sz w:val="16"/>
          <w:szCs w:val="16"/>
          <w:lang w:eastAsia="sl-SI"/>
        </w:rPr>
        <w:t>peka kruha in potic na tradicionalni način, proizvodnja testenin na tradicionalni način, peka peciva in slaščic na tradicionalni način in predelava zelišč in dišavnic na tradicionalni način</w:t>
      </w:r>
      <w:r>
        <w:rPr>
          <w:rFonts w:ascii="Arial" w:hAnsi="Arial" w:cs="Arial"/>
          <w:bCs/>
          <w:color w:val="000000"/>
          <w:sz w:val="16"/>
          <w:szCs w:val="16"/>
          <w:lang w:eastAsia="sl-S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B95064B"/>
    <w:lvl w:ilvl="0" w:tplc="C8FE66AA">
      <w:start w:val="1"/>
      <w:numFmt w:val="bullet"/>
      <w:pStyle w:val="Oznaenseznam5"/>
      <w:lvlText w:val="·"/>
      <w:lvlJc w:val="left"/>
      <w:pPr>
        <w:tabs>
          <w:tab w:val="left" w:pos="1492"/>
        </w:tabs>
        <w:ind w:left="1852" w:hanging="360"/>
      </w:pPr>
      <w:rPr>
        <w:rFonts w:ascii="Symbol" w:eastAsia="Symbol" w:hAnsi="Symbol"/>
        <w:w w:val="100"/>
        <w:sz w:val="20"/>
        <w:szCs w:val="20"/>
        <w:shd w:val="clear" w:color="auto" w:fill="auto"/>
      </w:rPr>
    </w:lvl>
    <w:lvl w:ilvl="1" w:tplc="122A1A0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2" w:tplc="B3228BA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3" w:tplc="C520134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4" w:tplc="DAF818A4">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5" w:tplc="8E4C9386">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6" w:tplc="1C08E422">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7" w:tplc="9918ABC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8" w:tplc="82DE02BA">
      <w:start w:val="1"/>
      <w:numFmt w:val="bullet"/>
      <w:lvlText w:val="·"/>
      <w:lvlJc w:val="left"/>
      <w:pPr>
        <w:tabs>
          <w:tab w:val="left" w:pos="1492"/>
        </w:tabs>
        <w:ind w:left="1852" w:hanging="360"/>
      </w:pPr>
      <w:rPr>
        <w:rFonts w:ascii="Symbol" w:eastAsia="Symbol" w:hAnsi="Symbol"/>
        <w:w w:val="100"/>
        <w:sz w:val="20"/>
        <w:szCs w:val="20"/>
        <w:shd w:val="clear" w:color="auto" w:fill="auto"/>
      </w:rPr>
    </w:lvl>
  </w:abstractNum>
  <w:abstractNum w:abstractNumId="1" w15:restartNumberingAfterBreak="0">
    <w:nsid w:val="00000002"/>
    <w:multiLevelType w:val="multilevel"/>
    <w:tmpl w:val="2D3A1E03"/>
    <w:lvl w:ilvl="0">
      <w:start w:val="1"/>
      <w:numFmt w:val="decimal"/>
      <w:pStyle w:val="Otevilenseznam3"/>
      <w:lvlText w:val="(%1)"/>
      <w:lvlJc w:val="left"/>
      <w:pPr>
        <w:tabs>
          <w:tab w:val="left" w:pos="2625"/>
        </w:tabs>
        <w:ind w:left="3334" w:hanging="709"/>
      </w:pPr>
    </w:lvl>
    <w:lvl w:ilvl="1">
      <w:start w:val="1"/>
      <w:numFmt w:val="lowerLetter"/>
      <w:pStyle w:val="ListNumber3Level2"/>
      <w:lvlText w:val="(%2)"/>
      <w:lvlJc w:val="left"/>
      <w:pPr>
        <w:tabs>
          <w:tab w:val="left" w:pos="3333"/>
        </w:tabs>
        <w:ind w:left="4041" w:hanging="708"/>
      </w:pPr>
    </w:lvl>
    <w:lvl w:ilvl="2">
      <w:start w:val="1"/>
      <w:numFmt w:val="bullet"/>
      <w:pStyle w:val="ListNumber3Level3"/>
      <w:lvlText w:val="–"/>
      <w:lvlJc w:val="left"/>
      <w:pPr>
        <w:tabs>
          <w:tab w:val="left" w:pos="4042"/>
        </w:tabs>
        <w:ind w:left="4751" w:hanging="709"/>
      </w:pPr>
      <w:rPr>
        <w:rFonts w:ascii="Times New Roman" w:eastAsia="Times New Roman" w:hAnsi="Times New Roman"/>
        <w:w w:val="100"/>
        <w:sz w:val="20"/>
        <w:szCs w:val="20"/>
        <w:shd w:val="clear" w:color="auto" w:fill="auto"/>
      </w:rPr>
    </w:lvl>
    <w:lvl w:ilvl="3">
      <w:start w:val="1"/>
      <w:numFmt w:val="bullet"/>
      <w:pStyle w:val="ListNumber3Level4"/>
      <w:lvlText w:val="·"/>
      <w:lvlJc w:val="left"/>
      <w:pPr>
        <w:tabs>
          <w:tab w:val="left" w:pos="4751"/>
        </w:tabs>
        <w:ind w:left="5460"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2" w15:restartNumberingAfterBreak="0">
    <w:nsid w:val="00000004"/>
    <w:multiLevelType w:val="hybridMultilevel"/>
    <w:tmpl w:val="28CAECBD"/>
    <w:lvl w:ilvl="0" w:tplc="7884EAA8">
      <w:start w:val="1"/>
      <w:numFmt w:val="bullet"/>
      <w:pStyle w:val="Oznaenseznam4"/>
      <w:lvlText w:val="·"/>
      <w:lvlJc w:val="left"/>
      <w:pPr>
        <w:tabs>
          <w:tab w:val="left" w:pos="3163"/>
        </w:tabs>
        <w:ind w:left="3446" w:hanging="283"/>
      </w:pPr>
      <w:rPr>
        <w:rFonts w:ascii="Symbol" w:eastAsia="Symbol" w:hAnsi="Symbol"/>
        <w:w w:val="100"/>
        <w:sz w:val="20"/>
        <w:szCs w:val="20"/>
        <w:shd w:val="clear" w:color="auto" w:fill="auto"/>
      </w:rPr>
    </w:lvl>
    <w:lvl w:ilvl="1" w:tplc="BAA61C4E">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2" w:tplc="6002ADC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3" w:tplc="0C2421D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4" w:tplc="57805F7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5" w:tplc="86E2F798">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6" w:tplc="208E6F76">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7" w:tplc="A4CE02D0">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8" w:tplc="3874329C">
      <w:start w:val="1"/>
      <w:numFmt w:val="bullet"/>
      <w:lvlText w:val="·"/>
      <w:lvlJc w:val="left"/>
      <w:pPr>
        <w:tabs>
          <w:tab w:val="left" w:pos="3163"/>
        </w:tabs>
        <w:ind w:left="3446" w:hanging="283"/>
      </w:pPr>
      <w:rPr>
        <w:rFonts w:ascii="Symbol" w:eastAsia="Symbol" w:hAnsi="Symbol"/>
        <w:w w:val="100"/>
        <w:sz w:val="20"/>
        <w:szCs w:val="20"/>
        <w:shd w:val="clear" w:color="auto" w:fill="auto"/>
      </w:rPr>
    </w:lvl>
  </w:abstractNum>
  <w:abstractNum w:abstractNumId="3" w15:restartNumberingAfterBreak="0">
    <w:nsid w:val="00000005"/>
    <w:multiLevelType w:val="hybridMultilevel"/>
    <w:tmpl w:val="71767CA5"/>
    <w:lvl w:ilvl="0" w:tplc="671E5E06">
      <w:start w:val="1"/>
      <w:numFmt w:val="bullet"/>
      <w:pStyle w:val="Oznaenseznam3"/>
      <w:lvlText w:val="·"/>
      <w:lvlJc w:val="left"/>
      <w:pPr>
        <w:tabs>
          <w:tab w:val="left" w:pos="2199"/>
        </w:tabs>
        <w:ind w:left="2482" w:hanging="283"/>
      </w:pPr>
      <w:rPr>
        <w:rFonts w:ascii="Symbol" w:eastAsia="Symbol" w:hAnsi="Symbol"/>
        <w:w w:val="100"/>
        <w:sz w:val="20"/>
        <w:szCs w:val="20"/>
        <w:shd w:val="clear" w:color="auto" w:fill="auto"/>
      </w:rPr>
    </w:lvl>
    <w:lvl w:ilvl="1" w:tplc="63C01414">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2" w:tplc="A596EB3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3" w:tplc="01F6A0F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4" w:tplc="BE5A03B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5" w:tplc="AC4EA34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6" w:tplc="5C327E60">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7" w:tplc="BB10D3E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8" w:tplc="8A8464A6">
      <w:start w:val="1"/>
      <w:numFmt w:val="bullet"/>
      <w:lvlText w:val="·"/>
      <w:lvlJc w:val="left"/>
      <w:pPr>
        <w:tabs>
          <w:tab w:val="left" w:pos="2199"/>
        </w:tabs>
        <w:ind w:left="2482" w:hanging="283"/>
      </w:pPr>
      <w:rPr>
        <w:rFonts w:ascii="Symbol" w:eastAsia="Symbol" w:hAnsi="Symbol"/>
        <w:w w:val="100"/>
        <w:sz w:val="20"/>
        <w:szCs w:val="20"/>
        <w:shd w:val="clear" w:color="auto" w:fill="auto"/>
      </w:rPr>
    </w:lvl>
  </w:abstractNum>
  <w:abstractNum w:abstractNumId="4" w15:restartNumberingAfterBreak="0">
    <w:nsid w:val="00000009"/>
    <w:multiLevelType w:val="multilevel"/>
    <w:tmpl w:val="311D9A0E"/>
    <w:lvl w:ilvl="0">
      <w:start w:val="1"/>
      <w:numFmt w:val="decimal"/>
      <w:pStyle w:val="Point0number"/>
      <w:lvlText w:val="(%1)"/>
      <w:lvlJc w:val="left"/>
      <w:pPr>
        <w:tabs>
          <w:tab w:val="left" w:pos="850"/>
        </w:tabs>
        <w:ind w:left="1700" w:hanging="850"/>
      </w:pPr>
    </w:lvl>
    <w:lvl w:ilvl="1">
      <w:start w:val="1"/>
      <w:numFmt w:val="lowerLetter"/>
      <w:pStyle w:val="Point0letter"/>
      <w:lvlText w:val="(%2)"/>
      <w:lvlJc w:val="left"/>
      <w:pPr>
        <w:tabs>
          <w:tab w:val="left" w:pos="850"/>
        </w:tabs>
        <w:ind w:left="1700" w:hanging="850"/>
      </w:pPr>
    </w:lvl>
    <w:lvl w:ilvl="2">
      <w:start w:val="1"/>
      <w:numFmt w:val="decimal"/>
      <w:pStyle w:val="Point1number"/>
      <w:lvlText w:val="(%3)"/>
      <w:lvlJc w:val="left"/>
      <w:pPr>
        <w:tabs>
          <w:tab w:val="left" w:pos="1417"/>
        </w:tabs>
        <w:ind w:left="1984" w:hanging="567"/>
      </w:pPr>
    </w:lvl>
    <w:lvl w:ilvl="3">
      <w:start w:val="1"/>
      <w:numFmt w:val="lowerLetter"/>
      <w:pStyle w:val="Point1letter"/>
      <w:lvlText w:val="(%4)"/>
      <w:lvlJc w:val="left"/>
      <w:pPr>
        <w:tabs>
          <w:tab w:val="left" w:pos="1417"/>
        </w:tabs>
        <w:ind w:left="1984" w:hanging="567"/>
      </w:pPr>
    </w:lvl>
    <w:lvl w:ilvl="4">
      <w:start w:val="1"/>
      <w:numFmt w:val="decimal"/>
      <w:pStyle w:val="Point2number"/>
      <w:lvlText w:val="(%5)"/>
      <w:lvlJc w:val="left"/>
      <w:pPr>
        <w:tabs>
          <w:tab w:val="left" w:pos="1984"/>
        </w:tabs>
        <w:ind w:left="2551" w:hanging="567"/>
      </w:pPr>
    </w:lvl>
    <w:lvl w:ilvl="5">
      <w:start w:val="1"/>
      <w:numFmt w:val="lowerLetter"/>
      <w:pStyle w:val="Point2letter"/>
      <w:lvlText w:val="(%6)"/>
      <w:lvlJc w:val="left"/>
      <w:pPr>
        <w:tabs>
          <w:tab w:val="left" w:pos="1984"/>
        </w:tabs>
        <w:ind w:left="2551" w:hanging="567"/>
      </w:pPr>
    </w:lvl>
    <w:lvl w:ilvl="6">
      <w:start w:val="1"/>
      <w:numFmt w:val="decimal"/>
      <w:pStyle w:val="Point3number"/>
      <w:lvlText w:val="(%7)"/>
      <w:lvlJc w:val="left"/>
      <w:pPr>
        <w:tabs>
          <w:tab w:val="left" w:pos="2551"/>
        </w:tabs>
        <w:ind w:left="3118" w:hanging="567"/>
      </w:pPr>
    </w:lvl>
    <w:lvl w:ilvl="7">
      <w:start w:val="1"/>
      <w:numFmt w:val="lowerLetter"/>
      <w:pStyle w:val="Point3letter"/>
      <w:lvlText w:val="(%8)"/>
      <w:lvlJc w:val="left"/>
      <w:pPr>
        <w:tabs>
          <w:tab w:val="left" w:pos="2551"/>
        </w:tabs>
        <w:ind w:left="3118" w:hanging="567"/>
      </w:pPr>
    </w:lvl>
    <w:lvl w:ilvl="8">
      <w:start w:val="1"/>
      <w:numFmt w:val="lowerLetter"/>
      <w:pStyle w:val="Point4letter"/>
      <w:lvlText w:val="(%9)"/>
      <w:lvlJc w:val="left"/>
      <w:pPr>
        <w:tabs>
          <w:tab w:val="left" w:pos="3118"/>
        </w:tabs>
        <w:ind w:left="3685" w:hanging="567"/>
      </w:pPr>
    </w:lvl>
  </w:abstractNum>
  <w:abstractNum w:abstractNumId="5" w15:restartNumberingAfterBreak="0">
    <w:nsid w:val="0000000C"/>
    <w:multiLevelType w:val="hybridMultilevel"/>
    <w:tmpl w:val="732E6D08"/>
    <w:lvl w:ilvl="0" w:tplc="5ABC5740">
      <w:start w:val="1"/>
      <w:numFmt w:val="bullet"/>
      <w:pStyle w:val="ListDash4"/>
      <w:lvlText w:val="–"/>
      <w:lvlJc w:val="left"/>
      <w:pPr>
        <w:tabs>
          <w:tab w:val="left" w:pos="3163"/>
        </w:tabs>
        <w:ind w:left="3446" w:hanging="283"/>
      </w:pPr>
      <w:rPr>
        <w:rFonts w:ascii="Times New Roman" w:eastAsia="Times New Roman" w:hAnsi="Times New Roman"/>
        <w:w w:val="100"/>
        <w:sz w:val="20"/>
        <w:szCs w:val="20"/>
        <w:shd w:val="clear" w:color="auto" w:fill="auto"/>
      </w:rPr>
    </w:lvl>
    <w:lvl w:ilvl="1" w:tplc="930CA7A2">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2" w:tplc="63647A5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3" w:tplc="B4DCCED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4" w:tplc="5E3C94B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5" w:tplc="DA84978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6" w:tplc="58D8CF9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7" w:tplc="4A089F0E">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8" w:tplc="5CB8729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abstractNum>
  <w:abstractNum w:abstractNumId="6" w15:restartNumberingAfterBreak="0">
    <w:nsid w:val="0000000D"/>
    <w:multiLevelType w:val="hybridMultilevel"/>
    <w:tmpl w:val="14EF12DE"/>
    <w:lvl w:ilvl="0" w:tplc="6C52EBAE">
      <w:start w:val="1"/>
      <w:numFmt w:val="bullet"/>
      <w:pStyle w:val="Oznaenseznam2"/>
      <w:lvlText w:val="·"/>
      <w:lvlJc w:val="left"/>
      <w:pPr>
        <w:tabs>
          <w:tab w:val="left" w:pos="1360"/>
        </w:tabs>
        <w:ind w:left="1643" w:hanging="283"/>
      </w:pPr>
      <w:rPr>
        <w:rFonts w:ascii="Symbol" w:eastAsia="Symbol" w:hAnsi="Symbol"/>
        <w:w w:val="100"/>
        <w:sz w:val="20"/>
        <w:szCs w:val="20"/>
        <w:shd w:val="clear" w:color="auto" w:fill="auto"/>
      </w:rPr>
    </w:lvl>
    <w:lvl w:ilvl="1" w:tplc="FB78BD0A">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2" w:tplc="D4FECB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3" w:tplc="1138EF36">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4" w:tplc="6EC4F7EC">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5" w:tplc="C01A2C40">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6" w:tplc="EB5243EE">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7" w:tplc="517090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8" w:tplc="D9B6DCBA">
      <w:start w:val="1"/>
      <w:numFmt w:val="bullet"/>
      <w:lvlText w:val="·"/>
      <w:lvlJc w:val="left"/>
      <w:pPr>
        <w:tabs>
          <w:tab w:val="left" w:pos="1360"/>
        </w:tabs>
        <w:ind w:left="1643" w:hanging="283"/>
      </w:pPr>
      <w:rPr>
        <w:rFonts w:ascii="Symbol" w:eastAsia="Symbol" w:hAnsi="Symbol"/>
        <w:w w:val="100"/>
        <w:sz w:val="20"/>
        <w:szCs w:val="20"/>
        <w:shd w:val="clear" w:color="auto" w:fill="auto"/>
      </w:rPr>
    </w:lvl>
  </w:abstractNum>
  <w:abstractNum w:abstractNumId="7" w15:restartNumberingAfterBreak="0">
    <w:nsid w:val="0000000E"/>
    <w:multiLevelType w:val="multilevel"/>
    <w:tmpl w:val="145C747A"/>
    <w:lvl w:ilvl="0">
      <w:start w:val="1"/>
      <w:numFmt w:val="decimal"/>
      <w:pStyle w:val="LegalNumPar"/>
      <w:lvlText w:val="%1."/>
      <w:lvlJc w:val="left"/>
      <w:pPr>
        <w:ind w:left="952" w:hanging="476"/>
      </w:pPr>
    </w:lvl>
    <w:lvl w:ilvl="1">
      <w:start w:val="1"/>
      <w:numFmt w:val="lowerLetter"/>
      <w:pStyle w:val="LegalNumPar2"/>
      <w:lvlText w:val="%2."/>
      <w:lvlJc w:val="left"/>
      <w:pPr>
        <w:ind w:left="1430" w:hanging="477"/>
      </w:pPr>
    </w:lvl>
    <w:lvl w:ilvl="2">
      <w:start w:val="1"/>
      <w:numFmt w:val="lowerRoman"/>
      <w:pStyle w:val="LegalNumPar3"/>
      <w:lvlText w:val="%3."/>
      <w:lvlJc w:val="left"/>
      <w:pPr>
        <w:ind w:left="1905" w:hanging="476"/>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50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660" w:hanging="180"/>
      </w:pPr>
    </w:lvl>
  </w:abstractNum>
  <w:abstractNum w:abstractNumId="8" w15:restartNumberingAfterBreak="0">
    <w:nsid w:val="00000011"/>
    <w:multiLevelType w:val="hybridMultilevel"/>
    <w:tmpl w:val="4A95E1AB"/>
    <w:lvl w:ilvl="0" w:tplc="31284166">
      <w:start w:val="1"/>
      <w:numFmt w:val="bullet"/>
      <w:pStyle w:val="ListBullet1"/>
      <w:lvlText w:val="·"/>
      <w:lvlJc w:val="left"/>
      <w:pPr>
        <w:tabs>
          <w:tab w:val="left" w:pos="765"/>
        </w:tabs>
        <w:ind w:left="1048" w:hanging="283"/>
      </w:pPr>
      <w:rPr>
        <w:rFonts w:ascii="Symbol" w:eastAsia="Symbol" w:hAnsi="Symbol"/>
        <w:w w:val="100"/>
        <w:sz w:val="20"/>
        <w:szCs w:val="20"/>
        <w:shd w:val="clear" w:color="auto" w:fill="auto"/>
      </w:rPr>
    </w:lvl>
    <w:lvl w:ilvl="1" w:tplc="4E04828E">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2" w:tplc="238E8172">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3" w:tplc="4F584F90">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4" w:tplc="D8B8A9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5" w:tplc="AA8EA6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6" w:tplc="96CA3FEA">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7" w:tplc="3E362ED8">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8" w:tplc="76D437B2">
      <w:start w:val="1"/>
      <w:numFmt w:val="bullet"/>
      <w:lvlText w:val="·"/>
      <w:lvlJc w:val="left"/>
      <w:pPr>
        <w:tabs>
          <w:tab w:val="left" w:pos="765"/>
        </w:tabs>
        <w:ind w:left="1048" w:hanging="283"/>
      </w:pPr>
      <w:rPr>
        <w:rFonts w:ascii="Symbol" w:eastAsia="Symbol" w:hAnsi="Symbol"/>
        <w:w w:val="100"/>
        <w:sz w:val="20"/>
        <w:szCs w:val="20"/>
        <w:shd w:val="clear" w:color="auto" w:fill="auto"/>
      </w:rPr>
    </w:lvl>
  </w:abstractNum>
  <w:abstractNum w:abstractNumId="9" w15:restartNumberingAfterBreak="0">
    <w:nsid w:val="00000013"/>
    <w:multiLevelType w:val="multilevel"/>
    <w:tmpl w:val="31FB3083"/>
    <w:lvl w:ilvl="0">
      <w:start w:val="1"/>
      <w:numFmt w:val="decimal"/>
      <w:pStyle w:val="Otevilenseznam"/>
      <w:lvlText w:val="(%1)"/>
      <w:lvlJc w:val="left"/>
      <w:pPr>
        <w:tabs>
          <w:tab w:val="left" w:pos="709"/>
        </w:tabs>
        <w:ind w:left="1418" w:hanging="709"/>
      </w:pPr>
    </w:lvl>
    <w:lvl w:ilvl="1">
      <w:start w:val="1"/>
      <w:numFmt w:val="lowerLetter"/>
      <w:pStyle w:val="ListNumberLevel2"/>
      <w:lvlText w:val="(%2)"/>
      <w:lvlJc w:val="left"/>
      <w:pPr>
        <w:tabs>
          <w:tab w:val="left" w:pos="1417"/>
        </w:tabs>
        <w:ind w:left="2125" w:hanging="708"/>
      </w:pPr>
    </w:lvl>
    <w:lvl w:ilvl="2">
      <w:start w:val="1"/>
      <w:numFmt w:val="bullet"/>
      <w:pStyle w:val="ListNumberLevel3"/>
      <w:lvlText w:val="–"/>
      <w:lvlJc w:val="left"/>
      <w:pPr>
        <w:tabs>
          <w:tab w:val="left" w:pos="2126"/>
        </w:tabs>
        <w:ind w:left="2835" w:hanging="709"/>
      </w:pPr>
      <w:rPr>
        <w:rFonts w:ascii="Times New Roman" w:eastAsia="Times New Roman" w:hAnsi="Times New Roman"/>
        <w:w w:val="100"/>
        <w:sz w:val="20"/>
        <w:szCs w:val="20"/>
        <w:shd w:val="clear" w:color="auto" w:fill="auto"/>
      </w:rPr>
    </w:lvl>
    <w:lvl w:ilvl="3">
      <w:start w:val="1"/>
      <w:numFmt w:val="bullet"/>
      <w:pStyle w:val="ListNumberLevel4"/>
      <w:lvlText w:val="·"/>
      <w:lvlJc w:val="left"/>
      <w:pPr>
        <w:tabs>
          <w:tab w:val="left" w:pos="2835"/>
        </w:tabs>
        <w:ind w:left="354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0" w15:restartNumberingAfterBreak="0">
    <w:nsid w:val="00000015"/>
    <w:multiLevelType w:val="multilevel"/>
    <w:tmpl w:val="5F06390C"/>
    <w:lvl w:ilvl="0">
      <w:start w:val="1"/>
      <w:numFmt w:val="decimal"/>
      <w:pStyle w:val="Otevilenseznam2"/>
      <w:lvlText w:val="(%1)"/>
      <w:lvlJc w:val="left"/>
      <w:pPr>
        <w:tabs>
          <w:tab w:val="left" w:pos="1786"/>
        </w:tabs>
        <w:ind w:left="2495" w:hanging="709"/>
      </w:pPr>
    </w:lvl>
    <w:lvl w:ilvl="1">
      <w:start w:val="1"/>
      <w:numFmt w:val="lowerLetter"/>
      <w:pStyle w:val="ListNumber2Level2"/>
      <w:lvlText w:val="(%2)"/>
      <w:lvlJc w:val="left"/>
      <w:pPr>
        <w:tabs>
          <w:tab w:val="left" w:pos="2494"/>
        </w:tabs>
        <w:ind w:left="3202" w:hanging="708"/>
      </w:pPr>
    </w:lvl>
    <w:lvl w:ilvl="2">
      <w:start w:val="1"/>
      <w:numFmt w:val="bullet"/>
      <w:pStyle w:val="ListNumber2Level3"/>
      <w:lvlText w:val="–"/>
      <w:lvlJc w:val="left"/>
      <w:pPr>
        <w:tabs>
          <w:tab w:val="left" w:pos="3203"/>
        </w:tabs>
        <w:ind w:left="3912" w:hanging="709"/>
      </w:pPr>
      <w:rPr>
        <w:rFonts w:ascii="Times New Roman" w:eastAsia="Times New Roman" w:hAnsi="Times New Roman"/>
        <w:w w:val="100"/>
        <w:sz w:val="20"/>
        <w:szCs w:val="20"/>
        <w:shd w:val="clear" w:color="auto" w:fill="auto"/>
      </w:rPr>
    </w:lvl>
    <w:lvl w:ilvl="3">
      <w:start w:val="1"/>
      <w:numFmt w:val="bullet"/>
      <w:pStyle w:val="ListNumber2Level4"/>
      <w:lvlText w:val="·"/>
      <w:lvlJc w:val="left"/>
      <w:pPr>
        <w:tabs>
          <w:tab w:val="left" w:pos="3912"/>
        </w:tabs>
        <w:ind w:left="4621"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1" w15:restartNumberingAfterBreak="0">
    <w:nsid w:val="00000016"/>
    <w:multiLevelType w:val="multilevel"/>
    <w:tmpl w:val="2636164A"/>
    <w:lvl w:ilvl="0">
      <w:start w:val="1"/>
      <w:numFmt w:val="decimal"/>
      <w:pStyle w:val="ListNumber1"/>
      <w:lvlText w:val="(%1)"/>
      <w:lvlJc w:val="left"/>
      <w:pPr>
        <w:tabs>
          <w:tab w:val="left" w:pos="1191"/>
        </w:tabs>
        <w:ind w:left="1900" w:hanging="709"/>
      </w:pPr>
    </w:lvl>
    <w:lvl w:ilvl="1">
      <w:start w:val="1"/>
      <w:numFmt w:val="lowerLetter"/>
      <w:pStyle w:val="ListNumber1Level2"/>
      <w:lvlText w:val="(%2)"/>
      <w:lvlJc w:val="left"/>
      <w:pPr>
        <w:tabs>
          <w:tab w:val="left" w:pos="1899"/>
        </w:tabs>
        <w:ind w:left="2607" w:hanging="708"/>
      </w:pPr>
    </w:lvl>
    <w:lvl w:ilvl="2">
      <w:start w:val="1"/>
      <w:numFmt w:val="bullet"/>
      <w:pStyle w:val="ListNumber1Level3"/>
      <w:lvlText w:val="–"/>
      <w:lvlJc w:val="left"/>
      <w:pPr>
        <w:tabs>
          <w:tab w:val="left" w:pos="2608"/>
        </w:tabs>
        <w:ind w:left="3317" w:hanging="709"/>
      </w:pPr>
      <w:rPr>
        <w:rFonts w:ascii="Times New Roman" w:eastAsia="Times New Roman" w:hAnsi="Times New Roman"/>
        <w:w w:val="100"/>
        <w:sz w:val="20"/>
        <w:szCs w:val="20"/>
        <w:shd w:val="clear" w:color="auto" w:fill="auto"/>
      </w:rPr>
    </w:lvl>
    <w:lvl w:ilvl="3">
      <w:start w:val="1"/>
      <w:numFmt w:val="bullet"/>
      <w:pStyle w:val="ListNumber1Level4"/>
      <w:lvlText w:val="·"/>
      <w:lvlJc w:val="left"/>
      <w:pPr>
        <w:tabs>
          <w:tab w:val="left" w:pos="3317"/>
        </w:tabs>
        <w:ind w:left="4026"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2" w15:restartNumberingAfterBreak="0">
    <w:nsid w:val="00000018"/>
    <w:multiLevelType w:val="multilevel"/>
    <w:tmpl w:val="33D6788F"/>
    <w:lvl w:ilvl="0">
      <w:start w:val="1"/>
      <w:numFmt w:val="decimal"/>
      <w:pStyle w:val="Otevilenseznam4"/>
      <w:lvlText w:val="(%1)"/>
      <w:lvlJc w:val="left"/>
      <w:pPr>
        <w:tabs>
          <w:tab w:val="left" w:pos="3589"/>
        </w:tabs>
        <w:ind w:left="4298" w:hanging="709"/>
      </w:pPr>
    </w:lvl>
    <w:lvl w:ilvl="1">
      <w:start w:val="1"/>
      <w:numFmt w:val="lowerLetter"/>
      <w:pStyle w:val="ListNumber4Level2"/>
      <w:lvlText w:val="(%2)"/>
      <w:lvlJc w:val="left"/>
      <w:pPr>
        <w:tabs>
          <w:tab w:val="left" w:pos="4297"/>
        </w:tabs>
        <w:ind w:left="5005" w:hanging="708"/>
      </w:pPr>
    </w:lvl>
    <w:lvl w:ilvl="2">
      <w:start w:val="1"/>
      <w:numFmt w:val="bullet"/>
      <w:pStyle w:val="ListNumber4Level3"/>
      <w:lvlText w:val="–"/>
      <w:lvlJc w:val="left"/>
      <w:pPr>
        <w:tabs>
          <w:tab w:val="left" w:pos="5006"/>
        </w:tabs>
        <w:ind w:left="5715" w:hanging="709"/>
      </w:pPr>
      <w:rPr>
        <w:rFonts w:ascii="Times New Roman" w:eastAsia="Times New Roman" w:hAnsi="Times New Roman"/>
        <w:w w:val="100"/>
        <w:sz w:val="20"/>
        <w:szCs w:val="20"/>
        <w:shd w:val="clear" w:color="auto" w:fill="auto"/>
      </w:rPr>
    </w:lvl>
    <w:lvl w:ilvl="3">
      <w:start w:val="1"/>
      <w:numFmt w:val="bullet"/>
      <w:pStyle w:val="ListNumber4Level4"/>
      <w:lvlText w:val="·"/>
      <w:lvlJc w:val="left"/>
      <w:pPr>
        <w:tabs>
          <w:tab w:val="left" w:pos="5715"/>
        </w:tabs>
        <w:ind w:left="642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3" w15:restartNumberingAfterBreak="0">
    <w:nsid w:val="0000001C"/>
    <w:multiLevelType w:val="hybridMultilevel"/>
    <w:tmpl w:val="6C59517F"/>
    <w:lvl w:ilvl="0" w:tplc="F6B65248">
      <w:start w:val="1"/>
      <w:numFmt w:val="bullet"/>
      <w:pStyle w:val="Oznaenseznam"/>
      <w:lvlText w:val="·"/>
      <w:lvlJc w:val="left"/>
      <w:pPr>
        <w:tabs>
          <w:tab w:val="left" w:pos="283"/>
        </w:tabs>
        <w:ind w:left="566" w:hanging="283"/>
      </w:pPr>
      <w:rPr>
        <w:rFonts w:ascii="Symbol" w:eastAsia="Symbol" w:hAnsi="Symbol"/>
        <w:w w:val="100"/>
        <w:sz w:val="20"/>
        <w:szCs w:val="20"/>
        <w:shd w:val="clear" w:color="auto" w:fill="auto"/>
      </w:rPr>
    </w:lvl>
    <w:lvl w:ilvl="1" w:tplc="2DF43E68">
      <w:start w:val="1"/>
      <w:numFmt w:val="bullet"/>
      <w:lvlText w:val="·"/>
      <w:lvlJc w:val="left"/>
      <w:pPr>
        <w:tabs>
          <w:tab w:val="left" w:pos="283"/>
        </w:tabs>
        <w:ind w:left="566" w:hanging="283"/>
      </w:pPr>
      <w:rPr>
        <w:rFonts w:ascii="Symbol" w:eastAsia="Symbol" w:hAnsi="Symbol"/>
        <w:w w:val="100"/>
        <w:sz w:val="20"/>
        <w:szCs w:val="20"/>
        <w:shd w:val="clear" w:color="auto" w:fill="auto"/>
      </w:rPr>
    </w:lvl>
    <w:lvl w:ilvl="2" w:tplc="77FEC27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3" w:tplc="0466059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4" w:tplc="CDFAA390">
      <w:start w:val="1"/>
      <w:numFmt w:val="bullet"/>
      <w:lvlText w:val="·"/>
      <w:lvlJc w:val="left"/>
      <w:pPr>
        <w:tabs>
          <w:tab w:val="left" w:pos="283"/>
        </w:tabs>
        <w:ind w:left="566" w:hanging="283"/>
      </w:pPr>
      <w:rPr>
        <w:rFonts w:ascii="Symbol" w:eastAsia="Symbol" w:hAnsi="Symbol"/>
        <w:w w:val="100"/>
        <w:sz w:val="20"/>
        <w:szCs w:val="20"/>
        <w:shd w:val="clear" w:color="auto" w:fill="auto"/>
      </w:rPr>
    </w:lvl>
    <w:lvl w:ilvl="5" w:tplc="33B61DA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6" w:tplc="1A049262">
      <w:start w:val="1"/>
      <w:numFmt w:val="bullet"/>
      <w:lvlText w:val="·"/>
      <w:lvlJc w:val="left"/>
      <w:pPr>
        <w:tabs>
          <w:tab w:val="left" w:pos="283"/>
        </w:tabs>
        <w:ind w:left="566" w:hanging="283"/>
      </w:pPr>
      <w:rPr>
        <w:rFonts w:ascii="Symbol" w:eastAsia="Symbol" w:hAnsi="Symbol"/>
        <w:w w:val="100"/>
        <w:sz w:val="20"/>
        <w:szCs w:val="20"/>
        <w:shd w:val="clear" w:color="auto" w:fill="auto"/>
      </w:rPr>
    </w:lvl>
    <w:lvl w:ilvl="7" w:tplc="4E68751C">
      <w:start w:val="1"/>
      <w:numFmt w:val="bullet"/>
      <w:lvlText w:val="·"/>
      <w:lvlJc w:val="left"/>
      <w:pPr>
        <w:tabs>
          <w:tab w:val="left" w:pos="283"/>
        </w:tabs>
        <w:ind w:left="566" w:hanging="283"/>
      </w:pPr>
      <w:rPr>
        <w:rFonts w:ascii="Symbol" w:eastAsia="Symbol" w:hAnsi="Symbol"/>
        <w:w w:val="100"/>
        <w:sz w:val="20"/>
        <w:szCs w:val="20"/>
        <w:shd w:val="clear" w:color="auto" w:fill="auto"/>
      </w:rPr>
    </w:lvl>
    <w:lvl w:ilvl="8" w:tplc="17547810">
      <w:start w:val="1"/>
      <w:numFmt w:val="bullet"/>
      <w:lvlText w:val="·"/>
      <w:lvlJc w:val="left"/>
      <w:pPr>
        <w:tabs>
          <w:tab w:val="left" w:pos="283"/>
        </w:tabs>
        <w:ind w:left="566" w:hanging="283"/>
      </w:pPr>
      <w:rPr>
        <w:rFonts w:ascii="Symbol" w:eastAsia="Symbol" w:hAnsi="Symbol"/>
        <w:w w:val="100"/>
        <w:sz w:val="20"/>
        <w:szCs w:val="20"/>
        <w:shd w:val="clear" w:color="auto" w:fill="auto"/>
      </w:rPr>
    </w:lvl>
  </w:abstractNum>
  <w:abstractNum w:abstractNumId="14" w15:restartNumberingAfterBreak="0">
    <w:nsid w:val="00000020"/>
    <w:multiLevelType w:val="hybridMultilevel"/>
    <w:tmpl w:val="64D92420"/>
    <w:lvl w:ilvl="0" w:tplc="AA669884">
      <w:start w:val="1"/>
      <w:numFmt w:val="bullet"/>
      <w:pStyle w:val="ListDash"/>
      <w:lvlText w:val="–"/>
      <w:lvlJc w:val="left"/>
      <w:pPr>
        <w:tabs>
          <w:tab w:val="left" w:pos="283"/>
        </w:tabs>
        <w:ind w:left="566" w:hanging="283"/>
      </w:pPr>
      <w:rPr>
        <w:rFonts w:ascii="Times New Roman" w:eastAsia="Times New Roman" w:hAnsi="Times New Roman"/>
        <w:w w:val="100"/>
        <w:sz w:val="20"/>
        <w:szCs w:val="20"/>
        <w:shd w:val="clear" w:color="auto" w:fill="auto"/>
      </w:rPr>
    </w:lvl>
    <w:lvl w:ilvl="1" w:tplc="935254FC">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2" w:tplc="BD40D2DE">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3" w:tplc="3DDCAF6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4" w:tplc="E1DA10A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5" w:tplc="86169A7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6" w:tplc="B1DCD2F6">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7" w:tplc="C5FAA43A">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8" w:tplc="AEBAA560">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abstractNum>
  <w:abstractNum w:abstractNumId="15" w15:restartNumberingAfterBreak="0">
    <w:nsid w:val="00000021"/>
    <w:multiLevelType w:val="hybridMultilevel"/>
    <w:tmpl w:val="21FF94EB"/>
    <w:lvl w:ilvl="0" w:tplc="48EE2614">
      <w:start w:val="1"/>
      <w:numFmt w:val="bullet"/>
      <w:pStyle w:val="ListDash2"/>
      <w:lvlText w:val="–"/>
      <w:lvlJc w:val="left"/>
      <w:pPr>
        <w:tabs>
          <w:tab w:val="left" w:pos="1360"/>
        </w:tabs>
        <w:ind w:left="1643" w:hanging="283"/>
      </w:pPr>
      <w:rPr>
        <w:rFonts w:ascii="Times New Roman" w:eastAsia="Times New Roman" w:hAnsi="Times New Roman"/>
        <w:w w:val="100"/>
        <w:sz w:val="20"/>
        <w:szCs w:val="20"/>
        <w:shd w:val="clear" w:color="auto" w:fill="auto"/>
      </w:rPr>
    </w:lvl>
    <w:lvl w:ilvl="1" w:tplc="3978438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2" w:tplc="0EB6B8B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3" w:tplc="E93C575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4" w:tplc="1892F44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5" w:tplc="DCA41CFA">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6" w:tplc="217884B2">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7" w:tplc="16E00206">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8" w:tplc="E82A58F4">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abstractNum>
  <w:abstractNum w:abstractNumId="16" w15:restartNumberingAfterBreak="0">
    <w:nsid w:val="00000022"/>
    <w:multiLevelType w:val="hybridMultilevel"/>
    <w:tmpl w:val="7DCAD37F"/>
    <w:lvl w:ilvl="0" w:tplc="AC04BC26">
      <w:start w:val="1"/>
      <w:numFmt w:val="bullet"/>
      <w:pStyle w:val="ListDash1"/>
      <w:lvlText w:val="–"/>
      <w:lvlJc w:val="left"/>
      <w:pPr>
        <w:tabs>
          <w:tab w:val="left" w:pos="765"/>
        </w:tabs>
        <w:ind w:left="1048" w:hanging="283"/>
      </w:pPr>
      <w:rPr>
        <w:rFonts w:ascii="Times New Roman" w:eastAsia="Times New Roman" w:hAnsi="Times New Roman"/>
        <w:w w:val="100"/>
        <w:sz w:val="20"/>
        <w:szCs w:val="20"/>
        <w:shd w:val="clear" w:color="auto" w:fill="auto"/>
      </w:rPr>
    </w:lvl>
    <w:lvl w:ilvl="1" w:tplc="89E6ACDE">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2" w:tplc="6B9466D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3" w:tplc="D11A8E24">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4" w:tplc="6A40AA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5" w:tplc="5D38844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6" w:tplc="4124911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7" w:tplc="09508C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8" w:tplc="82E28E66">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abstractNum>
  <w:abstractNum w:abstractNumId="17" w15:restartNumberingAfterBreak="0">
    <w:nsid w:val="00000023"/>
    <w:multiLevelType w:val="hybridMultilevel"/>
    <w:tmpl w:val="2744BC33"/>
    <w:lvl w:ilvl="0" w:tplc="646CD900">
      <w:start w:val="1"/>
      <w:numFmt w:val="bullet"/>
      <w:pStyle w:val="Tiret2"/>
      <w:lvlText w:val="–"/>
      <w:lvlJc w:val="left"/>
      <w:pPr>
        <w:tabs>
          <w:tab w:val="left" w:pos="1984"/>
        </w:tabs>
        <w:ind w:left="2551" w:hanging="567"/>
      </w:pPr>
    </w:lvl>
    <w:lvl w:ilvl="1" w:tplc="60E4820E">
      <w:start w:val="1"/>
      <w:numFmt w:val="bullet"/>
      <w:lvlText w:val="–"/>
      <w:lvlJc w:val="left"/>
      <w:pPr>
        <w:tabs>
          <w:tab w:val="left" w:pos="1984"/>
        </w:tabs>
        <w:ind w:left="2551" w:hanging="567"/>
      </w:pPr>
    </w:lvl>
    <w:lvl w:ilvl="2" w:tplc="C238958C">
      <w:start w:val="1"/>
      <w:numFmt w:val="bullet"/>
      <w:lvlText w:val="–"/>
      <w:lvlJc w:val="left"/>
      <w:pPr>
        <w:tabs>
          <w:tab w:val="left" w:pos="1984"/>
        </w:tabs>
        <w:ind w:left="2551" w:hanging="567"/>
      </w:pPr>
    </w:lvl>
    <w:lvl w:ilvl="3" w:tplc="90B28960">
      <w:start w:val="1"/>
      <w:numFmt w:val="bullet"/>
      <w:lvlText w:val="–"/>
      <w:lvlJc w:val="left"/>
      <w:pPr>
        <w:tabs>
          <w:tab w:val="left" w:pos="1984"/>
        </w:tabs>
        <w:ind w:left="2551" w:hanging="567"/>
      </w:pPr>
    </w:lvl>
    <w:lvl w:ilvl="4" w:tplc="87F2D462">
      <w:start w:val="1"/>
      <w:numFmt w:val="bullet"/>
      <w:lvlText w:val="–"/>
      <w:lvlJc w:val="left"/>
      <w:pPr>
        <w:tabs>
          <w:tab w:val="left" w:pos="1984"/>
        </w:tabs>
        <w:ind w:left="2551" w:hanging="567"/>
      </w:pPr>
    </w:lvl>
    <w:lvl w:ilvl="5" w:tplc="425AE4F6">
      <w:start w:val="1"/>
      <w:numFmt w:val="bullet"/>
      <w:lvlText w:val="–"/>
      <w:lvlJc w:val="left"/>
      <w:pPr>
        <w:tabs>
          <w:tab w:val="left" w:pos="1984"/>
        </w:tabs>
        <w:ind w:left="2551" w:hanging="567"/>
      </w:pPr>
    </w:lvl>
    <w:lvl w:ilvl="6" w:tplc="62A25CE8">
      <w:start w:val="1"/>
      <w:numFmt w:val="bullet"/>
      <w:lvlText w:val="–"/>
      <w:lvlJc w:val="left"/>
      <w:pPr>
        <w:tabs>
          <w:tab w:val="left" w:pos="1984"/>
        </w:tabs>
        <w:ind w:left="2551" w:hanging="567"/>
      </w:pPr>
    </w:lvl>
    <w:lvl w:ilvl="7" w:tplc="94422C3C">
      <w:start w:val="1"/>
      <w:numFmt w:val="bullet"/>
      <w:lvlText w:val="–"/>
      <w:lvlJc w:val="left"/>
      <w:pPr>
        <w:tabs>
          <w:tab w:val="left" w:pos="1984"/>
        </w:tabs>
        <w:ind w:left="2551" w:hanging="567"/>
      </w:pPr>
    </w:lvl>
    <w:lvl w:ilvl="8" w:tplc="5148A726">
      <w:start w:val="1"/>
      <w:numFmt w:val="bullet"/>
      <w:lvlText w:val="–"/>
      <w:lvlJc w:val="left"/>
      <w:pPr>
        <w:tabs>
          <w:tab w:val="left" w:pos="1984"/>
        </w:tabs>
        <w:ind w:left="2551" w:hanging="567"/>
      </w:pPr>
    </w:lvl>
  </w:abstractNum>
  <w:abstractNum w:abstractNumId="18" w15:restartNumberingAfterBreak="0">
    <w:nsid w:val="00000026"/>
    <w:multiLevelType w:val="hybridMultilevel"/>
    <w:tmpl w:val="1B3131CD"/>
    <w:lvl w:ilvl="0" w:tplc="2A22CACC">
      <w:start w:val="1"/>
      <w:numFmt w:val="bullet"/>
      <w:pStyle w:val="ListDash3"/>
      <w:lvlText w:val="–"/>
      <w:lvlJc w:val="left"/>
      <w:pPr>
        <w:tabs>
          <w:tab w:val="left" w:pos="2199"/>
        </w:tabs>
        <w:ind w:left="2482" w:hanging="283"/>
      </w:pPr>
      <w:rPr>
        <w:rFonts w:ascii="Times New Roman" w:eastAsia="Times New Roman" w:hAnsi="Times New Roman"/>
        <w:w w:val="100"/>
        <w:sz w:val="20"/>
        <w:szCs w:val="20"/>
        <w:shd w:val="clear" w:color="auto" w:fill="auto"/>
      </w:rPr>
    </w:lvl>
    <w:lvl w:ilvl="1" w:tplc="AD28554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2" w:tplc="8B72385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3" w:tplc="F9501AF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4" w:tplc="D2F823D8">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5" w:tplc="6584F67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6" w:tplc="4DA080D6">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7" w:tplc="2572051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8" w:tplc="C96CD8B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abstractNum>
  <w:abstractNum w:abstractNumId="19" w15:restartNumberingAfterBreak="0">
    <w:nsid w:val="00000027"/>
    <w:multiLevelType w:val="hybridMultilevel"/>
    <w:tmpl w:val="716502FA"/>
    <w:lvl w:ilvl="0" w:tplc="314458CE">
      <w:numFmt w:val="bullet"/>
      <w:pStyle w:val="StyleHeading3BoldNotItalic"/>
      <w:lvlText w:val="-"/>
      <w:lvlJc w:val="left"/>
      <w:pPr>
        <w:ind w:left="1080" w:hanging="360"/>
      </w:pPr>
      <w:rPr>
        <w:rFonts w:ascii="Times New Roman" w:eastAsia="Times New Roman" w:hAnsi="Times New Roman"/>
        <w:w w:val="100"/>
        <w:sz w:val="20"/>
        <w:szCs w:val="20"/>
        <w:shd w:val="clear" w:color="auto" w:fill="auto"/>
      </w:rPr>
    </w:lvl>
    <w:lvl w:ilvl="1" w:tplc="35CAFFFC">
      <w:start w:val="1"/>
      <w:numFmt w:val="bullet"/>
      <w:lvlText w:val="o"/>
      <w:lvlJc w:val="left"/>
      <w:pPr>
        <w:ind w:left="1800" w:hanging="360"/>
      </w:pPr>
      <w:rPr>
        <w:rFonts w:ascii="Courier New" w:eastAsia="Courier New" w:hAnsi="Courier New"/>
        <w:w w:val="100"/>
        <w:sz w:val="20"/>
        <w:szCs w:val="20"/>
        <w:shd w:val="clear" w:color="auto" w:fill="auto"/>
      </w:rPr>
    </w:lvl>
    <w:lvl w:ilvl="2" w:tplc="354C1A56">
      <w:start w:val="1"/>
      <w:numFmt w:val="bullet"/>
      <w:lvlText w:val="§"/>
      <w:lvlJc w:val="left"/>
      <w:pPr>
        <w:ind w:left="2520" w:hanging="360"/>
      </w:pPr>
      <w:rPr>
        <w:rFonts w:ascii="Wingdings" w:eastAsia="Wingdings" w:hAnsi="Wingdings"/>
        <w:w w:val="100"/>
        <w:sz w:val="20"/>
        <w:szCs w:val="20"/>
        <w:shd w:val="clear" w:color="auto" w:fill="auto"/>
      </w:rPr>
    </w:lvl>
    <w:lvl w:ilvl="3" w:tplc="CB52BED4">
      <w:start w:val="1"/>
      <w:numFmt w:val="bullet"/>
      <w:lvlText w:val="·"/>
      <w:lvlJc w:val="left"/>
      <w:pPr>
        <w:ind w:left="3240" w:hanging="360"/>
      </w:pPr>
      <w:rPr>
        <w:rFonts w:ascii="Symbol" w:eastAsia="Symbol" w:hAnsi="Symbol"/>
        <w:w w:val="100"/>
        <w:sz w:val="20"/>
        <w:szCs w:val="20"/>
        <w:shd w:val="clear" w:color="auto" w:fill="auto"/>
      </w:rPr>
    </w:lvl>
    <w:lvl w:ilvl="4" w:tplc="5BF642B0">
      <w:start w:val="1"/>
      <w:numFmt w:val="bullet"/>
      <w:lvlText w:val="o"/>
      <w:lvlJc w:val="left"/>
      <w:pPr>
        <w:ind w:left="3960" w:hanging="360"/>
      </w:pPr>
      <w:rPr>
        <w:rFonts w:ascii="Courier New" w:eastAsia="Courier New" w:hAnsi="Courier New"/>
        <w:w w:val="100"/>
        <w:sz w:val="20"/>
        <w:szCs w:val="20"/>
        <w:shd w:val="clear" w:color="auto" w:fill="auto"/>
      </w:rPr>
    </w:lvl>
    <w:lvl w:ilvl="5" w:tplc="ADEA8E46">
      <w:start w:val="1"/>
      <w:numFmt w:val="bullet"/>
      <w:lvlText w:val="§"/>
      <w:lvlJc w:val="left"/>
      <w:pPr>
        <w:ind w:left="4680" w:hanging="360"/>
      </w:pPr>
      <w:rPr>
        <w:rFonts w:ascii="Wingdings" w:eastAsia="Wingdings" w:hAnsi="Wingdings"/>
        <w:w w:val="100"/>
        <w:sz w:val="20"/>
        <w:szCs w:val="20"/>
        <w:shd w:val="clear" w:color="auto" w:fill="auto"/>
      </w:rPr>
    </w:lvl>
    <w:lvl w:ilvl="6" w:tplc="9A5AE0FE">
      <w:start w:val="1"/>
      <w:numFmt w:val="bullet"/>
      <w:lvlText w:val="·"/>
      <w:lvlJc w:val="left"/>
      <w:pPr>
        <w:ind w:left="5400" w:hanging="360"/>
      </w:pPr>
      <w:rPr>
        <w:rFonts w:ascii="Symbol" w:eastAsia="Symbol" w:hAnsi="Symbol"/>
        <w:w w:val="100"/>
        <w:sz w:val="20"/>
        <w:szCs w:val="20"/>
        <w:shd w:val="clear" w:color="auto" w:fill="auto"/>
      </w:rPr>
    </w:lvl>
    <w:lvl w:ilvl="7" w:tplc="29B8F03E">
      <w:start w:val="1"/>
      <w:numFmt w:val="bullet"/>
      <w:lvlText w:val="o"/>
      <w:lvlJc w:val="left"/>
      <w:pPr>
        <w:ind w:left="6120" w:hanging="360"/>
      </w:pPr>
      <w:rPr>
        <w:rFonts w:ascii="Courier New" w:eastAsia="Courier New" w:hAnsi="Courier New"/>
        <w:w w:val="100"/>
        <w:sz w:val="20"/>
        <w:szCs w:val="20"/>
        <w:shd w:val="clear" w:color="auto" w:fill="auto"/>
      </w:rPr>
    </w:lvl>
    <w:lvl w:ilvl="8" w:tplc="1568BD62">
      <w:start w:val="1"/>
      <w:numFmt w:val="bullet"/>
      <w:lvlText w:val="§"/>
      <w:lvlJc w:val="left"/>
      <w:pPr>
        <w:ind w:left="6840" w:hanging="360"/>
      </w:pPr>
      <w:rPr>
        <w:rFonts w:ascii="Wingdings" w:eastAsia="Wingdings" w:hAnsi="Wingdings"/>
        <w:w w:val="100"/>
        <w:sz w:val="20"/>
        <w:szCs w:val="20"/>
        <w:shd w:val="clear" w:color="auto" w:fill="auto"/>
      </w:rPr>
    </w:lvl>
  </w:abstractNum>
  <w:abstractNum w:abstractNumId="20" w15:restartNumberingAfterBreak="0">
    <w:nsid w:val="00000028"/>
    <w:multiLevelType w:val="hybridMultilevel"/>
    <w:tmpl w:val="26FF0100"/>
    <w:lvl w:ilvl="0" w:tplc="43045DF0">
      <w:start w:val="1"/>
      <w:numFmt w:val="decimal"/>
      <w:pStyle w:val="Tim"/>
      <w:lvlText w:val="%1."/>
      <w:lvlJc w:val="left"/>
      <w:pPr>
        <w:ind w:left="1506" w:hanging="360"/>
      </w:pPr>
    </w:lvl>
    <w:lvl w:ilvl="1" w:tplc="2DC650CE">
      <w:start w:val="1"/>
      <w:numFmt w:val="lowerLetter"/>
      <w:lvlText w:val="%2."/>
      <w:lvlJc w:val="left"/>
      <w:pPr>
        <w:ind w:left="2226" w:hanging="360"/>
      </w:pPr>
    </w:lvl>
    <w:lvl w:ilvl="2" w:tplc="833C35BC">
      <w:start w:val="1"/>
      <w:numFmt w:val="lowerRoman"/>
      <w:lvlText w:val="%3."/>
      <w:lvlJc w:val="right"/>
      <w:pPr>
        <w:ind w:left="2766" w:hanging="180"/>
      </w:pPr>
    </w:lvl>
    <w:lvl w:ilvl="3" w:tplc="BC06BA96">
      <w:start w:val="1"/>
      <w:numFmt w:val="decimal"/>
      <w:lvlText w:val="%4."/>
      <w:lvlJc w:val="left"/>
      <w:pPr>
        <w:ind w:left="3666" w:hanging="360"/>
      </w:pPr>
    </w:lvl>
    <w:lvl w:ilvl="4" w:tplc="9312AB10">
      <w:start w:val="1"/>
      <w:numFmt w:val="lowerLetter"/>
      <w:lvlText w:val="%5."/>
      <w:lvlJc w:val="left"/>
      <w:pPr>
        <w:ind w:left="4386" w:hanging="360"/>
      </w:pPr>
    </w:lvl>
    <w:lvl w:ilvl="5" w:tplc="2A6AA7E2">
      <w:start w:val="1"/>
      <w:numFmt w:val="lowerRoman"/>
      <w:lvlText w:val="%6."/>
      <w:lvlJc w:val="right"/>
      <w:pPr>
        <w:ind w:left="4926" w:hanging="180"/>
      </w:pPr>
    </w:lvl>
    <w:lvl w:ilvl="6" w:tplc="3984C96E">
      <w:start w:val="1"/>
      <w:numFmt w:val="decimal"/>
      <w:lvlText w:val="%7."/>
      <w:lvlJc w:val="left"/>
      <w:pPr>
        <w:ind w:left="5826" w:hanging="360"/>
      </w:pPr>
    </w:lvl>
    <w:lvl w:ilvl="7" w:tplc="F4920636">
      <w:start w:val="1"/>
      <w:numFmt w:val="lowerLetter"/>
      <w:lvlText w:val="%8."/>
      <w:lvlJc w:val="left"/>
      <w:pPr>
        <w:ind w:left="6546" w:hanging="360"/>
      </w:pPr>
    </w:lvl>
    <w:lvl w:ilvl="8" w:tplc="B82A9F80">
      <w:start w:val="1"/>
      <w:numFmt w:val="lowerRoman"/>
      <w:lvlText w:val="%9."/>
      <w:lvlJc w:val="right"/>
      <w:pPr>
        <w:ind w:left="7086" w:hanging="180"/>
      </w:pPr>
    </w:lvl>
  </w:abstractNum>
  <w:abstractNum w:abstractNumId="21" w15:restartNumberingAfterBreak="0">
    <w:nsid w:val="08FA0880"/>
    <w:multiLevelType w:val="hybridMultilevel"/>
    <w:tmpl w:val="D71A78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0B6F4C32"/>
    <w:multiLevelType w:val="hybridMultilevel"/>
    <w:tmpl w:val="DC52B2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0D371D1D"/>
    <w:multiLevelType w:val="singleLevel"/>
    <w:tmpl w:val="84CAD166"/>
    <w:lvl w:ilvl="0">
      <w:start w:val="1"/>
      <w:numFmt w:val="bullet"/>
      <w:pStyle w:val="alineja"/>
      <w:lvlText w:val=""/>
      <w:lvlJc w:val="left"/>
      <w:pPr>
        <w:tabs>
          <w:tab w:val="num" w:pos="720"/>
        </w:tabs>
        <w:ind w:left="720" w:hanging="360"/>
      </w:pPr>
      <w:rPr>
        <w:rFonts w:ascii="Symbol" w:hAnsi="Symbol" w:hint="default"/>
      </w:rPr>
    </w:lvl>
  </w:abstractNum>
  <w:abstractNum w:abstractNumId="24" w15:restartNumberingAfterBreak="0">
    <w:nsid w:val="0D941A1C"/>
    <w:multiLevelType w:val="multilevel"/>
    <w:tmpl w:val="B3B4AF4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4733776"/>
    <w:multiLevelType w:val="hybridMultilevel"/>
    <w:tmpl w:val="BB3C7F6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23407E39"/>
    <w:multiLevelType w:val="hybridMultilevel"/>
    <w:tmpl w:val="CA48AE00"/>
    <w:lvl w:ilvl="0" w:tplc="E2D0DF3E">
      <w:start w:val="8"/>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7" w15:restartNumberingAfterBreak="0">
    <w:nsid w:val="266D4B6A"/>
    <w:multiLevelType w:val="multilevel"/>
    <w:tmpl w:val="B57255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298F1DC3"/>
    <w:multiLevelType w:val="hybridMultilevel"/>
    <w:tmpl w:val="FB8241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89D13DC"/>
    <w:multiLevelType w:val="hybridMultilevel"/>
    <w:tmpl w:val="1A9AEC14"/>
    <w:lvl w:ilvl="0" w:tplc="04240001">
      <w:start w:val="1"/>
      <w:numFmt w:val="bullet"/>
      <w:lvlText w:val=""/>
      <w:lvlJc w:val="left"/>
      <w:pPr>
        <w:ind w:left="6" w:hanging="360"/>
      </w:pPr>
      <w:rPr>
        <w:rFonts w:ascii="Symbol" w:hAnsi="Symbol" w:hint="default"/>
      </w:rPr>
    </w:lvl>
    <w:lvl w:ilvl="1" w:tplc="04240003" w:tentative="1">
      <w:start w:val="1"/>
      <w:numFmt w:val="bullet"/>
      <w:lvlText w:val="o"/>
      <w:lvlJc w:val="left"/>
      <w:pPr>
        <w:ind w:left="726" w:hanging="360"/>
      </w:pPr>
      <w:rPr>
        <w:rFonts w:ascii="Courier New" w:hAnsi="Courier New" w:cs="Courier New" w:hint="default"/>
      </w:rPr>
    </w:lvl>
    <w:lvl w:ilvl="2" w:tplc="04240005" w:tentative="1">
      <w:start w:val="1"/>
      <w:numFmt w:val="bullet"/>
      <w:lvlText w:val=""/>
      <w:lvlJc w:val="left"/>
      <w:pPr>
        <w:ind w:left="1446" w:hanging="360"/>
      </w:pPr>
      <w:rPr>
        <w:rFonts w:ascii="Wingdings" w:hAnsi="Wingdings" w:hint="default"/>
      </w:rPr>
    </w:lvl>
    <w:lvl w:ilvl="3" w:tplc="04240001" w:tentative="1">
      <w:start w:val="1"/>
      <w:numFmt w:val="bullet"/>
      <w:lvlText w:val=""/>
      <w:lvlJc w:val="left"/>
      <w:pPr>
        <w:ind w:left="2166" w:hanging="360"/>
      </w:pPr>
      <w:rPr>
        <w:rFonts w:ascii="Symbol" w:hAnsi="Symbol" w:hint="default"/>
      </w:rPr>
    </w:lvl>
    <w:lvl w:ilvl="4" w:tplc="04240003" w:tentative="1">
      <w:start w:val="1"/>
      <w:numFmt w:val="bullet"/>
      <w:lvlText w:val="o"/>
      <w:lvlJc w:val="left"/>
      <w:pPr>
        <w:ind w:left="2886" w:hanging="360"/>
      </w:pPr>
      <w:rPr>
        <w:rFonts w:ascii="Courier New" w:hAnsi="Courier New" w:cs="Courier New" w:hint="default"/>
      </w:rPr>
    </w:lvl>
    <w:lvl w:ilvl="5" w:tplc="04240005" w:tentative="1">
      <w:start w:val="1"/>
      <w:numFmt w:val="bullet"/>
      <w:lvlText w:val=""/>
      <w:lvlJc w:val="left"/>
      <w:pPr>
        <w:ind w:left="3606" w:hanging="360"/>
      </w:pPr>
      <w:rPr>
        <w:rFonts w:ascii="Wingdings" w:hAnsi="Wingdings" w:hint="default"/>
      </w:rPr>
    </w:lvl>
    <w:lvl w:ilvl="6" w:tplc="04240001" w:tentative="1">
      <w:start w:val="1"/>
      <w:numFmt w:val="bullet"/>
      <w:lvlText w:val=""/>
      <w:lvlJc w:val="left"/>
      <w:pPr>
        <w:ind w:left="4326" w:hanging="360"/>
      </w:pPr>
      <w:rPr>
        <w:rFonts w:ascii="Symbol" w:hAnsi="Symbol" w:hint="default"/>
      </w:rPr>
    </w:lvl>
    <w:lvl w:ilvl="7" w:tplc="04240003" w:tentative="1">
      <w:start w:val="1"/>
      <w:numFmt w:val="bullet"/>
      <w:lvlText w:val="o"/>
      <w:lvlJc w:val="left"/>
      <w:pPr>
        <w:ind w:left="5046" w:hanging="360"/>
      </w:pPr>
      <w:rPr>
        <w:rFonts w:ascii="Courier New" w:hAnsi="Courier New" w:cs="Courier New" w:hint="default"/>
      </w:rPr>
    </w:lvl>
    <w:lvl w:ilvl="8" w:tplc="04240005" w:tentative="1">
      <w:start w:val="1"/>
      <w:numFmt w:val="bullet"/>
      <w:lvlText w:val=""/>
      <w:lvlJc w:val="left"/>
      <w:pPr>
        <w:ind w:left="5766" w:hanging="360"/>
      </w:pPr>
      <w:rPr>
        <w:rFonts w:ascii="Wingdings" w:hAnsi="Wingdings" w:hint="default"/>
      </w:rPr>
    </w:lvl>
  </w:abstractNum>
  <w:abstractNum w:abstractNumId="30" w15:restartNumberingAfterBreak="0">
    <w:nsid w:val="3FA26A88"/>
    <w:multiLevelType w:val="hybridMultilevel"/>
    <w:tmpl w:val="5DC4AC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0A07250"/>
    <w:multiLevelType w:val="multilevel"/>
    <w:tmpl w:val="59AA2A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77754D3"/>
    <w:multiLevelType w:val="hybridMultilevel"/>
    <w:tmpl w:val="1DC0D51C"/>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7F96AC0"/>
    <w:multiLevelType w:val="hybridMultilevel"/>
    <w:tmpl w:val="CE483B98"/>
    <w:lvl w:ilvl="0" w:tplc="1CA8985E">
      <w:start w:val="8"/>
      <w:numFmt w:val="decimal"/>
      <w:lvlText w:val="%1"/>
      <w:lvlJc w:val="left"/>
      <w:pPr>
        <w:ind w:left="1146" w:hanging="360"/>
      </w:pPr>
      <w:rPr>
        <w:rFonts w:hint="default"/>
      </w:rPr>
    </w:lvl>
    <w:lvl w:ilvl="1" w:tplc="04240019" w:tentative="1">
      <w:start w:val="1"/>
      <w:numFmt w:val="lowerLetter"/>
      <w:lvlText w:val="%2."/>
      <w:lvlJc w:val="left"/>
      <w:pPr>
        <w:ind w:left="1866" w:hanging="360"/>
      </w:pPr>
    </w:lvl>
    <w:lvl w:ilvl="2" w:tplc="0424001B" w:tentative="1">
      <w:start w:val="1"/>
      <w:numFmt w:val="lowerRoman"/>
      <w:lvlText w:val="%3."/>
      <w:lvlJc w:val="right"/>
      <w:pPr>
        <w:ind w:left="2586" w:hanging="180"/>
      </w:pPr>
    </w:lvl>
    <w:lvl w:ilvl="3" w:tplc="0424000F" w:tentative="1">
      <w:start w:val="1"/>
      <w:numFmt w:val="decimal"/>
      <w:lvlText w:val="%4."/>
      <w:lvlJc w:val="left"/>
      <w:pPr>
        <w:ind w:left="3306" w:hanging="360"/>
      </w:pPr>
    </w:lvl>
    <w:lvl w:ilvl="4" w:tplc="04240019" w:tentative="1">
      <w:start w:val="1"/>
      <w:numFmt w:val="lowerLetter"/>
      <w:lvlText w:val="%5."/>
      <w:lvlJc w:val="left"/>
      <w:pPr>
        <w:ind w:left="4026" w:hanging="360"/>
      </w:pPr>
    </w:lvl>
    <w:lvl w:ilvl="5" w:tplc="0424001B" w:tentative="1">
      <w:start w:val="1"/>
      <w:numFmt w:val="lowerRoman"/>
      <w:lvlText w:val="%6."/>
      <w:lvlJc w:val="right"/>
      <w:pPr>
        <w:ind w:left="4746" w:hanging="180"/>
      </w:pPr>
    </w:lvl>
    <w:lvl w:ilvl="6" w:tplc="0424000F" w:tentative="1">
      <w:start w:val="1"/>
      <w:numFmt w:val="decimal"/>
      <w:lvlText w:val="%7."/>
      <w:lvlJc w:val="left"/>
      <w:pPr>
        <w:ind w:left="5466" w:hanging="360"/>
      </w:pPr>
    </w:lvl>
    <w:lvl w:ilvl="7" w:tplc="04240019" w:tentative="1">
      <w:start w:val="1"/>
      <w:numFmt w:val="lowerLetter"/>
      <w:lvlText w:val="%8."/>
      <w:lvlJc w:val="left"/>
      <w:pPr>
        <w:ind w:left="6186" w:hanging="360"/>
      </w:pPr>
    </w:lvl>
    <w:lvl w:ilvl="8" w:tplc="0424001B" w:tentative="1">
      <w:start w:val="1"/>
      <w:numFmt w:val="lowerRoman"/>
      <w:lvlText w:val="%9."/>
      <w:lvlJc w:val="right"/>
      <w:pPr>
        <w:ind w:left="6906" w:hanging="180"/>
      </w:pPr>
    </w:lvl>
  </w:abstractNum>
  <w:abstractNum w:abstractNumId="34" w15:restartNumberingAfterBreak="0">
    <w:nsid w:val="49D41269"/>
    <w:multiLevelType w:val="multilevel"/>
    <w:tmpl w:val="381E3666"/>
    <w:lvl w:ilvl="0">
      <w:start w:val="1"/>
      <w:numFmt w:val="decimal"/>
      <w:pStyle w:val="Otevilenseznam5"/>
      <w:lvlText w:val="%1."/>
      <w:lvlJc w:val="left"/>
      <w:pPr>
        <w:tabs>
          <w:tab w:val="left" w:pos="1492"/>
        </w:tabs>
        <w:ind w:left="1852" w:hanging="360"/>
      </w:pPr>
    </w:lvl>
    <w:lvl w:ilvl="1">
      <w:start w:val="1"/>
      <w:numFmt w:val="decimal"/>
      <w:lvlText w:val="%1."/>
      <w:lvlJc w:val="left"/>
      <w:pPr>
        <w:tabs>
          <w:tab w:val="left" w:pos="1492"/>
        </w:tabs>
        <w:ind w:left="1852" w:hanging="360"/>
      </w:pPr>
    </w:lvl>
    <w:lvl w:ilvl="2">
      <w:start w:val="1"/>
      <w:numFmt w:val="decimal"/>
      <w:lvlText w:val="%1."/>
      <w:lvlJc w:val="left"/>
      <w:pPr>
        <w:tabs>
          <w:tab w:val="left" w:pos="1492"/>
        </w:tabs>
        <w:ind w:left="1852" w:hanging="360"/>
      </w:pPr>
    </w:lvl>
    <w:lvl w:ilvl="3">
      <w:start w:val="1"/>
      <w:numFmt w:val="decimal"/>
      <w:lvlText w:val="%1."/>
      <w:lvlJc w:val="left"/>
      <w:pPr>
        <w:tabs>
          <w:tab w:val="left" w:pos="1492"/>
        </w:tabs>
        <w:ind w:left="1852" w:hanging="360"/>
      </w:pPr>
    </w:lvl>
    <w:lvl w:ilvl="4">
      <w:start w:val="1"/>
      <w:numFmt w:val="decimal"/>
      <w:lvlText w:val="%1."/>
      <w:lvlJc w:val="left"/>
      <w:pPr>
        <w:tabs>
          <w:tab w:val="left" w:pos="1492"/>
        </w:tabs>
        <w:ind w:left="1852" w:hanging="360"/>
      </w:pPr>
    </w:lvl>
    <w:lvl w:ilvl="5">
      <w:start w:val="1"/>
      <w:numFmt w:val="decimal"/>
      <w:lvlText w:val="%1."/>
      <w:lvlJc w:val="left"/>
      <w:pPr>
        <w:tabs>
          <w:tab w:val="left" w:pos="1492"/>
        </w:tabs>
        <w:ind w:left="1852" w:hanging="360"/>
      </w:pPr>
    </w:lvl>
    <w:lvl w:ilvl="6">
      <w:start w:val="1"/>
      <w:numFmt w:val="decimal"/>
      <w:lvlText w:val="%1."/>
      <w:lvlJc w:val="left"/>
      <w:pPr>
        <w:tabs>
          <w:tab w:val="left" w:pos="1492"/>
        </w:tabs>
        <w:ind w:left="1852" w:hanging="360"/>
      </w:pPr>
    </w:lvl>
    <w:lvl w:ilvl="7">
      <w:start w:val="1"/>
      <w:numFmt w:val="decimal"/>
      <w:lvlText w:val="%1."/>
      <w:lvlJc w:val="left"/>
      <w:pPr>
        <w:tabs>
          <w:tab w:val="left" w:pos="1492"/>
        </w:tabs>
        <w:ind w:left="1852" w:hanging="360"/>
      </w:pPr>
    </w:lvl>
    <w:lvl w:ilvl="8">
      <w:start w:val="1"/>
      <w:numFmt w:val="decimal"/>
      <w:lvlText w:val="%1."/>
      <w:lvlJc w:val="left"/>
      <w:pPr>
        <w:tabs>
          <w:tab w:val="left" w:pos="1492"/>
        </w:tabs>
        <w:ind w:left="1852" w:hanging="360"/>
      </w:pPr>
    </w:lvl>
  </w:abstractNum>
  <w:abstractNum w:abstractNumId="35" w15:restartNumberingAfterBreak="0">
    <w:nsid w:val="4B762B77"/>
    <w:multiLevelType w:val="hybridMultilevel"/>
    <w:tmpl w:val="CE2ACD6A"/>
    <w:lvl w:ilvl="0" w:tplc="39AE5532">
      <w:start w:val="6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D4F17F5"/>
    <w:multiLevelType w:val="hybridMultilevel"/>
    <w:tmpl w:val="D8BC4566"/>
    <w:lvl w:ilvl="0" w:tplc="8474D8D4">
      <w:start w:val="7"/>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7"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vanish w:val="0"/>
        <w:webHidden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8" w15:restartNumberingAfterBreak="0">
    <w:nsid w:val="58353441"/>
    <w:multiLevelType w:val="hybridMultilevel"/>
    <w:tmpl w:val="64C689AE"/>
    <w:lvl w:ilvl="0" w:tplc="AB042994">
      <w:start w:val="1"/>
      <w:numFmt w:val="bullet"/>
      <w:lvlText w:val="-"/>
      <w:lvlJc w:val="left"/>
      <w:pPr>
        <w:ind w:left="720" w:hanging="360"/>
      </w:pPr>
      <w:rPr>
        <w:rFonts w:ascii="Calibri" w:eastAsiaTheme="minorHAnsi" w:hAnsi="Calibri" w:cs="Calibri"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FFF7BEF"/>
    <w:multiLevelType w:val="multilevel"/>
    <w:tmpl w:val="A932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4B0015"/>
    <w:multiLevelType w:val="hybridMultilevel"/>
    <w:tmpl w:val="9A1238E6"/>
    <w:lvl w:ilvl="0" w:tplc="36140E1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F61284"/>
    <w:multiLevelType w:val="hybridMultilevel"/>
    <w:tmpl w:val="49C21C8C"/>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1C3185F"/>
    <w:multiLevelType w:val="hybridMultilevel"/>
    <w:tmpl w:val="502AC6F0"/>
    <w:lvl w:ilvl="0" w:tplc="D37252AE">
      <w:start w:val="1"/>
      <w:numFmt w:val="bullet"/>
      <w:pStyle w:val="RSnatevanje"/>
      <w:lvlText w:val="–"/>
      <w:lvlJc w:val="left"/>
      <w:pPr>
        <w:ind w:left="360" w:hanging="360"/>
      </w:pPr>
      <w:rPr>
        <w:rFonts w:ascii="Garamond" w:hAnsi="Garamond" w:cs="Times New Roman" w:hint="default"/>
        <w:caps w:val="0"/>
        <w:strike w:val="0"/>
        <w:dstrike w:val="0"/>
        <w:vanish w:val="0"/>
        <w:color w:val="auto"/>
        <w:sz w:val="18"/>
        <w:szCs w:val="18"/>
        <w:vertAlign w:val="base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73717825"/>
    <w:multiLevelType w:val="hybridMultilevel"/>
    <w:tmpl w:val="0BFE5E26"/>
    <w:lvl w:ilvl="0" w:tplc="194E2BF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6393FA3"/>
    <w:multiLevelType w:val="multilevel"/>
    <w:tmpl w:val="4398B4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BBD516A"/>
    <w:multiLevelType w:val="hybridMultilevel"/>
    <w:tmpl w:val="17EAED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CA21A69"/>
    <w:multiLevelType w:val="hybridMultilevel"/>
    <w:tmpl w:val="B5A028C6"/>
    <w:lvl w:ilvl="0" w:tplc="BD96BD60">
      <w:start w:val="413"/>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2"/>
  </w:num>
  <w:num w:numId="2">
    <w:abstractNumId w:val="40"/>
  </w:num>
  <w:num w:numId="3">
    <w:abstractNumId w:val="0"/>
  </w:num>
  <w:num w:numId="4">
    <w:abstractNumId w:val="34"/>
  </w:num>
  <w:num w:numId="5">
    <w:abstractNumId w:val="13"/>
  </w:num>
  <w:num w:numId="6">
    <w:abstractNumId w:val="8"/>
  </w:num>
  <w:num w:numId="7">
    <w:abstractNumId w:val="6"/>
  </w:num>
  <w:num w:numId="8">
    <w:abstractNumId w:val="3"/>
  </w:num>
  <w:num w:numId="9">
    <w:abstractNumId w:val="2"/>
  </w:num>
  <w:num w:numId="10">
    <w:abstractNumId w:val="14"/>
  </w:num>
  <w:num w:numId="11">
    <w:abstractNumId w:val="16"/>
  </w:num>
  <w:num w:numId="12">
    <w:abstractNumId w:val="15"/>
  </w:num>
  <w:num w:numId="13">
    <w:abstractNumId w:val="18"/>
  </w:num>
  <w:num w:numId="14">
    <w:abstractNumId w:val="5"/>
  </w:num>
  <w:num w:numId="15">
    <w:abstractNumId w:val="9"/>
  </w:num>
  <w:num w:numId="16">
    <w:abstractNumId w:val="11"/>
  </w:num>
  <w:num w:numId="17">
    <w:abstractNumId w:val="10"/>
  </w:num>
  <w:num w:numId="18">
    <w:abstractNumId w:val="1"/>
  </w:num>
  <w:num w:numId="19">
    <w:abstractNumId w:val="12"/>
  </w:num>
  <w:num w:numId="20">
    <w:abstractNumId w:val="7"/>
  </w:num>
  <w:num w:numId="21">
    <w:abstractNumId w:val="4"/>
  </w:num>
  <w:num w:numId="22">
    <w:abstractNumId w:val="17"/>
    <w:lvlOverride w:ilvl="0">
      <w:startOverride w:val="1"/>
    </w:lvlOverride>
  </w:num>
  <w:num w:numId="23">
    <w:abstractNumId w:val="19"/>
  </w:num>
  <w:num w:numId="24">
    <w:abstractNumId w:val="20"/>
  </w:num>
  <w:num w:numId="25">
    <w:abstractNumId w:val="23"/>
  </w:num>
  <w:num w:numId="26">
    <w:abstractNumId w:val="37"/>
  </w:num>
  <w:num w:numId="27">
    <w:abstractNumId w:val="42"/>
  </w:num>
  <w:num w:numId="28">
    <w:abstractNumId w:val="32"/>
  </w:num>
  <w:num w:numId="29">
    <w:abstractNumId w:val="35"/>
  </w:num>
  <w:num w:numId="30">
    <w:abstractNumId w:val="39"/>
  </w:num>
  <w:num w:numId="31">
    <w:abstractNumId w:val="30"/>
  </w:num>
  <w:num w:numId="32">
    <w:abstractNumId w:val="28"/>
  </w:num>
  <w:num w:numId="33">
    <w:abstractNumId w:val="41"/>
  </w:num>
  <w:num w:numId="34">
    <w:abstractNumId w:val="44"/>
  </w:num>
  <w:num w:numId="35">
    <w:abstractNumId w:val="24"/>
  </w:num>
  <w:num w:numId="36">
    <w:abstractNumId w:val="31"/>
  </w:num>
  <w:num w:numId="37">
    <w:abstractNumId w:val="21"/>
  </w:num>
  <w:num w:numId="38">
    <w:abstractNumId w:val="27"/>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45"/>
  </w:num>
  <w:num w:numId="42">
    <w:abstractNumId w:val="25"/>
  </w:num>
  <w:num w:numId="43">
    <w:abstractNumId w:val="43"/>
  </w:num>
  <w:num w:numId="44">
    <w:abstractNumId w:val="46"/>
  </w:num>
  <w:num w:numId="45">
    <w:abstractNumId w:val="38"/>
  </w:num>
  <w:num w:numId="46">
    <w:abstractNumId w:val="37"/>
  </w:num>
  <w:num w:numId="47">
    <w:abstractNumId w:val="36"/>
  </w:num>
  <w:num w:numId="48">
    <w:abstractNumId w:val="33"/>
  </w:num>
  <w:num w:numId="49">
    <w:abstractNumId w:val="2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860"/>
    <w:rsid w:val="0000421B"/>
    <w:rsid w:val="00013258"/>
    <w:rsid w:val="00014A1C"/>
    <w:rsid w:val="00014F8A"/>
    <w:rsid w:val="00022DB7"/>
    <w:rsid w:val="00025EE6"/>
    <w:rsid w:val="00026AF3"/>
    <w:rsid w:val="00030D1E"/>
    <w:rsid w:val="00031167"/>
    <w:rsid w:val="0003202F"/>
    <w:rsid w:val="00034A97"/>
    <w:rsid w:val="000353F0"/>
    <w:rsid w:val="0004661A"/>
    <w:rsid w:val="000471A2"/>
    <w:rsid w:val="00050CD4"/>
    <w:rsid w:val="00054FD7"/>
    <w:rsid w:val="00057B9E"/>
    <w:rsid w:val="0007407D"/>
    <w:rsid w:val="00074DA6"/>
    <w:rsid w:val="00083AB5"/>
    <w:rsid w:val="000846F2"/>
    <w:rsid w:val="00087002"/>
    <w:rsid w:val="000915F5"/>
    <w:rsid w:val="00092278"/>
    <w:rsid w:val="0009670A"/>
    <w:rsid w:val="00097E43"/>
    <w:rsid w:val="00097E94"/>
    <w:rsid w:val="000A0B98"/>
    <w:rsid w:val="000A3C62"/>
    <w:rsid w:val="000A6A8E"/>
    <w:rsid w:val="000B0074"/>
    <w:rsid w:val="000B6C34"/>
    <w:rsid w:val="000B7583"/>
    <w:rsid w:val="000C6560"/>
    <w:rsid w:val="000C775F"/>
    <w:rsid w:val="000C7F2F"/>
    <w:rsid w:val="000D2D7F"/>
    <w:rsid w:val="000D5981"/>
    <w:rsid w:val="000E047D"/>
    <w:rsid w:val="000E1364"/>
    <w:rsid w:val="000E6D95"/>
    <w:rsid w:val="000E71C3"/>
    <w:rsid w:val="000F0C03"/>
    <w:rsid w:val="000F6849"/>
    <w:rsid w:val="000F7171"/>
    <w:rsid w:val="000F7702"/>
    <w:rsid w:val="0010025E"/>
    <w:rsid w:val="0011134A"/>
    <w:rsid w:val="0012568F"/>
    <w:rsid w:val="001270FF"/>
    <w:rsid w:val="00130C85"/>
    <w:rsid w:val="00131404"/>
    <w:rsid w:val="0013525F"/>
    <w:rsid w:val="00140E7C"/>
    <w:rsid w:val="00141C66"/>
    <w:rsid w:val="00142F91"/>
    <w:rsid w:val="00144752"/>
    <w:rsid w:val="00145296"/>
    <w:rsid w:val="00145E90"/>
    <w:rsid w:val="001471CE"/>
    <w:rsid w:val="001576D3"/>
    <w:rsid w:val="00157A6F"/>
    <w:rsid w:val="00160CE9"/>
    <w:rsid w:val="00161CA9"/>
    <w:rsid w:val="00163103"/>
    <w:rsid w:val="00166AE4"/>
    <w:rsid w:val="00170906"/>
    <w:rsid w:val="001710E8"/>
    <w:rsid w:val="001728F1"/>
    <w:rsid w:val="00172AAF"/>
    <w:rsid w:val="00180818"/>
    <w:rsid w:val="00180B96"/>
    <w:rsid w:val="00186223"/>
    <w:rsid w:val="00192A84"/>
    <w:rsid w:val="001A44A8"/>
    <w:rsid w:val="001A7F7F"/>
    <w:rsid w:val="001B07B3"/>
    <w:rsid w:val="001B2E8E"/>
    <w:rsid w:val="001B435D"/>
    <w:rsid w:val="001B45A3"/>
    <w:rsid w:val="001B48DB"/>
    <w:rsid w:val="001C215F"/>
    <w:rsid w:val="001C2A25"/>
    <w:rsid w:val="001C6497"/>
    <w:rsid w:val="001D5FC0"/>
    <w:rsid w:val="001E4DE5"/>
    <w:rsid w:val="001E5011"/>
    <w:rsid w:val="001E5193"/>
    <w:rsid w:val="001E7FFD"/>
    <w:rsid w:val="001F2F9A"/>
    <w:rsid w:val="002017CE"/>
    <w:rsid w:val="0020189E"/>
    <w:rsid w:val="00201F64"/>
    <w:rsid w:val="00202F34"/>
    <w:rsid w:val="0020321A"/>
    <w:rsid w:val="00203E28"/>
    <w:rsid w:val="00206041"/>
    <w:rsid w:val="00211319"/>
    <w:rsid w:val="00214241"/>
    <w:rsid w:val="00216478"/>
    <w:rsid w:val="002206A3"/>
    <w:rsid w:val="00223122"/>
    <w:rsid w:val="00223C70"/>
    <w:rsid w:val="002344D4"/>
    <w:rsid w:val="002402C4"/>
    <w:rsid w:val="00240F7A"/>
    <w:rsid w:val="00247793"/>
    <w:rsid w:val="00250D58"/>
    <w:rsid w:val="00251E12"/>
    <w:rsid w:val="00253EF0"/>
    <w:rsid w:val="0026175C"/>
    <w:rsid w:val="00263997"/>
    <w:rsid w:val="00267F0E"/>
    <w:rsid w:val="002707FA"/>
    <w:rsid w:val="002720EC"/>
    <w:rsid w:val="00276257"/>
    <w:rsid w:val="002772FA"/>
    <w:rsid w:val="00280741"/>
    <w:rsid w:val="00286CF2"/>
    <w:rsid w:val="00290002"/>
    <w:rsid w:val="002948DD"/>
    <w:rsid w:val="002971A7"/>
    <w:rsid w:val="0029759D"/>
    <w:rsid w:val="002A1CAC"/>
    <w:rsid w:val="002B72EB"/>
    <w:rsid w:val="002C0384"/>
    <w:rsid w:val="002C4536"/>
    <w:rsid w:val="002C5B5B"/>
    <w:rsid w:val="002C692A"/>
    <w:rsid w:val="002D545A"/>
    <w:rsid w:val="002D6764"/>
    <w:rsid w:val="002E0ACA"/>
    <w:rsid w:val="002E44D3"/>
    <w:rsid w:val="002E6F33"/>
    <w:rsid w:val="002F2DED"/>
    <w:rsid w:val="002F3E71"/>
    <w:rsid w:val="002F7F76"/>
    <w:rsid w:val="00300EEA"/>
    <w:rsid w:val="00317A73"/>
    <w:rsid w:val="003226AD"/>
    <w:rsid w:val="00324112"/>
    <w:rsid w:val="003250A8"/>
    <w:rsid w:val="003260CF"/>
    <w:rsid w:val="00326660"/>
    <w:rsid w:val="00332B9D"/>
    <w:rsid w:val="00333A8A"/>
    <w:rsid w:val="003371E9"/>
    <w:rsid w:val="00341372"/>
    <w:rsid w:val="0034148C"/>
    <w:rsid w:val="00345C2F"/>
    <w:rsid w:val="00353559"/>
    <w:rsid w:val="00356A8A"/>
    <w:rsid w:val="0036277E"/>
    <w:rsid w:val="00365298"/>
    <w:rsid w:val="00373232"/>
    <w:rsid w:val="00382031"/>
    <w:rsid w:val="0038298F"/>
    <w:rsid w:val="00383540"/>
    <w:rsid w:val="003840AB"/>
    <w:rsid w:val="00384545"/>
    <w:rsid w:val="00384EAA"/>
    <w:rsid w:val="00386015"/>
    <w:rsid w:val="00387994"/>
    <w:rsid w:val="0039084D"/>
    <w:rsid w:val="00390F79"/>
    <w:rsid w:val="003914C3"/>
    <w:rsid w:val="00392283"/>
    <w:rsid w:val="0039290A"/>
    <w:rsid w:val="00394DFF"/>
    <w:rsid w:val="00396DEA"/>
    <w:rsid w:val="003A2A58"/>
    <w:rsid w:val="003A4E76"/>
    <w:rsid w:val="003A550C"/>
    <w:rsid w:val="003B0A1C"/>
    <w:rsid w:val="003B727F"/>
    <w:rsid w:val="003B72A9"/>
    <w:rsid w:val="003D1B9C"/>
    <w:rsid w:val="003D2EA2"/>
    <w:rsid w:val="003E3E5D"/>
    <w:rsid w:val="003E4A64"/>
    <w:rsid w:val="003E5C8E"/>
    <w:rsid w:val="003F1F32"/>
    <w:rsid w:val="003F7E91"/>
    <w:rsid w:val="004004F4"/>
    <w:rsid w:val="00401E64"/>
    <w:rsid w:val="004052BC"/>
    <w:rsid w:val="00411A88"/>
    <w:rsid w:val="00412232"/>
    <w:rsid w:val="004172B6"/>
    <w:rsid w:val="00422936"/>
    <w:rsid w:val="00422E30"/>
    <w:rsid w:val="00437524"/>
    <w:rsid w:val="00441378"/>
    <w:rsid w:val="00450FE6"/>
    <w:rsid w:val="004526D6"/>
    <w:rsid w:val="004542C8"/>
    <w:rsid w:val="00455849"/>
    <w:rsid w:val="00456093"/>
    <w:rsid w:val="00456394"/>
    <w:rsid w:val="004657FA"/>
    <w:rsid w:val="004738DA"/>
    <w:rsid w:val="0047756D"/>
    <w:rsid w:val="00480480"/>
    <w:rsid w:val="004865E7"/>
    <w:rsid w:val="00491559"/>
    <w:rsid w:val="00491DBE"/>
    <w:rsid w:val="004947DE"/>
    <w:rsid w:val="00496841"/>
    <w:rsid w:val="004A001F"/>
    <w:rsid w:val="004A0180"/>
    <w:rsid w:val="004A34AD"/>
    <w:rsid w:val="004B612B"/>
    <w:rsid w:val="004C2BB1"/>
    <w:rsid w:val="004D09F5"/>
    <w:rsid w:val="004D173D"/>
    <w:rsid w:val="004D3173"/>
    <w:rsid w:val="004D43CD"/>
    <w:rsid w:val="004E29D9"/>
    <w:rsid w:val="004E4500"/>
    <w:rsid w:val="004F0644"/>
    <w:rsid w:val="004F098A"/>
    <w:rsid w:val="004F45B9"/>
    <w:rsid w:val="004F6D5C"/>
    <w:rsid w:val="005016B7"/>
    <w:rsid w:val="00503C7A"/>
    <w:rsid w:val="005070F3"/>
    <w:rsid w:val="00513E2C"/>
    <w:rsid w:val="005224B1"/>
    <w:rsid w:val="0052349A"/>
    <w:rsid w:val="0052485E"/>
    <w:rsid w:val="00525ECE"/>
    <w:rsid w:val="00532A11"/>
    <w:rsid w:val="005346C8"/>
    <w:rsid w:val="0053607C"/>
    <w:rsid w:val="00537B93"/>
    <w:rsid w:val="005409D1"/>
    <w:rsid w:val="005467D5"/>
    <w:rsid w:val="00551A67"/>
    <w:rsid w:val="0055580C"/>
    <w:rsid w:val="00561515"/>
    <w:rsid w:val="005630A2"/>
    <w:rsid w:val="00564930"/>
    <w:rsid w:val="005701B7"/>
    <w:rsid w:val="00570E7E"/>
    <w:rsid w:val="00571AAB"/>
    <w:rsid w:val="005771DB"/>
    <w:rsid w:val="00577E75"/>
    <w:rsid w:val="00580CDE"/>
    <w:rsid w:val="00585C8D"/>
    <w:rsid w:val="0059016E"/>
    <w:rsid w:val="005902DD"/>
    <w:rsid w:val="0059195F"/>
    <w:rsid w:val="00593AB8"/>
    <w:rsid w:val="005A0DD2"/>
    <w:rsid w:val="005A1386"/>
    <w:rsid w:val="005A3B16"/>
    <w:rsid w:val="005A7044"/>
    <w:rsid w:val="005A7F76"/>
    <w:rsid w:val="005B0F81"/>
    <w:rsid w:val="005B18EB"/>
    <w:rsid w:val="005B1B71"/>
    <w:rsid w:val="005B5B34"/>
    <w:rsid w:val="005B667A"/>
    <w:rsid w:val="005C0E88"/>
    <w:rsid w:val="005C2148"/>
    <w:rsid w:val="005D1C85"/>
    <w:rsid w:val="005D2F75"/>
    <w:rsid w:val="005D660D"/>
    <w:rsid w:val="005E33F9"/>
    <w:rsid w:val="005E3745"/>
    <w:rsid w:val="005E4633"/>
    <w:rsid w:val="005E7C38"/>
    <w:rsid w:val="005F1367"/>
    <w:rsid w:val="005F2555"/>
    <w:rsid w:val="005F2786"/>
    <w:rsid w:val="005F3E51"/>
    <w:rsid w:val="005F44AE"/>
    <w:rsid w:val="005F5407"/>
    <w:rsid w:val="0060162F"/>
    <w:rsid w:val="00602AA2"/>
    <w:rsid w:val="00603B15"/>
    <w:rsid w:val="006075F4"/>
    <w:rsid w:val="006114CA"/>
    <w:rsid w:val="00611510"/>
    <w:rsid w:val="00613283"/>
    <w:rsid w:val="00614692"/>
    <w:rsid w:val="0061507F"/>
    <w:rsid w:val="00620624"/>
    <w:rsid w:val="006308B6"/>
    <w:rsid w:val="00632F08"/>
    <w:rsid w:val="006334D1"/>
    <w:rsid w:val="0063424E"/>
    <w:rsid w:val="00646652"/>
    <w:rsid w:val="0065060A"/>
    <w:rsid w:val="00650F5E"/>
    <w:rsid w:val="00652B59"/>
    <w:rsid w:val="00657ECB"/>
    <w:rsid w:val="006603A2"/>
    <w:rsid w:val="00661628"/>
    <w:rsid w:val="00667D8C"/>
    <w:rsid w:val="00675FF9"/>
    <w:rsid w:val="00680CD5"/>
    <w:rsid w:val="006831AF"/>
    <w:rsid w:val="00684691"/>
    <w:rsid w:val="00687F7D"/>
    <w:rsid w:val="00690902"/>
    <w:rsid w:val="006937CD"/>
    <w:rsid w:val="006A050F"/>
    <w:rsid w:val="006A2489"/>
    <w:rsid w:val="006A66AB"/>
    <w:rsid w:val="006B172C"/>
    <w:rsid w:val="006C1926"/>
    <w:rsid w:val="006C1C54"/>
    <w:rsid w:val="006C4726"/>
    <w:rsid w:val="006C7DEF"/>
    <w:rsid w:val="006D1525"/>
    <w:rsid w:val="006D36B0"/>
    <w:rsid w:val="006D479C"/>
    <w:rsid w:val="006D7383"/>
    <w:rsid w:val="006D7E43"/>
    <w:rsid w:val="006E05D2"/>
    <w:rsid w:val="006E1E56"/>
    <w:rsid w:val="006F3E8D"/>
    <w:rsid w:val="006F7A97"/>
    <w:rsid w:val="00700644"/>
    <w:rsid w:val="00705A56"/>
    <w:rsid w:val="0070615C"/>
    <w:rsid w:val="00711991"/>
    <w:rsid w:val="00712B04"/>
    <w:rsid w:val="00713DC4"/>
    <w:rsid w:val="00714078"/>
    <w:rsid w:val="00717689"/>
    <w:rsid w:val="0072136F"/>
    <w:rsid w:val="00722922"/>
    <w:rsid w:val="00731763"/>
    <w:rsid w:val="00731DE9"/>
    <w:rsid w:val="0073265B"/>
    <w:rsid w:val="00733391"/>
    <w:rsid w:val="0073346D"/>
    <w:rsid w:val="00733C1D"/>
    <w:rsid w:val="007344C6"/>
    <w:rsid w:val="00734E30"/>
    <w:rsid w:val="0073741F"/>
    <w:rsid w:val="007400DC"/>
    <w:rsid w:val="00740658"/>
    <w:rsid w:val="007473A7"/>
    <w:rsid w:val="00751327"/>
    <w:rsid w:val="0075257D"/>
    <w:rsid w:val="00763F76"/>
    <w:rsid w:val="00766173"/>
    <w:rsid w:val="00767281"/>
    <w:rsid w:val="00770C4F"/>
    <w:rsid w:val="0077120A"/>
    <w:rsid w:val="00772C4B"/>
    <w:rsid w:val="0077435F"/>
    <w:rsid w:val="007767AA"/>
    <w:rsid w:val="0079207A"/>
    <w:rsid w:val="00795B0E"/>
    <w:rsid w:val="007A6C06"/>
    <w:rsid w:val="007B1142"/>
    <w:rsid w:val="007B2954"/>
    <w:rsid w:val="007B2E0B"/>
    <w:rsid w:val="007B7237"/>
    <w:rsid w:val="007B7843"/>
    <w:rsid w:val="007B7B60"/>
    <w:rsid w:val="007C1874"/>
    <w:rsid w:val="007C1F8B"/>
    <w:rsid w:val="007C53EF"/>
    <w:rsid w:val="007C62CA"/>
    <w:rsid w:val="007E0CD5"/>
    <w:rsid w:val="007E2079"/>
    <w:rsid w:val="007E602B"/>
    <w:rsid w:val="007F2E93"/>
    <w:rsid w:val="007F5AA9"/>
    <w:rsid w:val="00801CC4"/>
    <w:rsid w:val="00803D81"/>
    <w:rsid w:val="008052EF"/>
    <w:rsid w:val="0080599C"/>
    <w:rsid w:val="00813092"/>
    <w:rsid w:val="008134A8"/>
    <w:rsid w:val="00813868"/>
    <w:rsid w:val="00816393"/>
    <w:rsid w:val="00823434"/>
    <w:rsid w:val="00831DB4"/>
    <w:rsid w:val="00832D92"/>
    <w:rsid w:val="0083356A"/>
    <w:rsid w:val="0083363B"/>
    <w:rsid w:val="00835BCF"/>
    <w:rsid w:val="0084501D"/>
    <w:rsid w:val="00850095"/>
    <w:rsid w:val="00851A46"/>
    <w:rsid w:val="0085376B"/>
    <w:rsid w:val="00853933"/>
    <w:rsid w:val="00854559"/>
    <w:rsid w:val="00854979"/>
    <w:rsid w:val="00864998"/>
    <w:rsid w:val="00864B86"/>
    <w:rsid w:val="00865C43"/>
    <w:rsid w:val="00867250"/>
    <w:rsid w:val="00867E94"/>
    <w:rsid w:val="0087060F"/>
    <w:rsid w:val="008829B8"/>
    <w:rsid w:val="0088350E"/>
    <w:rsid w:val="008875EC"/>
    <w:rsid w:val="008A4189"/>
    <w:rsid w:val="008A5685"/>
    <w:rsid w:val="008B1982"/>
    <w:rsid w:val="008B4B9A"/>
    <w:rsid w:val="008B4BD7"/>
    <w:rsid w:val="008B69F6"/>
    <w:rsid w:val="008C0F9D"/>
    <w:rsid w:val="008C685E"/>
    <w:rsid w:val="008D2C61"/>
    <w:rsid w:val="008D32AC"/>
    <w:rsid w:val="008D375B"/>
    <w:rsid w:val="008E2557"/>
    <w:rsid w:val="008E2E26"/>
    <w:rsid w:val="008E4EEE"/>
    <w:rsid w:val="008E6C7E"/>
    <w:rsid w:val="008F0832"/>
    <w:rsid w:val="008F7684"/>
    <w:rsid w:val="009045C3"/>
    <w:rsid w:val="00910940"/>
    <w:rsid w:val="00912959"/>
    <w:rsid w:val="00912DBA"/>
    <w:rsid w:val="00921C40"/>
    <w:rsid w:val="00924D5D"/>
    <w:rsid w:val="0093026A"/>
    <w:rsid w:val="009346C9"/>
    <w:rsid w:val="0094130E"/>
    <w:rsid w:val="00943E7E"/>
    <w:rsid w:val="00945C1E"/>
    <w:rsid w:val="00952CAA"/>
    <w:rsid w:val="00962F0D"/>
    <w:rsid w:val="009651EF"/>
    <w:rsid w:val="00966269"/>
    <w:rsid w:val="00973FF2"/>
    <w:rsid w:val="00977D3F"/>
    <w:rsid w:val="009832B0"/>
    <w:rsid w:val="009841EF"/>
    <w:rsid w:val="00987C18"/>
    <w:rsid w:val="0099243D"/>
    <w:rsid w:val="00993A99"/>
    <w:rsid w:val="00993BFA"/>
    <w:rsid w:val="00994A98"/>
    <w:rsid w:val="00995C99"/>
    <w:rsid w:val="009969C8"/>
    <w:rsid w:val="009A25DE"/>
    <w:rsid w:val="009A295B"/>
    <w:rsid w:val="009C45C9"/>
    <w:rsid w:val="009D1026"/>
    <w:rsid w:val="009D17AD"/>
    <w:rsid w:val="009D2398"/>
    <w:rsid w:val="009D2C9D"/>
    <w:rsid w:val="009D3770"/>
    <w:rsid w:val="009D732B"/>
    <w:rsid w:val="009E0216"/>
    <w:rsid w:val="009E0FB0"/>
    <w:rsid w:val="009E1D01"/>
    <w:rsid w:val="009E6283"/>
    <w:rsid w:val="009E7C94"/>
    <w:rsid w:val="009E7D31"/>
    <w:rsid w:val="009F18EF"/>
    <w:rsid w:val="009F1B5E"/>
    <w:rsid w:val="009F7430"/>
    <w:rsid w:val="00A0465C"/>
    <w:rsid w:val="00A05198"/>
    <w:rsid w:val="00A0708F"/>
    <w:rsid w:val="00A23B5E"/>
    <w:rsid w:val="00A24205"/>
    <w:rsid w:val="00A27639"/>
    <w:rsid w:val="00A32B6B"/>
    <w:rsid w:val="00A32B9A"/>
    <w:rsid w:val="00A35BD8"/>
    <w:rsid w:val="00A40983"/>
    <w:rsid w:val="00A417A4"/>
    <w:rsid w:val="00A42D99"/>
    <w:rsid w:val="00A447B2"/>
    <w:rsid w:val="00A46212"/>
    <w:rsid w:val="00A47636"/>
    <w:rsid w:val="00A513EF"/>
    <w:rsid w:val="00A51AC6"/>
    <w:rsid w:val="00A52F41"/>
    <w:rsid w:val="00A53A3F"/>
    <w:rsid w:val="00A546CC"/>
    <w:rsid w:val="00A54FDD"/>
    <w:rsid w:val="00A55860"/>
    <w:rsid w:val="00A70E29"/>
    <w:rsid w:val="00A74714"/>
    <w:rsid w:val="00A762D1"/>
    <w:rsid w:val="00A77E41"/>
    <w:rsid w:val="00A801C3"/>
    <w:rsid w:val="00A80FD0"/>
    <w:rsid w:val="00A81C78"/>
    <w:rsid w:val="00A843F8"/>
    <w:rsid w:val="00A93ED6"/>
    <w:rsid w:val="00A95AC3"/>
    <w:rsid w:val="00AA3051"/>
    <w:rsid w:val="00AA65B5"/>
    <w:rsid w:val="00AA729E"/>
    <w:rsid w:val="00AB2F74"/>
    <w:rsid w:val="00AB4317"/>
    <w:rsid w:val="00AC0843"/>
    <w:rsid w:val="00AC08CE"/>
    <w:rsid w:val="00AC729B"/>
    <w:rsid w:val="00AD14FB"/>
    <w:rsid w:val="00AE0A93"/>
    <w:rsid w:val="00AE37BC"/>
    <w:rsid w:val="00AE3B3D"/>
    <w:rsid w:val="00AE727C"/>
    <w:rsid w:val="00AE7609"/>
    <w:rsid w:val="00AE76C0"/>
    <w:rsid w:val="00AF28FA"/>
    <w:rsid w:val="00B131E6"/>
    <w:rsid w:val="00B13353"/>
    <w:rsid w:val="00B17449"/>
    <w:rsid w:val="00B2000A"/>
    <w:rsid w:val="00B25457"/>
    <w:rsid w:val="00B26D91"/>
    <w:rsid w:val="00B3003E"/>
    <w:rsid w:val="00B37118"/>
    <w:rsid w:val="00B42FF0"/>
    <w:rsid w:val="00B43683"/>
    <w:rsid w:val="00B45DF5"/>
    <w:rsid w:val="00B53E0F"/>
    <w:rsid w:val="00B62560"/>
    <w:rsid w:val="00B63247"/>
    <w:rsid w:val="00B63AD2"/>
    <w:rsid w:val="00B64C96"/>
    <w:rsid w:val="00B7149D"/>
    <w:rsid w:val="00B716B0"/>
    <w:rsid w:val="00B72C9C"/>
    <w:rsid w:val="00B751CA"/>
    <w:rsid w:val="00B759DE"/>
    <w:rsid w:val="00B80C50"/>
    <w:rsid w:val="00B83EC8"/>
    <w:rsid w:val="00B867BE"/>
    <w:rsid w:val="00B90C51"/>
    <w:rsid w:val="00B963F2"/>
    <w:rsid w:val="00BA1751"/>
    <w:rsid w:val="00BA2D0E"/>
    <w:rsid w:val="00BA3FDB"/>
    <w:rsid w:val="00BA524D"/>
    <w:rsid w:val="00BC5885"/>
    <w:rsid w:val="00BC7104"/>
    <w:rsid w:val="00BD0475"/>
    <w:rsid w:val="00BD37FC"/>
    <w:rsid w:val="00BE756C"/>
    <w:rsid w:val="00BF3071"/>
    <w:rsid w:val="00BF74B9"/>
    <w:rsid w:val="00C01470"/>
    <w:rsid w:val="00C01ABD"/>
    <w:rsid w:val="00C01FEA"/>
    <w:rsid w:val="00C024D7"/>
    <w:rsid w:val="00C03F83"/>
    <w:rsid w:val="00C0502F"/>
    <w:rsid w:val="00C14003"/>
    <w:rsid w:val="00C167B6"/>
    <w:rsid w:val="00C2753B"/>
    <w:rsid w:val="00C302E0"/>
    <w:rsid w:val="00C34490"/>
    <w:rsid w:val="00C35272"/>
    <w:rsid w:val="00C355A3"/>
    <w:rsid w:val="00C40C4A"/>
    <w:rsid w:val="00C43852"/>
    <w:rsid w:val="00C50559"/>
    <w:rsid w:val="00C5704F"/>
    <w:rsid w:val="00C57228"/>
    <w:rsid w:val="00C64940"/>
    <w:rsid w:val="00C66E62"/>
    <w:rsid w:val="00C73EEA"/>
    <w:rsid w:val="00C74E68"/>
    <w:rsid w:val="00C811CF"/>
    <w:rsid w:val="00C8331C"/>
    <w:rsid w:val="00C84154"/>
    <w:rsid w:val="00C84299"/>
    <w:rsid w:val="00C85A02"/>
    <w:rsid w:val="00C86748"/>
    <w:rsid w:val="00C9225D"/>
    <w:rsid w:val="00C949D4"/>
    <w:rsid w:val="00C97B72"/>
    <w:rsid w:val="00CA2977"/>
    <w:rsid w:val="00CA480A"/>
    <w:rsid w:val="00CA6187"/>
    <w:rsid w:val="00CB0F2B"/>
    <w:rsid w:val="00CC1AEA"/>
    <w:rsid w:val="00CC31C9"/>
    <w:rsid w:val="00CD4BB2"/>
    <w:rsid w:val="00CD7948"/>
    <w:rsid w:val="00CE0B15"/>
    <w:rsid w:val="00CE1FF6"/>
    <w:rsid w:val="00CE2BF8"/>
    <w:rsid w:val="00CE2D64"/>
    <w:rsid w:val="00CE4B1A"/>
    <w:rsid w:val="00CF0321"/>
    <w:rsid w:val="00CF08F3"/>
    <w:rsid w:val="00CF29DB"/>
    <w:rsid w:val="00CF4E86"/>
    <w:rsid w:val="00CF5AB1"/>
    <w:rsid w:val="00D017FC"/>
    <w:rsid w:val="00D04CAC"/>
    <w:rsid w:val="00D062C2"/>
    <w:rsid w:val="00D153C1"/>
    <w:rsid w:val="00D26871"/>
    <w:rsid w:val="00D33348"/>
    <w:rsid w:val="00D36860"/>
    <w:rsid w:val="00D37137"/>
    <w:rsid w:val="00D45CB6"/>
    <w:rsid w:val="00D462CD"/>
    <w:rsid w:val="00D4717F"/>
    <w:rsid w:val="00D478AC"/>
    <w:rsid w:val="00D54621"/>
    <w:rsid w:val="00D63D01"/>
    <w:rsid w:val="00D65D5F"/>
    <w:rsid w:val="00D73340"/>
    <w:rsid w:val="00D774BC"/>
    <w:rsid w:val="00D8009A"/>
    <w:rsid w:val="00D8220A"/>
    <w:rsid w:val="00D863A9"/>
    <w:rsid w:val="00D91B1F"/>
    <w:rsid w:val="00D92C7D"/>
    <w:rsid w:val="00D93097"/>
    <w:rsid w:val="00D9540A"/>
    <w:rsid w:val="00D96BB4"/>
    <w:rsid w:val="00DB07AB"/>
    <w:rsid w:val="00DB4391"/>
    <w:rsid w:val="00DC3701"/>
    <w:rsid w:val="00DC3F0B"/>
    <w:rsid w:val="00DC59C2"/>
    <w:rsid w:val="00DC5E8B"/>
    <w:rsid w:val="00DD12D7"/>
    <w:rsid w:val="00DD1758"/>
    <w:rsid w:val="00DD31AD"/>
    <w:rsid w:val="00DD34DF"/>
    <w:rsid w:val="00DD3B3F"/>
    <w:rsid w:val="00DE386E"/>
    <w:rsid w:val="00DE5E3F"/>
    <w:rsid w:val="00DE643D"/>
    <w:rsid w:val="00DF5799"/>
    <w:rsid w:val="00DF5A0E"/>
    <w:rsid w:val="00E011EF"/>
    <w:rsid w:val="00E01F72"/>
    <w:rsid w:val="00E020CE"/>
    <w:rsid w:val="00E029B6"/>
    <w:rsid w:val="00E23678"/>
    <w:rsid w:val="00E334BD"/>
    <w:rsid w:val="00E40C8F"/>
    <w:rsid w:val="00E41DB6"/>
    <w:rsid w:val="00E42048"/>
    <w:rsid w:val="00E425E4"/>
    <w:rsid w:val="00E435D3"/>
    <w:rsid w:val="00E45CFB"/>
    <w:rsid w:val="00E46CDD"/>
    <w:rsid w:val="00E46D19"/>
    <w:rsid w:val="00E46F83"/>
    <w:rsid w:val="00E50680"/>
    <w:rsid w:val="00E51189"/>
    <w:rsid w:val="00E5771F"/>
    <w:rsid w:val="00E57F0C"/>
    <w:rsid w:val="00E6498E"/>
    <w:rsid w:val="00E64CF3"/>
    <w:rsid w:val="00E66322"/>
    <w:rsid w:val="00E727D3"/>
    <w:rsid w:val="00E7648B"/>
    <w:rsid w:val="00E90755"/>
    <w:rsid w:val="00EA2E4C"/>
    <w:rsid w:val="00EA36E1"/>
    <w:rsid w:val="00EA6147"/>
    <w:rsid w:val="00EA73AB"/>
    <w:rsid w:val="00EB13D8"/>
    <w:rsid w:val="00EB610C"/>
    <w:rsid w:val="00EC09B5"/>
    <w:rsid w:val="00EC4FBC"/>
    <w:rsid w:val="00EC6655"/>
    <w:rsid w:val="00EC6FD8"/>
    <w:rsid w:val="00ED040F"/>
    <w:rsid w:val="00ED1E7C"/>
    <w:rsid w:val="00ED578F"/>
    <w:rsid w:val="00ED7C50"/>
    <w:rsid w:val="00EE0938"/>
    <w:rsid w:val="00EF7E2F"/>
    <w:rsid w:val="00F01307"/>
    <w:rsid w:val="00F023D3"/>
    <w:rsid w:val="00F1211D"/>
    <w:rsid w:val="00F1255A"/>
    <w:rsid w:val="00F13529"/>
    <w:rsid w:val="00F14DC8"/>
    <w:rsid w:val="00F1514B"/>
    <w:rsid w:val="00F1630B"/>
    <w:rsid w:val="00F17E13"/>
    <w:rsid w:val="00F20425"/>
    <w:rsid w:val="00F22385"/>
    <w:rsid w:val="00F22708"/>
    <w:rsid w:val="00F22945"/>
    <w:rsid w:val="00F2549A"/>
    <w:rsid w:val="00F25C63"/>
    <w:rsid w:val="00F303C8"/>
    <w:rsid w:val="00F33DB3"/>
    <w:rsid w:val="00F37EEC"/>
    <w:rsid w:val="00F44E62"/>
    <w:rsid w:val="00F50823"/>
    <w:rsid w:val="00F50CB1"/>
    <w:rsid w:val="00F5254D"/>
    <w:rsid w:val="00F5427E"/>
    <w:rsid w:val="00F618FE"/>
    <w:rsid w:val="00F62C73"/>
    <w:rsid w:val="00F657BE"/>
    <w:rsid w:val="00F65B92"/>
    <w:rsid w:val="00F7076B"/>
    <w:rsid w:val="00F718EC"/>
    <w:rsid w:val="00F732C4"/>
    <w:rsid w:val="00F76868"/>
    <w:rsid w:val="00F80941"/>
    <w:rsid w:val="00F87E6B"/>
    <w:rsid w:val="00F90439"/>
    <w:rsid w:val="00F93492"/>
    <w:rsid w:val="00F95AE3"/>
    <w:rsid w:val="00FA4A97"/>
    <w:rsid w:val="00FA5761"/>
    <w:rsid w:val="00FB7077"/>
    <w:rsid w:val="00FC0216"/>
    <w:rsid w:val="00FC1329"/>
    <w:rsid w:val="00FC150F"/>
    <w:rsid w:val="00FC16F5"/>
    <w:rsid w:val="00FC2809"/>
    <w:rsid w:val="00FC7DC5"/>
    <w:rsid w:val="00FD294F"/>
    <w:rsid w:val="00FD318F"/>
    <w:rsid w:val="00FD36C1"/>
    <w:rsid w:val="00FD37F8"/>
    <w:rsid w:val="00FD79A0"/>
    <w:rsid w:val="00FE0484"/>
    <w:rsid w:val="00FE2F80"/>
    <w:rsid w:val="00FE4928"/>
    <w:rsid w:val="00FF16E0"/>
    <w:rsid w:val="00FF2A8E"/>
    <w:rsid w:val="00FF51F9"/>
    <w:rsid w:val="00FF64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88BB4"/>
  <w15:docId w15:val="{2831BAC2-7E53-4D9E-B35B-603EA70DD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6"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6"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qFormat/>
    <w:rsid w:val="00160CE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iPriority w:val="8"/>
    <w:unhideWhenUsed/>
    <w:qFormat/>
    <w:rsid w:val="009E02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link w:val="Naslov3Znak"/>
    <w:uiPriority w:val="9"/>
    <w:qFormat/>
    <w:rsid w:val="009E0216"/>
    <w:pPr>
      <w:keepNext/>
      <w:tabs>
        <w:tab w:val="left" w:pos="360"/>
        <w:tab w:val="left" w:pos="4537"/>
      </w:tabs>
      <w:spacing w:after="0" w:line="260" w:lineRule="atLeast"/>
      <w:jc w:val="both"/>
      <w:outlineLvl w:val="2"/>
    </w:pPr>
    <w:rPr>
      <w:rFonts w:ascii="Arial" w:eastAsia="Times New Roman" w:hAnsi="Arial" w:cs="Times New Roman"/>
      <w:b/>
      <w:color w:val="00B050"/>
      <w:szCs w:val="20"/>
      <w:lang w:eastAsia="en-GB"/>
    </w:rPr>
  </w:style>
  <w:style w:type="paragraph" w:styleId="Naslov4">
    <w:name w:val="heading 4"/>
    <w:basedOn w:val="Navaden"/>
    <w:link w:val="Naslov4Znak"/>
    <w:uiPriority w:val="10"/>
    <w:qFormat/>
    <w:rsid w:val="009E0216"/>
    <w:pPr>
      <w:keepNext/>
      <w:tabs>
        <w:tab w:val="left" w:pos="0"/>
        <w:tab w:val="left" w:pos="480"/>
        <w:tab w:val="left" w:pos="906"/>
        <w:tab w:val="left" w:pos="4537"/>
      </w:tabs>
      <w:spacing w:after="0" w:line="240" w:lineRule="auto"/>
      <w:jc w:val="both"/>
      <w:outlineLvl w:val="3"/>
    </w:pPr>
    <w:rPr>
      <w:rFonts w:ascii="Arial" w:eastAsia="Times New Roman" w:hAnsi="Arial" w:cs="Times New Roman"/>
      <w:b/>
      <w:color w:val="00B050"/>
      <w:szCs w:val="24"/>
      <w:lang w:eastAsia="en-GB"/>
    </w:rPr>
  </w:style>
  <w:style w:type="paragraph" w:styleId="Naslov5">
    <w:name w:val="heading 5"/>
    <w:basedOn w:val="Navaden"/>
    <w:next w:val="Navaden"/>
    <w:link w:val="Naslov5Znak"/>
    <w:uiPriority w:val="11"/>
    <w:qFormat/>
    <w:rsid w:val="009E0216"/>
    <w:pPr>
      <w:spacing w:after="0" w:line="240" w:lineRule="auto"/>
      <w:ind w:left="4040" w:hanging="708"/>
      <w:jc w:val="both"/>
      <w:outlineLvl w:val="4"/>
    </w:pPr>
    <w:rPr>
      <w:rFonts w:ascii="Arial" w:eastAsia="Arial" w:hAnsi="Arial" w:cs="Times New Roman"/>
      <w:lang w:eastAsia="en-GB"/>
    </w:rPr>
  </w:style>
  <w:style w:type="paragraph" w:styleId="Naslov6">
    <w:name w:val="heading 6"/>
    <w:basedOn w:val="Navaden"/>
    <w:next w:val="Navaden"/>
    <w:link w:val="Naslov6Znak"/>
    <w:qFormat/>
    <w:rsid w:val="009E0216"/>
    <w:pPr>
      <w:spacing w:after="0" w:line="240" w:lineRule="auto"/>
      <w:ind w:left="4748" w:hanging="708"/>
      <w:jc w:val="both"/>
      <w:outlineLvl w:val="5"/>
    </w:pPr>
    <w:rPr>
      <w:rFonts w:ascii="Arial" w:eastAsia="Arial" w:hAnsi="Arial" w:cs="Times New Roman"/>
      <w:i/>
      <w:lang w:eastAsia="en-GB"/>
    </w:rPr>
  </w:style>
  <w:style w:type="paragraph" w:styleId="Naslov7">
    <w:name w:val="heading 7"/>
    <w:basedOn w:val="Navaden"/>
    <w:next w:val="Navaden"/>
    <w:link w:val="Naslov7Znak"/>
    <w:qFormat/>
    <w:rsid w:val="009E0216"/>
    <w:pPr>
      <w:spacing w:after="0" w:line="240" w:lineRule="auto"/>
      <w:ind w:left="5456" w:hanging="708"/>
      <w:jc w:val="both"/>
      <w:outlineLvl w:val="6"/>
    </w:pPr>
    <w:rPr>
      <w:rFonts w:ascii="Arial" w:eastAsia="Arial" w:hAnsi="Arial" w:cs="Times New Roman"/>
      <w:sz w:val="20"/>
      <w:szCs w:val="20"/>
      <w:lang w:eastAsia="en-GB"/>
    </w:rPr>
  </w:style>
  <w:style w:type="paragraph" w:styleId="Naslov8">
    <w:name w:val="heading 8"/>
    <w:basedOn w:val="Navaden"/>
    <w:next w:val="Navaden"/>
    <w:link w:val="Naslov8Znak"/>
    <w:qFormat/>
    <w:rsid w:val="009E0216"/>
    <w:pPr>
      <w:spacing w:after="0" w:line="240" w:lineRule="auto"/>
      <w:ind w:left="6164" w:hanging="708"/>
      <w:jc w:val="both"/>
      <w:outlineLvl w:val="7"/>
    </w:pPr>
    <w:rPr>
      <w:rFonts w:ascii="Arial" w:eastAsia="Arial" w:hAnsi="Arial" w:cs="Times New Roman"/>
      <w:i/>
      <w:sz w:val="20"/>
      <w:szCs w:val="20"/>
      <w:lang w:eastAsia="en-GB"/>
    </w:rPr>
  </w:style>
  <w:style w:type="paragraph" w:styleId="Naslov9">
    <w:name w:val="heading 9"/>
    <w:basedOn w:val="Navaden"/>
    <w:next w:val="Navaden"/>
    <w:link w:val="Naslov9Znak"/>
    <w:qFormat/>
    <w:rsid w:val="009E0216"/>
    <w:pPr>
      <w:spacing w:after="0" w:line="240" w:lineRule="auto"/>
      <w:ind w:left="6872" w:hanging="708"/>
      <w:jc w:val="both"/>
      <w:outlineLvl w:val="8"/>
    </w:pPr>
    <w:rPr>
      <w:rFonts w:ascii="Arial" w:eastAsia="Arial" w:hAnsi="Arial" w:cs="Times New Roman"/>
      <w:i/>
      <w:sz w:val="18"/>
      <w:szCs w:val="18"/>
      <w:lang w:eastAsia="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60CE9"/>
    <w:rPr>
      <w:rFonts w:asciiTheme="majorHAnsi" w:eastAsiaTheme="majorEastAsia" w:hAnsiTheme="majorHAnsi" w:cstheme="majorBidi"/>
      <w:color w:val="365F91" w:themeColor="accent1" w:themeShade="BF"/>
      <w:sz w:val="32"/>
      <w:szCs w:val="32"/>
    </w:rPr>
  </w:style>
  <w:style w:type="paragraph" w:styleId="Odstavekseznama">
    <w:name w:val="List Paragraph"/>
    <w:aliases w:val="Odstavec1"/>
    <w:basedOn w:val="Navaden"/>
    <w:link w:val="OdstavekseznamaZnak"/>
    <w:uiPriority w:val="34"/>
    <w:qFormat/>
    <w:rsid w:val="00CA6187"/>
    <w:pPr>
      <w:ind w:left="720"/>
      <w:contextualSpacing/>
    </w:pPr>
  </w:style>
  <w:style w:type="table" w:styleId="Tabelamrea">
    <w:name w:val="Table Grid"/>
    <w:basedOn w:val="Navadnatabela"/>
    <w:uiPriority w:val="59"/>
    <w:rsid w:val="00CA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elseznampoudarek3">
    <w:name w:val="Light List Accent 3"/>
    <w:basedOn w:val="Navadnatabela"/>
    <w:uiPriority w:val="61"/>
    <w:rsid w:val="003A4E76"/>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Cslika">
    <w:name w:val="SC_slika"/>
    <w:basedOn w:val="Navaden"/>
    <w:qFormat/>
    <w:rsid w:val="000353F0"/>
    <w:pPr>
      <w:spacing w:before="80" w:after="80" w:line="264" w:lineRule="auto"/>
      <w:jc w:val="both"/>
    </w:pPr>
    <w:rPr>
      <w:rFonts w:ascii="Arial" w:eastAsia="Times New Roman" w:hAnsi="Arial" w:cs="Arial"/>
      <w:noProof/>
      <w:sz w:val="20"/>
      <w:szCs w:val="24"/>
      <w:lang w:eastAsia="sl-SI"/>
    </w:rPr>
  </w:style>
  <w:style w:type="paragraph" w:customStyle="1" w:styleId="SCPreglednica">
    <w:name w:val="SC Preglednica"/>
    <w:basedOn w:val="Navaden"/>
    <w:next w:val="Navaden"/>
    <w:link w:val="SCPreglednicaZnak"/>
    <w:qFormat/>
    <w:rsid w:val="000353F0"/>
    <w:pPr>
      <w:spacing w:before="240" w:after="120"/>
      <w:jc w:val="both"/>
    </w:pPr>
    <w:rPr>
      <w:rFonts w:ascii="Arial" w:hAnsi="Arial"/>
      <w:sz w:val="20"/>
    </w:rPr>
  </w:style>
  <w:style w:type="character" w:customStyle="1" w:styleId="SCPreglednicaZnak">
    <w:name w:val="SC Preglednica Znak"/>
    <w:basedOn w:val="Privzetapisavaodstavka"/>
    <w:link w:val="SCPreglednica"/>
    <w:rsid w:val="000353F0"/>
    <w:rPr>
      <w:rFonts w:ascii="Arial" w:hAnsi="Arial"/>
      <w:sz w:val="20"/>
    </w:rPr>
  </w:style>
  <w:style w:type="character" w:styleId="Hiperpovezava">
    <w:name w:val="Hyperlink"/>
    <w:basedOn w:val="Privzetapisavaodstavka"/>
    <w:uiPriority w:val="99"/>
    <w:unhideWhenUsed/>
    <w:rsid w:val="00993BFA"/>
    <w:rPr>
      <w:color w:val="0000FF" w:themeColor="hyperlink"/>
      <w:u w:val="single"/>
    </w:rPr>
  </w:style>
  <w:style w:type="paragraph" w:styleId="Glava">
    <w:name w:val="header"/>
    <w:basedOn w:val="Navaden"/>
    <w:link w:val="GlavaZnak"/>
    <w:uiPriority w:val="99"/>
    <w:unhideWhenUsed/>
    <w:rsid w:val="00240F7A"/>
    <w:pPr>
      <w:tabs>
        <w:tab w:val="center" w:pos="4536"/>
        <w:tab w:val="right" w:pos="9072"/>
      </w:tabs>
      <w:spacing w:after="0" w:line="240" w:lineRule="auto"/>
    </w:pPr>
  </w:style>
  <w:style w:type="character" w:customStyle="1" w:styleId="GlavaZnak">
    <w:name w:val="Glava Znak"/>
    <w:basedOn w:val="Privzetapisavaodstavka"/>
    <w:link w:val="Glava"/>
    <w:uiPriority w:val="99"/>
    <w:rsid w:val="00240F7A"/>
  </w:style>
  <w:style w:type="paragraph" w:styleId="Noga">
    <w:name w:val="footer"/>
    <w:basedOn w:val="Navaden"/>
    <w:link w:val="NogaZnak"/>
    <w:uiPriority w:val="99"/>
    <w:unhideWhenUsed/>
    <w:rsid w:val="00240F7A"/>
    <w:pPr>
      <w:tabs>
        <w:tab w:val="center" w:pos="4536"/>
        <w:tab w:val="right" w:pos="9072"/>
      </w:tabs>
      <w:spacing w:after="0" w:line="240" w:lineRule="auto"/>
    </w:pPr>
  </w:style>
  <w:style w:type="character" w:customStyle="1" w:styleId="NogaZnak">
    <w:name w:val="Noga Znak"/>
    <w:basedOn w:val="Privzetapisavaodstavka"/>
    <w:link w:val="Noga"/>
    <w:uiPriority w:val="99"/>
    <w:rsid w:val="00240F7A"/>
  </w:style>
  <w:style w:type="paragraph" w:styleId="Napis">
    <w:name w:val="caption"/>
    <w:basedOn w:val="Navaden"/>
    <w:next w:val="Navaden"/>
    <w:link w:val="NapisZnak"/>
    <w:qFormat/>
    <w:rsid w:val="00603B15"/>
    <w:pPr>
      <w:keepNext/>
      <w:spacing w:before="120" w:after="0" w:line="264" w:lineRule="auto"/>
    </w:pPr>
    <w:rPr>
      <w:rFonts w:ascii="Arial" w:eastAsia="Times New Roman" w:hAnsi="Arial" w:cs="Arial"/>
      <w:sz w:val="16"/>
      <w:szCs w:val="16"/>
      <w:lang w:eastAsia="en-GB"/>
    </w:rPr>
  </w:style>
  <w:style w:type="character" w:customStyle="1" w:styleId="NapisZnak">
    <w:name w:val="Napis Znak"/>
    <w:basedOn w:val="Privzetapisavaodstavka"/>
    <w:link w:val="Napis"/>
    <w:rsid w:val="00603B15"/>
    <w:rPr>
      <w:rFonts w:ascii="Arial" w:eastAsia="Times New Roman" w:hAnsi="Arial" w:cs="Arial"/>
      <w:sz w:val="16"/>
      <w:szCs w:val="16"/>
      <w:lang w:eastAsia="en-GB"/>
    </w:rPr>
  </w:style>
  <w:style w:type="paragraph" w:styleId="Besedilooblaka">
    <w:name w:val="Balloon Text"/>
    <w:basedOn w:val="Navaden"/>
    <w:link w:val="BesedilooblakaZnak"/>
    <w:uiPriority w:val="99"/>
    <w:semiHidden/>
    <w:unhideWhenUsed/>
    <w:rsid w:val="00F95AE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95AE3"/>
    <w:rPr>
      <w:rFonts w:ascii="Tahoma" w:hAnsi="Tahoma" w:cs="Tahoma"/>
      <w:sz w:val="16"/>
      <w:szCs w:val="16"/>
    </w:rPr>
  </w:style>
  <w:style w:type="paragraph" w:styleId="NaslovTOC">
    <w:name w:val="TOC Heading"/>
    <w:basedOn w:val="Navaden"/>
    <w:next w:val="Navaden"/>
    <w:uiPriority w:val="39"/>
    <w:qFormat/>
    <w:rsid w:val="00163103"/>
    <w:pPr>
      <w:keepNext/>
      <w:spacing w:after="0" w:line="240" w:lineRule="auto"/>
      <w:jc w:val="center"/>
    </w:pPr>
    <w:rPr>
      <w:rFonts w:ascii="Times New Roman" w:eastAsia="Times New Roman" w:hAnsi="Times New Roman" w:cs="Times New Roman"/>
      <w:b/>
      <w:sz w:val="20"/>
      <w:szCs w:val="20"/>
      <w:lang w:eastAsia="en-GB"/>
    </w:rPr>
  </w:style>
  <w:style w:type="paragraph" w:styleId="Kazalovsebine1">
    <w:name w:val="toc 1"/>
    <w:basedOn w:val="Navaden"/>
    <w:next w:val="Navaden"/>
    <w:uiPriority w:val="39"/>
    <w:qFormat/>
    <w:rsid w:val="00163103"/>
    <w:pPr>
      <w:spacing w:before="120" w:after="0" w:line="240" w:lineRule="auto"/>
    </w:pPr>
    <w:rPr>
      <w:rFonts w:eastAsia="Times New Roman" w:cs="Times New Roman"/>
      <w:b/>
      <w:bCs/>
      <w:i/>
      <w:iCs/>
      <w:sz w:val="24"/>
      <w:szCs w:val="24"/>
      <w:lang w:eastAsia="en-GB"/>
    </w:rPr>
  </w:style>
  <w:style w:type="paragraph" w:styleId="Kazalovsebine2">
    <w:name w:val="toc 2"/>
    <w:basedOn w:val="Navaden"/>
    <w:next w:val="Navaden"/>
    <w:uiPriority w:val="39"/>
    <w:qFormat/>
    <w:rsid w:val="00163103"/>
    <w:pPr>
      <w:spacing w:before="120" w:after="0" w:line="240" w:lineRule="auto"/>
      <w:ind w:left="240"/>
    </w:pPr>
    <w:rPr>
      <w:rFonts w:eastAsia="Times New Roman" w:cs="Times New Roman"/>
      <w:b/>
      <w:bCs/>
      <w:lang w:eastAsia="en-GB"/>
    </w:rPr>
  </w:style>
  <w:style w:type="paragraph" w:customStyle="1" w:styleId="1">
    <w:name w:val="1"/>
    <w:basedOn w:val="Navaden"/>
    <w:qFormat/>
    <w:rsid w:val="00163103"/>
    <w:pPr>
      <w:spacing w:after="0" w:line="260" w:lineRule="atLeast"/>
      <w:jc w:val="both"/>
    </w:pPr>
    <w:rPr>
      <w:rFonts w:ascii="Arial" w:eastAsia="Times New Roman" w:hAnsi="Arial" w:cs="Arial"/>
      <w:sz w:val="20"/>
      <w:szCs w:val="20"/>
    </w:rPr>
  </w:style>
  <w:style w:type="paragraph" w:styleId="Kazaloslik">
    <w:name w:val="table of figures"/>
    <w:basedOn w:val="Navaden"/>
    <w:next w:val="Navaden"/>
    <w:uiPriority w:val="99"/>
    <w:rsid w:val="00163103"/>
    <w:pPr>
      <w:spacing w:after="0" w:line="240" w:lineRule="auto"/>
    </w:pPr>
    <w:rPr>
      <w:rFonts w:eastAsia="Times New Roman" w:cs="Times New Roman"/>
      <w:i/>
      <w:iCs/>
      <w:sz w:val="20"/>
      <w:szCs w:val="20"/>
      <w:lang w:eastAsia="en-GB"/>
    </w:rPr>
  </w:style>
  <w:style w:type="paragraph" w:styleId="Pripombabesedilo">
    <w:name w:val="annotation text"/>
    <w:basedOn w:val="Navaden"/>
    <w:link w:val="PripombabesediloZnak"/>
    <w:uiPriority w:val="99"/>
    <w:rsid w:val="00163103"/>
    <w:pPr>
      <w:spacing w:after="0" w:line="240" w:lineRule="auto"/>
      <w:jc w:val="both"/>
    </w:pPr>
    <w:rPr>
      <w:rFonts w:ascii="Times New Roman" w:eastAsia="Times New Roman" w:hAnsi="Times New Roman" w:cs="Times New Roman"/>
      <w:sz w:val="20"/>
      <w:szCs w:val="20"/>
      <w:lang w:eastAsia="en-GB"/>
    </w:rPr>
  </w:style>
  <w:style w:type="character" w:customStyle="1" w:styleId="PripombabesediloZnak">
    <w:name w:val="Pripomba – besedilo Znak"/>
    <w:basedOn w:val="Privzetapisavaodstavka"/>
    <w:link w:val="Pripombabesedilo"/>
    <w:uiPriority w:val="99"/>
    <w:rsid w:val="00163103"/>
    <w:rPr>
      <w:rFonts w:ascii="Times New Roman" w:eastAsia="Times New Roman" w:hAnsi="Times New Roman" w:cs="Times New Roman"/>
      <w:sz w:val="20"/>
      <w:szCs w:val="20"/>
      <w:lang w:eastAsia="en-GB"/>
    </w:rPr>
  </w:style>
  <w:style w:type="character" w:styleId="Pripombasklic">
    <w:name w:val="annotation reference"/>
    <w:basedOn w:val="Privzetapisavaodstavka"/>
    <w:uiPriority w:val="99"/>
    <w:unhideWhenUsed/>
    <w:rsid w:val="00163103"/>
    <w:rPr>
      <w:w w:val="100"/>
      <w:sz w:val="16"/>
      <w:szCs w:val="16"/>
      <w:shd w:val="clear" w:color="auto" w:fill="auto"/>
    </w:rPr>
  </w:style>
  <w:style w:type="character" w:customStyle="1" w:styleId="Naslov2Znak">
    <w:name w:val="Naslov 2 Znak"/>
    <w:basedOn w:val="Privzetapisavaodstavka"/>
    <w:link w:val="Naslov2"/>
    <w:uiPriority w:val="8"/>
    <w:rsid w:val="009E0216"/>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9E0216"/>
    <w:rPr>
      <w:rFonts w:ascii="Arial" w:eastAsia="Times New Roman" w:hAnsi="Arial" w:cs="Times New Roman"/>
      <w:b/>
      <w:color w:val="00B050"/>
      <w:szCs w:val="20"/>
      <w:lang w:eastAsia="en-GB"/>
    </w:rPr>
  </w:style>
  <w:style w:type="character" w:customStyle="1" w:styleId="Naslov4Znak">
    <w:name w:val="Naslov 4 Znak"/>
    <w:basedOn w:val="Privzetapisavaodstavka"/>
    <w:link w:val="Naslov4"/>
    <w:uiPriority w:val="10"/>
    <w:rsid w:val="009E0216"/>
    <w:rPr>
      <w:rFonts w:ascii="Arial" w:eastAsia="Times New Roman" w:hAnsi="Arial" w:cs="Times New Roman"/>
      <w:b/>
      <w:color w:val="00B050"/>
      <w:szCs w:val="24"/>
      <w:lang w:eastAsia="en-GB"/>
    </w:rPr>
  </w:style>
  <w:style w:type="character" w:customStyle="1" w:styleId="Naslov5Znak">
    <w:name w:val="Naslov 5 Znak"/>
    <w:basedOn w:val="Privzetapisavaodstavka"/>
    <w:link w:val="Naslov5"/>
    <w:uiPriority w:val="11"/>
    <w:rsid w:val="009E0216"/>
    <w:rPr>
      <w:rFonts w:ascii="Arial" w:eastAsia="Arial" w:hAnsi="Arial" w:cs="Times New Roman"/>
      <w:lang w:eastAsia="en-GB"/>
    </w:rPr>
  </w:style>
  <w:style w:type="character" w:customStyle="1" w:styleId="Naslov6Znak">
    <w:name w:val="Naslov 6 Znak"/>
    <w:basedOn w:val="Privzetapisavaodstavka"/>
    <w:link w:val="Naslov6"/>
    <w:rsid w:val="009E0216"/>
    <w:rPr>
      <w:rFonts w:ascii="Arial" w:eastAsia="Arial" w:hAnsi="Arial" w:cs="Times New Roman"/>
      <w:i/>
      <w:lang w:eastAsia="en-GB"/>
    </w:rPr>
  </w:style>
  <w:style w:type="character" w:customStyle="1" w:styleId="Naslov7Znak">
    <w:name w:val="Naslov 7 Znak"/>
    <w:basedOn w:val="Privzetapisavaodstavka"/>
    <w:link w:val="Naslov7"/>
    <w:rsid w:val="009E0216"/>
    <w:rPr>
      <w:rFonts w:ascii="Arial" w:eastAsia="Arial" w:hAnsi="Arial" w:cs="Times New Roman"/>
      <w:sz w:val="20"/>
      <w:szCs w:val="20"/>
      <w:lang w:eastAsia="en-GB"/>
    </w:rPr>
  </w:style>
  <w:style w:type="character" w:customStyle="1" w:styleId="Naslov8Znak">
    <w:name w:val="Naslov 8 Znak"/>
    <w:basedOn w:val="Privzetapisavaodstavka"/>
    <w:link w:val="Naslov8"/>
    <w:rsid w:val="009E0216"/>
    <w:rPr>
      <w:rFonts w:ascii="Arial" w:eastAsia="Arial" w:hAnsi="Arial" w:cs="Times New Roman"/>
      <w:i/>
      <w:sz w:val="20"/>
      <w:szCs w:val="20"/>
      <w:lang w:eastAsia="en-GB"/>
    </w:rPr>
  </w:style>
  <w:style w:type="character" w:customStyle="1" w:styleId="Naslov9Znak">
    <w:name w:val="Naslov 9 Znak"/>
    <w:basedOn w:val="Privzetapisavaodstavka"/>
    <w:link w:val="Naslov9"/>
    <w:rsid w:val="009E0216"/>
    <w:rPr>
      <w:rFonts w:ascii="Arial" w:eastAsia="Arial" w:hAnsi="Arial" w:cs="Times New Roman"/>
      <w:i/>
      <w:sz w:val="18"/>
      <w:szCs w:val="18"/>
      <w:lang w:eastAsia="en-GB"/>
    </w:rPr>
  </w:style>
  <w:style w:type="paragraph" w:styleId="Brezrazmikov">
    <w:name w:val="No Spacing"/>
    <w:link w:val="BrezrazmikovZnak"/>
    <w:uiPriority w:val="1"/>
    <w:qFormat/>
    <w:rsid w:val="009E0216"/>
    <w:pPr>
      <w:spacing w:after="0" w:line="240" w:lineRule="auto"/>
    </w:pPr>
    <w:rPr>
      <w:rFonts w:ascii="Calibri" w:eastAsia="Calibri" w:hAnsi="Calibri" w:cs="Times New Roman"/>
      <w:lang w:val="en-GB" w:eastAsia="en-GB"/>
    </w:rPr>
  </w:style>
  <w:style w:type="paragraph" w:styleId="Naslov">
    <w:name w:val="Title"/>
    <w:basedOn w:val="Navaden"/>
    <w:link w:val="NaslovZnak"/>
    <w:uiPriority w:val="6"/>
    <w:qFormat/>
    <w:rsid w:val="009E0216"/>
    <w:pPr>
      <w:spacing w:after="0" w:line="240" w:lineRule="auto"/>
      <w:jc w:val="center"/>
    </w:pPr>
    <w:rPr>
      <w:rFonts w:ascii="Arial" w:eastAsia="Arial" w:hAnsi="Arial" w:cs="Times New Roman"/>
      <w:b/>
      <w:sz w:val="32"/>
      <w:szCs w:val="32"/>
      <w:lang w:eastAsia="en-GB"/>
    </w:rPr>
  </w:style>
  <w:style w:type="character" w:customStyle="1" w:styleId="NaslovZnak">
    <w:name w:val="Naslov Znak"/>
    <w:basedOn w:val="Privzetapisavaodstavka"/>
    <w:link w:val="Naslov"/>
    <w:uiPriority w:val="6"/>
    <w:rsid w:val="009E0216"/>
    <w:rPr>
      <w:rFonts w:ascii="Arial" w:eastAsia="Arial" w:hAnsi="Arial" w:cs="Times New Roman"/>
      <w:b/>
      <w:sz w:val="32"/>
      <w:szCs w:val="32"/>
      <w:lang w:eastAsia="en-GB"/>
    </w:rPr>
  </w:style>
  <w:style w:type="paragraph" w:styleId="Podnaslov">
    <w:name w:val="Subtitle"/>
    <w:basedOn w:val="Navaden"/>
    <w:link w:val="PodnaslovZnak"/>
    <w:uiPriority w:val="16"/>
    <w:qFormat/>
    <w:rsid w:val="009E0216"/>
    <w:pPr>
      <w:spacing w:after="0" w:line="240" w:lineRule="auto"/>
      <w:jc w:val="center"/>
    </w:pPr>
    <w:rPr>
      <w:rFonts w:ascii="Arial" w:eastAsia="Arial" w:hAnsi="Arial" w:cs="Times New Roman"/>
      <w:sz w:val="20"/>
      <w:szCs w:val="20"/>
      <w:lang w:eastAsia="en-GB"/>
    </w:rPr>
  </w:style>
  <w:style w:type="character" w:customStyle="1" w:styleId="PodnaslovZnak">
    <w:name w:val="Podnaslov Znak"/>
    <w:basedOn w:val="Privzetapisavaodstavka"/>
    <w:link w:val="Podnaslov"/>
    <w:uiPriority w:val="16"/>
    <w:rsid w:val="009E0216"/>
    <w:rPr>
      <w:rFonts w:ascii="Arial" w:eastAsia="Arial" w:hAnsi="Arial" w:cs="Times New Roman"/>
      <w:sz w:val="20"/>
      <w:szCs w:val="20"/>
      <w:lang w:eastAsia="en-GB"/>
    </w:rPr>
  </w:style>
  <w:style w:type="character" w:styleId="Neenpoudarek">
    <w:name w:val="Subtle Emphasis"/>
    <w:basedOn w:val="Privzetapisavaodstavka"/>
    <w:uiPriority w:val="17"/>
    <w:qFormat/>
    <w:rsid w:val="009E0216"/>
    <w:rPr>
      <w:i/>
      <w:color w:val="808080" w:themeColor="text1" w:themeTint="7F"/>
      <w:w w:val="100"/>
      <w:sz w:val="20"/>
      <w:szCs w:val="20"/>
      <w:shd w:val="clear" w:color="auto" w:fill="auto"/>
    </w:rPr>
  </w:style>
  <w:style w:type="character" w:styleId="Krepko">
    <w:name w:val="Strong"/>
    <w:basedOn w:val="Privzetapisavaodstavka"/>
    <w:uiPriority w:val="22"/>
    <w:qFormat/>
    <w:rsid w:val="009E0216"/>
    <w:rPr>
      <w:b/>
      <w:w w:val="100"/>
      <w:sz w:val="20"/>
      <w:szCs w:val="20"/>
      <w:shd w:val="clear" w:color="auto" w:fill="auto"/>
    </w:rPr>
  </w:style>
  <w:style w:type="paragraph" w:styleId="Kazalovsebine3">
    <w:name w:val="toc 3"/>
    <w:basedOn w:val="Navaden"/>
    <w:next w:val="Navaden"/>
    <w:uiPriority w:val="39"/>
    <w:qFormat/>
    <w:rsid w:val="009E0216"/>
    <w:pPr>
      <w:spacing w:after="0" w:line="240" w:lineRule="auto"/>
      <w:ind w:left="480"/>
    </w:pPr>
    <w:rPr>
      <w:rFonts w:eastAsia="Times New Roman" w:cs="Times New Roman"/>
      <w:sz w:val="20"/>
      <w:szCs w:val="20"/>
      <w:lang w:eastAsia="en-GB"/>
    </w:rPr>
  </w:style>
  <w:style w:type="paragraph" w:styleId="Kazalovsebine4">
    <w:name w:val="toc 4"/>
    <w:basedOn w:val="Navaden"/>
    <w:next w:val="Navaden"/>
    <w:uiPriority w:val="39"/>
    <w:rsid w:val="009E0216"/>
    <w:pPr>
      <w:spacing w:after="0" w:line="240" w:lineRule="auto"/>
      <w:ind w:left="720"/>
    </w:pPr>
    <w:rPr>
      <w:rFonts w:eastAsia="Times New Roman" w:cs="Times New Roman"/>
      <w:sz w:val="20"/>
      <w:szCs w:val="20"/>
      <w:lang w:eastAsia="en-GB"/>
    </w:rPr>
  </w:style>
  <w:style w:type="paragraph" w:styleId="Kazalovsebine5">
    <w:name w:val="toc 5"/>
    <w:basedOn w:val="Navaden"/>
    <w:next w:val="Navaden"/>
    <w:uiPriority w:val="39"/>
    <w:rsid w:val="009E0216"/>
    <w:pPr>
      <w:spacing w:after="0" w:line="240" w:lineRule="auto"/>
      <w:ind w:left="960"/>
    </w:pPr>
    <w:rPr>
      <w:rFonts w:eastAsia="Times New Roman" w:cs="Times New Roman"/>
      <w:sz w:val="20"/>
      <w:szCs w:val="20"/>
      <w:lang w:eastAsia="en-GB"/>
    </w:rPr>
  </w:style>
  <w:style w:type="paragraph" w:styleId="Kazalovsebine6">
    <w:name w:val="toc 6"/>
    <w:basedOn w:val="Navaden"/>
    <w:next w:val="Navaden"/>
    <w:uiPriority w:val="39"/>
    <w:rsid w:val="009E0216"/>
    <w:pPr>
      <w:spacing w:after="0" w:line="240" w:lineRule="auto"/>
      <w:ind w:left="1200"/>
    </w:pPr>
    <w:rPr>
      <w:rFonts w:eastAsia="Times New Roman" w:cs="Times New Roman"/>
      <w:sz w:val="20"/>
      <w:szCs w:val="20"/>
      <w:lang w:eastAsia="en-GB"/>
    </w:rPr>
  </w:style>
  <w:style w:type="paragraph" w:styleId="Kazalovsebine7">
    <w:name w:val="toc 7"/>
    <w:basedOn w:val="Navaden"/>
    <w:next w:val="Navaden"/>
    <w:uiPriority w:val="39"/>
    <w:rsid w:val="009E0216"/>
    <w:pPr>
      <w:spacing w:after="0" w:line="240" w:lineRule="auto"/>
      <w:ind w:left="1440"/>
    </w:pPr>
    <w:rPr>
      <w:rFonts w:eastAsia="Times New Roman" w:cs="Times New Roman"/>
      <w:sz w:val="20"/>
      <w:szCs w:val="20"/>
      <w:lang w:eastAsia="en-GB"/>
    </w:rPr>
  </w:style>
  <w:style w:type="paragraph" w:styleId="Kazalovsebine8">
    <w:name w:val="toc 8"/>
    <w:basedOn w:val="Navaden"/>
    <w:next w:val="Navaden"/>
    <w:uiPriority w:val="39"/>
    <w:rsid w:val="009E0216"/>
    <w:pPr>
      <w:spacing w:after="0" w:line="240" w:lineRule="auto"/>
      <w:ind w:left="1680"/>
    </w:pPr>
    <w:rPr>
      <w:rFonts w:eastAsia="Times New Roman" w:cs="Times New Roman"/>
      <w:sz w:val="20"/>
      <w:szCs w:val="20"/>
      <w:lang w:eastAsia="en-GB"/>
    </w:rPr>
  </w:style>
  <w:style w:type="paragraph" w:styleId="Kazalovsebine9">
    <w:name w:val="toc 9"/>
    <w:basedOn w:val="Navaden"/>
    <w:next w:val="Navaden"/>
    <w:uiPriority w:val="39"/>
    <w:rsid w:val="009E0216"/>
    <w:pPr>
      <w:spacing w:after="0" w:line="240" w:lineRule="auto"/>
      <w:ind w:left="1920"/>
    </w:pPr>
    <w:rPr>
      <w:rFonts w:eastAsia="Times New Roman" w:cs="Times New Roman"/>
      <w:sz w:val="20"/>
      <w:szCs w:val="20"/>
      <w:lang w:eastAsia="en-GB"/>
    </w:rPr>
  </w:style>
  <w:style w:type="paragraph" w:customStyle="1" w:styleId="Text1">
    <w:name w:val="Text 1"/>
    <w:basedOn w:val="Navaden"/>
    <w:rsid w:val="009E0216"/>
    <w:pPr>
      <w:spacing w:after="0" w:line="240" w:lineRule="auto"/>
      <w:ind w:left="482"/>
      <w:jc w:val="both"/>
    </w:pPr>
    <w:rPr>
      <w:rFonts w:ascii="Times New Roman" w:eastAsia="Times New Roman" w:hAnsi="Times New Roman" w:cs="Times New Roman"/>
      <w:sz w:val="24"/>
      <w:szCs w:val="24"/>
      <w:lang w:eastAsia="en-GB"/>
    </w:rPr>
  </w:style>
  <w:style w:type="paragraph" w:customStyle="1" w:styleId="Text2">
    <w:name w:val="Text 2"/>
    <w:basedOn w:val="Navaden"/>
    <w:link w:val="Text2Char"/>
    <w:rsid w:val="009E0216"/>
    <w:pPr>
      <w:tabs>
        <w:tab w:val="left" w:pos="2160"/>
      </w:tabs>
      <w:spacing w:after="0" w:line="240" w:lineRule="auto"/>
      <w:ind w:left="1077"/>
      <w:jc w:val="both"/>
    </w:pPr>
    <w:rPr>
      <w:rFonts w:ascii="Times New Roman" w:eastAsia="Times New Roman" w:hAnsi="Times New Roman" w:cs="Times New Roman"/>
      <w:sz w:val="24"/>
      <w:szCs w:val="24"/>
      <w:lang w:eastAsia="en-GB"/>
    </w:rPr>
  </w:style>
  <w:style w:type="paragraph" w:customStyle="1" w:styleId="Text3">
    <w:name w:val="Text 3"/>
    <w:basedOn w:val="Navaden"/>
    <w:rsid w:val="009E0216"/>
    <w:pPr>
      <w:tabs>
        <w:tab w:val="left" w:pos="2302"/>
      </w:tabs>
      <w:spacing w:after="0" w:line="240" w:lineRule="auto"/>
      <w:ind w:left="1916"/>
      <w:jc w:val="both"/>
    </w:pPr>
    <w:rPr>
      <w:rFonts w:ascii="Times New Roman" w:eastAsia="Times New Roman" w:hAnsi="Times New Roman" w:cs="Times New Roman"/>
      <w:sz w:val="24"/>
      <w:szCs w:val="24"/>
      <w:lang w:eastAsia="en-GB"/>
    </w:rPr>
  </w:style>
  <w:style w:type="paragraph" w:customStyle="1" w:styleId="Text4">
    <w:name w:val="Text 4"/>
    <w:basedOn w:val="Navaden"/>
    <w:rsid w:val="009E0216"/>
    <w:pPr>
      <w:spacing w:after="0" w:line="240" w:lineRule="auto"/>
      <w:ind w:left="2880"/>
      <w:jc w:val="both"/>
    </w:pPr>
    <w:rPr>
      <w:rFonts w:ascii="Times New Roman" w:eastAsia="Times New Roman" w:hAnsi="Times New Roman" w:cs="Times New Roman"/>
      <w:sz w:val="24"/>
      <w:szCs w:val="24"/>
      <w:lang w:eastAsia="en-GB"/>
    </w:rPr>
  </w:style>
  <w:style w:type="paragraph" w:customStyle="1" w:styleId="Address">
    <w:name w:val="Address"/>
    <w:basedOn w:val="Navaden"/>
    <w:rsid w:val="009E0216"/>
    <w:pPr>
      <w:spacing w:after="0" w:line="240" w:lineRule="auto"/>
      <w:jc w:val="both"/>
    </w:pPr>
    <w:rPr>
      <w:rFonts w:ascii="Times New Roman" w:eastAsia="Times New Roman" w:hAnsi="Times New Roman" w:cs="Times New Roman"/>
      <w:sz w:val="24"/>
      <w:szCs w:val="24"/>
      <w:lang w:eastAsia="en-GB"/>
    </w:rPr>
  </w:style>
  <w:style w:type="paragraph" w:customStyle="1" w:styleId="AddressTL">
    <w:name w:val="AddressTL"/>
    <w:basedOn w:val="Navaden"/>
    <w:next w:val="Navaden"/>
    <w:rsid w:val="009E0216"/>
    <w:pPr>
      <w:spacing w:after="0" w:line="240" w:lineRule="auto"/>
      <w:jc w:val="both"/>
    </w:pPr>
    <w:rPr>
      <w:rFonts w:ascii="Times New Roman" w:eastAsia="Times New Roman" w:hAnsi="Times New Roman" w:cs="Times New Roman"/>
      <w:sz w:val="24"/>
      <w:szCs w:val="24"/>
      <w:lang w:eastAsia="en-GB"/>
    </w:rPr>
  </w:style>
  <w:style w:type="paragraph" w:customStyle="1" w:styleId="AddressTR">
    <w:name w:val="AddressTR"/>
    <w:basedOn w:val="Navaden"/>
    <w:next w:val="Navaden"/>
    <w:rsid w:val="009E0216"/>
    <w:pPr>
      <w:spacing w:after="0" w:line="240" w:lineRule="auto"/>
      <w:ind w:left="5103"/>
      <w:jc w:val="both"/>
    </w:pPr>
    <w:rPr>
      <w:rFonts w:ascii="Times New Roman" w:eastAsia="Times New Roman" w:hAnsi="Times New Roman" w:cs="Times New Roman"/>
      <w:sz w:val="24"/>
      <w:szCs w:val="24"/>
      <w:lang w:eastAsia="en-GB"/>
    </w:rPr>
  </w:style>
  <w:style w:type="paragraph" w:styleId="Blokbesedila">
    <w:name w:val="Block Text"/>
    <w:basedOn w:val="Navaden"/>
    <w:rsid w:val="009E0216"/>
    <w:pPr>
      <w:spacing w:after="0" w:line="240" w:lineRule="auto"/>
      <w:ind w:left="1440" w:right="1440"/>
      <w:jc w:val="both"/>
    </w:pPr>
    <w:rPr>
      <w:rFonts w:ascii="Times New Roman" w:eastAsia="Times New Roman" w:hAnsi="Times New Roman" w:cs="Times New Roman"/>
      <w:sz w:val="24"/>
      <w:szCs w:val="24"/>
      <w:lang w:eastAsia="en-GB"/>
    </w:rPr>
  </w:style>
  <w:style w:type="paragraph" w:styleId="Telobesedila">
    <w:name w:val="Body Text"/>
    <w:basedOn w:val="Navaden"/>
    <w:link w:val="TelobesedilaZnak"/>
    <w:rsid w:val="009E0216"/>
    <w:pPr>
      <w:spacing w:after="0" w:line="240" w:lineRule="auto"/>
      <w:jc w:val="both"/>
    </w:pPr>
    <w:rPr>
      <w:rFonts w:ascii="Times New Roman" w:eastAsia="Times New Roman" w:hAnsi="Times New Roman" w:cs="Times New Roman"/>
      <w:sz w:val="24"/>
      <w:szCs w:val="24"/>
      <w:lang w:eastAsia="en-GB"/>
    </w:rPr>
  </w:style>
  <w:style w:type="character" w:customStyle="1" w:styleId="TelobesedilaZnak">
    <w:name w:val="Telo besedila Znak"/>
    <w:basedOn w:val="Privzetapisavaodstavka"/>
    <w:link w:val="Telobesedila"/>
    <w:rsid w:val="009E0216"/>
    <w:rPr>
      <w:rFonts w:ascii="Times New Roman" w:eastAsia="Times New Roman" w:hAnsi="Times New Roman" w:cs="Times New Roman"/>
      <w:sz w:val="24"/>
      <w:szCs w:val="24"/>
      <w:lang w:eastAsia="en-GB"/>
    </w:rPr>
  </w:style>
  <w:style w:type="paragraph" w:styleId="Telobesedila2">
    <w:name w:val="Body Text 2"/>
    <w:basedOn w:val="Navaden"/>
    <w:link w:val="Telobesedila2Znak"/>
    <w:rsid w:val="009E0216"/>
    <w:pPr>
      <w:spacing w:after="0" w:line="240" w:lineRule="auto"/>
      <w:jc w:val="both"/>
    </w:pPr>
    <w:rPr>
      <w:rFonts w:ascii="Times New Roman" w:eastAsia="Times New Roman" w:hAnsi="Times New Roman" w:cs="Times New Roman"/>
      <w:sz w:val="24"/>
      <w:szCs w:val="24"/>
      <w:lang w:eastAsia="en-GB"/>
    </w:rPr>
  </w:style>
  <w:style w:type="character" w:customStyle="1" w:styleId="Telobesedila2Znak">
    <w:name w:val="Telo besedila 2 Znak"/>
    <w:basedOn w:val="Privzetapisavaodstavka"/>
    <w:link w:val="Telobesedila2"/>
    <w:rsid w:val="009E0216"/>
    <w:rPr>
      <w:rFonts w:ascii="Times New Roman" w:eastAsia="Times New Roman" w:hAnsi="Times New Roman" w:cs="Times New Roman"/>
      <w:sz w:val="24"/>
      <w:szCs w:val="24"/>
      <w:lang w:eastAsia="en-GB"/>
    </w:rPr>
  </w:style>
  <w:style w:type="paragraph" w:styleId="Telobesedila3">
    <w:name w:val="Body Text 3"/>
    <w:basedOn w:val="Navaden"/>
    <w:link w:val="Telobesedila3Znak"/>
    <w:rsid w:val="009E0216"/>
    <w:pPr>
      <w:spacing w:after="0" w:line="240" w:lineRule="auto"/>
      <w:jc w:val="both"/>
    </w:pPr>
    <w:rPr>
      <w:rFonts w:ascii="Times New Roman" w:eastAsia="Times New Roman" w:hAnsi="Times New Roman" w:cs="Times New Roman"/>
      <w:sz w:val="16"/>
      <w:szCs w:val="16"/>
      <w:lang w:eastAsia="en-GB"/>
    </w:rPr>
  </w:style>
  <w:style w:type="character" w:customStyle="1" w:styleId="Telobesedila3Znak">
    <w:name w:val="Telo besedila 3 Znak"/>
    <w:basedOn w:val="Privzetapisavaodstavka"/>
    <w:link w:val="Telobesedila3"/>
    <w:rsid w:val="009E0216"/>
    <w:rPr>
      <w:rFonts w:ascii="Times New Roman" w:eastAsia="Times New Roman" w:hAnsi="Times New Roman" w:cs="Times New Roman"/>
      <w:sz w:val="16"/>
      <w:szCs w:val="16"/>
      <w:lang w:eastAsia="en-GB"/>
    </w:rPr>
  </w:style>
  <w:style w:type="paragraph" w:styleId="Telobesedila-prvizamik">
    <w:name w:val="Body Text First Indent"/>
    <w:basedOn w:val="Telobesedila"/>
    <w:link w:val="Telobesedila-prvizamikZnak"/>
    <w:rsid w:val="009E0216"/>
    <w:pPr>
      <w:ind w:firstLine="210"/>
    </w:pPr>
  </w:style>
  <w:style w:type="character" w:customStyle="1" w:styleId="Telobesedila-prvizamikZnak">
    <w:name w:val="Telo besedila - prvi zamik Znak"/>
    <w:basedOn w:val="TelobesedilaZnak"/>
    <w:link w:val="Telobesedila-prvizamik"/>
    <w:rsid w:val="009E0216"/>
    <w:rPr>
      <w:rFonts w:ascii="Times New Roman" w:eastAsia="Times New Roman" w:hAnsi="Times New Roman" w:cs="Times New Roman"/>
      <w:sz w:val="24"/>
      <w:szCs w:val="24"/>
      <w:lang w:eastAsia="en-GB"/>
    </w:rPr>
  </w:style>
  <w:style w:type="paragraph" w:styleId="Telobesedila-zamik">
    <w:name w:val="Body Text Indent"/>
    <w:basedOn w:val="Navaden"/>
    <w:link w:val="Telobesedila-zamikZnak"/>
    <w:rsid w:val="009E0216"/>
    <w:pPr>
      <w:spacing w:after="0" w:line="240" w:lineRule="auto"/>
      <w:ind w:left="283"/>
      <w:jc w:val="both"/>
    </w:pPr>
    <w:rPr>
      <w:rFonts w:ascii="Times New Roman" w:eastAsia="Times New Roman" w:hAnsi="Times New Roman" w:cs="Times New Roman"/>
      <w:sz w:val="24"/>
      <w:szCs w:val="24"/>
      <w:lang w:eastAsia="en-GB"/>
    </w:rPr>
  </w:style>
  <w:style w:type="character" w:customStyle="1" w:styleId="Telobesedila-zamikZnak">
    <w:name w:val="Telo besedila - zamik Znak"/>
    <w:basedOn w:val="Privzetapisavaodstavka"/>
    <w:link w:val="Telobesedila-zamik"/>
    <w:rsid w:val="009E0216"/>
    <w:rPr>
      <w:rFonts w:ascii="Times New Roman" w:eastAsia="Times New Roman" w:hAnsi="Times New Roman" w:cs="Times New Roman"/>
      <w:sz w:val="24"/>
      <w:szCs w:val="24"/>
      <w:lang w:eastAsia="en-GB"/>
    </w:rPr>
  </w:style>
  <w:style w:type="paragraph" w:styleId="Telobesedila-prvizamik2">
    <w:name w:val="Body Text First Indent 2"/>
    <w:basedOn w:val="Telobesedila-zamik"/>
    <w:link w:val="Telobesedila-prvizamik2Znak"/>
    <w:rsid w:val="009E0216"/>
    <w:pPr>
      <w:ind w:firstLine="210"/>
    </w:pPr>
  </w:style>
  <w:style w:type="character" w:customStyle="1" w:styleId="Telobesedila-prvizamik2Znak">
    <w:name w:val="Telo besedila - prvi zamik 2 Znak"/>
    <w:basedOn w:val="Telobesedila-zamikZnak"/>
    <w:link w:val="Telobesedila-prvizamik2"/>
    <w:rsid w:val="009E0216"/>
    <w:rPr>
      <w:rFonts w:ascii="Times New Roman" w:eastAsia="Times New Roman" w:hAnsi="Times New Roman" w:cs="Times New Roman"/>
      <w:sz w:val="24"/>
      <w:szCs w:val="24"/>
      <w:lang w:eastAsia="en-GB"/>
    </w:rPr>
  </w:style>
  <w:style w:type="paragraph" w:styleId="Telobesedila-zamik2">
    <w:name w:val="Body Text Indent 2"/>
    <w:basedOn w:val="Navaden"/>
    <w:link w:val="Telobesedila-zamik2Znak"/>
    <w:rsid w:val="009E0216"/>
    <w:pPr>
      <w:spacing w:after="0" w:line="240" w:lineRule="auto"/>
      <w:ind w:left="283"/>
      <w:jc w:val="both"/>
    </w:pPr>
    <w:rPr>
      <w:rFonts w:ascii="Times New Roman" w:eastAsia="Times New Roman" w:hAnsi="Times New Roman" w:cs="Times New Roman"/>
      <w:sz w:val="24"/>
      <w:szCs w:val="24"/>
      <w:lang w:eastAsia="en-GB"/>
    </w:rPr>
  </w:style>
  <w:style w:type="character" w:customStyle="1" w:styleId="Telobesedila-zamik2Znak">
    <w:name w:val="Telo besedila - zamik 2 Znak"/>
    <w:basedOn w:val="Privzetapisavaodstavka"/>
    <w:link w:val="Telobesedila-zamik2"/>
    <w:rsid w:val="009E0216"/>
    <w:rPr>
      <w:rFonts w:ascii="Times New Roman" w:eastAsia="Times New Roman" w:hAnsi="Times New Roman" w:cs="Times New Roman"/>
      <w:sz w:val="24"/>
      <w:szCs w:val="24"/>
      <w:lang w:eastAsia="en-GB"/>
    </w:rPr>
  </w:style>
  <w:style w:type="paragraph" w:styleId="Telobesedila-zamik3">
    <w:name w:val="Body Text Indent 3"/>
    <w:basedOn w:val="Navaden"/>
    <w:link w:val="Telobesedila-zamik3Znak"/>
    <w:rsid w:val="009E0216"/>
    <w:pPr>
      <w:spacing w:after="0" w:line="240" w:lineRule="auto"/>
      <w:ind w:left="283"/>
      <w:jc w:val="both"/>
    </w:pPr>
    <w:rPr>
      <w:rFonts w:ascii="Times New Roman" w:eastAsia="Times New Roman" w:hAnsi="Times New Roman" w:cs="Times New Roman"/>
      <w:sz w:val="16"/>
      <w:szCs w:val="16"/>
      <w:lang w:eastAsia="en-GB"/>
    </w:rPr>
  </w:style>
  <w:style w:type="character" w:customStyle="1" w:styleId="Telobesedila-zamik3Znak">
    <w:name w:val="Telo besedila - zamik 3 Znak"/>
    <w:basedOn w:val="Privzetapisavaodstavka"/>
    <w:link w:val="Telobesedila-zamik3"/>
    <w:rsid w:val="009E0216"/>
    <w:rPr>
      <w:rFonts w:ascii="Times New Roman" w:eastAsia="Times New Roman" w:hAnsi="Times New Roman" w:cs="Times New Roman"/>
      <w:sz w:val="16"/>
      <w:szCs w:val="16"/>
      <w:lang w:eastAsia="en-GB"/>
    </w:rPr>
  </w:style>
  <w:style w:type="paragraph" w:styleId="Zakljunipozdrav">
    <w:name w:val="Closing"/>
    <w:basedOn w:val="Navaden"/>
    <w:link w:val="ZakljunipozdravZnak"/>
    <w:rsid w:val="009E0216"/>
    <w:pPr>
      <w:tabs>
        <w:tab w:val="left" w:pos="5103"/>
      </w:tabs>
      <w:spacing w:after="0" w:line="240" w:lineRule="auto"/>
      <w:ind w:left="5103"/>
      <w:jc w:val="both"/>
    </w:pPr>
    <w:rPr>
      <w:rFonts w:ascii="Times New Roman" w:eastAsia="Times New Roman" w:hAnsi="Times New Roman" w:cs="Times New Roman"/>
      <w:sz w:val="24"/>
      <w:szCs w:val="24"/>
      <w:lang w:eastAsia="en-GB"/>
    </w:rPr>
  </w:style>
  <w:style w:type="character" w:customStyle="1" w:styleId="ZakljunipozdravZnak">
    <w:name w:val="Zaključni pozdrav Znak"/>
    <w:basedOn w:val="Privzetapisavaodstavka"/>
    <w:link w:val="Zakljunipozdrav"/>
    <w:rsid w:val="009E0216"/>
    <w:rPr>
      <w:rFonts w:ascii="Times New Roman" w:eastAsia="Times New Roman" w:hAnsi="Times New Roman" w:cs="Times New Roman"/>
      <w:sz w:val="24"/>
      <w:szCs w:val="24"/>
      <w:lang w:eastAsia="en-GB"/>
    </w:rPr>
  </w:style>
  <w:style w:type="paragraph" w:styleId="Podpis">
    <w:name w:val="Signature"/>
    <w:basedOn w:val="Navaden"/>
    <w:link w:val="PodpisZnak"/>
    <w:rsid w:val="009E0216"/>
    <w:pPr>
      <w:tabs>
        <w:tab w:val="left" w:pos="5103"/>
      </w:tabs>
      <w:spacing w:after="0" w:line="240" w:lineRule="auto"/>
      <w:ind w:left="5103"/>
      <w:jc w:val="center"/>
    </w:pPr>
    <w:rPr>
      <w:rFonts w:ascii="Times New Roman" w:eastAsia="Times New Roman" w:hAnsi="Times New Roman" w:cs="Times New Roman"/>
      <w:sz w:val="24"/>
      <w:szCs w:val="24"/>
      <w:lang w:eastAsia="en-GB"/>
    </w:rPr>
  </w:style>
  <w:style w:type="character" w:customStyle="1" w:styleId="PodpisZnak">
    <w:name w:val="Podpis Znak"/>
    <w:basedOn w:val="Privzetapisavaodstavka"/>
    <w:link w:val="Podpis"/>
    <w:rsid w:val="009E0216"/>
    <w:rPr>
      <w:rFonts w:ascii="Times New Roman" w:eastAsia="Times New Roman" w:hAnsi="Times New Roman" w:cs="Times New Roman"/>
      <w:sz w:val="24"/>
      <w:szCs w:val="24"/>
      <w:lang w:eastAsia="en-GB"/>
    </w:rPr>
  </w:style>
  <w:style w:type="paragraph" w:customStyle="1" w:styleId="Enclosures">
    <w:name w:val="Enclosures"/>
    <w:basedOn w:val="Navaden"/>
    <w:rsid w:val="009E0216"/>
    <w:pPr>
      <w:keepNext/>
      <w:keepLines/>
      <w:tabs>
        <w:tab w:val="left" w:pos="5670"/>
      </w:tabs>
      <w:spacing w:after="0" w:line="240" w:lineRule="auto"/>
      <w:ind w:left="3970" w:hanging="1985"/>
      <w:jc w:val="both"/>
    </w:pPr>
    <w:rPr>
      <w:rFonts w:ascii="Times New Roman" w:eastAsia="Times New Roman" w:hAnsi="Times New Roman" w:cs="Times New Roman"/>
      <w:sz w:val="24"/>
      <w:szCs w:val="24"/>
      <w:lang w:eastAsia="en-GB"/>
    </w:rPr>
  </w:style>
  <w:style w:type="paragraph" w:customStyle="1" w:styleId="Participants">
    <w:name w:val="Participants"/>
    <w:basedOn w:val="Navaden"/>
    <w:rsid w:val="009E0216"/>
    <w:pPr>
      <w:tabs>
        <w:tab w:val="left" w:pos="2552"/>
        <w:tab w:val="left" w:pos="2835"/>
        <w:tab w:val="left" w:pos="5670"/>
        <w:tab w:val="left" w:pos="6379"/>
        <w:tab w:val="left" w:pos="6804"/>
      </w:tabs>
      <w:spacing w:after="0" w:line="240" w:lineRule="auto"/>
      <w:ind w:left="3970" w:hanging="1985"/>
      <w:jc w:val="both"/>
    </w:pPr>
    <w:rPr>
      <w:rFonts w:ascii="Times New Roman" w:eastAsia="Times New Roman" w:hAnsi="Times New Roman" w:cs="Times New Roman"/>
      <w:sz w:val="24"/>
      <w:szCs w:val="24"/>
      <w:lang w:eastAsia="en-GB"/>
    </w:rPr>
  </w:style>
  <w:style w:type="paragraph" w:customStyle="1" w:styleId="Copies">
    <w:name w:val="Copies"/>
    <w:basedOn w:val="Navaden"/>
    <w:next w:val="Navaden"/>
    <w:rsid w:val="009E0216"/>
    <w:pPr>
      <w:tabs>
        <w:tab w:val="left" w:pos="2552"/>
        <w:tab w:val="left" w:pos="2835"/>
        <w:tab w:val="left" w:pos="5670"/>
        <w:tab w:val="left" w:pos="6379"/>
        <w:tab w:val="left" w:pos="6804"/>
      </w:tabs>
      <w:spacing w:after="0" w:line="240" w:lineRule="auto"/>
      <w:ind w:left="3970" w:hanging="1985"/>
      <w:jc w:val="both"/>
    </w:pPr>
    <w:rPr>
      <w:rFonts w:ascii="Times New Roman" w:eastAsia="Times New Roman" w:hAnsi="Times New Roman" w:cs="Times New Roman"/>
      <w:sz w:val="24"/>
      <w:szCs w:val="24"/>
      <w:lang w:eastAsia="en-GB"/>
    </w:rPr>
  </w:style>
  <w:style w:type="paragraph" w:styleId="Datum">
    <w:name w:val="Date"/>
    <w:basedOn w:val="Navaden"/>
    <w:link w:val="DatumZnak"/>
    <w:rsid w:val="009E0216"/>
    <w:pPr>
      <w:spacing w:after="0" w:line="240" w:lineRule="auto"/>
      <w:ind w:left="5103" w:right="-567"/>
      <w:jc w:val="both"/>
    </w:pPr>
    <w:rPr>
      <w:rFonts w:ascii="Times New Roman" w:eastAsia="Times New Roman" w:hAnsi="Times New Roman" w:cs="Times New Roman"/>
      <w:sz w:val="24"/>
      <w:szCs w:val="24"/>
      <w:lang w:eastAsia="en-GB"/>
    </w:rPr>
  </w:style>
  <w:style w:type="character" w:customStyle="1" w:styleId="DatumZnak">
    <w:name w:val="Datum Znak"/>
    <w:basedOn w:val="Privzetapisavaodstavka"/>
    <w:link w:val="Datum"/>
    <w:rsid w:val="009E0216"/>
    <w:rPr>
      <w:rFonts w:ascii="Times New Roman" w:eastAsia="Times New Roman" w:hAnsi="Times New Roman" w:cs="Times New Roman"/>
      <w:sz w:val="24"/>
      <w:szCs w:val="24"/>
      <w:lang w:eastAsia="en-GB"/>
    </w:rPr>
  </w:style>
  <w:style w:type="paragraph" w:customStyle="1" w:styleId="References">
    <w:name w:val="References"/>
    <w:basedOn w:val="Navaden"/>
    <w:next w:val="AddressTR"/>
    <w:rsid w:val="009E0216"/>
    <w:pPr>
      <w:spacing w:after="0" w:line="240" w:lineRule="auto"/>
      <w:ind w:left="5103"/>
      <w:jc w:val="both"/>
    </w:pPr>
    <w:rPr>
      <w:rFonts w:ascii="Times New Roman" w:eastAsia="Times New Roman" w:hAnsi="Times New Roman" w:cs="Times New Roman"/>
      <w:sz w:val="20"/>
      <w:szCs w:val="20"/>
      <w:lang w:eastAsia="en-GB"/>
    </w:rPr>
  </w:style>
  <w:style w:type="paragraph" w:styleId="Zgradbadokumenta">
    <w:name w:val="Document Map"/>
    <w:basedOn w:val="Navaden"/>
    <w:link w:val="ZgradbadokumentaZnak"/>
    <w:semiHidden/>
    <w:rsid w:val="009E0216"/>
    <w:pPr>
      <w:shd w:val="clear" w:color="000000" w:fill="000080"/>
      <w:spacing w:after="0" w:line="240" w:lineRule="auto"/>
      <w:jc w:val="both"/>
    </w:pPr>
    <w:rPr>
      <w:rFonts w:ascii="Tahoma" w:eastAsia="Tahoma" w:hAnsi="Tahoma" w:cs="Times New Roman"/>
      <w:sz w:val="20"/>
      <w:szCs w:val="20"/>
      <w:lang w:eastAsia="en-GB"/>
    </w:rPr>
  </w:style>
  <w:style w:type="character" w:customStyle="1" w:styleId="ZgradbadokumentaZnak">
    <w:name w:val="Zgradba dokumenta Znak"/>
    <w:basedOn w:val="Privzetapisavaodstavka"/>
    <w:link w:val="Zgradbadokumenta"/>
    <w:semiHidden/>
    <w:rsid w:val="009E0216"/>
    <w:rPr>
      <w:rFonts w:ascii="Tahoma" w:eastAsia="Tahoma" w:hAnsi="Tahoma" w:cs="Times New Roman"/>
      <w:sz w:val="20"/>
      <w:szCs w:val="20"/>
      <w:shd w:val="clear" w:color="000000" w:fill="000080"/>
      <w:lang w:eastAsia="en-GB"/>
    </w:rPr>
  </w:style>
  <w:style w:type="paragraph" w:customStyle="1" w:styleId="DoubSign">
    <w:name w:val="DoubSign"/>
    <w:basedOn w:val="Navaden"/>
    <w:rsid w:val="009E0216"/>
    <w:pPr>
      <w:tabs>
        <w:tab w:val="left" w:pos="5103"/>
      </w:tabs>
      <w:spacing w:after="0" w:line="240" w:lineRule="auto"/>
      <w:jc w:val="both"/>
    </w:pPr>
    <w:rPr>
      <w:rFonts w:ascii="Times New Roman" w:eastAsia="Times New Roman" w:hAnsi="Times New Roman" w:cs="Times New Roman"/>
      <w:sz w:val="24"/>
      <w:szCs w:val="24"/>
      <w:lang w:eastAsia="en-GB"/>
    </w:rPr>
  </w:style>
  <w:style w:type="paragraph" w:styleId="Konnaopomba-besedilo">
    <w:name w:val="endnote text"/>
    <w:basedOn w:val="Navaden"/>
    <w:link w:val="Konnaopomba-besediloZnak"/>
    <w:uiPriority w:val="99"/>
    <w:semiHidden/>
    <w:rsid w:val="009E0216"/>
    <w:pPr>
      <w:spacing w:after="0" w:line="240" w:lineRule="auto"/>
      <w:jc w:val="both"/>
    </w:pPr>
    <w:rPr>
      <w:rFonts w:ascii="Times New Roman" w:eastAsia="Times New Roman" w:hAnsi="Times New Roman" w:cs="Times New Roman"/>
      <w:sz w:val="20"/>
      <w:szCs w:val="20"/>
      <w:lang w:eastAsia="en-GB"/>
    </w:rPr>
  </w:style>
  <w:style w:type="character" w:customStyle="1" w:styleId="Konnaopomba-besediloZnak">
    <w:name w:val="Končna opomba - besedilo Znak"/>
    <w:basedOn w:val="Privzetapisavaodstavka"/>
    <w:link w:val="Konnaopomba-besedilo"/>
    <w:uiPriority w:val="99"/>
    <w:semiHidden/>
    <w:rsid w:val="009E0216"/>
    <w:rPr>
      <w:rFonts w:ascii="Times New Roman" w:eastAsia="Times New Roman" w:hAnsi="Times New Roman" w:cs="Times New Roman"/>
      <w:sz w:val="20"/>
      <w:szCs w:val="20"/>
      <w:lang w:eastAsia="en-GB"/>
    </w:rPr>
  </w:style>
  <w:style w:type="paragraph" w:styleId="Naslovnaslovnika">
    <w:name w:val="envelope address"/>
    <w:basedOn w:val="Navaden"/>
    <w:rsid w:val="009E0216"/>
    <w:pPr>
      <w:spacing w:after="0" w:line="240" w:lineRule="auto"/>
      <w:jc w:val="both"/>
    </w:pPr>
    <w:rPr>
      <w:rFonts w:ascii="Times New Roman" w:eastAsia="Times New Roman" w:hAnsi="Times New Roman" w:cs="Times New Roman"/>
      <w:sz w:val="24"/>
      <w:szCs w:val="24"/>
      <w:lang w:eastAsia="en-GB"/>
    </w:rPr>
  </w:style>
  <w:style w:type="paragraph" w:styleId="Naslovpoiljatelja">
    <w:name w:val="envelope return"/>
    <w:basedOn w:val="Navaden"/>
    <w:rsid w:val="009E0216"/>
    <w:pPr>
      <w:spacing w:after="0" w:line="240" w:lineRule="auto"/>
      <w:jc w:val="both"/>
    </w:pPr>
    <w:rPr>
      <w:rFonts w:ascii="Times New Roman" w:eastAsia="Times New Roman" w:hAnsi="Times New Roman" w:cs="Times New Roman"/>
      <w:sz w:val="20"/>
      <w:szCs w:val="20"/>
      <w:lang w:eastAsia="en-GB"/>
    </w:rPr>
  </w:style>
  <w:style w:type="paragraph" w:styleId="Sprotnaopomba-besedilo">
    <w:name w:val="footnote text"/>
    <w:aliases w:val="OpombaPodCrto,Sprotna opomba - besedilo Znak1,Sprotna opomba - besedilo Znak Znak2,Sprotna opomba - besedilo Znak1 Znak Znak1,Sprotna opomba - besedilo Znak1 Znak Znak Znak,Char ,Char,Char Ch,Char Char, Char Char"/>
    <w:basedOn w:val="Navaden"/>
    <w:link w:val="Sprotnaopomba-besediloZnak"/>
    <w:uiPriority w:val="99"/>
    <w:qFormat/>
    <w:rsid w:val="009E0216"/>
    <w:pPr>
      <w:spacing w:after="0" w:line="240" w:lineRule="auto"/>
      <w:ind w:left="714" w:hanging="357"/>
      <w:jc w:val="both"/>
    </w:pPr>
    <w:rPr>
      <w:rFonts w:ascii="Times New Roman" w:eastAsia="Times New Roman" w:hAnsi="Times New Roman" w:cs="Times New Roman"/>
      <w:sz w:val="20"/>
      <w:szCs w:val="20"/>
      <w:lang w:eastAsia="en-GB"/>
    </w:rPr>
  </w:style>
  <w:style w:type="character" w:customStyle="1" w:styleId="Sprotnaopomba-besediloZnak">
    <w:name w:val="Sprotna opomba - besedilo Znak"/>
    <w:aliases w:val="OpombaPodCrto Znak,Sprotna opomba - besedilo Znak1 Znak,Sprotna opomba - besedilo Znak Znak2 Znak,Sprotna opomba - besedilo Znak1 Znak Znak1 Znak,Sprotna opomba - besedilo Znak1 Znak Znak Znak Znak,Char  Znak,Char Znak"/>
    <w:basedOn w:val="Privzetapisavaodstavka"/>
    <w:link w:val="Sprotnaopomba-besedilo"/>
    <w:uiPriority w:val="99"/>
    <w:rsid w:val="009E0216"/>
    <w:rPr>
      <w:rFonts w:ascii="Times New Roman" w:eastAsia="Times New Roman" w:hAnsi="Times New Roman" w:cs="Times New Roman"/>
      <w:sz w:val="20"/>
      <w:szCs w:val="20"/>
      <w:lang w:eastAsia="en-GB"/>
    </w:rPr>
  </w:style>
  <w:style w:type="paragraph" w:styleId="Stvarnokazalo1">
    <w:name w:val="index 1"/>
    <w:basedOn w:val="Navaden"/>
    <w:next w:val="Navaden"/>
    <w:semiHidden/>
    <w:rsid w:val="009E0216"/>
    <w:pPr>
      <w:spacing w:after="0" w:line="240" w:lineRule="auto"/>
      <w:ind w:left="480" w:hanging="240"/>
      <w:jc w:val="both"/>
    </w:pPr>
    <w:rPr>
      <w:rFonts w:ascii="Times New Roman" w:eastAsia="Times New Roman" w:hAnsi="Times New Roman" w:cs="Times New Roman"/>
      <w:sz w:val="24"/>
      <w:szCs w:val="24"/>
      <w:lang w:eastAsia="en-GB"/>
    </w:rPr>
  </w:style>
  <w:style w:type="paragraph" w:styleId="Stvarnokazalo2">
    <w:name w:val="index 2"/>
    <w:basedOn w:val="Navaden"/>
    <w:next w:val="Navaden"/>
    <w:semiHidden/>
    <w:rsid w:val="009E0216"/>
    <w:pPr>
      <w:spacing w:after="0" w:line="240" w:lineRule="auto"/>
      <w:ind w:left="720" w:hanging="240"/>
      <w:jc w:val="both"/>
    </w:pPr>
    <w:rPr>
      <w:rFonts w:ascii="Times New Roman" w:eastAsia="Times New Roman" w:hAnsi="Times New Roman" w:cs="Times New Roman"/>
      <w:sz w:val="24"/>
      <w:szCs w:val="24"/>
      <w:lang w:eastAsia="en-GB"/>
    </w:rPr>
  </w:style>
  <w:style w:type="paragraph" w:styleId="Stvarnokazalo3">
    <w:name w:val="index 3"/>
    <w:basedOn w:val="Navaden"/>
    <w:next w:val="Navaden"/>
    <w:semiHidden/>
    <w:rsid w:val="009E0216"/>
    <w:pPr>
      <w:spacing w:after="0" w:line="240" w:lineRule="auto"/>
      <w:ind w:left="960" w:hanging="240"/>
      <w:jc w:val="both"/>
    </w:pPr>
    <w:rPr>
      <w:rFonts w:ascii="Times New Roman" w:eastAsia="Times New Roman" w:hAnsi="Times New Roman" w:cs="Times New Roman"/>
      <w:sz w:val="24"/>
      <w:szCs w:val="24"/>
      <w:lang w:eastAsia="en-GB"/>
    </w:rPr>
  </w:style>
  <w:style w:type="paragraph" w:styleId="Stvarnokazalo4">
    <w:name w:val="index 4"/>
    <w:basedOn w:val="Navaden"/>
    <w:next w:val="Navaden"/>
    <w:semiHidden/>
    <w:rsid w:val="009E0216"/>
    <w:pPr>
      <w:spacing w:after="0" w:line="240" w:lineRule="auto"/>
      <w:ind w:left="1200" w:hanging="240"/>
      <w:jc w:val="both"/>
    </w:pPr>
    <w:rPr>
      <w:rFonts w:ascii="Times New Roman" w:eastAsia="Times New Roman" w:hAnsi="Times New Roman" w:cs="Times New Roman"/>
      <w:sz w:val="24"/>
      <w:szCs w:val="24"/>
      <w:lang w:eastAsia="en-GB"/>
    </w:rPr>
  </w:style>
  <w:style w:type="paragraph" w:styleId="Stvarnokazalo5">
    <w:name w:val="index 5"/>
    <w:basedOn w:val="Navaden"/>
    <w:next w:val="Navaden"/>
    <w:semiHidden/>
    <w:rsid w:val="009E0216"/>
    <w:pPr>
      <w:spacing w:after="0" w:line="240" w:lineRule="auto"/>
      <w:ind w:left="1440" w:hanging="240"/>
      <w:jc w:val="both"/>
    </w:pPr>
    <w:rPr>
      <w:rFonts w:ascii="Times New Roman" w:eastAsia="Times New Roman" w:hAnsi="Times New Roman" w:cs="Times New Roman"/>
      <w:sz w:val="24"/>
      <w:szCs w:val="24"/>
      <w:lang w:eastAsia="en-GB"/>
    </w:rPr>
  </w:style>
  <w:style w:type="paragraph" w:styleId="Stvarnokazalo6">
    <w:name w:val="index 6"/>
    <w:basedOn w:val="Navaden"/>
    <w:next w:val="Navaden"/>
    <w:semiHidden/>
    <w:rsid w:val="009E0216"/>
    <w:pPr>
      <w:spacing w:after="0" w:line="240" w:lineRule="auto"/>
      <w:ind w:left="1680" w:hanging="240"/>
      <w:jc w:val="both"/>
    </w:pPr>
    <w:rPr>
      <w:rFonts w:ascii="Times New Roman" w:eastAsia="Times New Roman" w:hAnsi="Times New Roman" w:cs="Times New Roman"/>
      <w:sz w:val="24"/>
      <w:szCs w:val="24"/>
      <w:lang w:eastAsia="en-GB"/>
    </w:rPr>
  </w:style>
  <w:style w:type="paragraph" w:styleId="Stvarnokazalo7">
    <w:name w:val="index 7"/>
    <w:basedOn w:val="Navaden"/>
    <w:next w:val="Navaden"/>
    <w:semiHidden/>
    <w:rsid w:val="009E0216"/>
    <w:pPr>
      <w:spacing w:after="0" w:line="240" w:lineRule="auto"/>
      <w:ind w:left="1920" w:hanging="240"/>
      <w:jc w:val="both"/>
    </w:pPr>
    <w:rPr>
      <w:rFonts w:ascii="Times New Roman" w:eastAsia="Times New Roman" w:hAnsi="Times New Roman" w:cs="Times New Roman"/>
      <w:sz w:val="24"/>
      <w:szCs w:val="24"/>
      <w:lang w:eastAsia="en-GB"/>
    </w:rPr>
  </w:style>
  <w:style w:type="paragraph" w:styleId="Stvarnokazalo8">
    <w:name w:val="index 8"/>
    <w:basedOn w:val="Navaden"/>
    <w:next w:val="Navaden"/>
    <w:semiHidden/>
    <w:rsid w:val="009E0216"/>
    <w:pPr>
      <w:spacing w:after="0" w:line="240" w:lineRule="auto"/>
      <w:ind w:left="2160" w:hanging="240"/>
      <w:jc w:val="both"/>
    </w:pPr>
    <w:rPr>
      <w:rFonts w:ascii="Times New Roman" w:eastAsia="Times New Roman" w:hAnsi="Times New Roman" w:cs="Times New Roman"/>
      <w:sz w:val="24"/>
      <w:szCs w:val="24"/>
      <w:lang w:eastAsia="en-GB"/>
    </w:rPr>
  </w:style>
  <w:style w:type="paragraph" w:styleId="Stvarnokazalo9">
    <w:name w:val="index 9"/>
    <w:basedOn w:val="Navaden"/>
    <w:next w:val="Navaden"/>
    <w:semiHidden/>
    <w:rsid w:val="009E0216"/>
    <w:pPr>
      <w:spacing w:after="0" w:line="240" w:lineRule="auto"/>
      <w:ind w:left="2400" w:hanging="240"/>
      <w:jc w:val="both"/>
    </w:pPr>
    <w:rPr>
      <w:rFonts w:ascii="Times New Roman" w:eastAsia="Times New Roman" w:hAnsi="Times New Roman" w:cs="Times New Roman"/>
      <w:sz w:val="24"/>
      <w:szCs w:val="24"/>
      <w:lang w:eastAsia="en-GB"/>
    </w:rPr>
  </w:style>
  <w:style w:type="paragraph" w:styleId="Stvarnokazalo-naslov">
    <w:name w:val="index heading"/>
    <w:basedOn w:val="Navaden"/>
    <w:next w:val="Stvarnokazalo1"/>
    <w:semiHidden/>
    <w:rsid w:val="009E0216"/>
    <w:pPr>
      <w:spacing w:after="0" w:line="240" w:lineRule="auto"/>
      <w:jc w:val="both"/>
    </w:pPr>
    <w:rPr>
      <w:rFonts w:ascii="Arial" w:eastAsia="Arial" w:hAnsi="Arial" w:cs="Times New Roman"/>
      <w:b/>
      <w:sz w:val="20"/>
      <w:szCs w:val="20"/>
      <w:lang w:eastAsia="en-GB"/>
    </w:rPr>
  </w:style>
  <w:style w:type="paragraph" w:styleId="Seznam">
    <w:name w:val="List"/>
    <w:basedOn w:val="Navaden"/>
    <w:rsid w:val="009E0216"/>
    <w:pPr>
      <w:spacing w:after="0" w:line="240" w:lineRule="auto"/>
      <w:ind w:left="566" w:hanging="283"/>
      <w:jc w:val="both"/>
    </w:pPr>
    <w:rPr>
      <w:rFonts w:ascii="Times New Roman" w:eastAsia="Times New Roman" w:hAnsi="Times New Roman" w:cs="Times New Roman"/>
      <w:sz w:val="24"/>
      <w:szCs w:val="24"/>
      <w:lang w:eastAsia="en-GB"/>
    </w:rPr>
  </w:style>
  <w:style w:type="paragraph" w:styleId="Seznam2">
    <w:name w:val="List 2"/>
    <w:basedOn w:val="Navaden"/>
    <w:rsid w:val="009E0216"/>
    <w:pPr>
      <w:spacing w:after="0" w:line="240" w:lineRule="auto"/>
      <w:ind w:left="849" w:hanging="283"/>
      <w:jc w:val="both"/>
    </w:pPr>
    <w:rPr>
      <w:rFonts w:ascii="Times New Roman" w:eastAsia="Times New Roman" w:hAnsi="Times New Roman" w:cs="Times New Roman"/>
      <w:sz w:val="24"/>
      <w:szCs w:val="24"/>
      <w:lang w:eastAsia="en-GB"/>
    </w:rPr>
  </w:style>
  <w:style w:type="paragraph" w:styleId="Seznam3">
    <w:name w:val="List 3"/>
    <w:basedOn w:val="Navaden"/>
    <w:rsid w:val="009E0216"/>
    <w:pPr>
      <w:spacing w:after="0" w:line="240" w:lineRule="auto"/>
      <w:ind w:left="1132" w:hanging="283"/>
      <w:jc w:val="both"/>
    </w:pPr>
    <w:rPr>
      <w:rFonts w:ascii="Times New Roman" w:eastAsia="Times New Roman" w:hAnsi="Times New Roman" w:cs="Times New Roman"/>
      <w:sz w:val="24"/>
      <w:szCs w:val="24"/>
      <w:lang w:eastAsia="en-GB"/>
    </w:rPr>
  </w:style>
  <w:style w:type="paragraph" w:styleId="Seznam4">
    <w:name w:val="List 4"/>
    <w:basedOn w:val="Navaden"/>
    <w:rsid w:val="009E0216"/>
    <w:pPr>
      <w:spacing w:after="0" w:line="240" w:lineRule="auto"/>
      <w:ind w:left="1415" w:hanging="283"/>
      <w:jc w:val="both"/>
    </w:pPr>
    <w:rPr>
      <w:rFonts w:ascii="Times New Roman" w:eastAsia="Times New Roman" w:hAnsi="Times New Roman" w:cs="Times New Roman"/>
      <w:sz w:val="24"/>
      <w:szCs w:val="24"/>
      <w:lang w:eastAsia="en-GB"/>
    </w:rPr>
  </w:style>
  <w:style w:type="paragraph" w:styleId="Seznam5">
    <w:name w:val="List 5"/>
    <w:basedOn w:val="Navaden"/>
    <w:rsid w:val="009E0216"/>
    <w:pPr>
      <w:spacing w:after="0" w:line="240" w:lineRule="auto"/>
      <w:ind w:left="1698" w:hanging="283"/>
      <w:jc w:val="both"/>
    </w:pPr>
    <w:rPr>
      <w:rFonts w:ascii="Times New Roman" w:eastAsia="Times New Roman" w:hAnsi="Times New Roman" w:cs="Times New Roman"/>
      <w:sz w:val="24"/>
      <w:szCs w:val="24"/>
      <w:lang w:eastAsia="en-GB"/>
    </w:rPr>
  </w:style>
  <w:style w:type="paragraph" w:styleId="Oznaenseznam">
    <w:name w:val="List Bullet"/>
    <w:basedOn w:val="Navaden"/>
    <w:rsid w:val="009E0216"/>
    <w:pPr>
      <w:numPr>
        <w:numId w:val="5"/>
      </w:numPr>
      <w:spacing w:after="0" w:line="240" w:lineRule="auto"/>
      <w:ind w:left="0" w:firstLine="0"/>
      <w:jc w:val="both"/>
    </w:pPr>
    <w:rPr>
      <w:rFonts w:ascii="Times New Roman" w:eastAsia="Times New Roman" w:hAnsi="Times New Roman" w:cs="Times New Roman"/>
      <w:sz w:val="24"/>
      <w:szCs w:val="24"/>
      <w:lang w:eastAsia="en-GB"/>
    </w:rPr>
  </w:style>
  <w:style w:type="paragraph" w:styleId="Oznaenseznam2">
    <w:name w:val="List Bullet 2"/>
    <w:basedOn w:val="Text2"/>
    <w:rsid w:val="009E0216"/>
    <w:pPr>
      <w:numPr>
        <w:numId w:val="7"/>
      </w:numPr>
      <w:tabs>
        <w:tab w:val="clear" w:pos="1360"/>
      </w:tabs>
      <w:ind w:left="0" w:firstLine="0"/>
    </w:pPr>
  </w:style>
  <w:style w:type="paragraph" w:styleId="Oznaenseznam3">
    <w:name w:val="List Bullet 3"/>
    <w:basedOn w:val="Text3"/>
    <w:rsid w:val="009E0216"/>
    <w:pPr>
      <w:numPr>
        <w:numId w:val="8"/>
      </w:numPr>
      <w:ind w:left="0" w:firstLine="0"/>
    </w:pPr>
  </w:style>
  <w:style w:type="paragraph" w:styleId="Oznaenseznam4">
    <w:name w:val="List Bullet 4"/>
    <w:basedOn w:val="Text4"/>
    <w:rsid w:val="009E0216"/>
    <w:pPr>
      <w:numPr>
        <w:numId w:val="9"/>
      </w:numPr>
      <w:ind w:left="0" w:firstLine="0"/>
    </w:pPr>
  </w:style>
  <w:style w:type="paragraph" w:styleId="Oznaenseznam5">
    <w:name w:val="List Bullet 5"/>
    <w:basedOn w:val="Navaden"/>
    <w:rsid w:val="009E0216"/>
    <w:pPr>
      <w:numPr>
        <w:numId w:val="3"/>
      </w:numPr>
      <w:spacing w:after="0" w:line="240" w:lineRule="auto"/>
      <w:ind w:left="0" w:firstLine="0"/>
      <w:jc w:val="both"/>
    </w:pPr>
    <w:rPr>
      <w:rFonts w:ascii="Times New Roman" w:eastAsia="Times New Roman" w:hAnsi="Times New Roman" w:cs="Times New Roman"/>
      <w:sz w:val="24"/>
      <w:szCs w:val="24"/>
      <w:lang w:eastAsia="en-GB"/>
    </w:rPr>
  </w:style>
  <w:style w:type="paragraph" w:styleId="Seznam-nadaljevanje">
    <w:name w:val="List Continue"/>
    <w:basedOn w:val="Navaden"/>
    <w:rsid w:val="009E0216"/>
    <w:pPr>
      <w:spacing w:after="0" w:line="240" w:lineRule="auto"/>
      <w:ind w:left="283"/>
      <w:jc w:val="both"/>
    </w:pPr>
    <w:rPr>
      <w:rFonts w:ascii="Times New Roman" w:eastAsia="Times New Roman" w:hAnsi="Times New Roman" w:cs="Times New Roman"/>
      <w:sz w:val="24"/>
      <w:szCs w:val="24"/>
      <w:lang w:eastAsia="en-GB"/>
    </w:rPr>
  </w:style>
  <w:style w:type="paragraph" w:styleId="Seznam-nadaljevanje2">
    <w:name w:val="List Continue 2"/>
    <w:basedOn w:val="Navaden"/>
    <w:rsid w:val="009E0216"/>
    <w:pPr>
      <w:spacing w:after="0" w:line="240" w:lineRule="auto"/>
      <w:ind w:left="566"/>
      <w:jc w:val="both"/>
    </w:pPr>
    <w:rPr>
      <w:rFonts w:ascii="Times New Roman" w:eastAsia="Times New Roman" w:hAnsi="Times New Roman" w:cs="Times New Roman"/>
      <w:sz w:val="24"/>
      <w:szCs w:val="24"/>
      <w:lang w:eastAsia="en-GB"/>
    </w:rPr>
  </w:style>
  <w:style w:type="paragraph" w:styleId="Seznam-nadaljevanje3">
    <w:name w:val="List Continue 3"/>
    <w:basedOn w:val="Navaden"/>
    <w:rsid w:val="009E0216"/>
    <w:pPr>
      <w:spacing w:after="0" w:line="240" w:lineRule="auto"/>
      <w:ind w:left="849"/>
      <w:jc w:val="both"/>
    </w:pPr>
    <w:rPr>
      <w:rFonts w:ascii="Times New Roman" w:eastAsia="Times New Roman" w:hAnsi="Times New Roman" w:cs="Times New Roman"/>
      <w:sz w:val="24"/>
      <w:szCs w:val="24"/>
      <w:lang w:eastAsia="en-GB"/>
    </w:rPr>
  </w:style>
  <w:style w:type="paragraph" w:styleId="Seznam-nadaljevanje4">
    <w:name w:val="List Continue 4"/>
    <w:basedOn w:val="Navaden"/>
    <w:rsid w:val="009E0216"/>
    <w:pPr>
      <w:spacing w:after="0" w:line="240" w:lineRule="auto"/>
      <w:ind w:left="1132"/>
      <w:jc w:val="both"/>
    </w:pPr>
    <w:rPr>
      <w:rFonts w:ascii="Times New Roman" w:eastAsia="Times New Roman" w:hAnsi="Times New Roman" w:cs="Times New Roman"/>
      <w:sz w:val="24"/>
      <w:szCs w:val="24"/>
      <w:lang w:eastAsia="en-GB"/>
    </w:rPr>
  </w:style>
  <w:style w:type="paragraph" w:styleId="Seznam-nadaljevanje5">
    <w:name w:val="List Continue 5"/>
    <w:basedOn w:val="Navaden"/>
    <w:rsid w:val="009E0216"/>
    <w:pPr>
      <w:spacing w:after="0" w:line="240" w:lineRule="auto"/>
      <w:ind w:left="1415"/>
      <w:jc w:val="both"/>
    </w:pPr>
    <w:rPr>
      <w:rFonts w:ascii="Times New Roman" w:eastAsia="Times New Roman" w:hAnsi="Times New Roman" w:cs="Times New Roman"/>
      <w:sz w:val="24"/>
      <w:szCs w:val="24"/>
      <w:lang w:eastAsia="en-GB"/>
    </w:rPr>
  </w:style>
  <w:style w:type="paragraph" w:styleId="Otevilenseznam">
    <w:name w:val="List Number"/>
    <w:basedOn w:val="Navaden"/>
    <w:rsid w:val="009E0216"/>
    <w:pPr>
      <w:numPr>
        <w:numId w:val="15"/>
      </w:numPr>
      <w:spacing w:after="0" w:line="240" w:lineRule="auto"/>
      <w:ind w:left="0" w:firstLine="0"/>
      <w:jc w:val="both"/>
    </w:pPr>
    <w:rPr>
      <w:rFonts w:ascii="Times New Roman" w:eastAsia="Times New Roman" w:hAnsi="Times New Roman" w:cs="Times New Roman"/>
      <w:sz w:val="24"/>
      <w:szCs w:val="24"/>
      <w:lang w:eastAsia="en-GB"/>
    </w:rPr>
  </w:style>
  <w:style w:type="paragraph" w:styleId="Otevilenseznam2">
    <w:name w:val="List Number 2"/>
    <w:basedOn w:val="Text2"/>
    <w:rsid w:val="009E0216"/>
    <w:pPr>
      <w:numPr>
        <w:numId w:val="17"/>
      </w:numPr>
      <w:tabs>
        <w:tab w:val="clear" w:pos="1786"/>
        <w:tab w:val="left" w:pos="283"/>
      </w:tabs>
      <w:ind w:left="0" w:firstLine="0"/>
    </w:pPr>
  </w:style>
  <w:style w:type="paragraph" w:styleId="Otevilenseznam3">
    <w:name w:val="List Number 3"/>
    <w:basedOn w:val="Text3"/>
    <w:rsid w:val="009E0216"/>
    <w:pPr>
      <w:numPr>
        <w:numId w:val="18"/>
      </w:numPr>
      <w:ind w:left="0" w:firstLine="0"/>
    </w:pPr>
  </w:style>
  <w:style w:type="paragraph" w:styleId="Otevilenseznam4">
    <w:name w:val="List Number 4"/>
    <w:basedOn w:val="Text4"/>
    <w:rsid w:val="009E0216"/>
    <w:pPr>
      <w:numPr>
        <w:numId w:val="19"/>
      </w:numPr>
      <w:ind w:left="0" w:firstLine="0"/>
    </w:pPr>
  </w:style>
  <w:style w:type="paragraph" w:styleId="Otevilenseznam5">
    <w:name w:val="List Number 5"/>
    <w:basedOn w:val="Navaden"/>
    <w:rsid w:val="009E0216"/>
    <w:pPr>
      <w:numPr>
        <w:numId w:val="4"/>
      </w:numPr>
      <w:spacing w:after="0" w:line="240" w:lineRule="auto"/>
      <w:ind w:left="0" w:firstLine="0"/>
      <w:jc w:val="both"/>
    </w:pPr>
    <w:rPr>
      <w:rFonts w:ascii="Times New Roman" w:eastAsia="Times New Roman" w:hAnsi="Times New Roman" w:cs="Times New Roman"/>
      <w:sz w:val="24"/>
      <w:szCs w:val="24"/>
      <w:lang w:eastAsia="en-GB"/>
    </w:rPr>
  </w:style>
  <w:style w:type="paragraph" w:styleId="Makrobesedilo">
    <w:name w:val="macro"/>
    <w:link w:val="MakrobesediloZnak"/>
    <w:semiHidden/>
    <w:rsid w:val="009E0216"/>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Courier New" w:hAnsi="Courier New" w:cs="Times New Roman"/>
      <w:sz w:val="20"/>
      <w:szCs w:val="20"/>
      <w:lang w:val="en-GB" w:eastAsia="en-GB"/>
    </w:rPr>
  </w:style>
  <w:style w:type="character" w:customStyle="1" w:styleId="MakrobesediloZnak">
    <w:name w:val="Makro besedilo Znak"/>
    <w:basedOn w:val="Privzetapisavaodstavka"/>
    <w:link w:val="Makrobesedilo"/>
    <w:semiHidden/>
    <w:rsid w:val="009E0216"/>
    <w:rPr>
      <w:rFonts w:ascii="Courier New" w:eastAsia="Courier New" w:hAnsi="Courier New" w:cs="Times New Roman"/>
      <w:sz w:val="20"/>
      <w:szCs w:val="20"/>
      <w:lang w:val="en-GB" w:eastAsia="en-GB"/>
    </w:rPr>
  </w:style>
  <w:style w:type="paragraph" w:styleId="Glavasporoila">
    <w:name w:val="Message Header"/>
    <w:basedOn w:val="Navaden"/>
    <w:link w:val="GlavasporoilaZnak"/>
    <w:rsid w:val="009E0216"/>
    <w:pPr>
      <w:shd w:val="pct20" w:color="000000" w:fill="auto"/>
      <w:spacing w:after="0" w:line="240" w:lineRule="auto"/>
      <w:ind w:left="2268" w:hanging="1134"/>
      <w:jc w:val="both"/>
    </w:pPr>
    <w:rPr>
      <w:rFonts w:ascii="Arial" w:eastAsia="Arial" w:hAnsi="Arial" w:cs="Times New Roman"/>
      <w:sz w:val="20"/>
      <w:szCs w:val="20"/>
      <w:lang w:eastAsia="en-GB"/>
    </w:rPr>
  </w:style>
  <w:style w:type="character" w:customStyle="1" w:styleId="GlavasporoilaZnak">
    <w:name w:val="Glava sporočila Znak"/>
    <w:basedOn w:val="Privzetapisavaodstavka"/>
    <w:link w:val="Glavasporoila"/>
    <w:rsid w:val="009E0216"/>
    <w:rPr>
      <w:rFonts w:ascii="Arial" w:eastAsia="Arial" w:hAnsi="Arial" w:cs="Times New Roman"/>
      <w:sz w:val="20"/>
      <w:szCs w:val="20"/>
      <w:shd w:val="pct20" w:color="000000" w:fill="auto"/>
      <w:lang w:eastAsia="en-GB"/>
    </w:rPr>
  </w:style>
  <w:style w:type="paragraph" w:styleId="Navaden-zamik">
    <w:name w:val="Normal Indent"/>
    <w:basedOn w:val="Navaden"/>
    <w:rsid w:val="009E0216"/>
    <w:pPr>
      <w:spacing w:after="0" w:line="240" w:lineRule="auto"/>
      <w:ind w:left="720"/>
      <w:jc w:val="both"/>
    </w:pPr>
    <w:rPr>
      <w:rFonts w:ascii="Times New Roman" w:eastAsia="Times New Roman" w:hAnsi="Times New Roman" w:cs="Times New Roman"/>
      <w:sz w:val="24"/>
      <w:szCs w:val="24"/>
      <w:lang w:eastAsia="en-GB"/>
    </w:rPr>
  </w:style>
  <w:style w:type="paragraph" w:styleId="Opomba-naslov">
    <w:name w:val="Note Heading"/>
    <w:basedOn w:val="Navaden"/>
    <w:next w:val="Navaden"/>
    <w:link w:val="Opomba-naslovZnak"/>
    <w:rsid w:val="009E0216"/>
    <w:pPr>
      <w:spacing w:after="0" w:line="240" w:lineRule="auto"/>
      <w:jc w:val="both"/>
    </w:pPr>
    <w:rPr>
      <w:rFonts w:ascii="Times New Roman" w:eastAsia="Times New Roman" w:hAnsi="Times New Roman" w:cs="Times New Roman"/>
      <w:sz w:val="24"/>
      <w:szCs w:val="24"/>
      <w:lang w:eastAsia="en-GB"/>
    </w:rPr>
  </w:style>
  <w:style w:type="character" w:customStyle="1" w:styleId="Opomba-naslovZnak">
    <w:name w:val="Opomba - naslov Znak"/>
    <w:basedOn w:val="Privzetapisavaodstavka"/>
    <w:link w:val="Opomba-naslov"/>
    <w:rsid w:val="009E0216"/>
    <w:rPr>
      <w:rFonts w:ascii="Times New Roman" w:eastAsia="Times New Roman" w:hAnsi="Times New Roman" w:cs="Times New Roman"/>
      <w:sz w:val="24"/>
      <w:szCs w:val="24"/>
      <w:lang w:eastAsia="en-GB"/>
    </w:rPr>
  </w:style>
  <w:style w:type="paragraph" w:customStyle="1" w:styleId="NoteHead">
    <w:name w:val="NoteHead"/>
    <w:basedOn w:val="Navaden"/>
    <w:rsid w:val="009E0216"/>
    <w:pPr>
      <w:spacing w:after="0" w:line="240" w:lineRule="auto"/>
      <w:jc w:val="center"/>
    </w:pPr>
    <w:rPr>
      <w:rFonts w:ascii="Times New Roman" w:eastAsia="Times New Roman" w:hAnsi="Times New Roman" w:cs="Times New Roman"/>
      <w:b/>
      <w:smallCaps/>
      <w:sz w:val="20"/>
      <w:szCs w:val="20"/>
      <w:lang w:eastAsia="en-GB"/>
    </w:rPr>
  </w:style>
  <w:style w:type="paragraph" w:customStyle="1" w:styleId="Subject">
    <w:name w:val="Subject"/>
    <w:basedOn w:val="Navaden"/>
    <w:next w:val="Navaden"/>
    <w:rsid w:val="009E0216"/>
    <w:pPr>
      <w:spacing w:after="0" w:line="240" w:lineRule="auto"/>
      <w:ind w:left="3062" w:hanging="1531"/>
      <w:jc w:val="both"/>
    </w:pPr>
    <w:rPr>
      <w:rFonts w:ascii="Times New Roman" w:eastAsia="Times New Roman" w:hAnsi="Times New Roman" w:cs="Times New Roman"/>
      <w:b/>
      <w:sz w:val="20"/>
      <w:szCs w:val="20"/>
      <w:lang w:eastAsia="en-GB"/>
    </w:rPr>
  </w:style>
  <w:style w:type="paragraph" w:customStyle="1" w:styleId="NoteList">
    <w:name w:val="NoteList"/>
    <w:basedOn w:val="Navaden"/>
    <w:next w:val="Subject"/>
    <w:rsid w:val="009E0216"/>
    <w:pPr>
      <w:tabs>
        <w:tab w:val="left" w:pos="5823"/>
      </w:tabs>
      <w:spacing w:after="0" w:line="240" w:lineRule="auto"/>
      <w:ind w:left="8223" w:hanging="3119"/>
      <w:jc w:val="both"/>
    </w:pPr>
    <w:rPr>
      <w:rFonts w:ascii="Times New Roman" w:eastAsia="Times New Roman" w:hAnsi="Times New Roman" w:cs="Times New Roman"/>
      <w:b/>
      <w:smallCaps/>
      <w:sz w:val="20"/>
      <w:szCs w:val="20"/>
      <w:lang w:eastAsia="en-GB"/>
    </w:rPr>
  </w:style>
  <w:style w:type="paragraph" w:customStyle="1" w:styleId="NumPar1">
    <w:name w:val="NumPar 1"/>
    <w:basedOn w:val="Naslov1"/>
    <w:next w:val="Text1"/>
    <w:rsid w:val="009E0216"/>
    <w:pPr>
      <w:keepLines w:val="0"/>
      <w:tabs>
        <w:tab w:val="left" w:pos="4537"/>
      </w:tabs>
      <w:spacing w:before="0" w:line="260" w:lineRule="atLeast"/>
      <w:jc w:val="both"/>
    </w:pPr>
    <w:rPr>
      <w:rFonts w:ascii="Arial" w:eastAsia="Calibri" w:hAnsi="Arial" w:cs="Times New Roman"/>
      <w:color w:val="339933"/>
      <w:sz w:val="20"/>
      <w:szCs w:val="20"/>
      <w:lang w:eastAsia="en-GB"/>
    </w:rPr>
  </w:style>
  <w:style w:type="paragraph" w:customStyle="1" w:styleId="NumPar2">
    <w:name w:val="NumPar 2"/>
    <w:basedOn w:val="Naslov2"/>
    <w:next w:val="Text2"/>
    <w:rsid w:val="009E0216"/>
    <w:pPr>
      <w:keepLines w:val="0"/>
      <w:tabs>
        <w:tab w:val="left" w:pos="0"/>
        <w:tab w:val="left" w:pos="480"/>
        <w:tab w:val="left" w:pos="1276"/>
        <w:tab w:val="left" w:pos="4537"/>
      </w:tabs>
      <w:spacing w:before="0" w:line="260" w:lineRule="atLeast"/>
      <w:jc w:val="both"/>
    </w:pPr>
    <w:rPr>
      <w:rFonts w:ascii="Arial" w:eastAsia="Arial" w:hAnsi="Arial" w:cs="Times New Roman"/>
      <w:b w:val="0"/>
      <w:bCs w:val="0"/>
      <w:caps/>
      <w:color w:val="00B050"/>
      <w:sz w:val="20"/>
      <w:szCs w:val="20"/>
      <w:lang w:eastAsia="en-GB"/>
    </w:rPr>
  </w:style>
  <w:style w:type="paragraph" w:customStyle="1" w:styleId="NumPar3">
    <w:name w:val="NumPar 3"/>
    <w:basedOn w:val="Naslov3"/>
    <w:next w:val="Text3"/>
    <w:rsid w:val="009E0216"/>
  </w:style>
  <w:style w:type="paragraph" w:customStyle="1" w:styleId="NumPar4">
    <w:name w:val="NumPar 4"/>
    <w:basedOn w:val="Naslov4"/>
    <w:next w:val="Text4"/>
    <w:rsid w:val="009E0216"/>
  </w:style>
  <w:style w:type="paragraph" w:styleId="Golobesedilo">
    <w:name w:val="Plain Text"/>
    <w:basedOn w:val="Navaden"/>
    <w:link w:val="GolobesediloZnak"/>
    <w:rsid w:val="009E0216"/>
    <w:pPr>
      <w:spacing w:after="0" w:line="240" w:lineRule="auto"/>
      <w:jc w:val="both"/>
    </w:pPr>
    <w:rPr>
      <w:rFonts w:ascii="Courier New" w:eastAsia="Courier New" w:hAnsi="Courier New" w:cs="Times New Roman"/>
      <w:sz w:val="20"/>
      <w:szCs w:val="20"/>
      <w:lang w:eastAsia="en-GB"/>
    </w:rPr>
  </w:style>
  <w:style w:type="character" w:customStyle="1" w:styleId="GolobesediloZnak">
    <w:name w:val="Golo besedilo Znak"/>
    <w:basedOn w:val="Privzetapisavaodstavka"/>
    <w:link w:val="Golobesedilo"/>
    <w:rsid w:val="009E0216"/>
    <w:rPr>
      <w:rFonts w:ascii="Courier New" w:eastAsia="Courier New" w:hAnsi="Courier New" w:cs="Times New Roman"/>
      <w:sz w:val="20"/>
      <w:szCs w:val="20"/>
      <w:lang w:eastAsia="en-GB"/>
    </w:rPr>
  </w:style>
  <w:style w:type="paragraph" w:styleId="Uvodnipozdrav">
    <w:name w:val="Salutation"/>
    <w:basedOn w:val="Navaden"/>
    <w:next w:val="Navaden"/>
    <w:link w:val="UvodnipozdravZnak"/>
    <w:rsid w:val="009E0216"/>
    <w:pPr>
      <w:spacing w:after="0" w:line="240" w:lineRule="auto"/>
      <w:jc w:val="both"/>
    </w:pPr>
    <w:rPr>
      <w:rFonts w:ascii="Times New Roman" w:eastAsia="Times New Roman" w:hAnsi="Times New Roman" w:cs="Times New Roman"/>
      <w:sz w:val="24"/>
      <w:szCs w:val="24"/>
      <w:lang w:eastAsia="en-GB"/>
    </w:rPr>
  </w:style>
  <w:style w:type="character" w:customStyle="1" w:styleId="UvodnipozdravZnak">
    <w:name w:val="Uvodni pozdrav Znak"/>
    <w:basedOn w:val="Privzetapisavaodstavka"/>
    <w:link w:val="Uvodnipozdrav"/>
    <w:rsid w:val="009E0216"/>
    <w:rPr>
      <w:rFonts w:ascii="Times New Roman" w:eastAsia="Times New Roman" w:hAnsi="Times New Roman" w:cs="Times New Roman"/>
      <w:sz w:val="24"/>
      <w:szCs w:val="24"/>
      <w:lang w:eastAsia="en-GB"/>
    </w:rPr>
  </w:style>
  <w:style w:type="paragraph" w:styleId="Kazalovirov">
    <w:name w:val="table of authorities"/>
    <w:basedOn w:val="Navaden"/>
    <w:next w:val="Navaden"/>
    <w:semiHidden/>
    <w:rsid w:val="009E0216"/>
    <w:pPr>
      <w:spacing w:after="0" w:line="240" w:lineRule="auto"/>
      <w:ind w:left="480" w:hanging="240"/>
      <w:jc w:val="both"/>
    </w:pPr>
    <w:rPr>
      <w:rFonts w:ascii="Times New Roman" w:eastAsia="Times New Roman" w:hAnsi="Times New Roman" w:cs="Times New Roman"/>
      <w:sz w:val="24"/>
      <w:szCs w:val="24"/>
      <w:lang w:eastAsia="en-GB"/>
    </w:rPr>
  </w:style>
  <w:style w:type="paragraph" w:styleId="Kazalovirov-naslov">
    <w:name w:val="toa heading"/>
    <w:basedOn w:val="Navaden"/>
    <w:next w:val="Navaden"/>
    <w:semiHidden/>
    <w:rsid w:val="009E0216"/>
    <w:pPr>
      <w:spacing w:after="0" w:line="240" w:lineRule="auto"/>
      <w:jc w:val="both"/>
    </w:pPr>
    <w:rPr>
      <w:rFonts w:ascii="Arial" w:eastAsia="Arial" w:hAnsi="Arial" w:cs="Times New Roman"/>
      <w:b/>
      <w:sz w:val="20"/>
      <w:szCs w:val="20"/>
      <w:lang w:eastAsia="en-GB"/>
    </w:rPr>
  </w:style>
  <w:style w:type="paragraph" w:customStyle="1" w:styleId="YReferences">
    <w:name w:val="YReferences"/>
    <w:basedOn w:val="Navaden"/>
    <w:next w:val="Navaden"/>
    <w:rsid w:val="009E0216"/>
    <w:pPr>
      <w:spacing w:after="0" w:line="240" w:lineRule="auto"/>
      <w:ind w:left="3062" w:hanging="1531"/>
      <w:jc w:val="both"/>
    </w:pPr>
    <w:rPr>
      <w:rFonts w:ascii="Times New Roman" w:eastAsia="Times New Roman" w:hAnsi="Times New Roman" w:cs="Times New Roman"/>
      <w:sz w:val="24"/>
      <w:szCs w:val="24"/>
      <w:lang w:eastAsia="en-GB"/>
    </w:rPr>
  </w:style>
  <w:style w:type="paragraph" w:customStyle="1" w:styleId="ListBullet1">
    <w:name w:val="List Bullet 1"/>
    <w:basedOn w:val="Text1"/>
    <w:rsid w:val="009E0216"/>
    <w:pPr>
      <w:numPr>
        <w:numId w:val="6"/>
      </w:numPr>
      <w:ind w:left="0" w:firstLine="0"/>
    </w:pPr>
  </w:style>
  <w:style w:type="paragraph" w:customStyle="1" w:styleId="ListDash">
    <w:name w:val="List Dash"/>
    <w:basedOn w:val="Navaden"/>
    <w:rsid w:val="009E0216"/>
    <w:pPr>
      <w:numPr>
        <w:numId w:val="10"/>
      </w:numPr>
      <w:spacing w:after="0" w:line="240" w:lineRule="auto"/>
      <w:ind w:left="0" w:firstLine="0"/>
      <w:jc w:val="both"/>
    </w:pPr>
    <w:rPr>
      <w:rFonts w:ascii="Times New Roman" w:eastAsia="Times New Roman" w:hAnsi="Times New Roman" w:cs="Times New Roman"/>
      <w:sz w:val="24"/>
      <w:szCs w:val="24"/>
      <w:lang w:eastAsia="en-GB"/>
    </w:rPr>
  </w:style>
  <w:style w:type="paragraph" w:customStyle="1" w:styleId="ListDash1">
    <w:name w:val="List Dash 1"/>
    <w:basedOn w:val="Text1"/>
    <w:rsid w:val="009E0216"/>
    <w:pPr>
      <w:numPr>
        <w:numId w:val="11"/>
      </w:numPr>
      <w:ind w:left="0" w:firstLine="0"/>
    </w:pPr>
  </w:style>
  <w:style w:type="paragraph" w:customStyle="1" w:styleId="ListDash2">
    <w:name w:val="List Dash 2"/>
    <w:basedOn w:val="Text2"/>
    <w:rsid w:val="009E0216"/>
    <w:pPr>
      <w:numPr>
        <w:numId w:val="12"/>
      </w:numPr>
      <w:tabs>
        <w:tab w:val="clear" w:pos="1360"/>
        <w:tab w:val="left" w:pos="283"/>
      </w:tabs>
      <w:ind w:left="0" w:firstLine="0"/>
    </w:pPr>
  </w:style>
  <w:style w:type="paragraph" w:customStyle="1" w:styleId="ListDash3">
    <w:name w:val="List Dash 3"/>
    <w:basedOn w:val="Text3"/>
    <w:rsid w:val="009E0216"/>
    <w:pPr>
      <w:numPr>
        <w:numId w:val="13"/>
      </w:numPr>
      <w:ind w:left="0" w:firstLine="0"/>
    </w:pPr>
  </w:style>
  <w:style w:type="paragraph" w:customStyle="1" w:styleId="ListDash4">
    <w:name w:val="List Dash 4"/>
    <w:basedOn w:val="Text4"/>
    <w:rsid w:val="009E0216"/>
    <w:pPr>
      <w:numPr>
        <w:numId w:val="14"/>
      </w:numPr>
      <w:ind w:left="0" w:firstLine="0"/>
    </w:pPr>
  </w:style>
  <w:style w:type="paragraph" w:customStyle="1" w:styleId="ListNumberLevel2">
    <w:name w:val="List Number (Level 2)"/>
    <w:basedOn w:val="Navaden"/>
    <w:rsid w:val="009E0216"/>
    <w:pPr>
      <w:numPr>
        <w:ilvl w:val="1"/>
        <w:numId w:val="15"/>
      </w:numPr>
      <w:spacing w:after="0" w:line="240" w:lineRule="auto"/>
      <w:ind w:left="0" w:firstLine="0"/>
      <w:jc w:val="both"/>
    </w:pPr>
    <w:rPr>
      <w:rFonts w:ascii="Times New Roman" w:eastAsia="Times New Roman" w:hAnsi="Times New Roman" w:cs="Times New Roman"/>
      <w:sz w:val="24"/>
      <w:szCs w:val="24"/>
      <w:lang w:eastAsia="en-GB"/>
    </w:rPr>
  </w:style>
  <w:style w:type="paragraph" w:customStyle="1" w:styleId="ListNumberLevel3">
    <w:name w:val="List Number (Level 3)"/>
    <w:basedOn w:val="Navaden"/>
    <w:rsid w:val="009E0216"/>
    <w:pPr>
      <w:numPr>
        <w:ilvl w:val="2"/>
        <w:numId w:val="15"/>
      </w:numPr>
      <w:spacing w:after="0" w:line="240" w:lineRule="auto"/>
      <w:ind w:left="0" w:firstLine="0"/>
      <w:jc w:val="both"/>
    </w:pPr>
    <w:rPr>
      <w:rFonts w:ascii="Times New Roman" w:eastAsia="Times New Roman" w:hAnsi="Times New Roman" w:cs="Times New Roman"/>
      <w:sz w:val="24"/>
      <w:szCs w:val="24"/>
      <w:lang w:eastAsia="en-GB"/>
    </w:rPr>
  </w:style>
  <w:style w:type="paragraph" w:customStyle="1" w:styleId="ListNumberLevel4">
    <w:name w:val="List Number (Level 4)"/>
    <w:basedOn w:val="Navaden"/>
    <w:rsid w:val="009E0216"/>
    <w:pPr>
      <w:numPr>
        <w:ilvl w:val="3"/>
        <w:numId w:val="15"/>
      </w:numPr>
      <w:spacing w:after="0" w:line="240" w:lineRule="auto"/>
      <w:ind w:left="0" w:firstLine="0"/>
      <w:jc w:val="both"/>
    </w:pPr>
    <w:rPr>
      <w:rFonts w:ascii="Times New Roman" w:eastAsia="Times New Roman" w:hAnsi="Times New Roman" w:cs="Times New Roman"/>
      <w:sz w:val="24"/>
      <w:szCs w:val="24"/>
      <w:lang w:eastAsia="en-GB"/>
    </w:rPr>
  </w:style>
  <w:style w:type="paragraph" w:customStyle="1" w:styleId="ListNumber1">
    <w:name w:val="List Number 1"/>
    <w:basedOn w:val="Text1"/>
    <w:rsid w:val="009E0216"/>
    <w:pPr>
      <w:numPr>
        <w:numId w:val="16"/>
      </w:numPr>
      <w:ind w:left="0" w:firstLine="0"/>
    </w:pPr>
  </w:style>
  <w:style w:type="paragraph" w:customStyle="1" w:styleId="ListNumber1Level2">
    <w:name w:val="List Number 1 (Level 2)"/>
    <w:basedOn w:val="Text1"/>
    <w:rsid w:val="009E0216"/>
    <w:pPr>
      <w:numPr>
        <w:ilvl w:val="1"/>
        <w:numId w:val="16"/>
      </w:numPr>
      <w:ind w:left="0" w:firstLine="0"/>
    </w:pPr>
  </w:style>
  <w:style w:type="paragraph" w:customStyle="1" w:styleId="ListNumber1Level3">
    <w:name w:val="List Number 1 (Level 3)"/>
    <w:basedOn w:val="Text1"/>
    <w:rsid w:val="009E0216"/>
    <w:pPr>
      <w:numPr>
        <w:ilvl w:val="2"/>
        <w:numId w:val="16"/>
      </w:numPr>
      <w:ind w:left="0" w:firstLine="0"/>
    </w:pPr>
  </w:style>
  <w:style w:type="paragraph" w:customStyle="1" w:styleId="ListNumber1Level4">
    <w:name w:val="List Number 1 (Level 4)"/>
    <w:basedOn w:val="Text1"/>
    <w:rsid w:val="009E0216"/>
    <w:pPr>
      <w:numPr>
        <w:ilvl w:val="3"/>
        <w:numId w:val="16"/>
      </w:numPr>
      <w:ind w:left="0" w:firstLine="0"/>
    </w:pPr>
  </w:style>
  <w:style w:type="paragraph" w:customStyle="1" w:styleId="ListNumber2Level2">
    <w:name w:val="List Number 2 (Level 2)"/>
    <w:basedOn w:val="Text2"/>
    <w:rsid w:val="009E0216"/>
    <w:pPr>
      <w:numPr>
        <w:ilvl w:val="1"/>
        <w:numId w:val="17"/>
      </w:numPr>
      <w:tabs>
        <w:tab w:val="clear" w:pos="2494"/>
        <w:tab w:val="left" w:pos="283"/>
      </w:tabs>
      <w:ind w:left="0" w:firstLine="0"/>
    </w:pPr>
  </w:style>
  <w:style w:type="paragraph" w:customStyle="1" w:styleId="ListNumber2Level3">
    <w:name w:val="List Number 2 (Level 3)"/>
    <w:basedOn w:val="Text2"/>
    <w:rsid w:val="009E0216"/>
    <w:pPr>
      <w:numPr>
        <w:ilvl w:val="2"/>
        <w:numId w:val="17"/>
      </w:numPr>
      <w:tabs>
        <w:tab w:val="clear" w:pos="3203"/>
        <w:tab w:val="left" w:pos="283"/>
      </w:tabs>
      <w:ind w:left="0" w:firstLine="0"/>
    </w:pPr>
  </w:style>
  <w:style w:type="paragraph" w:customStyle="1" w:styleId="ListNumber2Level4">
    <w:name w:val="List Number 2 (Level 4)"/>
    <w:basedOn w:val="Text2"/>
    <w:rsid w:val="009E0216"/>
    <w:pPr>
      <w:numPr>
        <w:ilvl w:val="3"/>
        <w:numId w:val="17"/>
      </w:numPr>
      <w:tabs>
        <w:tab w:val="clear" w:pos="3912"/>
        <w:tab w:val="left" w:pos="283"/>
      </w:tabs>
      <w:ind w:left="4604" w:hanging="703"/>
    </w:pPr>
  </w:style>
  <w:style w:type="paragraph" w:customStyle="1" w:styleId="ListNumber3Level2">
    <w:name w:val="List Number 3 (Level 2)"/>
    <w:basedOn w:val="Text3"/>
    <w:rsid w:val="009E0216"/>
    <w:pPr>
      <w:numPr>
        <w:ilvl w:val="1"/>
        <w:numId w:val="18"/>
      </w:numPr>
      <w:ind w:left="0" w:firstLine="0"/>
    </w:pPr>
  </w:style>
  <w:style w:type="paragraph" w:customStyle="1" w:styleId="ListNumber3Level3">
    <w:name w:val="List Number 3 (Level 3)"/>
    <w:basedOn w:val="Text3"/>
    <w:rsid w:val="009E0216"/>
    <w:pPr>
      <w:numPr>
        <w:ilvl w:val="2"/>
        <w:numId w:val="18"/>
      </w:numPr>
      <w:ind w:left="0" w:firstLine="0"/>
    </w:pPr>
  </w:style>
  <w:style w:type="paragraph" w:customStyle="1" w:styleId="ListNumber3Level4">
    <w:name w:val="List Number 3 (Level 4)"/>
    <w:basedOn w:val="Text3"/>
    <w:rsid w:val="009E0216"/>
    <w:pPr>
      <w:numPr>
        <w:ilvl w:val="3"/>
        <w:numId w:val="18"/>
      </w:numPr>
      <w:ind w:left="0" w:firstLine="0"/>
    </w:pPr>
  </w:style>
  <w:style w:type="paragraph" w:customStyle="1" w:styleId="ListNumber4Level2">
    <w:name w:val="List Number 4 (Level 2)"/>
    <w:basedOn w:val="Text4"/>
    <w:rsid w:val="009E0216"/>
    <w:pPr>
      <w:numPr>
        <w:ilvl w:val="1"/>
        <w:numId w:val="19"/>
      </w:numPr>
      <w:ind w:left="0" w:firstLine="0"/>
    </w:pPr>
  </w:style>
  <w:style w:type="paragraph" w:customStyle="1" w:styleId="ListNumber4Level3">
    <w:name w:val="List Number 4 (Level 3)"/>
    <w:basedOn w:val="Text4"/>
    <w:rsid w:val="009E0216"/>
    <w:pPr>
      <w:numPr>
        <w:ilvl w:val="2"/>
        <w:numId w:val="19"/>
      </w:numPr>
      <w:ind w:left="0" w:firstLine="0"/>
    </w:pPr>
  </w:style>
  <w:style w:type="paragraph" w:customStyle="1" w:styleId="ListNumber4Level4">
    <w:name w:val="List Number 4 (Level 4)"/>
    <w:basedOn w:val="Text4"/>
    <w:rsid w:val="009E0216"/>
    <w:pPr>
      <w:numPr>
        <w:ilvl w:val="3"/>
        <w:numId w:val="19"/>
      </w:numPr>
      <w:ind w:left="0" w:firstLine="0"/>
    </w:pPr>
  </w:style>
  <w:style w:type="paragraph" w:customStyle="1" w:styleId="Contact">
    <w:name w:val="Contact"/>
    <w:basedOn w:val="Navaden"/>
    <w:next w:val="Navaden"/>
    <w:rsid w:val="009E0216"/>
    <w:pPr>
      <w:spacing w:after="0" w:line="240" w:lineRule="auto"/>
      <w:ind w:left="1134" w:hanging="567"/>
      <w:jc w:val="both"/>
    </w:pPr>
    <w:rPr>
      <w:rFonts w:ascii="Times New Roman" w:eastAsia="Times New Roman" w:hAnsi="Times New Roman" w:cs="Times New Roman"/>
      <w:sz w:val="24"/>
      <w:szCs w:val="24"/>
      <w:lang w:eastAsia="en-GB"/>
    </w:rPr>
  </w:style>
  <w:style w:type="paragraph" w:customStyle="1" w:styleId="DisclaimerNotice">
    <w:name w:val="Disclaimer Notice"/>
    <w:basedOn w:val="Navaden"/>
    <w:next w:val="AddressTR"/>
    <w:rsid w:val="009E0216"/>
    <w:pPr>
      <w:spacing w:after="0" w:line="240" w:lineRule="auto"/>
      <w:ind w:left="5103"/>
      <w:jc w:val="both"/>
    </w:pPr>
    <w:rPr>
      <w:rFonts w:ascii="Times New Roman" w:eastAsia="Times New Roman" w:hAnsi="Times New Roman" w:cs="Times New Roman"/>
      <w:i/>
      <w:sz w:val="20"/>
      <w:szCs w:val="20"/>
      <w:lang w:eastAsia="en-GB"/>
    </w:rPr>
  </w:style>
  <w:style w:type="paragraph" w:customStyle="1" w:styleId="Disclaimer">
    <w:name w:val="Disclaimer"/>
    <w:basedOn w:val="Navaden"/>
    <w:rsid w:val="009E0216"/>
    <w:pPr>
      <w:keepLines/>
      <w:spacing w:after="0" w:line="240" w:lineRule="auto"/>
      <w:jc w:val="both"/>
    </w:pPr>
    <w:rPr>
      <w:rFonts w:ascii="Times New Roman" w:eastAsia="Times New Roman" w:hAnsi="Times New Roman" w:cs="Times New Roman"/>
      <w:i/>
      <w:sz w:val="20"/>
      <w:szCs w:val="20"/>
      <w:lang w:eastAsia="en-GB"/>
    </w:rPr>
  </w:style>
  <w:style w:type="character" w:styleId="SledenaHiperpovezava">
    <w:name w:val="FollowedHyperlink"/>
    <w:uiPriority w:val="99"/>
    <w:rsid w:val="009E0216"/>
    <w:rPr>
      <w:color w:val="800080"/>
      <w:w w:val="100"/>
      <w:sz w:val="20"/>
      <w:szCs w:val="20"/>
      <w:u w:val="single"/>
      <w:shd w:val="clear" w:color="auto" w:fill="auto"/>
    </w:rPr>
  </w:style>
  <w:style w:type="paragraph" w:customStyle="1" w:styleId="DisclaimerSJ">
    <w:name w:val="Disclaimer_SJ"/>
    <w:basedOn w:val="Navaden"/>
    <w:next w:val="Navaden"/>
    <w:rsid w:val="009E0216"/>
    <w:pPr>
      <w:spacing w:after="0" w:line="240" w:lineRule="auto"/>
      <w:jc w:val="both"/>
    </w:pPr>
    <w:rPr>
      <w:rFonts w:ascii="Arial" w:eastAsia="Arial" w:hAnsi="Arial" w:cs="Times New Roman"/>
      <w:b/>
      <w:sz w:val="16"/>
      <w:szCs w:val="16"/>
      <w:lang w:eastAsia="en-GB"/>
    </w:rPr>
  </w:style>
  <w:style w:type="paragraph" w:customStyle="1" w:styleId="Designator">
    <w:name w:val="Designator"/>
    <w:basedOn w:val="Navaden"/>
    <w:rsid w:val="009E0216"/>
    <w:pPr>
      <w:spacing w:after="0" w:line="240" w:lineRule="auto"/>
      <w:jc w:val="center"/>
    </w:pPr>
    <w:rPr>
      <w:rFonts w:ascii="Times New Roman" w:eastAsia="Times New Roman" w:hAnsi="Times New Roman" w:cs="Times New Roman"/>
      <w:b/>
      <w:caps/>
      <w:sz w:val="32"/>
      <w:szCs w:val="32"/>
      <w:lang w:eastAsia="en-GB"/>
    </w:rPr>
  </w:style>
  <w:style w:type="paragraph" w:customStyle="1" w:styleId="Releasable">
    <w:name w:val="Releasable"/>
    <w:basedOn w:val="Navaden"/>
    <w:qFormat/>
    <w:rsid w:val="009E0216"/>
    <w:pPr>
      <w:spacing w:after="0" w:line="240" w:lineRule="auto"/>
      <w:jc w:val="center"/>
    </w:pPr>
    <w:rPr>
      <w:rFonts w:ascii="Times New Roman" w:eastAsia="Times New Roman" w:hAnsi="Times New Roman" w:cs="Times New Roman"/>
      <w:b/>
      <w:caps/>
      <w:sz w:val="32"/>
      <w:szCs w:val="32"/>
      <w:lang w:eastAsia="en-GB"/>
    </w:rPr>
  </w:style>
  <w:style w:type="paragraph" w:customStyle="1" w:styleId="RUE">
    <w:name w:val="RUE"/>
    <w:basedOn w:val="Navaden"/>
    <w:rsid w:val="009E0216"/>
    <w:pPr>
      <w:spacing w:after="0" w:line="240" w:lineRule="auto"/>
      <w:jc w:val="center"/>
    </w:pPr>
    <w:rPr>
      <w:rFonts w:ascii="Times New Roman" w:eastAsia="Times New Roman" w:hAnsi="Times New Roman" w:cs="Times New Roman"/>
      <w:b/>
      <w:caps/>
      <w:sz w:val="32"/>
      <w:szCs w:val="32"/>
      <w:bdr w:val="single" w:sz="18" w:space="0" w:color="000000"/>
      <w:lang w:eastAsia="en-GB"/>
    </w:rPr>
  </w:style>
  <w:style w:type="paragraph" w:customStyle="1" w:styleId="ConfidentialUE">
    <w:name w:val="Confidential UE"/>
    <w:basedOn w:val="Navaden"/>
    <w:rsid w:val="009E0216"/>
    <w:pPr>
      <w:spacing w:after="0" w:line="240" w:lineRule="auto"/>
      <w:jc w:val="center"/>
    </w:pPr>
    <w:rPr>
      <w:rFonts w:ascii="Times New Roman" w:eastAsia="Times New Roman" w:hAnsi="Times New Roman" w:cs="Times New Roman"/>
      <w:b/>
      <w:caps/>
      <w:sz w:val="32"/>
      <w:szCs w:val="32"/>
      <w:bdr w:val="single" w:sz="18" w:space="0" w:color="000000"/>
      <w:lang w:eastAsia="en-GB"/>
    </w:rPr>
  </w:style>
  <w:style w:type="paragraph" w:customStyle="1" w:styleId="TrsSecretUE">
    <w:name w:val="Très Secret UE"/>
    <w:basedOn w:val="Navaden"/>
    <w:rsid w:val="009E0216"/>
    <w:pPr>
      <w:spacing w:after="0" w:line="240" w:lineRule="auto"/>
      <w:jc w:val="center"/>
    </w:pPr>
    <w:rPr>
      <w:rFonts w:ascii="Times New Roman" w:eastAsia="Times New Roman" w:hAnsi="Times New Roman" w:cs="Times New Roman"/>
      <w:b/>
      <w:caps/>
      <w:color w:val="FF0000"/>
      <w:sz w:val="32"/>
      <w:szCs w:val="32"/>
      <w:bdr w:val="single" w:sz="18" w:space="0" w:color="FF0000"/>
      <w:lang w:eastAsia="en-GB"/>
    </w:rPr>
  </w:style>
  <w:style w:type="paragraph" w:customStyle="1" w:styleId="SecretUE">
    <w:name w:val="Secret UE"/>
    <w:basedOn w:val="Navaden"/>
    <w:rsid w:val="009E0216"/>
    <w:pPr>
      <w:spacing w:after="0" w:line="240" w:lineRule="auto"/>
      <w:jc w:val="center"/>
    </w:pPr>
    <w:rPr>
      <w:rFonts w:ascii="Times New Roman" w:eastAsia="Times New Roman" w:hAnsi="Times New Roman" w:cs="Times New Roman"/>
      <w:b/>
      <w:caps/>
      <w:color w:val="FF0000"/>
      <w:sz w:val="32"/>
      <w:szCs w:val="32"/>
      <w:bdr w:val="single" w:sz="18" w:space="0" w:color="FF0000"/>
      <w:lang w:eastAsia="en-GB"/>
    </w:rPr>
  </w:style>
  <w:style w:type="paragraph" w:customStyle="1" w:styleId="LegalNumPar">
    <w:name w:val="LegalNumPar"/>
    <w:basedOn w:val="Navaden"/>
    <w:rsid w:val="009E0216"/>
    <w:pPr>
      <w:numPr>
        <w:numId w:val="20"/>
      </w:numPr>
      <w:spacing w:after="0" w:line="240" w:lineRule="auto"/>
      <w:ind w:left="0" w:firstLine="0"/>
      <w:jc w:val="both"/>
    </w:pPr>
    <w:rPr>
      <w:rFonts w:ascii="Arial" w:eastAsia="Calibri" w:hAnsi="Arial" w:cs="Times New Roman"/>
      <w:sz w:val="20"/>
      <w:szCs w:val="20"/>
      <w:lang w:eastAsia="en-GB"/>
    </w:rPr>
  </w:style>
  <w:style w:type="paragraph" w:customStyle="1" w:styleId="LegalNumPar2">
    <w:name w:val="LegalNumPar2"/>
    <w:basedOn w:val="Navaden"/>
    <w:rsid w:val="009E0216"/>
    <w:pPr>
      <w:numPr>
        <w:ilvl w:val="1"/>
        <w:numId w:val="20"/>
      </w:numPr>
      <w:spacing w:after="0" w:line="240" w:lineRule="auto"/>
      <w:ind w:left="0" w:firstLine="0"/>
      <w:jc w:val="both"/>
    </w:pPr>
    <w:rPr>
      <w:rFonts w:ascii="Arial" w:eastAsia="Calibri" w:hAnsi="Arial" w:cs="Times New Roman"/>
      <w:sz w:val="20"/>
      <w:szCs w:val="20"/>
      <w:lang w:eastAsia="en-GB"/>
    </w:rPr>
  </w:style>
  <w:style w:type="paragraph" w:customStyle="1" w:styleId="LegalNumPar3">
    <w:name w:val="LegalNumPar3"/>
    <w:basedOn w:val="Navaden"/>
    <w:rsid w:val="009E0216"/>
    <w:pPr>
      <w:numPr>
        <w:ilvl w:val="2"/>
        <w:numId w:val="20"/>
      </w:numPr>
      <w:spacing w:after="0" w:line="240" w:lineRule="auto"/>
      <w:ind w:left="0" w:firstLine="0"/>
      <w:jc w:val="both"/>
    </w:pPr>
    <w:rPr>
      <w:rFonts w:ascii="Arial" w:eastAsia="Calibri" w:hAnsi="Arial" w:cs="Times New Roman"/>
      <w:sz w:val="20"/>
      <w:szCs w:val="20"/>
      <w:lang w:eastAsia="en-GB"/>
    </w:rPr>
  </w:style>
  <w:style w:type="paragraph" w:customStyle="1" w:styleId="ZCom">
    <w:name w:val="Z_Com"/>
    <w:basedOn w:val="Navaden"/>
    <w:rsid w:val="009E0216"/>
    <w:pPr>
      <w:autoSpaceDE w:val="0"/>
      <w:autoSpaceDN w:val="0"/>
      <w:spacing w:after="0" w:line="240" w:lineRule="auto"/>
      <w:ind w:right="85"/>
      <w:jc w:val="both"/>
    </w:pPr>
    <w:rPr>
      <w:rFonts w:ascii="Arial" w:eastAsia="Arial" w:hAnsi="Arial" w:cs="Times New Roman"/>
      <w:sz w:val="20"/>
      <w:szCs w:val="20"/>
      <w:lang w:eastAsia="en-GB"/>
    </w:rPr>
  </w:style>
  <w:style w:type="paragraph" w:customStyle="1" w:styleId="ZDGName">
    <w:name w:val="Z_DGName"/>
    <w:basedOn w:val="Navaden"/>
    <w:rsid w:val="009E0216"/>
    <w:pPr>
      <w:autoSpaceDE w:val="0"/>
      <w:autoSpaceDN w:val="0"/>
      <w:spacing w:after="0" w:line="240" w:lineRule="auto"/>
      <w:ind w:right="85"/>
      <w:jc w:val="both"/>
    </w:pPr>
    <w:rPr>
      <w:rFonts w:ascii="Arial" w:eastAsia="Arial" w:hAnsi="Arial" w:cs="Times New Roman"/>
      <w:sz w:val="16"/>
      <w:szCs w:val="16"/>
      <w:lang w:eastAsia="en-GB"/>
    </w:rPr>
  </w:style>
  <w:style w:type="character" w:styleId="Sprotnaopomba-sklic">
    <w:name w:val="footnote reference"/>
    <w:aliases w:val="Footnote symbol,Footnote,Fussnota,SUPERS,-E Fußnotenzeichen,ESPON Footnote No,Footnote reference number,note TESI,EN Footnote Reference,number,Times 10 Point,Exposant 3 Point,Footnote Reference_LVL6,Footnote Reference_LVL61,E..."/>
    <w:basedOn w:val="Privzetapisavaodstavka"/>
    <w:unhideWhenUsed/>
    <w:qFormat/>
    <w:rsid w:val="009E0216"/>
    <w:rPr>
      <w:w w:val="100"/>
      <w:sz w:val="20"/>
      <w:szCs w:val="20"/>
      <w:shd w:val="clear" w:color="auto" w:fill="auto"/>
      <w:vertAlign w:val="superscript"/>
    </w:rPr>
  </w:style>
  <w:style w:type="character" w:customStyle="1" w:styleId="BrezrazmikovZnak">
    <w:name w:val="Brez razmikov Znak"/>
    <w:basedOn w:val="Privzetapisavaodstavka"/>
    <w:link w:val="Brezrazmikov"/>
    <w:uiPriority w:val="1"/>
    <w:rsid w:val="009E0216"/>
    <w:rPr>
      <w:rFonts w:ascii="Calibri" w:eastAsia="Calibri" w:hAnsi="Calibri" w:cs="Times New Roman"/>
      <w:lang w:val="en-GB" w:eastAsia="en-GB"/>
    </w:rPr>
  </w:style>
  <w:style w:type="character" w:customStyle="1" w:styleId="Text2Char">
    <w:name w:val="Text 2 Char"/>
    <w:link w:val="Text2"/>
    <w:rsid w:val="009E0216"/>
    <w:rPr>
      <w:rFonts w:ascii="Times New Roman" w:eastAsia="Times New Roman" w:hAnsi="Times New Roman" w:cs="Times New Roman"/>
      <w:sz w:val="24"/>
      <w:szCs w:val="24"/>
      <w:lang w:eastAsia="en-GB"/>
    </w:rPr>
  </w:style>
  <w:style w:type="paragraph" w:styleId="Navadensplet">
    <w:name w:val="Normal (Web)"/>
    <w:basedOn w:val="Navaden"/>
    <w:uiPriority w:val="99"/>
    <w:unhideWhenUsed/>
    <w:rsid w:val="009E0216"/>
    <w:pPr>
      <w:spacing w:after="0" w:line="240" w:lineRule="auto"/>
      <w:jc w:val="both"/>
    </w:pPr>
    <w:rPr>
      <w:rFonts w:ascii="Times New Roman" w:eastAsia="Times New Roman" w:hAnsi="Times New Roman" w:cs="Times New Roman"/>
      <w:sz w:val="20"/>
      <w:szCs w:val="20"/>
      <w:lang w:eastAsia="en-GB"/>
    </w:rPr>
  </w:style>
  <w:style w:type="paragraph" w:customStyle="1" w:styleId="Point1">
    <w:name w:val="Point 1"/>
    <w:basedOn w:val="Navaden"/>
    <w:rsid w:val="009E0216"/>
    <w:pPr>
      <w:spacing w:after="0" w:line="240" w:lineRule="auto"/>
      <w:ind w:left="1984" w:hanging="567"/>
      <w:jc w:val="both"/>
    </w:pPr>
    <w:rPr>
      <w:rFonts w:ascii="Arial" w:eastAsia="Calibri" w:hAnsi="Arial" w:cs="Times New Roman"/>
      <w:sz w:val="20"/>
      <w:szCs w:val="20"/>
      <w:lang w:eastAsia="en-GB"/>
    </w:rPr>
  </w:style>
  <w:style w:type="paragraph" w:customStyle="1" w:styleId="Tiret2">
    <w:name w:val="Tiret 2"/>
    <w:basedOn w:val="Navaden"/>
    <w:rsid w:val="009E0216"/>
    <w:pPr>
      <w:numPr>
        <w:numId w:val="22"/>
      </w:numPr>
      <w:spacing w:after="0" w:line="240" w:lineRule="auto"/>
      <w:ind w:left="0" w:firstLine="0"/>
      <w:jc w:val="both"/>
    </w:pPr>
    <w:rPr>
      <w:rFonts w:ascii="Arial" w:eastAsia="Calibri" w:hAnsi="Arial" w:cs="Times New Roman"/>
      <w:sz w:val="20"/>
      <w:szCs w:val="20"/>
      <w:lang w:eastAsia="en-GB"/>
    </w:rPr>
  </w:style>
  <w:style w:type="paragraph" w:customStyle="1" w:styleId="Point0number">
    <w:name w:val="Point 0 (number)"/>
    <w:basedOn w:val="Navaden"/>
    <w:rsid w:val="009E0216"/>
    <w:pPr>
      <w:numPr>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1number">
    <w:name w:val="Point 1 (number)"/>
    <w:basedOn w:val="Navaden"/>
    <w:rsid w:val="009E0216"/>
    <w:pPr>
      <w:numPr>
        <w:ilvl w:val="2"/>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2number">
    <w:name w:val="Point 2 (number)"/>
    <w:basedOn w:val="Navaden"/>
    <w:rsid w:val="009E0216"/>
    <w:pPr>
      <w:numPr>
        <w:ilvl w:val="4"/>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3number">
    <w:name w:val="Point 3 (number)"/>
    <w:basedOn w:val="Navaden"/>
    <w:rsid w:val="009E0216"/>
    <w:pPr>
      <w:numPr>
        <w:ilvl w:val="6"/>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0letter">
    <w:name w:val="Point 0 (letter)"/>
    <w:basedOn w:val="Navaden"/>
    <w:rsid w:val="009E0216"/>
    <w:pPr>
      <w:numPr>
        <w:ilvl w:val="1"/>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1letter">
    <w:name w:val="Point 1 (letter)"/>
    <w:basedOn w:val="Navaden"/>
    <w:rsid w:val="009E0216"/>
    <w:pPr>
      <w:numPr>
        <w:ilvl w:val="3"/>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2letter">
    <w:name w:val="Point 2 (letter)"/>
    <w:basedOn w:val="Navaden"/>
    <w:rsid w:val="009E0216"/>
    <w:pPr>
      <w:numPr>
        <w:ilvl w:val="5"/>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3letter">
    <w:name w:val="Point 3 (letter)"/>
    <w:basedOn w:val="Navaden"/>
    <w:rsid w:val="009E0216"/>
    <w:pPr>
      <w:numPr>
        <w:ilvl w:val="7"/>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4letter">
    <w:name w:val="Point 4 (letter)"/>
    <w:basedOn w:val="Navaden"/>
    <w:rsid w:val="009E0216"/>
    <w:pPr>
      <w:numPr>
        <w:ilvl w:val="8"/>
        <w:numId w:val="21"/>
      </w:numPr>
      <w:spacing w:after="0" w:line="240" w:lineRule="auto"/>
      <w:ind w:left="0" w:firstLine="0"/>
      <w:jc w:val="both"/>
    </w:pPr>
    <w:rPr>
      <w:rFonts w:ascii="Arial" w:eastAsia="Calibri" w:hAnsi="Arial" w:cs="Times New Roman"/>
      <w:sz w:val="20"/>
      <w:szCs w:val="20"/>
      <w:lang w:eastAsia="en-GB"/>
    </w:rPr>
  </w:style>
  <w:style w:type="character" w:customStyle="1" w:styleId="OdstavekseznamaZnak">
    <w:name w:val="Odstavek seznama Znak"/>
    <w:aliases w:val="Odstavec1 Znak"/>
    <w:link w:val="Odstavekseznama"/>
    <w:uiPriority w:val="34"/>
    <w:qFormat/>
    <w:rsid w:val="009E0216"/>
  </w:style>
  <w:style w:type="paragraph" w:customStyle="1" w:styleId="StyleHeading3BoldNotItalic">
    <w:name w:val="Style Heading 3 + Bold Not Italic"/>
    <w:basedOn w:val="Naslov3"/>
    <w:rsid w:val="009E0216"/>
    <w:pPr>
      <w:numPr>
        <w:numId w:val="23"/>
      </w:numPr>
      <w:tabs>
        <w:tab w:val="left" w:pos="850"/>
      </w:tabs>
      <w:ind w:left="1440" w:hanging="720"/>
    </w:pPr>
    <w:rPr>
      <w:rFonts w:ascii="Times New Roman Bold" w:eastAsia="Times New Roman Bold" w:hAnsi="Times New Roman Bold"/>
    </w:rPr>
  </w:style>
  <w:style w:type="paragraph" w:styleId="HTML-oblikovano">
    <w:name w:val="HTML Preformatted"/>
    <w:basedOn w:val="Navaden"/>
    <w:link w:val="HTML-oblikovanoZnak"/>
    <w:uiPriority w:val="99"/>
    <w:unhideWhenUsed/>
    <w:rsid w:val="009E0216"/>
    <w:pPr>
      <w:spacing w:after="0" w:line="240" w:lineRule="auto"/>
      <w:jc w:val="both"/>
    </w:pPr>
    <w:rPr>
      <w:rFonts w:ascii="Consolas" w:eastAsia="Consolas" w:hAnsi="Consolas" w:cs="Times New Roman"/>
      <w:sz w:val="20"/>
      <w:szCs w:val="20"/>
      <w:lang w:eastAsia="en-GB"/>
    </w:rPr>
  </w:style>
  <w:style w:type="character" w:customStyle="1" w:styleId="HTML-oblikovanoZnak">
    <w:name w:val="HTML-oblikovano Znak"/>
    <w:basedOn w:val="Privzetapisavaodstavka"/>
    <w:link w:val="HTML-oblikovano"/>
    <w:uiPriority w:val="99"/>
    <w:rsid w:val="009E0216"/>
    <w:rPr>
      <w:rFonts w:ascii="Consolas" w:eastAsia="Consolas" w:hAnsi="Consolas" w:cs="Times New Roman"/>
      <w:sz w:val="20"/>
      <w:szCs w:val="20"/>
      <w:lang w:eastAsia="en-GB"/>
    </w:rPr>
  </w:style>
  <w:style w:type="paragraph" w:styleId="Zadevapripombe">
    <w:name w:val="annotation subject"/>
    <w:basedOn w:val="Pripombabesedilo"/>
    <w:next w:val="Pripombabesedilo"/>
    <w:link w:val="ZadevapripombeZnak"/>
    <w:uiPriority w:val="99"/>
    <w:semiHidden/>
    <w:unhideWhenUsed/>
    <w:rsid w:val="009E0216"/>
    <w:rPr>
      <w:b/>
    </w:rPr>
  </w:style>
  <w:style w:type="character" w:customStyle="1" w:styleId="ZadevapripombeZnak">
    <w:name w:val="Zadeva pripombe Znak"/>
    <w:basedOn w:val="PripombabesediloZnak"/>
    <w:link w:val="Zadevapripombe"/>
    <w:uiPriority w:val="99"/>
    <w:semiHidden/>
    <w:rsid w:val="009E0216"/>
    <w:rPr>
      <w:rFonts w:ascii="Times New Roman" w:eastAsia="Times New Roman" w:hAnsi="Times New Roman" w:cs="Times New Roman"/>
      <w:b/>
      <w:sz w:val="20"/>
      <w:szCs w:val="20"/>
      <w:lang w:eastAsia="en-GB"/>
    </w:rPr>
  </w:style>
  <w:style w:type="paragraph" w:styleId="Revizija">
    <w:name w:val="Revision"/>
    <w:uiPriority w:val="99"/>
    <w:semiHidden/>
    <w:rsid w:val="009E0216"/>
    <w:pPr>
      <w:spacing w:after="0" w:line="240" w:lineRule="auto"/>
    </w:pPr>
    <w:rPr>
      <w:rFonts w:ascii="Times New Roman" w:eastAsia="Times New Roman" w:hAnsi="Times New Roman" w:cs="Times New Roman"/>
      <w:sz w:val="24"/>
      <w:szCs w:val="24"/>
      <w:lang w:val="en-GB" w:eastAsia="en-GB"/>
    </w:rPr>
  </w:style>
  <w:style w:type="paragraph" w:customStyle="1" w:styleId="Tim">
    <w:name w:val="Tim"/>
    <w:basedOn w:val="Navaden"/>
    <w:rsid w:val="009E0216"/>
    <w:pPr>
      <w:numPr>
        <w:numId w:val="24"/>
      </w:numPr>
      <w:spacing w:after="0" w:line="240" w:lineRule="auto"/>
      <w:ind w:left="0" w:firstLine="0"/>
      <w:jc w:val="both"/>
    </w:pPr>
    <w:rPr>
      <w:rFonts w:ascii="Calibri" w:eastAsia="Calibri" w:hAnsi="Calibri" w:cs="Times New Roman"/>
      <w:lang w:eastAsia="en-GB"/>
    </w:rPr>
  </w:style>
  <w:style w:type="paragraph" w:customStyle="1" w:styleId="Default">
    <w:name w:val="Default"/>
    <w:rsid w:val="009E0216"/>
    <w:pPr>
      <w:autoSpaceDE w:val="0"/>
      <w:autoSpaceDN w:val="0"/>
      <w:spacing w:after="0" w:line="240" w:lineRule="auto"/>
    </w:pPr>
    <w:rPr>
      <w:rFonts w:ascii="Times New Roman" w:eastAsia="Times New Roman" w:hAnsi="Times New Roman" w:cs="Times New Roman"/>
      <w:color w:val="000000"/>
      <w:sz w:val="24"/>
      <w:szCs w:val="24"/>
      <w:lang w:val="en-GB" w:eastAsia="en-GB"/>
    </w:rPr>
  </w:style>
  <w:style w:type="paragraph" w:customStyle="1" w:styleId="ZPtekst">
    <w:name w:val="ZP_tekst"/>
    <w:basedOn w:val="Navaden"/>
    <w:link w:val="ZPtekstZnak"/>
    <w:qFormat/>
    <w:rsid w:val="009E0216"/>
    <w:pPr>
      <w:spacing w:before="120" w:after="0" w:line="264" w:lineRule="auto"/>
      <w:jc w:val="both"/>
    </w:pPr>
    <w:rPr>
      <w:rFonts w:ascii="Arial" w:eastAsia="Times New Roman" w:hAnsi="Arial" w:cs="Arial"/>
    </w:rPr>
  </w:style>
  <w:style w:type="character" w:customStyle="1" w:styleId="ZPtekstZnak">
    <w:name w:val="ZP_tekst Znak"/>
    <w:link w:val="ZPtekst"/>
    <w:rsid w:val="009E0216"/>
    <w:rPr>
      <w:rFonts w:ascii="Arial" w:eastAsia="Times New Roman" w:hAnsi="Arial" w:cs="Arial"/>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9E0216"/>
    <w:rPr>
      <w:rFonts w:ascii="Arial" w:hAnsi="Arial"/>
      <w:sz w:val="22"/>
      <w:szCs w:val="24"/>
      <w:lang w:val="sl-SI" w:eastAsia="sl-SI" w:bidi="ar-SA"/>
    </w:rPr>
  </w:style>
  <w:style w:type="paragraph" w:customStyle="1" w:styleId="ZPpodnapis">
    <w:name w:val="ZP_podnapis"/>
    <w:basedOn w:val="ZPtekst"/>
    <w:next w:val="ZPtekst"/>
    <w:qFormat/>
    <w:rsid w:val="009E0216"/>
    <w:pPr>
      <w:widowControl w:val="0"/>
      <w:spacing w:after="200"/>
      <w:ind w:left="170" w:hanging="170"/>
      <w:contextualSpacing/>
    </w:pPr>
    <w:rPr>
      <w:sz w:val="16"/>
    </w:rPr>
  </w:style>
  <w:style w:type="paragraph" w:customStyle="1" w:styleId="ZPslikanaslov">
    <w:name w:val="ZP_slika_naslov"/>
    <w:basedOn w:val="Navaden"/>
    <w:qFormat/>
    <w:rsid w:val="009E0216"/>
    <w:pPr>
      <w:keepNext/>
      <w:keepLines/>
      <w:spacing w:before="240" w:after="80" w:line="240" w:lineRule="auto"/>
      <w:jc w:val="center"/>
    </w:pPr>
    <w:rPr>
      <w:rFonts w:ascii="Arial" w:eastAsia="Times New Roman" w:hAnsi="Arial" w:cs="Arial"/>
      <w:i/>
      <w:lang w:eastAsia="sl-SI"/>
    </w:rPr>
  </w:style>
  <w:style w:type="paragraph" w:customStyle="1" w:styleId="ZPslika">
    <w:name w:val="ZP_slika"/>
    <w:basedOn w:val="Navaden"/>
    <w:qFormat/>
    <w:rsid w:val="009E0216"/>
    <w:pPr>
      <w:spacing w:before="80" w:after="80" w:line="240" w:lineRule="auto"/>
      <w:jc w:val="center"/>
    </w:pPr>
    <w:rPr>
      <w:rFonts w:ascii="Arial" w:eastAsia="Times New Roman" w:hAnsi="Arial" w:cs="Arial"/>
      <w:noProof/>
      <w:sz w:val="16"/>
      <w:lang w:eastAsia="sl-SI"/>
    </w:rPr>
  </w:style>
  <w:style w:type="table" w:customStyle="1" w:styleId="TableGridLight1">
    <w:name w:val="Table Grid Light1"/>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
    <w:name w:val="Footno"/>
    <w:basedOn w:val="Navaden"/>
    <w:rsid w:val="009E0216"/>
    <w:pPr>
      <w:spacing w:after="0" w:line="240" w:lineRule="auto"/>
      <w:jc w:val="both"/>
    </w:pPr>
    <w:rPr>
      <w:rFonts w:ascii="Times New Roman" w:eastAsia="Arial Unicode MS" w:hAnsi="Times New Roman" w:cs="Times New Roman"/>
      <w:color w:val="000000"/>
      <w:sz w:val="20"/>
      <w:szCs w:val="20"/>
      <w:lang w:eastAsia="sl-SI" w:bidi="sl-SI"/>
    </w:rPr>
  </w:style>
  <w:style w:type="table" w:customStyle="1" w:styleId="Tabelamrea1">
    <w:name w:val="Tabela – mreža1"/>
    <w:basedOn w:val="Navadnatabela"/>
    <w:next w:val="Tabelamrea"/>
    <w:uiPriority w:val="59"/>
    <w:rsid w:val="009E02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rsid w:val="009E021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BodyText31">
    <w:name w:val="Body Text 31"/>
    <w:basedOn w:val="Navaden"/>
    <w:rsid w:val="009E0216"/>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sl-SI"/>
    </w:rPr>
  </w:style>
  <w:style w:type="paragraph" w:customStyle="1" w:styleId="Preglednica">
    <w:name w:val="Preglednica"/>
    <w:basedOn w:val="Navaden"/>
    <w:link w:val="PreglednicaZnak"/>
    <w:qFormat/>
    <w:rsid w:val="009E0216"/>
    <w:pPr>
      <w:keepNext/>
      <w:keepLines/>
      <w:tabs>
        <w:tab w:val="left" w:pos="180"/>
      </w:tabs>
      <w:spacing w:after="120" w:line="240" w:lineRule="auto"/>
      <w:jc w:val="both"/>
    </w:pPr>
    <w:rPr>
      <w:rFonts w:ascii="Arial" w:eastAsia="Times New Roman" w:hAnsi="Arial" w:cs="Arial"/>
      <w:bCs/>
      <w:i/>
      <w:color w:val="000000"/>
      <w:sz w:val="20"/>
      <w:szCs w:val="20"/>
    </w:rPr>
  </w:style>
  <w:style w:type="character" w:customStyle="1" w:styleId="PreglednicaZnak">
    <w:name w:val="Preglednica Znak"/>
    <w:basedOn w:val="Privzetapisavaodstavka"/>
    <w:link w:val="Preglednica"/>
    <w:rsid w:val="009E0216"/>
    <w:rPr>
      <w:rFonts w:ascii="Arial" w:eastAsia="Times New Roman" w:hAnsi="Arial" w:cs="Arial"/>
      <w:bCs/>
      <w:i/>
      <w:color w:val="000000"/>
      <w:sz w:val="20"/>
      <w:szCs w:val="20"/>
    </w:rPr>
  </w:style>
  <w:style w:type="paragraph" w:customStyle="1" w:styleId="ZnakZnakZnakZnakZnak1">
    <w:name w:val="Znak Znak Znak Znak Znak1"/>
    <w:basedOn w:val="Navaden"/>
    <w:rsid w:val="009E0216"/>
    <w:pPr>
      <w:spacing w:after="160" w:line="240" w:lineRule="exact"/>
    </w:pPr>
    <w:rPr>
      <w:rFonts w:ascii="Tahoma" w:eastAsia="Times New Roman" w:hAnsi="Tahoma" w:cs="Times New Roman"/>
      <w:sz w:val="20"/>
      <w:szCs w:val="20"/>
      <w:lang w:val="en-US"/>
    </w:rPr>
  </w:style>
  <w:style w:type="paragraph" w:customStyle="1" w:styleId="ZPtekstpoevni">
    <w:name w:val="ZP_tekst_poševni"/>
    <w:basedOn w:val="Navaden"/>
    <w:next w:val="Navaden"/>
    <w:qFormat/>
    <w:rsid w:val="009E0216"/>
    <w:pPr>
      <w:spacing w:before="120" w:after="120" w:line="264" w:lineRule="auto"/>
      <w:jc w:val="both"/>
    </w:pPr>
    <w:rPr>
      <w:rFonts w:ascii="Arial" w:eastAsia="Times New Roman" w:hAnsi="Arial" w:cs="Arial"/>
      <w:i/>
    </w:rPr>
  </w:style>
  <w:style w:type="paragraph" w:customStyle="1" w:styleId="ZPnaslovneom">
    <w:name w:val="ZP_naslov_neoš_mč"/>
    <w:basedOn w:val="Navaden"/>
    <w:next w:val="Navaden"/>
    <w:qFormat/>
    <w:rsid w:val="009E0216"/>
    <w:pPr>
      <w:keepNext/>
      <w:autoSpaceDE w:val="0"/>
      <w:autoSpaceDN w:val="0"/>
      <w:adjustRightInd w:val="0"/>
      <w:spacing w:before="240" w:after="120" w:line="264" w:lineRule="auto"/>
      <w:jc w:val="both"/>
    </w:pPr>
    <w:rPr>
      <w:rFonts w:ascii="Arial" w:eastAsia="Times New Roman" w:hAnsi="Arial" w:cs="Arial"/>
      <w:b/>
      <w:i/>
      <w:lang w:eastAsia="sl-SI"/>
    </w:rPr>
  </w:style>
  <w:style w:type="paragraph" w:customStyle="1" w:styleId="ZPpregtekst">
    <w:name w:val="ZP_preg_tekst"/>
    <w:basedOn w:val="Navaden"/>
    <w:next w:val="Navaden"/>
    <w:qFormat/>
    <w:rsid w:val="009E0216"/>
    <w:pPr>
      <w:keepNext/>
      <w:keepLines/>
      <w:autoSpaceDE w:val="0"/>
      <w:autoSpaceDN w:val="0"/>
      <w:adjustRightInd w:val="0"/>
      <w:spacing w:after="0" w:line="240" w:lineRule="auto"/>
    </w:pPr>
    <w:rPr>
      <w:rFonts w:ascii="Arial" w:eastAsia="Times New Roman" w:hAnsi="Arial" w:cs="Arial"/>
      <w:sz w:val="16"/>
      <w:lang w:eastAsia="sl-SI"/>
    </w:rPr>
  </w:style>
  <w:style w:type="paragraph" w:customStyle="1" w:styleId="ZPpregglava">
    <w:name w:val="ZP_preg_glava"/>
    <w:basedOn w:val="ZPpregtekst"/>
    <w:next w:val="ZPpregtekst"/>
    <w:qFormat/>
    <w:rsid w:val="009E0216"/>
    <w:pPr>
      <w:spacing w:before="40" w:after="20"/>
      <w:jc w:val="right"/>
      <w:outlineLvl w:val="0"/>
    </w:pPr>
    <w:rPr>
      <w:b/>
    </w:rPr>
  </w:style>
  <w:style w:type="character" w:customStyle="1" w:styleId="Bodytext2Bold">
    <w:name w:val="Body text (2) + Bold"/>
    <w:basedOn w:val="Privzetapisavaodstavka"/>
    <w:rsid w:val="009E0216"/>
    <w:rPr>
      <w:rFonts w:ascii="Arial" w:eastAsia="Arial" w:hAnsi="Arial" w:cs="Arial"/>
      <w:b/>
      <w:bCs/>
      <w:i w:val="0"/>
      <w:iCs w:val="0"/>
      <w:smallCaps w:val="0"/>
      <w:strike w:val="0"/>
      <w:color w:val="000000"/>
      <w:spacing w:val="0"/>
      <w:w w:val="100"/>
      <w:position w:val="0"/>
      <w:sz w:val="13"/>
      <w:szCs w:val="13"/>
      <w:u w:val="none"/>
      <w:lang w:val="sl-SI" w:eastAsia="sl-SI" w:bidi="sl-SI"/>
    </w:rPr>
  </w:style>
  <w:style w:type="character" w:customStyle="1" w:styleId="Bodytext2">
    <w:name w:val="Body text (2)_"/>
    <w:basedOn w:val="Privzetapisavaodstavka"/>
    <w:link w:val="Bodytext20"/>
    <w:rsid w:val="009E0216"/>
    <w:rPr>
      <w:rFonts w:ascii="Arial" w:eastAsia="Arial" w:hAnsi="Arial" w:cs="Arial"/>
      <w:sz w:val="13"/>
      <w:szCs w:val="13"/>
      <w:shd w:val="clear" w:color="auto" w:fill="FFFFFF"/>
    </w:rPr>
  </w:style>
  <w:style w:type="character" w:customStyle="1" w:styleId="Bodytext27ptScale66">
    <w:name w:val="Body text (2) + 7 pt;Scale 66%"/>
    <w:basedOn w:val="Bodytext2"/>
    <w:rsid w:val="009E0216"/>
    <w:rPr>
      <w:rFonts w:ascii="Arial" w:eastAsia="Arial" w:hAnsi="Arial" w:cs="Arial"/>
      <w:color w:val="000000"/>
      <w:spacing w:val="0"/>
      <w:w w:val="66"/>
      <w:position w:val="0"/>
      <w:sz w:val="14"/>
      <w:szCs w:val="14"/>
      <w:shd w:val="clear" w:color="auto" w:fill="FFFFFF"/>
      <w:lang w:val="sl-SI" w:eastAsia="sl-SI" w:bidi="sl-SI"/>
    </w:rPr>
  </w:style>
  <w:style w:type="character" w:customStyle="1" w:styleId="Bodytext2Georgia95ptScale50">
    <w:name w:val="Body text (2) + Georgia;9;5 pt;Scale 50%"/>
    <w:basedOn w:val="Bodytext2"/>
    <w:rsid w:val="009E0216"/>
    <w:rPr>
      <w:rFonts w:ascii="Georgia" w:eastAsia="Georgia" w:hAnsi="Georgia" w:cs="Georgia"/>
      <w:color w:val="000000"/>
      <w:spacing w:val="0"/>
      <w:w w:val="50"/>
      <w:position w:val="0"/>
      <w:sz w:val="19"/>
      <w:szCs w:val="19"/>
      <w:shd w:val="clear" w:color="auto" w:fill="FFFFFF"/>
      <w:lang w:val="sl-SI" w:eastAsia="sl-SI" w:bidi="sl-SI"/>
    </w:rPr>
  </w:style>
  <w:style w:type="paragraph" w:customStyle="1" w:styleId="Bodytext20">
    <w:name w:val="Body text (2)"/>
    <w:basedOn w:val="Navaden"/>
    <w:link w:val="Bodytext2"/>
    <w:rsid w:val="009E0216"/>
    <w:pPr>
      <w:widowControl w:val="0"/>
      <w:shd w:val="clear" w:color="auto" w:fill="FFFFFF"/>
      <w:spacing w:before="120" w:after="300" w:line="197" w:lineRule="exact"/>
      <w:ind w:hanging="180"/>
    </w:pPr>
    <w:rPr>
      <w:rFonts w:ascii="Arial" w:eastAsia="Arial" w:hAnsi="Arial" w:cs="Arial"/>
      <w:sz w:val="13"/>
      <w:szCs w:val="13"/>
    </w:rPr>
  </w:style>
  <w:style w:type="character" w:customStyle="1" w:styleId="Bodytext2Georgia4ptBold">
    <w:name w:val="Body text (2) + Georgia;4 pt;Bold"/>
    <w:basedOn w:val="Bodytext2"/>
    <w:rsid w:val="009E0216"/>
    <w:rPr>
      <w:rFonts w:ascii="Georgia" w:eastAsia="Georgia" w:hAnsi="Georgia" w:cs="Georgia"/>
      <w:b/>
      <w:bCs/>
      <w:i w:val="0"/>
      <w:iCs w:val="0"/>
      <w:smallCaps w:val="0"/>
      <w:strike w:val="0"/>
      <w:color w:val="000000"/>
      <w:spacing w:val="0"/>
      <w:w w:val="100"/>
      <w:position w:val="0"/>
      <w:sz w:val="8"/>
      <w:szCs w:val="8"/>
      <w:u w:val="none"/>
      <w:shd w:val="clear" w:color="auto" w:fill="FFFFFF"/>
      <w:lang w:val="sl-SI" w:eastAsia="sl-SI" w:bidi="sl-SI"/>
    </w:rPr>
  </w:style>
  <w:style w:type="character" w:customStyle="1" w:styleId="Bodytext25ptBold">
    <w:name w:val="Body text (2) + 5 pt;Bold"/>
    <w:basedOn w:val="Bodytext2"/>
    <w:rsid w:val="009E0216"/>
    <w:rPr>
      <w:rFonts w:ascii="Arial" w:eastAsia="Arial" w:hAnsi="Arial" w:cs="Arial"/>
      <w:b/>
      <w:bCs/>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5pt">
    <w:name w:val="Body text (2) + 5 pt"/>
    <w:basedOn w:val="Bodytext2"/>
    <w:rsid w:val="009E0216"/>
    <w:rPr>
      <w:rFonts w:ascii="Arial" w:eastAsia="Arial" w:hAnsi="Arial" w:cs="Arial"/>
      <w:b w:val="0"/>
      <w:bCs w:val="0"/>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TimesNewRoman10pt">
    <w:name w:val="Body text (2) + Times New Roman;10 pt"/>
    <w:basedOn w:val="Bodytext2"/>
    <w:rsid w:val="009E021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ZPpregnaslov">
    <w:name w:val="ZP_preg_naslov"/>
    <w:basedOn w:val="Preglednica"/>
    <w:link w:val="ZPpregnaslovZnak"/>
    <w:qFormat/>
    <w:rsid w:val="009E0216"/>
    <w:pPr>
      <w:tabs>
        <w:tab w:val="clear" w:pos="180"/>
      </w:tabs>
      <w:spacing w:before="200" w:after="80" w:line="264" w:lineRule="auto"/>
      <w:ind w:left="1588" w:hanging="1588"/>
      <w:contextualSpacing/>
      <w:jc w:val="left"/>
      <w:outlineLvl w:val="0"/>
    </w:pPr>
    <w:rPr>
      <w:rFonts w:cs="Times New Roman"/>
      <w:bCs w:val="0"/>
      <w:color w:val="auto"/>
      <w:sz w:val="22"/>
      <w:lang w:eastAsia="sl-SI"/>
    </w:rPr>
  </w:style>
  <w:style w:type="character" w:customStyle="1" w:styleId="ZPpregnaslovZnak">
    <w:name w:val="ZP_preg_naslov Znak"/>
    <w:link w:val="ZPpregnaslov"/>
    <w:rsid w:val="009E0216"/>
    <w:rPr>
      <w:rFonts w:ascii="Arial" w:eastAsia="Times New Roman" w:hAnsi="Arial" w:cs="Times New Roman"/>
      <w:i/>
      <w:szCs w:val="20"/>
      <w:lang w:eastAsia="sl-SI"/>
    </w:rPr>
  </w:style>
  <w:style w:type="paragraph" w:customStyle="1" w:styleId="ZPpregtevilke">
    <w:name w:val="ZP_preg_številke"/>
    <w:basedOn w:val="Navaden"/>
    <w:next w:val="ZPpregtekst"/>
    <w:qFormat/>
    <w:rsid w:val="009E0216"/>
    <w:pPr>
      <w:keepNext/>
      <w:keepLines/>
      <w:autoSpaceDE w:val="0"/>
      <w:autoSpaceDN w:val="0"/>
      <w:adjustRightInd w:val="0"/>
      <w:spacing w:after="0" w:line="240" w:lineRule="auto"/>
      <w:jc w:val="right"/>
    </w:pPr>
    <w:rPr>
      <w:rFonts w:ascii="Arial" w:eastAsia="Times New Roman" w:hAnsi="Arial" w:cs="Arial"/>
      <w:sz w:val="16"/>
      <w:lang w:eastAsia="sl-SI"/>
    </w:rPr>
  </w:style>
  <w:style w:type="paragraph" w:customStyle="1" w:styleId="alineja">
    <w:name w:val="alineja"/>
    <w:basedOn w:val="Navaden"/>
    <w:rsid w:val="009E0216"/>
    <w:pPr>
      <w:numPr>
        <w:numId w:val="25"/>
      </w:numPr>
      <w:autoSpaceDE w:val="0"/>
      <w:autoSpaceDN w:val="0"/>
      <w:adjustRightInd w:val="0"/>
      <w:spacing w:after="0" w:line="240" w:lineRule="auto"/>
      <w:ind w:left="714" w:hanging="357"/>
      <w:jc w:val="both"/>
    </w:pPr>
    <w:rPr>
      <w:rFonts w:ascii="Tahoma" w:eastAsia="Times New Roman" w:hAnsi="Tahoma" w:cs="Times New Roman"/>
      <w:lang w:eastAsia="sl-SI"/>
    </w:rPr>
  </w:style>
  <w:style w:type="character" w:styleId="Poudarek">
    <w:name w:val="Emphasis"/>
    <w:uiPriority w:val="20"/>
    <w:qFormat/>
    <w:rsid w:val="009E0216"/>
    <w:rPr>
      <w:i/>
      <w:iCs/>
    </w:rPr>
  </w:style>
  <w:style w:type="character" w:customStyle="1" w:styleId="ccccccc">
    <w:name w:val="ccccccc"/>
    <w:rsid w:val="009E0216"/>
    <w:rPr>
      <w:rFonts w:ascii="Arial" w:hAnsi="Arial"/>
      <w:b/>
      <w:bCs/>
      <w:sz w:val="22"/>
      <w:lang w:eastAsia="en-US"/>
    </w:rPr>
  </w:style>
  <w:style w:type="paragraph" w:customStyle="1" w:styleId="ZPokvirnaslov">
    <w:name w:val="ZP_okvir_naslov"/>
    <w:basedOn w:val="ZPtekst"/>
    <w:qFormat/>
    <w:rsid w:val="009E0216"/>
    <w:pPr>
      <w:keepNext/>
      <w:spacing w:before="80" w:after="80"/>
      <w:ind w:firstLine="454"/>
      <w:jc w:val="left"/>
    </w:pPr>
    <w:rPr>
      <w:b/>
    </w:rPr>
  </w:style>
  <w:style w:type="paragraph" w:customStyle="1" w:styleId="ZPokvirtekst">
    <w:name w:val="ZP_okvir_tekst"/>
    <w:basedOn w:val="ZPtekst"/>
    <w:qFormat/>
    <w:rsid w:val="009E0216"/>
    <w:pPr>
      <w:keepNext/>
      <w:spacing w:before="80" w:after="80" w:line="245" w:lineRule="auto"/>
      <w:ind w:firstLine="454"/>
    </w:pPr>
    <w:rPr>
      <w:sz w:val="18"/>
    </w:rPr>
  </w:style>
  <w:style w:type="table" w:customStyle="1" w:styleId="Tabelamrea6">
    <w:name w:val="Tabela – mreža6"/>
    <w:basedOn w:val="Navadnatabela"/>
    <w:next w:val="Tabelamrea"/>
    <w:uiPriority w:val="59"/>
    <w:rsid w:val="009E0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nnaopomba-sklic">
    <w:name w:val="endnote reference"/>
    <w:basedOn w:val="Privzetapisavaodstavka"/>
    <w:uiPriority w:val="99"/>
    <w:semiHidden/>
    <w:unhideWhenUsed/>
    <w:rsid w:val="009E0216"/>
    <w:rPr>
      <w:vertAlign w:val="superscript"/>
    </w:rPr>
  </w:style>
  <w:style w:type="character" w:customStyle="1" w:styleId="A2">
    <w:name w:val="A2"/>
    <w:uiPriority w:val="99"/>
    <w:rsid w:val="009E0216"/>
    <w:rPr>
      <w:rFonts w:cs="FTERJY+MyriadPro-Regular"/>
      <w:color w:val="000000"/>
      <w:sz w:val="17"/>
      <w:szCs w:val="17"/>
    </w:rPr>
  </w:style>
  <w:style w:type="table" w:customStyle="1" w:styleId="Tabelamrea2">
    <w:name w:val="Tabela – mreža2"/>
    <w:basedOn w:val="Navadnatabela"/>
    <w:next w:val="Tabelamrea"/>
    <w:uiPriority w:val="59"/>
    <w:rsid w:val="009E0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9E0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
    <w:name w:val="Table Grid Light16"/>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
    <w:name w:val="Table Grid Light17"/>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8">
    <w:name w:val="Table Grid Light18"/>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9">
    <w:name w:val="Table Grid Light19"/>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0">
    <w:name w:val="Table Grid Light110"/>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
    <w:name w:val="Table Grid Light111"/>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
    <w:name w:val="Table Grid Light113"/>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5">
    <w:name w:val="Table Grid Light115"/>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TML-citat">
    <w:name w:val="HTML Cite"/>
    <w:basedOn w:val="Privzetapisavaodstavka"/>
    <w:uiPriority w:val="99"/>
    <w:semiHidden/>
    <w:unhideWhenUsed/>
    <w:rsid w:val="009E0216"/>
    <w:rPr>
      <w:i/>
      <w:iCs/>
    </w:rPr>
  </w:style>
  <w:style w:type="paragraph" w:customStyle="1" w:styleId="tevilnatoka111">
    <w:name w:val="Številčna točka 1.1.1"/>
    <w:basedOn w:val="Navaden"/>
    <w:qFormat/>
    <w:rsid w:val="009E0216"/>
    <w:pPr>
      <w:widowControl w:val="0"/>
      <w:numPr>
        <w:ilvl w:val="2"/>
        <w:numId w:val="26"/>
      </w:numPr>
      <w:overflowPunct w:val="0"/>
      <w:autoSpaceDE w:val="0"/>
      <w:autoSpaceDN w:val="0"/>
      <w:adjustRightInd w:val="0"/>
      <w:spacing w:after="0" w:line="240" w:lineRule="auto"/>
      <w:jc w:val="both"/>
    </w:pPr>
    <w:rPr>
      <w:rFonts w:ascii="Arial" w:eastAsia="Times New Roman" w:hAnsi="Arial" w:cs="Times New Roman"/>
      <w:szCs w:val="16"/>
      <w:lang w:eastAsia="sl-SI"/>
    </w:rPr>
  </w:style>
  <w:style w:type="paragraph" w:customStyle="1" w:styleId="tevilnatoka">
    <w:name w:val="Številčna točka"/>
    <w:basedOn w:val="Navaden"/>
    <w:link w:val="tevilnatokaZnak"/>
    <w:qFormat/>
    <w:rsid w:val="009E0216"/>
    <w:pPr>
      <w:numPr>
        <w:numId w:val="26"/>
      </w:numPr>
      <w:spacing w:after="0" w:line="240" w:lineRule="auto"/>
      <w:jc w:val="both"/>
    </w:pPr>
    <w:rPr>
      <w:rFonts w:ascii="Arial" w:eastAsia="Times New Roman" w:hAnsi="Arial" w:cs="Arial"/>
      <w:lang w:eastAsia="sl-SI"/>
    </w:rPr>
  </w:style>
  <w:style w:type="paragraph" w:customStyle="1" w:styleId="tevilnatoka11Nova">
    <w:name w:val="Številčna točka 1.1 Nova"/>
    <w:basedOn w:val="tevilnatoka"/>
    <w:qFormat/>
    <w:rsid w:val="009E0216"/>
    <w:pPr>
      <w:numPr>
        <w:ilvl w:val="1"/>
      </w:numPr>
      <w:tabs>
        <w:tab w:val="left" w:pos="4297"/>
      </w:tabs>
    </w:pPr>
  </w:style>
  <w:style w:type="paragraph" w:customStyle="1" w:styleId="tevilnatoka0">
    <w:name w:val="tevilnatoka"/>
    <w:basedOn w:val="Navaden"/>
    <w:rsid w:val="009E021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highlight">
    <w:name w:val="highlight"/>
    <w:basedOn w:val="Privzetapisavaodstavka"/>
    <w:rsid w:val="009E0216"/>
  </w:style>
  <w:style w:type="paragraph" w:customStyle="1" w:styleId="Odstavek0">
    <w:name w:val="Odstavek"/>
    <w:basedOn w:val="Navaden"/>
    <w:link w:val="OdstavekZnak"/>
    <w:qFormat/>
    <w:rsid w:val="009E0216"/>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0"/>
    <w:rsid w:val="009E0216"/>
    <w:rPr>
      <w:rFonts w:ascii="Arial" w:eastAsia="Times New Roman" w:hAnsi="Arial" w:cs="Arial"/>
      <w:lang w:eastAsia="sl-SI"/>
    </w:rPr>
  </w:style>
  <w:style w:type="paragraph" w:customStyle="1" w:styleId="Navaden1">
    <w:name w:val="Navaden1"/>
    <w:rsid w:val="009E0216"/>
    <w:pPr>
      <w:spacing w:after="0" w:line="240" w:lineRule="auto"/>
    </w:pPr>
    <w:rPr>
      <w:rFonts w:ascii="Arial" w:eastAsia="Arial" w:hAnsi="Arial" w:cs="Arial"/>
      <w:sz w:val="20"/>
      <w:szCs w:val="20"/>
    </w:rPr>
  </w:style>
  <w:style w:type="character" w:customStyle="1" w:styleId="st">
    <w:name w:val="st"/>
    <w:basedOn w:val="Privzetapisavaodstavka"/>
    <w:rsid w:val="009E0216"/>
  </w:style>
  <w:style w:type="paragraph" w:customStyle="1" w:styleId="ZPnoga">
    <w:name w:val="ZP_noga"/>
    <w:basedOn w:val="ZPtekst"/>
    <w:qFormat/>
    <w:rsid w:val="009E0216"/>
    <w:pPr>
      <w:keepLines/>
      <w:spacing w:before="60" w:after="60" w:line="245" w:lineRule="auto"/>
      <w:ind w:left="170" w:hanging="170"/>
    </w:pPr>
    <w:rPr>
      <w:sz w:val="18"/>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9E0216"/>
    <w:pPr>
      <w:widowControl w:val="0"/>
      <w:adjustRightInd w:val="0"/>
      <w:spacing w:after="160" w:line="240" w:lineRule="exact"/>
      <w:jc w:val="both"/>
      <w:textAlignment w:val="baseline"/>
    </w:pPr>
    <w:rPr>
      <w:rFonts w:ascii="Tahoma" w:eastAsia="Times New Roman" w:hAnsi="Tahoma" w:cs="Tahoma"/>
      <w:sz w:val="20"/>
      <w:szCs w:val="20"/>
      <w:lang w:val="en-US"/>
    </w:rPr>
  </w:style>
  <w:style w:type="character" w:customStyle="1" w:styleId="tevilnatokaZnak">
    <w:name w:val="Številčna točka Znak"/>
    <w:basedOn w:val="Privzetapisavaodstavka"/>
    <w:link w:val="tevilnatoka"/>
    <w:rsid w:val="009E0216"/>
    <w:rPr>
      <w:rFonts w:ascii="Arial" w:eastAsia="Times New Roman" w:hAnsi="Arial" w:cs="Arial"/>
      <w:lang w:eastAsia="sl-SI"/>
    </w:rPr>
  </w:style>
  <w:style w:type="numbering" w:customStyle="1" w:styleId="Brezseznama1">
    <w:name w:val="Brez seznama1"/>
    <w:next w:val="Brezseznama"/>
    <w:uiPriority w:val="99"/>
    <w:semiHidden/>
    <w:unhideWhenUsed/>
    <w:rsid w:val="009E0216"/>
  </w:style>
  <w:style w:type="paragraph" w:customStyle="1" w:styleId="Pa1">
    <w:name w:val="Pa1"/>
    <w:basedOn w:val="Default"/>
    <w:next w:val="Default"/>
    <w:uiPriority w:val="99"/>
    <w:rsid w:val="009E0216"/>
    <w:pPr>
      <w:adjustRightInd w:val="0"/>
      <w:spacing w:line="201" w:lineRule="atLeast"/>
    </w:pPr>
    <w:rPr>
      <w:rFonts w:ascii="Arial" w:eastAsia="Arial" w:hAnsi="Arial" w:cs="Arial"/>
      <w:color w:val="auto"/>
      <w:lang w:val="sl-SI" w:eastAsia="en-US"/>
    </w:rPr>
  </w:style>
  <w:style w:type="paragraph" w:customStyle="1" w:styleId="align-justify">
    <w:name w:val="align-justify"/>
    <w:basedOn w:val="Navaden"/>
    <w:rsid w:val="009E0216"/>
    <w:pPr>
      <w:spacing w:before="100" w:beforeAutospacing="1" w:after="100" w:afterAutospacing="1" w:line="260" w:lineRule="atLeast"/>
    </w:pPr>
    <w:rPr>
      <w:rFonts w:ascii="Arial" w:eastAsia="Times New Roman" w:hAnsi="Arial" w:cs="Times New Roman"/>
      <w:szCs w:val="24"/>
      <w:lang w:eastAsia="sl-SI"/>
    </w:rPr>
  </w:style>
  <w:style w:type="paragraph" w:customStyle="1" w:styleId="Pa34">
    <w:name w:val="Pa34"/>
    <w:basedOn w:val="Default"/>
    <w:next w:val="Default"/>
    <w:uiPriority w:val="99"/>
    <w:rsid w:val="009E0216"/>
    <w:pPr>
      <w:adjustRightInd w:val="0"/>
      <w:spacing w:line="201" w:lineRule="atLeast"/>
    </w:pPr>
    <w:rPr>
      <w:rFonts w:ascii="Source Sans Pro Light" w:eastAsiaTheme="minorHAnsi" w:hAnsi="Source Sans Pro Light" w:cstheme="minorBidi"/>
      <w:color w:val="auto"/>
      <w:lang w:val="sl-SI" w:eastAsia="en-US"/>
    </w:rPr>
  </w:style>
  <w:style w:type="paragraph" w:customStyle="1" w:styleId="Pa27">
    <w:name w:val="Pa27"/>
    <w:basedOn w:val="Default"/>
    <w:next w:val="Default"/>
    <w:uiPriority w:val="99"/>
    <w:rsid w:val="009E0216"/>
    <w:pPr>
      <w:adjustRightInd w:val="0"/>
      <w:spacing w:line="181" w:lineRule="atLeast"/>
    </w:pPr>
    <w:rPr>
      <w:rFonts w:ascii="Myriad Pro Light" w:eastAsiaTheme="minorHAnsi" w:hAnsi="Myriad Pro Light" w:cstheme="minorBidi"/>
      <w:color w:val="auto"/>
      <w:lang w:val="sl-SI" w:eastAsia="en-US"/>
    </w:rPr>
  </w:style>
  <w:style w:type="paragraph" w:customStyle="1" w:styleId="Pa29">
    <w:name w:val="Pa29"/>
    <w:basedOn w:val="Default"/>
    <w:next w:val="Default"/>
    <w:uiPriority w:val="99"/>
    <w:rsid w:val="009E0216"/>
    <w:pPr>
      <w:adjustRightInd w:val="0"/>
      <w:spacing w:line="151" w:lineRule="atLeast"/>
    </w:pPr>
    <w:rPr>
      <w:rFonts w:ascii="Myriad Pro Light" w:eastAsiaTheme="minorHAnsi" w:hAnsi="Myriad Pro Light" w:cstheme="minorBidi"/>
      <w:color w:val="auto"/>
      <w:lang w:val="sl-SI" w:eastAsia="en-US"/>
    </w:rPr>
  </w:style>
  <w:style w:type="paragraph" w:customStyle="1" w:styleId="Pa31">
    <w:name w:val="Pa31"/>
    <w:basedOn w:val="Default"/>
    <w:next w:val="Default"/>
    <w:uiPriority w:val="99"/>
    <w:rsid w:val="009E0216"/>
    <w:pPr>
      <w:adjustRightInd w:val="0"/>
      <w:spacing w:line="151" w:lineRule="atLeast"/>
    </w:pPr>
    <w:rPr>
      <w:rFonts w:ascii="Myriad Pro Light" w:eastAsiaTheme="minorHAnsi" w:hAnsi="Myriad Pro Light" w:cstheme="minorBidi"/>
      <w:color w:val="auto"/>
      <w:lang w:val="sl-SI" w:eastAsia="en-US"/>
    </w:rPr>
  </w:style>
  <w:style w:type="character" w:customStyle="1" w:styleId="tlid-translation">
    <w:name w:val="tlid-translation"/>
    <w:basedOn w:val="Privzetapisavaodstavka"/>
    <w:rsid w:val="009E0216"/>
  </w:style>
  <w:style w:type="character" w:customStyle="1" w:styleId="Bodytext27pt">
    <w:name w:val="Body text (2) + 7 pt"/>
    <w:basedOn w:val="Bodytext2"/>
    <w:rsid w:val="009E0216"/>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Picturecaption211ptNotItalicSpacing0pt">
    <w:name w:val="Picture caption (2) + 11 pt;Not Italic;Spacing 0 pt"/>
    <w:basedOn w:val="Privzetapisavaodstavka"/>
    <w:rsid w:val="009E0216"/>
    <w:rPr>
      <w:rFonts w:ascii="Times New Roman" w:eastAsia="Times New Roman" w:hAnsi="Times New Roman" w:cs="Times New Roman"/>
      <w:b w:val="0"/>
      <w:bCs w:val="0"/>
      <w:i/>
      <w:iCs/>
      <w:smallCaps w:val="0"/>
      <w:strike w:val="0"/>
      <w:color w:val="000000"/>
      <w:spacing w:val="0"/>
      <w:w w:val="100"/>
      <w:position w:val="0"/>
      <w:sz w:val="22"/>
      <w:szCs w:val="22"/>
      <w:u w:val="none"/>
      <w:lang w:val="sl-SI" w:eastAsia="sl-SI" w:bidi="sl-SI"/>
    </w:rPr>
  </w:style>
  <w:style w:type="character" w:customStyle="1" w:styleId="Bodytext2Candara115pt">
    <w:name w:val="Body text (2) + Candara;11;5 pt"/>
    <w:basedOn w:val="Bodytext2"/>
    <w:rsid w:val="009E0216"/>
    <w:rPr>
      <w:rFonts w:ascii="Candara" w:eastAsia="Candara" w:hAnsi="Candara" w:cs="Candara"/>
      <w:b/>
      <w:bCs/>
      <w:i w:val="0"/>
      <w:iCs w:val="0"/>
      <w:smallCaps w:val="0"/>
      <w:strike w:val="0"/>
      <w:color w:val="000000"/>
      <w:spacing w:val="0"/>
      <w:w w:val="100"/>
      <w:position w:val="0"/>
      <w:sz w:val="23"/>
      <w:szCs w:val="23"/>
      <w:u w:val="none"/>
      <w:shd w:val="clear" w:color="auto" w:fill="FFFFFF"/>
      <w:lang w:val="sl-SI" w:eastAsia="sl-SI" w:bidi="sl-SI"/>
    </w:rPr>
  </w:style>
  <w:style w:type="character" w:customStyle="1" w:styleId="Bodytext9">
    <w:name w:val="Body text (9)_"/>
    <w:basedOn w:val="Privzetapisavaodstavka"/>
    <w:link w:val="Bodytext90"/>
    <w:rsid w:val="009E0216"/>
    <w:rPr>
      <w:rFonts w:ascii="Calibri" w:eastAsia="Calibri" w:hAnsi="Calibri" w:cs="Calibri"/>
      <w:sz w:val="24"/>
      <w:szCs w:val="24"/>
      <w:shd w:val="clear" w:color="auto" w:fill="FFFFFF"/>
    </w:rPr>
  </w:style>
  <w:style w:type="character" w:customStyle="1" w:styleId="Bodytext9Exact">
    <w:name w:val="Body text (9) Exact"/>
    <w:basedOn w:val="Privzetapisavaodstavka"/>
    <w:rsid w:val="009E0216"/>
    <w:rPr>
      <w:rFonts w:ascii="Calibri" w:eastAsia="Calibri" w:hAnsi="Calibri" w:cs="Calibri"/>
      <w:b w:val="0"/>
      <w:bCs w:val="0"/>
      <w:i w:val="0"/>
      <w:iCs w:val="0"/>
      <w:smallCaps w:val="0"/>
      <w:strike w:val="0"/>
      <w:sz w:val="24"/>
      <w:szCs w:val="24"/>
      <w:u w:val="none"/>
    </w:rPr>
  </w:style>
  <w:style w:type="paragraph" w:customStyle="1" w:styleId="Bodytext90">
    <w:name w:val="Body text (9)"/>
    <w:basedOn w:val="Navaden"/>
    <w:link w:val="Bodytext9"/>
    <w:rsid w:val="009E0216"/>
    <w:pPr>
      <w:widowControl w:val="0"/>
      <w:shd w:val="clear" w:color="auto" w:fill="FFFFFF"/>
      <w:spacing w:after="360" w:line="0" w:lineRule="atLeast"/>
      <w:jc w:val="both"/>
    </w:pPr>
    <w:rPr>
      <w:rFonts w:ascii="Calibri" w:eastAsia="Calibri" w:hAnsi="Calibri" w:cs="Calibri"/>
      <w:sz w:val="24"/>
      <w:szCs w:val="24"/>
    </w:rPr>
  </w:style>
  <w:style w:type="character" w:customStyle="1" w:styleId="Heading3">
    <w:name w:val="Heading #3_"/>
    <w:basedOn w:val="Privzetapisavaodstavka"/>
    <w:link w:val="Heading30"/>
    <w:rsid w:val="009E0216"/>
    <w:rPr>
      <w:rFonts w:ascii="Calibri" w:eastAsia="Calibri" w:hAnsi="Calibri" w:cs="Calibri"/>
      <w:b/>
      <w:bCs/>
      <w:sz w:val="24"/>
      <w:szCs w:val="24"/>
      <w:shd w:val="clear" w:color="auto" w:fill="FFFFFF"/>
    </w:rPr>
  </w:style>
  <w:style w:type="character" w:customStyle="1" w:styleId="Bodytext6">
    <w:name w:val="Body text (6)_"/>
    <w:basedOn w:val="Privzetapisavaodstavka"/>
    <w:link w:val="Bodytext60"/>
    <w:rsid w:val="009E0216"/>
    <w:rPr>
      <w:rFonts w:ascii="Calibri" w:eastAsia="Calibri" w:hAnsi="Calibri" w:cs="Calibri"/>
      <w:b/>
      <w:bCs/>
      <w:sz w:val="24"/>
      <w:szCs w:val="24"/>
      <w:shd w:val="clear" w:color="auto" w:fill="FFFFFF"/>
    </w:rPr>
  </w:style>
  <w:style w:type="character" w:customStyle="1" w:styleId="Bodytext9Bold">
    <w:name w:val="Body text (9) + Bold"/>
    <w:basedOn w:val="Bodytext9"/>
    <w:rsid w:val="009E0216"/>
    <w:rPr>
      <w:rFonts w:ascii="Calibri" w:eastAsia="Calibri" w:hAnsi="Calibri" w:cs="Calibri"/>
      <w:b/>
      <w:bCs/>
      <w:i w:val="0"/>
      <w:iCs w:val="0"/>
      <w:smallCaps w:val="0"/>
      <w:strike w:val="0"/>
      <w:color w:val="000000"/>
      <w:spacing w:val="0"/>
      <w:w w:val="100"/>
      <w:position w:val="0"/>
      <w:sz w:val="24"/>
      <w:szCs w:val="24"/>
      <w:u w:val="none"/>
      <w:shd w:val="clear" w:color="auto" w:fill="FFFFFF"/>
      <w:lang w:val="sl-SI" w:eastAsia="sl-SI" w:bidi="sl-SI"/>
    </w:rPr>
  </w:style>
  <w:style w:type="character" w:customStyle="1" w:styleId="Bodytext6NotBold">
    <w:name w:val="Body text (6) + Not Bold"/>
    <w:basedOn w:val="Bodytext6"/>
    <w:rsid w:val="009E0216"/>
    <w:rPr>
      <w:rFonts w:ascii="Calibri" w:eastAsia="Calibri" w:hAnsi="Calibri" w:cs="Calibri"/>
      <w:b/>
      <w:bCs/>
      <w:color w:val="000000"/>
      <w:spacing w:val="0"/>
      <w:w w:val="100"/>
      <w:position w:val="0"/>
      <w:sz w:val="24"/>
      <w:szCs w:val="24"/>
      <w:shd w:val="clear" w:color="auto" w:fill="FFFFFF"/>
      <w:lang w:val="sl-SI" w:eastAsia="sl-SI" w:bidi="sl-SI"/>
    </w:rPr>
  </w:style>
  <w:style w:type="character" w:customStyle="1" w:styleId="Bodytext97pt">
    <w:name w:val="Body text (9) + 7 pt"/>
    <w:basedOn w:val="Bodytext9"/>
    <w:rsid w:val="009E0216"/>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Bodytext910pt">
    <w:name w:val="Body text (9) + 10 pt"/>
    <w:basedOn w:val="Bodytext9"/>
    <w:rsid w:val="009E0216"/>
    <w:rPr>
      <w:rFonts w:ascii="Calibri" w:eastAsia="Calibri" w:hAnsi="Calibri" w:cs="Calibri"/>
      <w:b/>
      <w:bCs/>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Heading30">
    <w:name w:val="Heading #3"/>
    <w:basedOn w:val="Navaden"/>
    <w:link w:val="Heading3"/>
    <w:rsid w:val="009E0216"/>
    <w:pPr>
      <w:widowControl w:val="0"/>
      <w:shd w:val="clear" w:color="auto" w:fill="FFFFFF"/>
      <w:spacing w:before="480" w:after="0" w:line="293" w:lineRule="exact"/>
      <w:outlineLvl w:val="2"/>
    </w:pPr>
    <w:rPr>
      <w:rFonts w:ascii="Calibri" w:eastAsia="Calibri" w:hAnsi="Calibri" w:cs="Calibri"/>
      <w:b/>
      <w:bCs/>
      <w:sz w:val="24"/>
      <w:szCs w:val="24"/>
    </w:rPr>
  </w:style>
  <w:style w:type="paragraph" w:customStyle="1" w:styleId="Bodytext60">
    <w:name w:val="Body text (6)"/>
    <w:basedOn w:val="Navaden"/>
    <w:link w:val="Bodytext6"/>
    <w:rsid w:val="009E0216"/>
    <w:pPr>
      <w:widowControl w:val="0"/>
      <w:shd w:val="clear" w:color="auto" w:fill="FFFFFF"/>
      <w:spacing w:after="240" w:line="293" w:lineRule="exact"/>
    </w:pPr>
    <w:rPr>
      <w:rFonts w:ascii="Calibri" w:eastAsia="Calibri" w:hAnsi="Calibri" w:cs="Calibri"/>
      <w:b/>
      <w:bCs/>
      <w:sz w:val="24"/>
      <w:szCs w:val="24"/>
    </w:rPr>
  </w:style>
  <w:style w:type="character" w:customStyle="1" w:styleId="Bodytext675ptNotBold">
    <w:name w:val="Body text (6) + 7;5 pt;Not Bold"/>
    <w:basedOn w:val="Bodytext6"/>
    <w:rsid w:val="009E0216"/>
    <w:rPr>
      <w:rFonts w:ascii="Calibri" w:eastAsia="Calibri" w:hAnsi="Calibri" w:cs="Calibri"/>
      <w:b/>
      <w:bCs/>
      <w:i w:val="0"/>
      <w:iCs w:val="0"/>
      <w:smallCaps w:val="0"/>
      <w:strike w:val="0"/>
      <w:color w:val="000000"/>
      <w:spacing w:val="0"/>
      <w:w w:val="100"/>
      <w:position w:val="0"/>
      <w:sz w:val="15"/>
      <w:szCs w:val="15"/>
      <w:u w:val="none"/>
      <w:shd w:val="clear" w:color="auto" w:fill="FFFFFF"/>
      <w:lang w:val="sl-SI" w:eastAsia="sl-SI" w:bidi="sl-SI"/>
    </w:rPr>
  </w:style>
  <w:style w:type="character" w:customStyle="1" w:styleId="Bodytext5">
    <w:name w:val="Body text (5)_"/>
    <w:basedOn w:val="Privzetapisavaodstavka"/>
    <w:rsid w:val="009E0216"/>
    <w:rPr>
      <w:rFonts w:ascii="Calibri" w:eastAsia="Calibri" w:hAnsi="Calibri" w:cs="Calibri"/>
      <w:b w:val="0"/>
      <w:bCs w:val="0"/>
      <w:i/>
      <w:iCs/>
      <w:smallCaps w:val="0"/>
      <w:strike w:val="0"/>
      <w:sz w:val="52"/>
      <w:szCs w:val="52"/>
      <w:u w:val="none"/>
    </w:rPr>
  </w:style>
  <w:style w:type="character" w:customStyle="1" w:styleId="Bodytext50">
    <w:name w:val="Body text (5)"/>
    <w:basedOn w:val="Bodytext5"/>
    <w:rsid w:val="009E0216"/>
    <w:rPr>
      <w:rFonts w:ascii="Calibri" w:eastAsia="Calibri" w:hAnsi="Calibri" w:cs="Calibri"/>
      <w:b w:val="0"/>
      <w:bCs w:val="0"/>
      <w:i/>
      <w:iCs/>
      <w:smallCaps w:val="0"/>
      <w:strike w:val="0"/>
      <w:color w:val="000000"/>
      <w:spacing w:val="0"/>
      <w:w w:val="100"/>
      <w:position w:val="0"/>
      <w:sz w:val="52"/>
      <w:szCs w:val="52"/>
      <w:u w:val="none"/>
      <w:lang w:val="sl-SI" w:eastAsia="sl-SI" w:bidi="sl-SI"/>
    </w:rPr>
  </w:style>
  <w:style w:type="character" w:customStyle="1" w:styleId="tableinformationtitle">
    <w:name w:val="tableinformation_title"/>
    <w:basedOn w:val="Privzetapisavaodstavka"/>
    <w:rsid w:val="009E0216"/>
  </w:style>
  <w:style w:type="paragraph" w:customStyle="1" w:styleId="RSnatevanje">
    <w:name w:val="RS naštevanje"/>
    <w:basedOn w:val="Navaden"/>
    <w:rsid w:val="009E0216"/>
    <w:pPr>
      <w:numPr>
        <w:numId w:val="27"/>
      </w:numPr>
      <w:spacing w:after="0" w:line="240" w:lineRule="auto"/>
      <w:jc w:val="both"/>
    </w:pPr>
    <w:rPr>
      <w:rFonts w:ascii="Times New Roman" w:eastAsia="Times New Roman" w:hAnsi="Times New Roman" w:cs="Times New Roman"/>
      <w:sz w:val="24"/>
      <w:szCs w:val="24"/>
      <w:lang w:eastAsia="en-GB"/>
    </w:rPr>
  </w:style>
  <w:style w:type="paragraph" w:customStyle="1" w:styleId="Footnotebesedilo">
    <w:name w:val="Footnote besedilo"/>
    <w:basedOn w:val="Navaden"/>
    <w:qFormat/>
    <w:rsid w:val="009E0216"/>
    <w:pPr>
      <w:spacing w:before="60" w:after="0" w:line="240" w:lineRule="auto"/>
      <w:ind w:left="284" w:hanging="284"/>
      <w:jc w:val="both"/>
    </w:pPr>
    <w:rPr>
      <w:rFonts w:ascii="Tahoma" w:hAnsi="Tahoma"/>
      <w:sz w:val="16"/>
      <w:szCs w:val="14"/>
    </w:rPr>
  </w:style>
  <w:style w:type="character" w:customStyle="1" w:styleId="cdata-unit">
    <w:name w:val="cdata-unit"/>
    <w:basedOn w:val="Privzetapisavaodstavka"/>
    <w:rsid w:val="009E0216"/>
  </w:style>
  <w:style w:type="character" w:customStyle="1" w:styleId="fontstyle01">
    <w:name w:val="fontstyle01"/>
    <w:basedOn w:val="Privzetapisavaodstavka"/>
    <w:rsid w:val="009E0216"/>
    <w:rPr>
      <w:rFonts w:ascii="Helvetica" w:hAnsi="Helvetica" w:cs="Helvetica" w:hint="default"/>
      <w:b w:val="0"/>
      <w:bCs w:val="0"/>
      <w:i w:val="0"/>
      <w:iCs w:val="0"/>
      <w:color w:val="000000"/>
      <w:sz w:val="20"/>
      <w:szCs w:val="20"/>
    </w:rPr>
  </w:style>
  <w:style w:type="character" w:customStyle="1" w:styleId="fontstyle11">
    <w:name w:val="fontstyle11"/>
    <w:basedOn w:val="Privzetapisavaodstavka"/>
    <w:rsid w:val="009E0216"/>
    <w:rPr>
      <w:rFonts w:ascii="Arial" w:hAnsi="Arial" w:cs="Arial" w:hint="default"/>
      <w:b w:val="0"/>
      <w:bCs w:val="0"/>
      <w:i w:val="0"/>
      <w:iCs w:val="0"/>
      <w:color w:val="000000"/>
      <w:sz w:val="20"/>
      <w:szCs w:val="20"/>
    </w:rPr>
  </w:style>
  <w:style w:type="character" w:customStyle="1" w:styleId="fontstyle21">
    <w:name w:val="fontstyle21"/>
    <w:basedOn w:val="Privzetapisavaodstavka"/>
    <w:rsid w:val="009E0216"/>
    <w:rPr>
      <w:rFonts w:ascii="Arial" w:hAnsi="Arial" w:cs="Arial" w:hint="default"/>
      <w:b w:val="0"/>
      <w:bCs w:val="0"/>
      <w:i w:val="0"/>
      <w:iCs w:val="0"/>
      <w:color w:val="000000"/>
      <w:sz w:val="20"/>
      <w:szCs w:val="20"/>
    </w:rPr>
  </w:style>
  <w:style w:type="paragraph" w:customStyle="1" w:styleId="TAbela">
    <w:name w:val="TAbela"/>
    <w:basedOn w:val="Navaden"/>
    <w:uiPriority w:val="1"/>
    <w:qFormat/>
    <w:rsid w:val="009E0216"/>
    <w:pPr>
      <w:spacing w:before="120" w:after="0" w:line="264" w:lineRule="auto"/>
      <w:jc w:val="both"/>
    </w:pPr>
    <w:rPr>
      <w:rFonts w:ascii="Arial" w:eastAsia="Arial" w:hAnsi="Arial" w:cs="Arial"/>
      <w:sz w:val="16"/>
      <w:szCs w:val="24"/>
    </w:rPr>
  </w:style>
  <w:style w:type="character" w:customStyle="1" w:styleId="st1">
    <w:name w:val="st1"/>
    <w:basedOn w:val="Privzetapisavaodstavka"/>
    <w:rsid w:val="009E0216"/>
  </w:style>
  <w:style w:type="character" w:customStyle="1" w:styleId="inline">
    <w:name w:val="inline"/>
    <w:basedOn w:val="Privzetapisavaodstavka"/>
    <w:rsid w:val="00A77E41"/>
  </w:style>
  <w:style w:type="character" w:customStyle="1" w:styleId="hierarchicaltableinformationtitle">
    <w:name w:val="hierarchical_tableinformation_title"/>
    <w:basedOn w:val="Privzetapisavaodstavka"/>
    <w:rsid w:val="00140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00323">
      <w:bodyDiv w:val="1"/>
      <w:marLeft w:val="0"/>
      <w:marRight w:val="0"/>
      <w:marTop w:val="0"/>
      <w:marBottom w:val="0"/>
      <w:divBdr>
        <w:top w:val="none" w:sz="0" w:space="0" w:color="auto"/>
        <w:left w:val="none" w:sz="0" w:space="0" w:color="auto"/>
        <w:bottom w:val="none" w:sz="0" w:space="0" w:color="auto"/>
        <w:right w:val="none" w:sz="0" w:space="0" w:color="auto"/>
      </w:divBdr>
    </w:div>
    <w:div w:id="306932337">
      <w:bodyDiv w:val="1"/>
      <w:marLeft w:val="0"/>
      <w:marRight w:val="0"/>
      <w:marTop w:val="0"/>
      <w:marBottom w:val="0"/>
      <w:divBdr>
        <w:top w:val="none" w:sz="0" w:space="0" w:color="auto"/>
        <w:left w:val="none" w:sz="0" w:space="0" w:color="auto"/>
        <w:bottom w:val="none" w:sz="0" w:space="0" w:color="auto"/>
        <w:right w:val="none" w:sz="0" w:space="0" w:color="auto"/>
      </w:divBdr>
    </w:div>
    <w:div w:id="351418137">
      <w:bodyDiv w:val="1"/>
      <w:marLeft w:val="0"/>
      <w:marRight w:val="0"/>
      <w:marTop w:val="0"/>
      <w:marBottom w:val="0"/>
      <w:divBdr>
        <w:top w:val="none" w:sz="0" w:space="0" w:color="auto"/>
        <w:left w:val="none" w:sz="0" w:space="0" w:color="auto"/>
        <w:bottom w:val="none" w:sz="0" w:space="0" w:color="auto"/>
        <w:right w:val="none" w:sz="0" w:space="0" w:color="auto"/>
      </w:divBdr>
    </w:div>
    <w:div w:id="488405930">
      <w:bodyDiv w:val="1"/>
      <w:marLeft w:val="0"/>
      <w:marRight w:val="0"/>
      <w:marTop w:val="0"/>
      <w:marBottom w:val="0"/>
      <w:divBdr>
        <w:top w:val="none" w:sz="0" w:space="0" w:color="auto"/>
        <w:left w:val="none" w:sz="0" w:space="0" w:color="auto"/>
        <w:bottom w:val="none" w:sz="0" w:space="0" w:color="auto"/>
        <w:right w:val="none" w:sz="0" w:space="0" w:color="auto"/>
      </w:divBdr>
    </w:div>
    <w:div w:id="607740753">
      <w:bodyDiv w:val="1"/>
      <w:marLeft w:val="0"/>
      <w:marRight w:val="0"/>
      <w:marTop w:val="0"/>
      <w:marBottom w:val="0"/>
      <w:divBdr>
        <w:top w:val="none" w:sz="0" w:space="0" w:color="auto"/>
        <w:left w:val="none" w:sz="0" w:space="0" w:color="auto"/>
        <w:bottom w:val="none" w:sz="0" w:space="0" w:color="auto"/>
        <w:right w:val="none" w:sz="0" w:space="0" w:color="auto"/>
      </w:divBdr>
    </w:div>
    <w:div w:id="817649835">
      <w:bodyDiv w:val="1"/>
      <w:marLeft w:val="0"/>
      <w:marRight w:val="0"/>
      <w:marTop w:val="0"/>
      <w:marBottom w:val="0"/>
      <w:divBdr>
        <w:top w:val="none" w:sz="0" w:space="0" w:color="auto"/>
        <w:left w:val="none" w:sz="0" w:space="0" w:color="auto"/>
        <w:bottom w:val="none" w:sz="0" w:space="0" w:color="auto"/>
        <w:right w:val="none" w:sz="0" w:space="0" w:color="auto"/>
      </w:divBdr>
    </w:div>
    <w:div w:id="883098449">
      <w:bodyDiv w:val="1"/>
      <w:marLeft w:val="0"/>
      <w:marRight w:val="0"/>
      <w:marTop w:val="0"/>
      <w:marBottom w:val="0"/>
      <w:divBdr>
        <w:top w:val="none" w:sz="0" w:space="0" w:color="auto"/>
        <w:left w:val="none" w:sz="0" w:space="0" w:color="auto"/>
        <w:bottom w:val="none" w:sz="0" w:space="0" w:color="auto"/>
        <w:right w:val="none" w:sz="0" w:space="0" w:color="auto"/>
      </w:divBdr>
    </w:div>
    <w:div w:id="1173959771">
      <w:bodyDiv w:val="1"/>
      <w:marLeft w:val="0"/>
      <w:marRight w:val="0"/>
      <w:marTop w:val="0"/>
      <w:marBottom w:val="0"/>
      <w:divBdr>
        <w:top w:val="none" w:sz="0" w:space="0" w:color="auto"/>
        <w:left w:val="none" w:sz="0" w:space="0" w:color="auto"/>
        <w:bottom w:val="none" w:sz="0" w:space="0" w:color="auto"/>
        <w:right w:val="none" w:sz="0" w:space="0" w:color="auto"/>
      </w:divBdr>
    </w:div>
    <w:div w:id="1216626805">
      <w:bodyDiv w:val="1"/>
      <w:marLeft w:val="0"/>
      <w:marRight w:val="0"/>
      <w:marTop w:val="0"/>
      <w:marBottom w:val="0"/>
      <w:divBdr>
        <w:top w:val="none" w:sz="0" w:space="0" w:color="auto"/>
        <w:left w:val="none" w:sz="0" w:space="0" w:color="auto"/>
        <w:bottom w:val="none" w:sz="0" w:space="0" w:color="auto"/>
        <w:right w:val="none" w:sz="0" w:space="0" w:color="auto"/>
      </w:divBdr>
    </w:div>
    <w:div w:id="1346983864">
      <w:bodyDiv w:val="1"/>
      <w:marLeft w:val="0"/>
      <w:marRight w:val="0"/>
      <w:marTop w:val="0"/>
      <w:marBottom w:val="0"/>
      <w:divBdr>
        <w:top w:val="none" w:sz="0" w:space="0" w:color="auto"/>
        <w:left w:val="none" w:sz="0" w:space="0" w:color="auto"/>
        <w:bottom w:val="none" w:sz="0" w:space="0" w:color="auto"/>
        <w:right w:val="none" w:sz="0" w:space="0" w:color="auto"/>
      </w:divBdr>
    </w:div>
    <w:div w:id="1359042947">
      <w:bodyDiv w:val="1"/>
      <w:marLeft w:val="0"/>
      <w:marRight w:val="0"/>
      <w:marTop w:val="0"/>
      <w:marBottom w:val="0"/>
      <w:divBdr>
        <w:top w:val="none" w:sz="0" w:space="0" w:color="auto"/>
        <w:left w:val="none" w:sz="0" w:space="0" w:color="auto"/>
        <w:bottom w:val="none" w:sz="0" w:space="0" w:color="auto"/>
        <w:right w:val="none" w:sz="0" w:space="0" w:color="auto"/>
      </w:divBdr>
    </w:div>
    <w:div w:id="1603951835">
      <w:bodyDiv w:val="1"/>
      <w:marLeft w:val="0"/>
      <w:marRight w:val="0"/>
      <w:marTop w:val="0"/>
      <w:marBottom w:val="0"/>
      <w:divBdr>
        <w:top w:val="none" w:sz="0" w:space="0" w:color="auto"/>
        <w:left w:val="none" w:sz="0" w:space="0" w:color="auto"/>
        <w:bottom w:val="none" w:sz="0" w:space="0" w:color="auto"/>
        <w:right w:val="none" w:sz="0" w:space="0" w:color="auto"/>
      </w:divBdr>
    </w:div>
    <w:div w:id="1703440276">
      <w:bodyDiv w:val="1"/>
      <w:marLeft w:val="0"/>
      <w:marRight w:val="0"/>
      <w:marTop w:val="0"/>
      <w:marBottom w:val="0"/>
      <w:divBdr>
        <w:top w:val="none" w:sz="0" w:space="0" w:color="auto"/>
        <w:left w:val="none" w:sz="0" w:space="0" w:color="auto"/>
        <w:bottom w:val="none" w:sz="0" w:space="0" w:color="auto"/>
        <w:right w:val="none" w:sz="0" w:space="0" w:color="auto"/>
      </w:divBdr>
    </w:div>
    <w:div w:id="208726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hyperlink" Target="http://kazalci.arso.gov.si/sl/content/lesna-zaloga-s-prirastkom-posekom-3" TargetMode="External"/><Relationship Id="rId68" Type="http://schemas.openxmlformats.org/officeDocument/2006/relationships/hyperlink" Target="https://eur-lex.europa.eu/legal-content/SL/TXT/PDF/?uri=CELEX:52018DC0673&amp;from=EN" TargetMode="External"/><Relationship Id="rId84" Type="http://schemas.openxmlformats.org/officeDocument/2006/relationships/hyperlink" Target="http://ribiski-sklad.si/f/docs/Dokumenti/OP_ESPR_2014-2020_latest_version_SI.pdf" TargetMode="External"/><Relationship Id="rId89" Type="http://schemas.openxmlformats.org/officeDocument/2006/relationships/hyperlink" Target="http://mao.si/Dogodek/Priloznosti-Dediscina-Slovenskega-Podezelja.aspx" TargetMode="External"/><Relationship Id="rId7" Type="http://schemas.openxmlformats.org/officeDocument/2006/relationships/settings" Target="settings.xml"/><Relationship Id="rId71" Type="http://schemas.openxmlformats.org/officeDocument/2006/relationships/hyperlink" Target="https://ec.europa.eu/info/sites/info/files/food-farming-fisheries/by_country/documents/analytical_factsheet_sl.pdf" TargetMode="External"/><Relationship Id="rId92" Type="http://schemas.openxmlformats.org/officeDocument/2006/relationships/hyperlink" Target="http://www.ssz-slo.si/splosno-o-domovih-in-posebnih-zavodih/" TargetMode="Externa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hyperlink" Target="https://www.ajpes.si/Registri/Poslovni_register/Porocila" TargetMode="Externa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3.jpeg"/><Relationship Id="rId53" Type="http://schemas.openxmlformats.org/officeDocument/2006/relationships/hyperlink" Target="http://eur-lex.europa.eu/LexUriServ/LexUriServ.do?uri=Oj:L:2009:140:0016:0062:sl:PDF" TargetMode="External"/><Relationship Id="rId58" Type="http://schemas.openxmlformats.org/officeDocument/2006/relationships/image" Target="media/image29.png"/><Relationship Id="rId66" Type="http://schemas.openxmlformats.org/officeDocument/2006/relationships/hyperlink" Target="https://www.europeanbiogas.eu/wp-content/uploads/2019/11/EBA_report2018_abriged_A4_vers12_220519_RZweb.pdf" TargetMode="External"/><Relationship Id="rId74" Type="http://schemas.openxmlformats.org/officeDocument/2006/relationships/hyperlink" Target="https://ec.europa.eu/eurostat/data/database" TargetMode="External"/><Relationship Id="rId79" Type="http://schemas.openxmlformats.org/officeDocument/2006/relationships/hyperlink" Target="https://www.irssv.si/upload2/Analiza%20izvajanja%20PND%20za%20leto%202017.pdf" TargetMode="External"/><Relationship Id="rId87" Type="http://schemas.openxmlformats.org/officeDocument/2006/relationships/hyperlink" Target="https://www.eu-skladi.si/portal/sl/ekp/izvajanje/porocila-1" TargetMode="External"/><Relationship Id="rId102"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ajpes.si/Registri/Poslovni_register/Porocila" TargetMode="External"/><Relationship Id="rId82" Type="http://schemas.openxmlformats.org/officeDocument/2006/relationships/hyperlink" Target="https://www.slovenia.info/uploads/dokumenti/kljuni_dokumenti/strategija_turizem_koncno_9.10.2017.pdf" TargetMode="External"/><Relationship Id="rId90" Type="http://schemas.openxmlformats.org/officeDocument/2006/relationships/hyperlink" Target="https://arhiv.acs.si/ucna_gradiva/ISIO_nadaljnje-Rupert_Vilic-Klenovsek.pdf" TargetMode="External"/><Relationship Id="rId95" Type="http://schemas.openxmlformats.org/officeDocument/2006/relationships/hyperlink" Target="https://www.stat.si/StatWeb/" TargetMode="External"/><Relationship Id="rId19" Type="http://schemas.openxmlformats.org/officeDocument/2006/relationships/image" Target="media/image5.png"/><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chart" Target="charts/chart6.xml"/><Relationship Id="rId35" Type="http://schemas.openxmlformats.org/officeDocument/2006/relationships/image" Target="media/image16.png"/><Relationship Id="rId43" Type="http://schemas.openxmlformats.org/officeDocument/2006/relationships/chart" Target="charts/chart10.xml"/><Relationship Id="rId48" Type="http://schemas.openxmlformats.org/officeDocument/2006/relationships/chart" Target="charts/chart12.xml"/><Relationship Id="rId56" Type="http://schemas.openxmlformats.org/officeDocument/2006/relationships/image" Target="media/image27.png"/><Relationship Id="rId64" Type="http://schemas.openxmlformats.org/officeDocument/2006/relationships/hyperlink" Target="https://ec.europa.eu/info/sites/info/files/food-farming-fisheries/key_policies/documents/impact-indicator-fiches_en.pdf" TargetMode="External"/><Relationship Id="rId69" Type="http://schemas.openxmlformats.org/officeDocument/2006/relationships/hyperlink" Target="https://agridata.ec.europa.eu/extensions/DashboardIndicators/DataExplorer.html" TargetMode="External"/><Relationship Id="rId77" Type="http://schemas.openxmlformats.org/officeDocument/2006/relationships/hyperlink" Target="https://www.ajpes.si/doc/LP/Informacije/Informacija_LP_nepridobitne_organizacije_2013.pdf" TargetMode="External"/><Relationship Id="rId100" Type="http://schemas.openxmlformats.org/officeDocument/2006/relationships/hyperlink" Target="https://www.ess.gov.si/_files/13521/Trg_dela_julij_2020.pdf" TargetMode="External"/><Relationship Id="rId8" Type="http://schemas.openxmlformats.org/officeDocument/2006/relationships/webSettings" Target="webSettings.xml"/><Relationship Id="rId51" Type="http://schemas.openxmlformats.org/officeDocument/2006/relationships/chart" Target="charts/chart14.xml"/><Relationship Id="rId72" Type="http://schemas.openxmlformats.org/officeDocument/2006/relationships/hyperlink" Target="https://ec.europa.eu/eurostat/home" TargetMode="External"/><Relationship Id="rId80" Type="http://schemas.openxmlformats.org/officeDocument/2006/relationships/hyperlink" Target="https://www.zpiz.si/cms/engine/download.php?actionID=inf&amp;id=75&amp;name=Raziskava%20Socialno-ekonomski%20polo%C5%BEaj%20upokojencev%20v%20RS_2017.pdf" TargetMode="External"/><Relationship Id="rId85" Type="http://schemas.openxmlformats.org/officeDocument/2006/relationships/hyperlink" Target="https://www.eu-skladi.si/sl/dokumenti/kljucni-dokumenti/op_slo_web.pdf" TargetMode="External"/><Relationship Id="rId93" Type="http://schemas.openxmlformats.org/officeDocument/2006/relationships/hyperlink" Target="https://www.stat.si/statweb" TargetMode="External"/><Relationship Id="rId98" Type="http://schemas.openxmlformats.org/officeDocument/2006/relationships/hyperlink" Target="https://www.umar.gov.si/razvoj-slovenije/porocilo/news/porocilo-o-razvoju-2020-1/?tx_news_pi1%5Bcontroller%5D=News&amp;tx_news_pi1%5Baction%5D=detail&amp;cHash=ff829b79ddcf921917a8a54fa6870d6d"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5.xml"/><Relationship Id="rId33" Type="http://schemas.openxmlformats.org/officeDocument/2006/relationships/hyperlink" Target="http://www.ssz-slo.si/wp-content/uploads/Pregled-kapacitet-institucionalnega-varstva-starej%C5%A1ih-in-posebnih-skupin-odraslih-1.1.2018.pdf" TargetMode="External"/><Relationship Id="rId38" Type="http://schemas.openxmlformats.org/officeDocument/2006/relationships/chart" Target="charts/chart9.xml"/><Relationship Id="rId46" Type="http://schemas.openxmlformats.org/officeDocument/2006/relationships/chart" Target="charts/chart11.xml"/><Relationship Id="rId59" Type="http://schemas.openxmlformats.org/officeDocument/2006/relationships/image" Target="media/image30.jpeg"/><Relationship Id="rId67" Type="http://schemas.openxmlformats.org/officeDocument/2006/relationships/hyperlink" Target="https://datam.jrc.ec.europa.eu/datam/mashup/BIOECONOMICS/index.html" TargetMode="External"/><Relationship Id="rId103"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0.png"/><Relationship Id="rId54" Type="http://schemas.openxmlformats.org/officeDocument/2006/relationships/chart" Target="charts/chart16.xml"/><Relationship Id="rId62" Type="http://schemas.openxmlformats.org/officeDocument/2006/relationships/hyperlink" Target="http://kazalci.arso.gov.si/sl/content/obnovljivi-viri-energije-3" TargetMode="External"/><Relationship Id="rId70" Type="http://schemas.openxmlformats.org/officeDocument/2006/relationships/hyperlink" Target="https://ec.europa.eu/info/food-farming-fisheries/farming/facts-and-figures/performance-agricultural-policy/cap-indicators/context-indicators_en" TargetMode="External"/><Relationship Id="rId75" Type="http://schemas.openxmlformats.org/officeDocument/2006/relationships/hyperlink" Target="https://dirros.openscience.si/IzpisGradiva.php?id=10463" TargetMode="External"/><Relationship Id="rId83" Type="http://schemas.openxmlformats.org/officeDocument/2006/relationships/hyperlink" Target="https://www.irssv.si/upload2/Razsirjenost%20in%20dostopnost%20pomoci%20na%20domu.pdf" TargetMode="External"/><Relationship Id="rId88" Type="http://schemas.openxmlformats.org/officeDocument/2006/relationships/hyperlink" Target="https://www.umar.gov.si/razvoj-slovenije/porocilo/news/porocilo-o-razvoju-2020-1/?tx_news_pi1%5Bcontroller%5D=News&amp;tx_news_pi1%5Baction%5D=detail&amp;cHash=ff829b79ddcf921917a8a54fa6870d6d" TargetMode="External"/><Relationship Id="rId91" Type="http://schemas.openxmlformats.org/officeDocument/2006/relationships/hyperlink" Target="https://www.ajpes.si/Doc/LP/Prostovoljske_organizacije/Porocilo_o_prostovoljstvu_2018.pdf" TargetMode="External"/><Relationship Id="rId96" Type="http://schemas.openxmlformats.org/officeDocument/2006/relationships/hyperlink" Target="https://pxweb.stat.si/SiStatDb/pxweb/sl/30_Okolje/30_Okolje__27_okolje__01_27752_kaz_zelene_rasti/2775202S.px/table/tableViewLayout2"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chart" Target="charts/chart8.xml"/><Relationship Id="rId49" Type="http://schemas.openxmlformats.org/officeDocument/2006/relationships/chart" Target="charts/chart13.xml"/><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chart" Target="charts/chart7.xml"/><Relationship Id="rId44" Type="http://schemas.openxmlformats.org/officeDocument/2006/relationships/image" Target="media/image22.png"/><Relationship Id="rId52" Type="http://schemas.openxmlformats.org/officeDocument/2006/relationships/chart" Target="charts/chart15.xml"/><Relationship Id="rId60" Type="http://schemas.openxmlformats.org/officeDocument/2006/relationships/chart" Target="charts/chart17.xml"/><Relationship Id="rId65" Type="http://schemas.openxmlformats.org/officeDocument/2006/relationships/hyperlink" Target="http://pametne-vasi.info/wp-content/uploads/2018/04/Blejska-Deklaracije-Za-za-pametnej%C5%A1o-prihodnost-pode%C5%BEelskih-obmocij-v-EU.pdf" TargetMode="External"/><Relationship Id="rId73" Type="http://schemas.openxmlformats.org/officeDocument/2006/relationships/hyperlink" Target="https://ec.europa.eu/eurostat/data/database" TargetMode="External"/><Relationship Id="rId78" Type="http://schemas.openxmlformats.org/officeDocument/2006/relationships/hyperlink" Target="https://www.ajpes.si/Doc/LP/Informacije/Informacija_LP_nepridobitne_organizacije_2018.pdf" TargetMode="External"/><Relationship Id="rId81" Type="http://schemas.openxmlformats.org/officeDocument/2006/relationships/hyperlink" Target="https://www.ajpes.si/Doc/AJPES/KIJZ/Letno_porocilo_AJPES_za_leto_2016.pdf" TargetMode="External"/><Relationship Id="rId86" Type="http://schemas.openxmlformats.org/officeDocument/2006/relationships/hyperlink" Target="http://zpm.si/projektna-mreza-slovenije/wp-content/uploads/2018/02/Hudernik-Vrecko-II-2-2016-paper.pdf" TargetMode="External"/><Relationship Id="rId94" Type="http://schemas.openxmlformats.org/officeDocument/2006/relationships/hyperlink" Target="https://www.slovenia.info/sl/poslovne-strani/raziskave-in-analize/turizem-v-stevilkah" TargetMode="External"/><Relationship Id="rId99" Type="http://schemas.openxmlformats.org/officeDocument/2006/relationships/hyperlink" Target="https://www.fe.um.si/images/jet/jet4-5-internet.pdf" TargetMode="External"/><Relationship Id="rId101" Type="http://schemas.openxmlformats.org/officeDocument/2006/relationships/hyperlink" Target="http://www.zelenaslovenija.si/revija-eol-/aktualna-stevilka/okolje/4465-izkoriscanje-bioplina-upraviceno-le-ob-upostevanju-okoljskih-standardov-eol-127"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4.png"/><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5.png"/><Relationship Id="rId55" Type="http://schemas.openxmlformats.org/officeDocument/2006/relationships/image" Target="media/image26.png"/><Relationship Id="rId76" Type="http://schemas.openxmlformats.org/officeDocument/2006/relationships/hyperlink" Target="https://www.ajpes.si/Doc/LP/Informacije/Informacija_LP_drustva_2018.pdf" TargetMode="External"/><Relationship Id="rId97" Type="http://schemas.openxmlformats.org/officeDocument/2006/relationships/hyperlink" Target="https://www.umar.gov.si/?no_cache=1" TargetMode="External"/><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s1\MKGP\INTERNO\DK\SSPRP\LEADER%20PISARNA\2020+\SWOT%20analiza\Statisti&#269;ni%20podatki\Ob&#269;ine_preb_star_20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Podatki\delovno_aktivno%20prebivalstv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Podatki\turizem_ob&#269;ine_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Value%20added_Bioeconomy_sl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Odpadna%20hrana_Slovenij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Koncna%20poraba%20energije%20glede%20na%20vir.xm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avid.kadunc\AppData\Local\Temp\node_55378_field_table_data_und_0-1.csv"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Dele&#382;%20energije%20iz%20obnovljivih%20virov_SURS%2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s1\MKGP\INTERNO\DK\SSPRP\LEADER%20PISARNA\2020+\SWOT%20analiza\Analiza%20projektov%20LEADER\Opredelitev%20projektov_VSI_do%2031.8.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C8_swot_stat_10.000_julij%202020_12.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C8_swot_stat_10.000_julij%202020_12.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jeta.jeric\AppData\Local\Temp\05C1006-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jeta.jeric\AppData\Local\Temp\notes19C6D8\~730568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Ucenci_po%20obcina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jeta.jeric\AppData\Local\Temp\notes19C6D8\~851556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Zvezek2"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avid.kadunc\AppData\Local\Temp\14208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'2020_skupaj'!$C$273</c:f>
              <c:strCache>
                <c:ptCount val="1"/>
                <c:pt idx="0">
                  <c:v>0-14 let</c:v>
                </c:pt>
              </c:strCache>
            </c:strRef>
          </c:tx>
          <c:spPr>
            <a:solidFill>
              <a:srgbClr val="92D050"/>
            </a:solidFill>
          </c:spPr>
          <c:invertIfNegative val="0"/>
          <c:cat>
            <c:multiLvlStrRef>
              <c:f>'2020_skupaj'!$A$274:$B$283</c:f>
              <c:multiLvlStrCache>
                <c:ptCount val="10"/>
                <c:lvl>
                  <c:pt idx="0">
                    <c:v>SLOVENIJA</c:v>
                  </c:pt>
                  <c:pt idx="1">
                    <c:v>Podeželje</c:v>
                  </c:pt>
                  <c:pt idx="2">
                    <c:v>SLOVENIJA</c:v>
                  </c:pt>
                  <c:pt idx="3">
                    <c:v>Podeželje</c:v>
                  </c:pt>
                  <c:pt idx="4">
                    <c:v>SLOVENIJA</c:v>
                  </c:pt>
                  <c:pt idx="5">
                    <c:v>Skupaj</c:v>
                  </c:pt>
                  <c:pt idx="6">
                    <c:v>SLOVENIJA</c:v>
                  </c:pt>
                  <c:pt idx="7">
                    <c:v>Podeželje</c:v>
                  </c:pt>
                  <c:pt idx="8">
                    <c:v>SLOVENIJA</c:v>
                  </c:pt>
                  <c:pt idx="9">
                    <c:v>Podeželje</c:v>
                  </c:pt>
                </c:lvl>
                <c:lvl>
                  <c:pt idx="0">
                    <c:v>2008</c:v>
                  </c:pt>
                  <c:pt idx="2">
                    <c:v>2010</c:v>
                  </c:pt>
                  <c:pt idx="4">
                    <c:v>2015</c:v>
                  </c:pt>
                  <c:pt idx="6">
                    <c:v>2018</c:v>
                  </c:pt>
                  <c:pt idx="8">
                    <c:v>2020</c:v>
                  </c:pt>
                </c:lvl>
              </c:multiLvlStrCache>
            </c:multiLvlStrRef>
          </c:cat>
          <c:val>
            <c:numRef>
              <c:f>'2020_skupaj'!$C$274:$C$283</c:f>
              <c:numCache>
                <c:formatCode>0</c:formatCode>
                <c:ptCount val="10"/>
                <c:pt idx="0">
                  <c:v>281081</c:v>
                </c:pt>
                <c:pt idx="1">
                  <c:v>174245</c:v>
                </c:pt>
                <c:pt idx="2">
                  <c:v>287275</c:v>
                </c:pt>
                <c:pt idx="3" formatCode="General">
                  <c:v>177026</c:v>
                </c:pt>
                <c:pt idx="4">
                  <c:v>306390</c:v>
                </c:pt>
                <c:pt idx="5">
                  <c:v>185504</c:v>
                </c:pt>
                <c:pt idx="6">
                  <c:v>310677</c:v>
                </c:pt>
                <c:pt idx="7" formatCode="General">
                  <c:v>187640</c:v>
                </c:pt>
                <c:pt idx="8">
                  <c:v>315802</c:v>
                </c:pt>
                <c:pt idx="9">
                  <c:v>190350</c:v>
                </c:pt>
              </c:numCache>
            </c:numRef>
          </c:val>
          <c:extLst>
            <c:ext xmlns:c16="http://schemas.microsoft.com/office/drawing/2014/chart" uri="{C3380CC4-5D6E-409C-BE32-E72D297353CC}">
              <c16:uniqueId val="{00000000-98D4-4EF4-ADF0-889384727C5F}"/>
            </c:ext>
          </c:extLst>
        </c:ser>
        <c:ser>
          <c:idx val="1"/>
          <c:order val="1"/>
          <c:tx>
            <c:strRef>
              <c:f>'2020_skupaj'!$D$273</c:f>
              <c:strCache>
                <c:ptCount val="1"/>
                <c:pt idx="0">
                  <c:v>15-64 let</c:v>
                </c:pt>
              </c:strCache>
            </c:strRef>
          </c:tx>
          <c:spPr>
            <a:solidFill>
              <a:srgbClr val="0070C0"/>
            </a:solidFill>
          </c:spPr>
          <c:invertIfNegative val="0"/>
          <c:cat>
            <c:multiLvlStrRef>
              <c:f>'2020_skupaj'!$A$274:$B$283</c:f>
              <c:multiLvlStrCache>
                <c:ptCount val="10"/>
                <c:lvl>
                  <c:pt idx="0">
                    <c:v>SLOVENIJA</c:v>
                  </c:pt>
                  <c:pt idx="1">
                    <c:v>Podeželje</c:v>
                  </c:pt>
                  <c:pt idx="2">
                    <c:v>SLOVENIJA</c:v>
                  </c:pt>
                  <c:pt idx="3">
                    <c:v>Podeželje</c:v>
                  </c:pt>
                  <c:pt idx="4">
                    <c:v>SLOVENIJA</c:v>
                  </c:pt>
                  <c:pt idx="5">
                    <c:v>Skupaj</c:v>
                  </c:pt>
                  <c:pt idx="6">
                    <c:v>SLOVENIJA</c:v>
                  </c:pt>
                  <c:pt idx="7">
                    <c:v>Podeželje</c:v>
                  </c:pt>
                  <c:pt idx="8">
                    <c:v>SLOVENIJA</c:v>
                  </c:pt>
                  <c:pt idx="9">
                    <c:v>Podeželje</c:v>
                  </c:pt>
                </c:lvl>
                <c:lvl>
                  <c:pt idx="0">
                    <c:v>2008</c:v>
                  </c:pt>
                  <c:pt idx="2">
                    <c:v>2010</c:v>
                  </c:pt>
                  <c:pt idx="4">
                    <c:v>2015</c:v>
                  </c:pt>
                  <c:pt idx="6">
                    <c:v>2018</c:v>
                  </c:pt>
                  <c:pt idx="8">
                    <c:v>2020</c:v>
                  </c:pt>
                </c:lvl>
              </c:multiLvlStrCache>
            </c:multiLvlStrRef>
          </c:cat>
          <c:val>
            <c:numRef>
              <c:f>'2020_skupaj'!$D$274:$D$283</c:f>
              <c:numCache>
                <c:formatCode>General</c:formatCode>
                <c:ptCount val="10"/>
                <c:pt idx="0">
                  <c:v>1417938</c:v>
                </c:pt>
                <c:pt idx="1">
                  <c:v>843948</c:v>
                </c:pt>
                <c:pt idx="2">
                  <c:v>1421436</c:v>
                </c:pt>
                <c:pt idx="3">
                  <c:v>839914</c:v>
                </c:pt>
                <c:pt idx="4">
                  <c:v>1377696</c:v>
                </c:pt>
                <c:pt idx="5">
                  <c:v>815635</c:v>
                </c:pt>
                <c:pt idx="6">
                  <c:v>1354941</c:v>
                </c:pt>
                <c:pt idx="7">
                  <c:v>802543</c:v>
                </c:pt>
                <c:pt idx="8">
                  <c:v>1356055</c:v>
                </c:pt>
                <c:pt idx="9">
                  <c:v>799670</c:v>
                </c:pt>
              </c:numCache>
            </c:numRef>
          </c:val>
          <c:extLst>
            <c:ext xmlns:c16="http://schemas.microsoft.com/office/drawing/2014/chart" uri="{C3380CC4-5D6E-409C-BE32-E72D297353CC}">
              <c16:uniqueId val="{00000001-98D4-4EF4-ADF0-889384727C5F}"/>
            </c:ext>
          </c:extLst>
        </c:ser>
        <c:ser>
          <c:idx val="2"/>
          <c:order val="2"/>
          <c:tx>
            <c:strRef>
              <c:f>'2020_skupaj'!$E$273</c:f>
              <c:strCache>
                <c:ptCount val="1"/>
                <c:pt idx="0">
                  <c:v>65 + let</c:v>
                </c:pt>
              </c:strCache>
            </c:strRef>
          </c:tx>
          <c:spPr>
            <a:solidFill>
              <a:srgbClr val="FF0000"/>
            </a:solidFill>
          </c:spPr>
          <c:invertIfNegative val="0"/>
          <c:cat>
            <c:multiLvlStrRef>
              <c:f>'2020_skupaj'!$A$274:$B$283</c:f>
              <c:multiLvlStrCache>
                <c:ptCount val="10"/>
                <c:lvl>
                  <c:pt idx="0">
                    <c:v>SLOVENIJA</c:v>
                  </c:pt>
                  <c:pt idx="1">
                    <c:v>Podeželje</c:v>
                  </c:pt>
                  <c:pt idx="2">
                    <c:v>SLOVENIJA</c:v>
                  </c:pt>
                  <c:pt idx="3">
                    <c:v>Podeželje</c:v>
                  </c:pt>
                  <c:pt idx="4">
                    <c:v>SLOVENIJA</c:v>
                  </c:pt>
                  <c:pt idx="5">
                    <c:v>Skupaj</c:v>
                  </c:pt>
                  <c:pt idx="6">
                    <c:v>SLOVENIJA</c:v>
                  </c:pt>
                  <c:pt idx="7">
                    <c:v>Podeželje</c:v>
                  </c:pt>
                  <c:pt idx="8">
                    <c:v>SLOVENIJA</c:v>
                  </c:pt>
                  <c:pt idx="9">
                    <c:v>Podeželje</c:v>
                  </c:pt>
                </c:lvl>
                <c:lvl>
                  <c:pt idx="0">
                    <c:v>2008</c:v>
                  </c:pt>
                  <c:pt idx="2">
                    <c:v>2010</c:v>
                  </c:pt>
                  <c:pt idx="4">
                    <c:v>2015</c:v>
                  </c:pt>
                  <c:pt idx="6">
                    <c:v>2018</c:v>
                  </c:pt>
                  <c:pt idx="8">
                    <c:v>2020</c:v>
                  </c:pt>
                </c:lvl>
              </c:multiLvlStrCache>
            </c:multiLvlStrRef>
          </c:cat>
          <c:val>
            <c:numRef>
              <c:f>'2020_skupaj'!$E$274:$E$283</c:f>
              <c:numCache>
                <c:formatCode>General</c:formatCode>
                <c:ptCount val="10"/>
                <c:pt idx="0">
                  <c:v>326847</c:v>
                </c:pt>
                <c:pt idx="1">
                  <c:v>190289</c:v>
                </c:pt>
                <c:pt idx="2">
                  <c:v>338265</c:v>
                </c:pt>
                <c:pt idx="3">
                  <c:v>197541</c:v>
                </c:pt>
                <c:pt idx="4">
                  <c:v>380102</c:v>
                </c:pt>
                <c:pt idx="5">
                  <c:v>222846</c:v>
                </c:pt>
                <c:pt idx="6">
                  <c:v>401262</c:v>
                </c:pt>
                <c:pt idx="7">
                  <c:v>235411</c:v>
                </c:pt>
                <c:pt idx="8">
                  <c:v>424004</c:v>
                </c:pt>
                <c:pt idx="9">
                  <c:v>249177</c:v>
                </c:pt>
              </c:numCache>
            </c:numRef>
          </c:val>
          <c:extLst>
            <c:ext xmlns:c16="http://schemas.microsoft.com/office/drawing/2014/chart" uri="{C3380CC4-5D6E-409C-BE32-E72D297353CC}">
              <c16:uniqueId val="{00000002-98D4-4EF4-ADF0-889384727C5F}"/>
            </c:ext>
          </c:extLst>
        </c:ser>
        <c:dLbls>
          <c:showLegendKey val="0"/>
          <c:showVal val="0"/>
          <c:showCatName val="0"/>
          <c:showSerName val="0"/>
          <c:showPercent val="0"/>
          <c:showBubbleSize val="0"/>
        </c:dLbls>
        <c:gapWidth val="150"/>
        <c:overlap val="100"/>
        <c:axId val="40716544"/>
        <c:axId val="40722432"/>
      </c:barChart>
      <c:catAx>
        <c:axId val="40716544"/>
        <c:scaling>
          <c:orientation val="minMax"/>
        </c:scaling>
        <c:delete val="0"/>
        <c:axPos val="l"/>
        <c:numFmt formatCode="General" sourceLinked="0"/>
        <c:majorTickMark val="out"/>
        <c:minorTickMark val="none"/>
        <c:tickLblPos val="nextTo"/>
        <c:crossAx val="40722432"/>
        <c:crosses val="autoZero"/>
        <c:auto val="1"/>
        <c:lblAlgn val="ctr"/>
        <c:lblOffset val="100"/>
        <c:noMultiLvlLbl val="0"/>
      </c:catAx>
      <c:valAx>
        <c:axId val="40722432"/>
        <c:scaling>
          <c:orientation val="minMax"/>
        </c:scaling>
        <c:delete val="0"/>
        <c:axPos val="b"/>
        <c:majorGridlines/>
        <c:numFmt formatCode="0%" sourceLinked="1"/>
        <c:majorTickMark val="out"/>
        <c:minorTickMark val="none"/>
        <c:tickLblPos val="nextTo"/>
        <c:crossAx val="4071654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'0772815'!$A$24</c:f>
              <c:strCache>
                <c:ptCount val="1"/>
                <c:pt idx="0">
                  <c:v>mesto</c:v>
                </c:pt>
              </c:strCache>
            </c:strRef>
          </c:tx>
          <c:cat>
            <c:strRef>
              <c:f>'0772815'!$B$23:$M$23</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'0772815'!$B$24:$M$24</c:f>
              <c:numCache>
                <c:formatCode>0</c:formatCode>
                <c:ptCount val="12"/>
                <c:pt idx="0">
                  <c:v>61.962499999999991</c:v>
                </c:pt>
                <c:pt idx="1">
                  <c:v>60.424999999999997</c:v>
                </c:pt>
                <c:pt idx="2">
                  <c:v>58.618749999999999</c:v>
                </c:pt>
                <c:pt idx="3">
                  <c:v>57.362500000000004</c:v>
                </c:pt>
                <c:pt idx="4">
                  <c:v>56.65625</c:v>
                </c:pt>
                <c:pt idx="5">
                  <c:v>55.71875</c:v>
                </c:pt>
                <c:pt idx="6">
                  <c:v>56.518749999999997</c:v>
                </c:pt>
                <c:pt idx="7">
                  <c:v>57.662500000000009</c:v>
                </c:pt>
                <c:pt idx="8">
                  <c:v>59.393749999999997</c:v>
                </c:pt>
                <c:pt idx="9">
                  <c:v>61.956250000000004</c:v>
                </c:pt>
                <c:pt idx="10">
                  <c:v>64.375</c:v>
                </c:pt>
                <c:pt idx="11">
                  <c:v>66.050000000000011</c:v>
                </c:pt>
              </c:numCache>
            </c:numRef>
          </c:val>
          <c:smooth val="0"/>
          <c:extLst>
            <c:ext xmlns:c16="http://schemas.microsoft.com/office/drawing/2014/chart" uri="{C3380CC4-5D6E-409C-BE32-E72D297353CC}">
              <c16:uniqueId val="{00000000-E5A7-4914-B905-484DF34C3300}"/>
            </c:ext>
          </c:extLst>
        </c:ser>
        <c:ser>
          <c:idx val="1"/>
          <c:order val="1"/>
          <c:tx>
            <c:strRef>
              <c:f>'0772815'!$A$25</c:f>
              <c:strCache>
                <c:ptCount val="1"/>
                <c:pt idx="0">
                  <c:v>SLOVENIJA</c:v>
                </c:pt>
              </c:strCache>
            </c:strRef>
          </c:tx>
          <c:cat>
            <c:strRef>
              <c:f>'0772815'!$B$23:$M$23</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'0772815'!$B$25:$M$25</c:f>
              <c:numCache>
                <c:formatCode>0</c:formatCode>
                <c:ptCount val="12"/>
                <c:pt idx="0">
                  <c:v>61.9</c:v>
                </c:pt>
                <c:pt idx="1">
                  <c:v>60.5</c:v>
                </c:pt>
                <c:pt idx="2">
                  <c:v>58.8</c:v>
                </c:pt>
                <c:pt idx="3">
                  <c:v>58.1</c:v>
                </c:pt>
                <c:pt idx="4">
                  <c:v>57.4</c:v>
                </c:pt>
                <c:pt idx="5">
                  <c:v>56.5</c:v>
                </c:pt>
                <c:pt idx="6">
                  <c:v>57.2</c:v>
                </c:pt>
                <c:pt idx="7">
                  <c:v>58.2</c:v>
                </c:pt>
                <c:pt idx="8">
                  <c:v>59.6</c:v>
                </c:pt>
                <c:pt idx="9">
                  <c:v>62.1</c:v>
                </c:pt>
                <c:pt idx="10">
                  <c:v>64.5</c:v>
                </c:pt>
                <c:pt idx="11">
                  <c:v>66</c:v>
                </c:pt>
              </c:numCache>
            </c:numRef>
          </c:val>
          <c:smooth val="0"/>
          <c:extLst>
            <c:ext xmlns:c16="http://schemas.microsoft.com/office/drawing/2014/chart" uri="{C3380CC4-5D6E-409C-BE32-E72D297353CC}">
              <c16:uniqueId val="{00000001-E5A7-4914-B905-484DF34C3300}"/>
            </c:ext>
          </c:extLst>
        </c:ser>
        <c:ser>
          <c:idx val="2"/>
          <c:order val="2"/>
          <c:tx>
            <c:strRef>
              <c:f>'0772815'!$A$26</c:f>
              <c:strCache>
                <c:ptCount val="1"/>
                <c:pt idx="0">
                  <c:v>podeželje</c:v>
                </c:pt>
              </c:strCache>
            </c:strRef>
          </c:tx>
          <c:cat>
            <c:strRef>
              <c:f>'0772815'!$B$23:$M$23</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'0772815'!$B$26:$M$26</c:f>
              <c:numCache>
                <c:formatCode>0</c:formatCode>
                <c:ptCount val="12"/>
                <c:pt idx="0">
                  <c:v>61.032474226804169</c:v>
                </c:pt>
                <c:pt idx="1">
                  <c:v>59.884536082474227</c:v>
                </c:pt>
                <c:pt idx="2">
                  <c:v>57.980412371134022</c:v>
                </c:pt>
                <c:pt idx="3">
                  <c:v>57.998453608247438</c:v>
                </c:pt>
                <c:pt idx="4">
                  <c:v>57.086153846153806</c:v>
                </c:pt>
                <c:pt idx="5">
                  <c:v>56.670769230769217</c:v>
                </c:pt>
                <c:pt idx="6">
                  <c:v>57.308717948717941</c:v>
                </c:pt>
                <c:pt idx="7">
                  <c:v>57.882142857142895</c:v>
                </c:pt>
                <c:pt idx="8">
                  <c:v>58.747959183673473</c:v>
                </c:pt>
                <c:pt idx="9">
                  <c:v>61.133163265306116</c:v>
                </c:pt>
                <c:pt idx="10">
                  <c:v>63.461224489795974</c:v>
                </c:pt>
                <c:pt idx="11">
                  <c:v>64.783163265306101</c:v>
                </c:pt>
              </c:numCache>
            </c:numRef>
          </c:val>
          <c:smooth val="0"/>
          <c:extLst>
            <c:ext xmlns:c16="http://schemas.microsoft.com/office/drawing/2014/chart" uri="{C3380CC4-5D6E-409C-BE32-E72D297353CC}">
              <c16:uniqueId val="{00000002-E5A7-4914-B905-484DF34C3300}"/>
            </c:ext>
          </c:extLst>
        </c:ser>
        <c:dLbls>
          <c:showLegendKey val="0"/>
          <c:showVal val="0"/>
          <c:showCatName val="0"/>
          <c:showSerName val="0"/>
          <c:showPercent val="0"/>
          <c:showBubbleSize val="0"/>
        </c:dLbls>
        <c:marker val="1"/>
        <c:smooth val="0"/>
        <c:axId val="108536576"/>
        <c:axId val="108538112"/>
      </c:lineChart>
      <c:catAx>
        <c:axId val="108536576"/>
        <c:scaling>
          <c:orientation val="minMax"/>
        </c:scaling>
        <c:delete val="0"/>
        <c:axPos val="b"/>
        <c:numFmt formatCode="General" sourceLinked="0"/>
        <c:majorTickMark val="none"/>
        <c:minorTickMark val="none"/>
        <c:tickLblPos val="nextTo"/>
        <c:crossAx val="108538112"/>
        <c:crosses val="autoZero"/>
        <c:auto val="1"/>
        <c:lblAlgn val="ctr"/>
        <c:lblOffset val="100"/>
        <c:noMultiLvlLbl val="0"/>
      </c:catAx>
      <c:valAx>
        <c:axId val="108538112"/>
        <c:scaling>
          <c:orientation val="minMax"/>
          <c:max val="67"/>
          <c:min val="55"/>
        </c:scaling>
        <c:delete val="0"/>
        <c:axPos val="l"/>
        <c:majorGridlines/>
        <c:title>
          <c:tx>
            <c:rich>
              <a:bodyPr/>
              <a:lstStyle/>
              <a:p>
                <a:pPr>
                  <a:defRPr/>
                </a:pPr>
                <a:r>
                  <a:rPr lang="sl-SI" b="0"/>
                  <a:t>Stopnja</a:t>
                </a:r>
                <a:r>
                  <a:rPr lang="sl-SI"/>
                  <a:t> </a:t>
                </a:r>
                <a:r>
                  <a:rPr lang="sl-SI" b="0"/>
                  <a:t>delovne</a:t>
                </a:r>
                <a:r>
                  <a:rPr lang="sl-SI"/>
                  <a:t> </a:t>
                </a:r>
                <a:r>
                  <a:rPr lang="sl-SI" b="0"/>
                  <a:t>aktivnosti</a:t>
                </a:r>
              </a:p>
            </c:rich>
          </c:tx>
          <c:layout/>
          <c:overlay val="0"/>
        </c:title>
        <c:numFmt formatCode="0" sourceLinked="1"/>
        <c:majorTickMark val="none"/>
        <c:minorTickMark val="none"/>
        <c:tickLblPos val="nextTo"/>
        <c:crossAx val="10853657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80922138117648"/>
          <c:y val="0.10964297271060296"/>
          <c:w val="0.47093269218856659"/>
          <c:h val="0.78090370486123273"/>
        </c:manualLayout>
      </c:layout>
      <c:doughnut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'2164525'!$G$20:$G$21</c:f>
              <c:strCache>
                <c:ptCount val="2"/>
                <c:pt idx="0">
                  <c:v>Mesto</c:v>
                </c:pt>
                <c:pt idx="1">
                  <c:v>Podeželje</c:v>
                </c:pt>
              </c:strCache>
            </c:strRef>
          </c:cat>
          <c:val>
            <c:numRef>
              <c:f>'2164525'!$H$20:$H$21</c:f>
              <c:numCache>
                <c:formatCode>0</c:formatCode>
                <c:ptCount val="2"/>
                <c:pt idx="0">
                  <c:v>28.192807701705767</c:v>
                </c:pt>
                <c:pt idx="1">
                  <c:v>71.612763667746549</c:v>
                </c:pt>
              </c:numCache>
            </c:numRef>
          </c:val>
          <c:extLst>
            <c:ext xmlns:c16="http://schemas.microsoft.com/office/drawing/2014/chart" uri="{C3380CC4-5D6E-409C-BE32-E72D297353CC}">
              <c16:uniqueId val="{00000000-7F9C-43F2-8502-F866ACA24B9A}"/>
            </c:ext>
          </c:extLst>
        </c:ser>
        <c:dLbls>
          <c:showLegendKey val="0"/>
          <c:showVal val="0"/>
          <c:showCatName val="0"/>
          <c:showSerName val="0"/>
          <c:showPercent val="0"/>
          <c:showBubbleSize val="0"/>
          <c:showLeaderLines val="1"/>
        </c:dLbls>
        <c:firstSliceAng val="0"/>
        <c:holeSize val="50"/>
      </c:doughnutChart>
    </c:plotArea>
    <c:legend>
      <c:legendPos val="r"/>
      <c:layout/>
      <c:overlay val="0"/>
    </c:legend>
    <c:plotVisOnly val="1"/>
    <c:dispBlanksAs val="gap"/>
    <c:showDLblsOverMax val="0"/>
  </c:chart>
  <c:spPr>
    <a:ln w="6350">
      <a:solidFill>
        <a:schemeClr val="tx1">
          <a:lumMod val="50000"/>
          <a:lumOff val="50000"/>
        </a:schemeClr>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sl-SI" sz="1200" b="1">
                <a:latin typeface="Arial" panose="020B0604020202020204" pitchFamily="34" charset="0"/>
                <a:cs typeface="Arial" panose="020B0604020202020204" pitchFamily="34" charset="0"/>
              </a:rPr>
              <a:t>Bruto dodana vrednost na zaposlenega v biogospodarstvu (v EUR)</a:t>
            </a:r>
          </a:p>
        </c:rich>
      </c:tx>
      <c:layout>
        <c:manualLayout>
          <c:xMode val="edge"/>
          <c:yMode val="edge"/>
          <c:x val="0.12308296514482081"/>
          <c:y val="3.8338658146964855E-2"/>
        </c:manualLayout>
      </c:layout>
      <c:overlay val="0"/>
    </c:title>
    <c:autoTitleDeleted val="0"/>
    <c:plotArea>
      <c:layout/>
      <c:lineChart>
        <c:grouping val="stacked"/>
        <c:varyColors val="0"/>
        <c:ser>
          <c:idx val="0"/>
          <c:order val="0"/>
          <c:tx>
            <c:strRef>
              <c:f>SLOVENIJA!$M$17</c:f>
              <c:strCache>
                <c:ptCount val="1"/>
                <c:pt idx="0">
                  <c:v>Slovenija</c:v>
                </c:pt>
              </c:strCache>
            </c:strRef>
          </c:tx>
          <c:marker>
            <c:symbol val="none"/>
          </c:marker>
          <c:cat>
            <c:numRef>
              <c:f>SLOVENIJA!$N$16:$W$16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SLOVENIJA!$N$17:$W$17</c:f>
              <c:numCache>
                <c:formatCode>#,##0</c:formatCode>
                <c:ptCount val="10"/>
                <c:pt idx="0">
                  <c:v>16295.236215358056</c:v>
                </c:pt>
                <c:pt idx="1">
                  <c:v>15860.912061025649</c:v>
                </c:pt>
                <c:pt idx="2">
                  <c:v>16839.59474790798</c:v>
                </c:pt>
                <c:pt idx="3">
                  <c:v>18237.5100885217</c:v>
                </c:pt>
                <c:pt idx="4">
                  <c:v>17545.812427945311</c:v>
                </c:pt>
                <c:pt idx="5">
                  <c:v>17662.61812678201</c:v>
                </c:pt>
                <c:pt idx="6">
                  <c:v>18837.09824141362</c:v>
                </c:pt>
                <c:pt idx="7">
                  <c:v>19897.214350282913</c:v>
                </c:pt>
                <c:pt idx="8">
                  <c:v>20213.638688574832</c:v>
                </c:pt>
                <c:pt idx="9">
                  <c:v>20518.644230415721</c:v>
                </c:pt>
              </c:numCache>
            </c:numRef>
          </c:val>
          <c:smooth val="0"/>
          <c:extLst>
            <c:ext xmlns:c16="http://schemas.microsoft.com/office/drawing/2014/chart" uri="{C3380CC4-5D6E-409C-BE32-E72D297353CC}">
              <c16:uniqueId val="{00000000-3810-4CF9-8B9E-431FFB352719}"/>
            </c:ext>
          </c:extLst>
        </c:ser>
        <c:ser>
          <c:idx val="1"/>
          <c:order val="1"/>
          <c:tx>
            <c:strRef>
              <c:f>SLOVENIJA!$M$18</c:f>
              <c:strCache>
                <c:ptCount val="1"/>
                <c:pt idx="0">
                  <c:v>Povprečje EU-27</c:v>
                </c:pt>
              </c:strCache>
            </c:strRef>
          </c:tx>
          <c:marker>
            <c:symbol val="none"/>
          </c:marker>
          <c:cat>
            <c:numRef>
              <c:f>SLOVENIJA!$N$16:$W$16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SLOVENIJA!$N$18:$W$18</c:f>
              <c:numCache>
                <c:formatCode>#,##0</c:formatCode>
                <c:ptCount val="10"/>
                <c:pt idx="0">
                  <c:v>25053.991440034642</c:v>
                </c:pt>
                <c:pt idx="1">
                  <c:v>24551.471614666589</c:v>
                </c:pt>
                <c:pt idx="2">
                  <c:v>26740.615862613326</c:v>
                </c:pt>
                <c:pt idx="3">
                  <c:v>28359.69903733056</c:v>
                </c:pt>
                <c:pt idx="4">
                  <c:v>28650.53351181532</c:v>
                </c:pt>
                <c:pt idx="5">
                  <c:v>29742.85813553878</c:v>
                </c:pt>
                <c:pt idx="6">
                  <c:v>30539.76369763551</c:v>
                </c:pt>
                <c:pt idx="7">
                  <c:v>31594.833794457107</c:v>
                </c:pt>
                <c:pt idx="8">
                  <c:v>33372.772531620329</c:v>
                </c:pt>
                <c:pt idx="9">
                  <c:v>35802.166957641552</c:v>
                </c:pt>
              </c:numCache>
            </c:numRef>
          </c:val>
          <c:smooth val="0"/>
          <c:extLst>
            <c:ext xmlns:c16="http://schemas.microsoft.com/office/drawing/2014/chart" uri="{C3380CC4-5D6E-409C-BE32-E72D297353CC}">
              <c16:uniqueId val="{00000001-3810-4CF9-8B9E-431FFB352719}"/>
            </c:ext>
          </c:extLst>
        </c:ser>
        <c:dLbls>
          <c:showLegendKey val="0"/>
          <c:showVal val="0"/>
          <c:showCatName val="0"/>
          <c:showSerName val="0"/>
          <c:showPercent val="0"/>
          <c:showBubbleSize val="0"/>
        </c:dLbls>
        <c:smooth val="0"/>
        <c:axId val="109403136"/>
        <c:axId val="109409024"/>
      </c:lineChart>
      <c:catAx>
        <c:axId val="109403136"/>
        <c:scaling>
          <c:orientation val="minMax"/>
        </c:scaling>
        <c:delete val="0"/>
        <c:axPos val="b"/>
        <c:numFmt formatCode="General" sourceLinked="1"/>
        <c:majorTickMark val="none"/>
        <c:minorTickMark val="none"/>
        <c:tickLblPos val="nextTo"/>
        <c:crossAx val="109409024"/>
        <c:crosses val="autoZero"/>
        <c:auto val="1"/>
        <c:lblAlgn val="ctr"/>
        <c:lblOffset val="100"/>
        <c:noMultiLvlLbl val="0"/>
      </c:catAx>
      <c:valAx>
        <c:axId val="109409024"/>
        <c:scaling>
          <c:orientation val="minMax"/>
        </c:scaling>
        <c:delete val="0"/>
        <c:axPos val="l"/>
        <c:majorGridlines/>
        <c:numFmt formatCode="#,##0" sourceLinked="1"/>
        <c:majorTickMark val="none"/>
        <c:minorTickMark val="none"/>
        <c:tickLblPos val="nextTo"/>
        <c:crossAx val="109403136"/>
        <c:crosses val="autoZero"/>
        <c:crossBetween val="between"/>
      </c:valAx>
    </c:plotArea>
    <c:legend>
      <c:legendPos val="b"/>
      <c:layout/>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a:pPr>
            <a:r>
              <a:rPr lang="sl-SI" sz="1000">
                <a:latin typeface="Arial" panose="020B0604020202020204" pitchFamily="34" charset="0"/>
                <a:cs typeface="Arial" panose="020B0604020202020204" pitchFamily="34" charset="0"/>
              </a:rPr>
              <a:t>Ravnanje z odpadno hrano v Sloveniji (v tonah)</a:t>
            </a:r>
          </a:p>
        </c:rich>
      </c:tx>
      <c:layout>
        <c:manualLayout>
          <c:xMode val="edge"/>
          <c:yMode val="edge"/>
          <c:x val="0.21733509293343356"/>
          <c:y val="3.3840947546531303E-2"/>
        </c:manualLayout>
      </c:layout>
      <c:overlay val="0"/>
    </c:title>
    <c:autoTitleDeleted val="0"/>
    <c:plotArea>
      <c:layout/>
      <c:barChart>
        <c:barDir val="col"/>
        <c:grouping val="stacked"/>
        <c:varyColors val="0"/>
        <c:ser>
          <c:idx val="0"/>
          <c:order val="0"/>
          <c:tx>
            <c:strRef>
              <c:f>'[Odpadna hrana_Slovenija.xlsx]2780705'!$A$4</c:f>
              <c:strCache>
                <c:ptCount val="1"/>
                <c:pt idx="0">
                  <c:v>Predelava v bioplinarnah</c:v>
                </c:pt>
              </c:strCache>
            </c:strRef>
          </c:tx>
          <c:invertIfNegative val="0"/>
          <c:cat>
            <c:strRef>
              <c:f>'[Odpadna hrana_Slovenija.xlsx]2780705'!$B$3:$G$3</c:f>
              <c:strCache>
                <c:ptCount val="6"/>
                <c:pt idx="0">
                  <c:v>2013</c:v>
                </c:pt>
                <c:pt idx="1">
                  <c:v>2014</c:v>
                </c:pt>
                <c:pt idx="2">
                  <c:v>2015</c:v>
                </c:pt>
                <c:pt idx="3">
                  <c:v>2016</c:v>
                </c:pt>
                <c:pt idx="4">
                  <c:v>2017</c:v>
                </c:pt>
                <c:pt idx="5">
                  <c:v>2018</c:v>
                </c:pt>
              </c:strCache>
            </c:strRef>
          </c:cat>
          <c:val>
            <c:numRef>
              <c:f>'[Odpadna hrana_Slovenija.xlsx]2780705'!$B$4:$G$4</c:f>
              <c:numCache>
                <c:formatCode>0</c:formatCode>
                <c:ptCount val="6"/>
                <c:pt idx="0">
                  <c:v>41616</c:v>
                </c:pt>
                <c:pt idx="1">
                  <c:v>45116</c:v>
                </c:pt>
                <c:pt idx="2">
                  <c:v>52418</c:v>
                </c:pt>
                <c:pt idx="3">
                  <c:v>66336</c:v>
                </c:pt>
                <c:pt idx="4">
                  <c:v>60083</c:v>
                </c:pt>
                <c:pt idx="5">
                  <c:v>66255</c:v>
                </c:pt>
              </c:numCache>
            </c:numRef>
          </c:val>
          <c:extLst>
            <c:ext xmlns:c16="http://schemas.microsoft.com/office/drawing/2014/chart" uri="{C3380CC4-5D6E-409C-BE32-E72D297353CC}">
              <c16:uniqueId val="{00000000-BBE3-4449-93AC-9FA7A11ADA7D}"/>
            </c:ext>
          </c:extLst>
        </c:ser>
        <c:ser>
          <c:idx val="1"/>
          <c:order val="1"/>
          <c:tx>
            <c:strRef>
              <c:f>'[Odpadna hrana_Slovenija.xlsx]2780705'!$A$5</c:f>
              <c:strCache>
                <c:ptCount val="1"/>
                <c:pt idx="0">
                  <c:v>Predelava v kompostarnah</c:v>
                </c:pt>
              </c:strCache>
            </c:strRef>
          </c:tx>
          <c:invertIfNegative val="0"/>
          <c:cat>
            <c:strRef>
              <c:f>'[Odpadna hrana_Slovenija.xlsx]2780705'!$B$3:$G$3</c:f>
              <c:strCache>
                <c:ptCount val="6"/>
                <c:pt idx="0">
                  <c:v>2013</c:v>
                </c:pt>
                <c:pt idx="1">
                  <c:v>2014</c:v>
                </c:pt>
                <c:pt idx="2">
                  <c:v>2015</c:v>
                </c:pt>
                <c:pt idx="3">
                  <c:v>2016</c:v>
                </c:pt>
                <c:pt idx="4">
                  <c:v>2017</c:v>
                </c:pt>
                <c:pt idx="5">
                  <c:v>2018</c:v>
                </c:pt>
              </c:strCache>
            </c:strRef>
          </c:cat>
          <c:val>
            <c:numRef>
              <c:f>'[Odpadna hrana_Slovenija.xlsx]2780705'!$B$5:$G$5</c:f>
              <c:numCache>
                <c:formatCode>0</c:formatCode>
                <c:ptCount val="6"/>
                <c:pt idx="0">
                  <c:v>38957</c:v>
                </c:pt>
                <c:pt idx="1">
                  <c:v>42068</c:v>
                </c:pt>
                <c:pt idx="2">
                  <c:v>45148</c:v>
                </c:pt>
                <c:pt idx="3">
                  <c:v>39805</c:v>
                </c:pt>
                <c:pt idx="4">
                  <c:v>39578</c:v>
                </c:pt>
                <c:pt idx="5">
                  <c:v>40878</c:v>
                </c:pt>
              </c:numCache>
            </c:numRef>
          </c:val>
          <c:extLst>
            <c:ext xmlns:c16="http://schemas.microsoft.com/office/drawing/2014/chart" uri="{C3380CC4-5D6E-409C-BE32-E72D297353CC}">
              <c16:uniqueId val="{00000001-BBE3-4449-93AC-9FA7A11ADA7D}"/>
            </c:ext>
          </c:extLst>
        </c:ser>
        <c:ser>
          <c:idx val="2"/>
          <c:order val="2"/>
          <c:tx>
            <c:strRef>
              <c:f>'[Odpadna hrana_Slovenija.xlsx]2780705'!$A$6</c:f>
              <c:strCache>
                <c:ptCount val="1"/>
                <c:pt idx="0">
                  <c:v>Biološka stabilizacija v okviru MBO*</c:v>
                </c:pt>
              </c:strCache>
            </c:strRef>
          </c:tx>
          <c:invertIfNegative val="0"/>
          <c:cat>
            <c:strRef>
              <c:f>'[Odpadna hrana_Slovenija.xlsx]2780705'!$B$3:$G$3</c:f>
              <c:strCache>
                <c:ptCount val="6"/>
                <c:pt idx="0">
                  <c:v>2013</c:v>
                </c:pt>
                <c:pt idx="1">
                  <c:v>2014</c:v>
                </c:pt>
                <c:pt idx="2">
                  <c:v>2015</c:v>
                </c:pt>
                <c:pt idx="3">
                  <c:v>2016</c:v>
                </c:pt>
                <c:pt idx="4">
                  <c:v>2017</c:v>
                </c:pt>
                <c:pt idx="5">
                  <c:v>2018</c:v>
                </c:pt>
              </c:strCache>
            </c:strRef>
          </c:cat>
          <c:val>
            <c:numRef>
              <c:f>'[Odpadna hrana_Slovenija.xlsx]2780705'!$B$6:$G$6</c:f>
              <c:numCache>
                <c:formatCode>0</c:formatCode>
                <c:ptCount val="6"/>
                <c:pt idx="0">
                  <c:v>10890</c:v>
                </c:pt>
                <c:pt idx="1">
                  <c:v>26444</c:v>
                </c:pt>
                <c:pt idx="2">
                  <c:v>28190</c:v>
                </c:pt>
                <c:pt idx="3">
                  <c:v>29131</c:v>
                </c:pt>
                <c:pt idx="4">
                  <c:v>28976</c:v>
                </c:pt>
                <c:pt idx="5">
                  <c:v>29859</c:v>
                </c:pt>
              </c:numCache>
            </c:numRef>
          </c:val>
          <c:extLst>
            <c:ext xmlns:c16="http://schemas.microsoft.com/office/drawing/2014/chart" uri="{C3380CC4-5D6E-409C-BE32-E72D297353CC}">
              <c16:uniqueId val="{00000002-BBE3-4449-93AC-9FA7A11ADA7D}"/>
            </c:ext>
          </c:extLst>
        </c:ser>
        <c:ser>
          <c:idx val="3"/>
          <c:order val="3"/>
          <c:tx>
            <c:strRef>
              <c:f>'[Odpadna hrana_Slovenija.xlsx]2780705'!$A$7</c:f>
              <c:strCache>
                <c:ptCount val="1"/>
                <c:pt idx="0">
                  <c:v>Drugo ravnanje </c:v>
                </c:pt>
              </c:strCache>
            </c:strRef>
          </c:tx>
          <c:invertIfNegative val="0"/>
          <c:cat>
            <c:strRef>
              <c:f>'[Odpadna hrana_Slovenija.xlsx]2780705'!$B$3:$G$3</c:f>
              <c:strCache>
                <c:ptCount val="6"/>
                <c:pt idx="0">
                  <c:v>2013</c:v>
                </c:pt>
                <c:pt idx="1">
                  <c:v>2014</c:v>
                </c:pt>
                <c:pt idx="2">
                  <c:v>2015</c:v>
                </c:pt>
                <c:pt idx="3">
                  <c:v>2016</c:v>
                </c:pt>
                <c:pt idx="4">
                  <c:v>2017</c:v>
                </c:pt>
                <c:pt idx="5">
                  <c:v>2018</c:v>
                </c:pt>
              </c:strCache>
            </c:strRef>
          </c:cat>
          <c:val>
            <c:numRef>
              <c:f>'[Odpadna hrana_Slovenija.xlsx]2780705'!$B$7:$G$7</c:f>
              <c:numCache>
                <c:formatCode>0</c:formatCode>
                <c:ptCount val="6"/>
                <c:pt idx="0">
                  <c:v>26987</c:v>
                </c:pt>
                <c:pt idx="1">
                  <c:v>11474</c:v>
                </c:pt>
                <c:pt idx="2">
                  <c:v>8143</c:v>
                </c:pt>
                <c:pt idx="3">
                  <c:v>2366</c:v>
                </c:pt>
                <c:pt idx="4">
                  <c:v>3124</c:v>
                </c:pt>
                <c:pt idx="5">
                  <c:v>2864</c:v>
                </c:pt>
              </c:numCache>
            </c:numRef>
          </c:val>
          <c:extLst>
            <c:ext xmlns:c16="http://schemas.microsoft.com/office/drawing/2014/chart" uri="{C3380CC4-5D6E-409C-BE32-E72D297353CC}">
              <c16:uniqueId val="{00000003-BBE3-4449-93AC-9FA7A11ADA7D}"/>
            </c:ext>
          </c:extLst>
        </c:ser>
        <c:dLbls>
          <c:showLegendKey val="0"/>
          <c:showVal val="0"/>
          <c:showCatName val="0"/>
          <c:showSerName val="0"/>
          <c:showPercent val="0"/>
          <c:showBubbleSize val="0"/>
        </c:dLbls>
        <c:gapWidth val="150"/>
        <c:overlap val="100"/>
        <c:axId val="109437696"/>
        <c:axId val="109439232"/>
      </c:barChart>
      <c:catAx>
        <c:axId val="109437696"/>
        <c:scaling>
          <c:orientation val="minMax"/>
        </c:scaling>
        <c:delete val="0"/>
        <c:axPos val="b"/>
        <c:numFmt formatCode="General" sourceLinked="0"/>
        <c:majorTickMark val="out"/>
        <c:minorTickMark val="none"/>
        <c:tickLblPos val="nextTo"/>
        <c:crossAx val="109439232"/>
        <c:crosses val="autoZero"/>
        <c:auto val="1"/>
        <c:lblAlgn val="ctr"/>
        <c:lblOffset val="100"/>
        <c:noMultiLvlLbl val="0"/>
      </c:catAx>
      <c:valAx>
        <c:axId val="109439232"/>
        <c:scaling>
          <c:orientation val="minMax"/>
          <c:max val="145000"/>
          <c:min val="0"/>
        </c:scaling>
        <c:delete val="0"/>
        <c:axPos val="l"/>
        <c:majorGridlines/>
        <c:numFmt formatCode="#,##0" sourceLinked="0"/>
        <c:majorTickMark val="out"/>
        <c:minorTickMark val="none"/>
        <c:tickLblPos val="nextTo"/>
        <c:crossAx val="109437696"/>
        <c:crosses val="autoZero"/>
        <c:crossBetween val="between"/>
      </c:valAx>
    </c:plotArea>
    <c:legend>
      <c:legendPos val="b"/>
      <c:layout>
        <c:manualLayout>
          <c:xMode val="edge"/>
          <c:yMode val="edge"/>
          <c:x val="0.12828826481583788"/>
          <c:y val="0.86238298892841436"/>
          <c:w val="0.79448675607192631"/>
          <c:h val="0.11731244254366681"/>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sl-SI" sz="1000" b="1" i="0" baseline="0">
                <a:effectLst/>
                <a:latin typeface="Arial" panose="020B0604020202020204" pitchFamily="34" charset="0"/>
                <a:cs typeface="Arial" panose="020B0604020202020204" pitchFamily="34" charset="0"/>
              </a:rPr>
              <a:t>Končna poraba energije, glede na energetski vir (v 1000 toe)</a:t>
            </a:r>
            <a:endParaRPr lang="sl-SI" sz="1000">
              <a:effectLst/>
              <a:latin typeface="Arial" panose="020B0604020202020204" pitchFamily="34" charset="0"/>
              <a:cs typeface="Arial" panose="020B0604020202020204" pitchFamily="34" charset="0"/>
            </a:endParaRPr>
          </a:p>
        </c:rich>
      </c:tx>
      <c:layout/>
      <c:overlay val="0"/>
    </c:title>
    <c:autoTitleDeleted val="0"/>
    <c:plotArea>
      <c:layout/>
      <c:barChart>
        <c:barDir val="col"/>
        <c:grouping val="stacked"/>
        <c:varyColors val="0"/>
        <c:ser>
          <c:idx val="1"/>
          <c:order val="0"/>
          <c:tx>
            <c:strRef>
              <c:f>'1817901'!$B$6</c:f>
              <c:strCache>
                <c:ptCount val="1"/>
                <c:pt idx="0">
                  <c:v>Naftni proizvodi</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'1817901'!$C$6:$M$6</c:f>
              <c:numCache>
                <c:formatCode>General</c:formatCode>
                <c:ptCount val="11"/>
                <c:pt idx="0" formatCode="#,##0.00">
                  <c:v>2870.9209999999998</c:v>
                </c:pt>
                <c:pt idx="1">
                  <c:v>2490.8910000000001</c:v>
                </c:pt>
                <c:pt idx="2">
                  <c:v>2450.759</c:v>
                </c:pt>
                <c:pt idx="3">
                  <c:v>2494.5340000000001</c:v>
                </c:pt>
                <c:pt idx="4">
                  <c:v>2442.377</c:v>
                </c:pt>
                <c:pt idx="5">
                  <c:v>2300.8580000000002</c:v>
                </c:pt>
                <c:pt idx="6">
                  <c:v>2212.145</c:v>
                </c:pt>
                <c:pt idx="7">
                  <c:v>2201.6509999999998</c:v>
                </c:pt>
                <c:pt idx="8">
                  <c:v>2311.9639999999999</c:v>
                </c:pt>
                <c:pt idx="9">
                  <c:v>2332.779</c:v>
                </c:pt>
                <c:pt idx="10">
                  <c:v>2343.2649999999999</c:v>
                </c:pt>
              </c:numCache>
            </c:numRef>
          </c:val>
          <c:extLst>
            <c:ext xmlns:c16="http://schemas.microsoft.com/office/drawing/2014/chart" uri="{C3380CC4-5D6E-409C-BE32-E72D297353CC}">
              <c16:uniqueId val="{00000000-BFBA-4BEF-B89C-6BFE579173C1}"/>
            </c:ext>
          </c:extLst>
        </c:ser>
        <c:ser>
          <c:idx val="5"/>
          <c:order val="1"/>
          <c:tx>
            <c:strRef>
              <c:f>'1817901'!$B$10</c:f>
              <c:strCache>
                <c:ptCount val="1"/>
                <c:pt idx="0">
                  <c:v>Električna energija</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'1817901'!$C$10:$M$10</c:f>
              <c:numCache>
                <c:formatCode>General</c:formatCode>
                <c:ptCount val="11"/>
                <c:pt idx="0" formatCode="#,##0.00">
                  <c:v>1113.07</c:v>
                </c:pt>
                <c:pt idx="1">
                  <c:v>982.28700000000003</c:v>
                </c:pt>
                <c:pt idx="2">
                  <c:v>1037.1869999999999</c:v>
                </c:pt>
                <c:pt idx="3">
                  <c:v>1084.403</c:v>
                </c:pt>
                <c:pt idx="4">
                  <c:v>1078.222</c:v>
                </c:pt>
                <c:pt idx="5">
                  <c:v>1082.319</c:v>
                </c:pt>
                <c:pt idx="6">
                  <c:v>1079.953</c:v>
                </c:pt>
                <c:pt idx="7">
                  <c:v>1108.7</c:v>
                </c:pt>
                <c:pt idx="8">
                  <c:v>1128.1959999999999</c:v>
                </c:pt>
                <c:pt idx="9">
                  <c:v>1171.335</c:v>
                </c:pt>
                <c:pt idx="10">
                  <c:v>1188.2550000000001</c:v>
                </c:pt>
              </c:numCache>
            </c:numRef>
          </c:val>
          <c:extLst>
            <c:ext xmlns:c16="http://schemas.microsoft.com/office/drawing/2014/chart" uri="{C3380CC4-5D6E-409C-BE32-E72D297353CC}">
              <c16:uniqueId val="{00000001-BFBA-4BEF-B89C-6BFE579173C1}"/>
            </c:ext>
          </c:extLst>
        </c:ser>
        <c:ser>
          <c:idx val="4"/>
          <c:order val="2"/>
          <c:tx>
            <c:strRef>
              <c:f>'1817901'!$B$9</c:f>
              <c:strCache>
                <c:ptCount val="1"/>
                <c:pt idx="0">
                  <c:v>Obnovljivi viri in odpadki</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'1817901'!$C$9:$M$9</c:f>
              <c:numCache>
                <c:formatCode>General</c:formatCode>
                <c:ptCount val="11"/>
                <c:pt idx="0" formatCode="#,##0.00">
                  <c:v>439.69400000000002</c:v>
                </c:pt>
                <c:pt idx="1">
                  <c:v>614.03800000000001</c:v>
                </c:pt>
                <c:pt idx="2">
                  <c:v>647.21500000000003</c:v>
                </c:pt>
                <c:pt idx="3">
                  <c:v>632.56399999999996</c:v>
                </c:pt>
                <c:pt idx="4">
                  <c:v>624.34500000000003</c:v>
                </c:pt>
                <c:pt idx="5">
                  <c:v>660.76499999999999</c:v>
                </c:pt>
                <c:pt idx="6">
                  <c:v>572.68799999999999</c:v>
                </c:pt>
                <c:pt idx="7">
                  <c:v>604.84799999999996</c:v>
                </c:pt>
                <c:pt idx="8">
                  <c:v>613.07299999999998</c:v>
                </c:pt>
                <c:pt idx="9">
                  <c:v>599.92100000000005</c:v>
                </c:pt>
                <c:pt idx="10">
                  <c:v>618.84799999999996</c:v>
                </c:pt>
              </c:numCache>
            </c:numRef>
          </c:val>
          <c:extLst>
            <c:ext xmlns:c16="http://schemas.microsoft.com/office/drawing/2014/chart" uri="{C3380CC4-5D6E-409C-BE32-E72D297353CC}">
              <c16:uniqueId val="{00000002-BFBA-4BEF-B89C-6BFE579173C1}"/>
            </c:ext>
          </c:extLst>
        </c:ser>
        <c:ser>
          <c:idx val="2"/>
          <c:order val="3"/>
          <c:tx>
            <c:strRef>
              <c:f>'1817901'!$B$7</c:f>
              <c:strCache>
                <c:ptCount val="1"/>
                <c:pt idx="0">
                  <c:v>Zemeljski plin</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'1817901'!$C$7:$M$7</c:f>
              <c:numCache>
                <c:formatCode>General</c:formatCode>
                <c:ptCount val="11"/>
                <c:pt idx="0" formatCode="#,##0.00">
                  <c:v>739.17499999999995</c:v>
                </c:pt>
                <c:pt idx="1">
                  <c:v>666.32600000000002</c:v>
                </c:pt>
                <c:pt idx="2">
                  <c:v>705.51199999999994</c:v>
                </c:pt>
                <c:pt idx="3">
                  <c:v>585.65099999999995</c:v>
                </c:pt>
                <c:pt idx="4">
                  <c:v>553.53499999999997</c:v>
                </c:pt>
                <c:pt idx="5">
                  <c:v>548.06200000000001</c:v>
                </c:pt>
                <c:pt idx="6">
                  <c:v>525.226</c:v>
                </c:pt>
                <c:pt idx="7">
                  <c:v>565.928</c:v>
                </c:pt>
                <c:pt idx="8">
                  <c:v>603.63699999999994</c:v>
                </c:pt>
                <c:pt idx="9">
                  <c:v>616.41300000000001</c:v>
                </c:pt>
                <c:pt idx="10">
                  <c:v>603.98599999999999</c:v>
                </c:pt>
              </c:numCache>
            </c:numRef>
          </c:val>
          <c:extLst>
            <c:ext xmlns:c16="http://schemas.microsoft.com/office/drawing/2014/chart" uri="{C3380CC4-5D6E-409C-BE32-E72D297353CC}">
              <c16:uniqueId val="{00000003-BFBA-4BEF-B89C-6BFE579173C1}"/>
            </c:ext>
          </c:extLst>
        </c:ser>
        <c:ser>
          <c:idx val="6"/>
          <c:order val="4"/>
          <c:tx>
            <c:strRef>
              <c:f>'1817901'!$B$11</c:f>
              <c:strCache>
                <c:ptCount val="1"/>
                <c:pt idx="0">
                  <c:v>Toplota</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'1817901'!$C$11:$M$11</c:f>
              <c:numCache>
                <c:formatCode>General</c:formatCode>
                <c:ptCount val="11"/>
                <c:pt idx="0" formatCode="#,##0.00">
                  <c:v>186.56299999999999</c:v>
                </c:pt>
                <c:pt idx="1">
                  <c:v>181.83</c:v>
                </c:pt>
                <c:pt idx="2">
                  <c:v>193.91900000000001</c:v>
                </c:pt>
                <c:pt idx="3">
                  <c:v>192.072</c:v>
                </c:pt>
                <c:pt idx="4">
                  <c:v>184.36099999999999</c:v>
                </c:pt>
                <c:pt idx="5">
                  <c:v>184.95500000000001</c:v>
                </c:pt>
                <c:pt idx="6">
                  <c:v>155.482</c:v>
                </c:pt>
                <c:pt idx="7">
                  <c:v>171.16399999999999</c:v>
                </c:pt>
                <c:pt idx="8">
                  <c:v>176.542</c:v>
                </c:pt>
                <c:pt idx="9">
                  <c:v>183.31100000000001</c:v>
                </c:pt>
                <c:pt idx="10">
                  <c:v>177.2</c:v>
                </c:pt>
              </c:numCache>
            </c:numRef>
          </c:val>
          <c:extLst>
            <c:ext xmlns:c16="http://schemas.microsoft.com/office/drawing/2014/chart" uri="{C3380CC4-5D6E-409C-BE32-E72D297353CC}">
              <c16:uniqueId val="{00000004-BFBA-4BEF-B89C-6BFE579173C1}"/>
            </c:ext>
          </c:extLst>
        </c:ser>
        <c:ser>
          <c:idx val="3"/>
          <c:order val="5"/>
          <c:tx>
            <c:strRef>
              <c:f>'1817901'!$B$8</c:f>
              <c:strCache>
                <c:ptCount val="1"/>
                <c:pt idx="0">
                  <c:v>Geoterm., sončna itd.</c:v>
                </c:pt>
              </c:strCache>
            </c:strRef>
          </c:tx>
          <c:invertIfNegative val="0"/>
          <c:dPt>
            <c:idx val="10"/>
            <c:invertIfNegative val="0"/>
            <c:bubble3D val="0"/>
            <c:extLst>
              <c:ext xmlns:c16="http://schemas.microsoft.com/office/drawing/2014/chart" uri="{C3380CC4-5D6E-409C-BE32-E72D297353CC}">
                <c16:uniqueId val="{00000005-BFBA-4BEF-B89C-6BFE579173C1}"/>
              </c:ext>
            </c:extLst>
          </c:dPt>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'1817901'!$C$8:$M$8</c:f>
              <c:numCache>
                <c:formatCode>General</c:formatCode>
                <c:ptCount val="11"/>
                <c:pt idx="0" formatCode="#,##0.00">
                  <c:v>0</c:v>
                </c:pt>
                <c:pt idx="1">
                  <c:v>13.949</c:v>
                </c:pt>
                <c:pt idx="2">
                  <c:v>33.892000000000003</c:v>
                </c:pt>
                <c:pt idx="3">
                  <c:v>36.805999999999997</c:v>
                </c:pt>
                <c:pt idx="4">
                  <c:v>39.314</c:v>
                </c:pt>
                <c:pt idx="5">
                  <c:v>44.115000000000002</c:v>
                </c:pt>
                <c:pt idx="6">
                  <c:v>46.287999999999997</c:v>
                </c:pt>
                <c:pt idx="7">
                  <c:v>48.844000000000001</c:v>
                </c:pt>
                <c:pt idx="8">
                  <c:v>54.695999999999998</c:v>
                </c:pt>
                <c:pt idx="9">
                  <c:v>58.780999999999999</c:v>
                </c:pt>
                <c:pt idx="10">
                  <c:v>59.76</c:v>
                </c:pt>
              </c:numCache>
            </c:numRef>
          </c:val>
          <c:extLst>
            <c:ext xmlns:c16="http://schemas.microsoft.com/office/drawing/2014/chart" uri="{C3380CC4-5D6E-409C-BE32-E72D297353CC}">
              <c16:uniqueId val="{00000006-BFBA-4BEF-B89C-6BFE579173C1}"/>
            </c:ext>
          </c:extLst>
        </c:ser>
        <c:ser>
          <c:idx val="0"/>
          <c:order val="6"/>
          <c:tx>
            <c:strRef>
              <c:f>'1817901'!$B$5</c:f>
              <c:strCache>
                <c:ptCount val="1"/>
                <c:pt idx="0">
                  <c:v>Trdna goriva</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'1817901'!$C$5:$M$5</c:f>
              <c:numCache>
                <c:formatCode>General</c:formatCode>
                <c:ptCount val="11"/>
                <c:pt idx="0" formatCode="#,##0.00">
                  <c:v>85.995000000000005</c:v>
                </c:pt>
                <c:pt idx="1">
                  <c:v>60.802999999999997</c:v>
                </c:pt>
                <c:pt idx="2">
                  <c:v>53.536000000000001</c:v>
                </c:pt>
                <c:pt idx="3">
                  <c:v>58.417000000000002</c:v>
                </c:pt>
                <c:pt idx="4">
                  <c:v>55.744999999999997</c:v>
                </c:pt>
                <c:pt idx="5">
                  <c:v>53.351999999999997</c:v>
                </c:pt>
                <c:pt idx="6">
                  <c:v>52.57</c:v>
                </c:pt>
                <c:pt idx="7">
                  <c:v>46.883000000000003</c:v>
                </c:pt>
                <c:pt idx="8">
                  <c:v>42.569000000000003</c:v>
                </c:pt>
                <c:pt idx="9">
                  <c:v>45.779000000000003</c:v>
                </c:pt>
                <c:pt idx="10">
                  <c:v>48.707000000000001</c:v>
                </c:pt>
              </c:numCache>
            </c:numRef>
          </c:val>
          <c:extLst>
            <c:ext xmlns:c16="http://schemas.microsoft.com/office/drawing/2014/chart" uri="{C3380CC4-5D6E-409C-BE32-E72D297353CC}">
              <c16:uniqueId val="{00000007-BFBA-4BEF-B89C-6BFE579173C1}"/>
            </c:ext>
          </c:extLst>
        </c:ser>
        <c:dLbls>
          <c:showLegendKey val="0"/>
          <c:showVal val="0"/>
          <c:showCatName val="0"/>
          <c:showSerName val="0"/>
          <c:showPercent val="0"/>
          <c:showBubbleSize val="0"/>
        </c:dLbls>
        <c:gapWidth val="90"/>
        <c:overlap val="100"/>
        <c:axId val="109295872"/>
        <c:axId val="109301760"/>
      </c:barChart>
      <c:catAx>
        <c:axId val="109295872"/>
        <c:scaling>
          <c:orientation val="minMax"/>
        </c:scaling>
        <c:delete val="0"/>
        <c:axPos val="b"/>
        <c:numFmt formatCode="General" sourceLinked="0"/>
        <c:majorTickMark val="out"/>
        <c:minorTickMark val="none"/>
        <c:tickLblPos val="nextTo"/>
        <c:crossAx val="109301760"/>
        <c:crosses val="autoZero"/>
        <c:auto val="1"/>
        <c:lblAlgn val="ctr"/>
        <c:lblOffset val="100"/>
        <c:noMultiLvlLbl val="0"/>
      </c:catAx>
      <c:valAx>
        <c:axId val="109301760"/>
        <c:scaling>
          <c:orientation val="minMax"/>
        </c:scaling>
        <c:delete val="0"/>
        <c:axPos val="l"/>
        <c:majorGridlines/>
        <c:numFmt formatCode="#,##0" sourceLinked="0"/>
        <c:majorTickMark val="out"/>
        <c:minorTickMark val="none"/>
        <c:tickLblPos val="nextTo"/>
        <c:crossAx val="10929587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l-SI" sz="1100" b="1" i="0" u="none" strike="noStrike" baseline="0">
                <a:effectLst/>
                <a:latin typeface="Arial" panose="020B0604020202020204" pitchFamily="34" charset="0"/>
                <a:cs typeface="Arial" panose="020B0604020202020204" pitchFamily="34" charset="0"/>
              </a:rPr>
              <a:t>Poraba energije za proizvodnjo porabljenih dušikovih in fosforjevih gnojil (v GJ/ha KZU) in plinskega olja v kmetijstvu (v TJ/leto)</a:t>
            </a:r>
            <a:endParaRPr lang="sl-SI" sz="1100">
              <a:latin typeface="Arial" panose="020B0604020202020204" pitchFamily="34" charset="0"/>
              <a:cs typeface="Arial" panose="020B0604020202020204" pitchFamily="34" charset="0"/>
            </a:endParaRPr>
          </a:p>
        </c:rich>
      </c:tx>
      <c:layout/>
      <c:overlay val="0"/>
    </c:title>
    <c:autoTitleDeleted val="0"/>
    <c:plotArea>
      <c:layout/>
      <c:barChart>
        <c:barDir val="col"/>
        <c:grouping val="clustered"/>
        <c:varyColors val="0"/>
        <c:ser>
          <c:idx val="3"/>
          <c:order val="3"/>
          <c:tx>
            <c:v>Plinsko olje</c:v>
          </c:tx>
          <c:spPr>
            <a:solidFill>
              <a:schemeClr val="accent4">
                <a:lumMod val="60000"/>
                <a:lumOff val="40000"/>
              </a:schemeClr>
            </a:solidFill>
          </c:spPr>
          <c:invertIfNegative val="0"/>
          <c:val>
            <c:numRef>
              <c:f>node_55378_field_table_data_und!$E$32:$E$50</c:f>
              <c:numCache>
                <c:formatCode>General</c:formatCode>
                <c:ptCount val="19"/>
                <c:pt idx="0">
                  <c:v>2612.36</c:v>
                </c:pt>
                <c:pt idx="1">
                  <c:v>2615.77</c:v>
                </c:pt>
                <c:pt idx="2">
                  <c:v>2594.41</c:v>
                </c:pt>
                <c:pt idx="3">
                  <c:v>2616.21</c:v>
                </c:pt>
                <c:pt idx="4">
                  <c:v>2517.71</c:v>
                </c:pt>
                <c:pt idx="5">
                  <c:v>2611.33</c:v>
                </c:pt>
                <c:pt idx="6">
                  <c:v>2516.6799999999998</c:v>
                </c:pt>
                <c:pt idx="7">
                  <c:v>2558.5</c:v>
                </c:pt>
                <c:pt idx="8">
                  <c:v>2527.4899999999998</c:v>
                </c:pt>
                <c:pt idx="9">
                  <c:v>2404.67</c:v>
                </c:pt>
                <c:pt idx="10">
                  <c:v>2477.34</c:v>
                </c:pt>
                <c:pt idx="11">
                  <c:v>2351.8000000000002</c:v>
                </c:pt>
                <c:pt idx="12">
                  <c:v>2461.94</c:v>
                </c:pt>
                <c:pt idx="13">
                  <c:v>2458.0100000000002</c:v>
                </c:pt>
                <c:pt idx="14">
                  <c:v>2475.11</c:v>
                </c:pt>
                <c:pt idx="15">
                  <c:v>2447.61</c:v>
                </c:pt>
                <c:pt idx="16">
                  <c:v>2451.77</c:v>
                </c:pt>
                <c:pt idx="17">
                  <c:v>2470.98</c:v>
                </c:pt>
                <c:pt idx="18">
                  <c:v>2449.84</c:v>
                </c:pt>
              </c:numCache>
            </c:numRef>
          </c:val>
          <c:extLst>
            <c:ext xmlns:c16="http://schemas.microsoft.com/office/drawing/2014/chart" uri="{C3380CC4-5D6E-409C-BE32-E72D297353CC}">
              <c16:uniqueId val="{00000000-A043-4DB5-BF83-39FAF87D817B}"/>
            </c:ext>
          </c:extLst>
        </c:ser>
        <c:dLbls>
          <c:showLegendKey val="0"/>
          <c:showVal val="0"/>
          <c:showCatName val="0"/>
          <c:showSerName val="0"/>
          <c:showPercent val="0"/>
          <c:showBubbleSize val="0"/>
        </c:dLbls>
        <c:gapWidth val="130"/>
        <c:axId val="109471616"/>
        <c:axId val="109470080"/>
      </c:barChart>
      <c:lineChart>
        <c:grouping val="standard"/>
        <c:varyColors val="0"/>
        <c:ser>
          <c:idx val="0"/>
          <c:order val="0"/>
          <c:tx>
            <c:strRef>
              <c:f>node_55378_field_table_data_und!$B$1</c:f>
              <c:strCache>
                <c:ptCount val="1"/>
                <c:pt idx="0">
                  <c:v>Dušikova gnojila</c:v>
                </c:pt>
              </c:strCache>
            </c:strRef>
          </c:tx>
          <c:marker>
            <c:symbol val="none"/>
          </c:marker>
          <c:cat>
            <c:strRef>
              <c:f>node_55378_field_table_data_und!$A$10:$A$28</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node_55378_field_table_data_und!$B$10:$B$28</c:f>
              <c:numCache>
                <c:formatCode>#,##0.00</c:formatCode>
                <c:ptCount val="19"/>
                <c:pt idx="0">
                  <c:v>3.9040966480666999</c:v>
                </c:pt>
                <c:pt idx="1">
                  <c:v>3.9681805605701999</c:v>
                </c:pt>
                <c:pt idx="2">
                  <c:v>3.8451476866708001</c:v>
                </c:pt>
                <c:pt idx="3">
                  <c:v>3.9373900990565001</c:v>
                </c:pt>
                <c:pt idx="4">
                  <c:v>3.5889750834831999</c:v>
                </c:pt>
                <c:pt idx="5">
                  <c:v>3.3350972267811998</c:v>
                </c:pt>
                <c:pt idx="6">
                  <c:v>3.6045568590179999</c:v>
                </c:pt>
                <c:pt idx="7">
                  <c:v>3.4557787492025001</c:v>
                </c:pt>
                <c:pt idx="8">
                  <c:v>2.9578546740207998</c:v>
                </c:pt>
                <c:pt idx="9">
                  <c:v>3.5016528209418998</c:v>
                </c:pt>
                <c:pt idx="10">
                  <c:v>3.3124856166752998</c:v>
                </c:pt>
                <c:pt idx="11">
                  <c:v>3.4446454713299999</c:v>
                </c:pt>
                <c:pt idx="12">
                  <c:v>3.1895370194703001</c:v>
                </c:pt>
                <c:pt idx="13">
                  <c:v>3.3116067013581998</c:v>
                </c:pt>
                <c:pt idx="14">
                  <c:v>3.4514609337250999</c:v>
                </c:pt>
                <c:pt idx="15">
                  <c:v>3.4544925575952998</c:v>
                </c:pt>
                <c:pt idx="16">
                  <c:v>3.2998287314909001</c:v>
                </c:pt>
                <c:pt idx="17">
                  <c:v>3.2725949129130001</c:v>
                </c:pt>
                <c:pt idx="18">
                  <c:v>3.3263086428547002</c:v>
                </c:pt>
              </c:numCache>
            </c:numRef>
          </c:val>
          <c:smooth val="0"/>
          <c:extLst>
            <c:ext xmlns:c16="http://schemas.microsoft.com/office/drawing/2014/chart" uri="{C3380CC4-5D6E-409C-BE32-E72D297353CC}">
              <c16:uniqueId val="{00000001-A043-4DB5-BF83-39FAF87D817B}"/>
            </c:ext>
          </c:extLst>
        </c:ser>
        <c:ser>
          <c:idx val="1"/>
          <c:order val="1"/>
          <c:tx>
            <c:strRef>
              <c:f>node_55378_field_table_data_und!$C$1</c:f>
              <c:strCache>
                <c:ptCount val="1"/>
                <c:pt idx="0">
                  <c:v>Fosforjeva gnojila</c:v>
                </c:pt>
              </c:strCache>
            </c:strRef>
          </c:tx>
          <c:marker>
            <c:symbol val="none"/>
          </c:marker>
          <c:cat>
            <c:strRef>
              <c:f>node_55378_field_table_data_und!$A$10:$A$28</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node_55378_field_table_data_und!$C$10:$C$28</c:f>
              <c:numCache>
                <c:formatCode>#,##0.00</c:formatCode>
                <c:ptCount val="19"/>
                <c:pt idx="0">
                  <c:v>0.50774127632819999</c:v>
                </c:pt>
                <c:pt idx="1">
                  <c:v>0.46142866113056002</c:v>
                </c:pt>
                <c:pt idx="2">
                  <c:v>0.43976338478461002</c:v>
                </c:pt>
                <c:pt idx="3">
                  <c:v>0.4253481103924</c:v>
                </c:pt>
                <c:pt idx="4">
                  <c:v>0.42261935341821999</c:v>
                </c:pt>
                <c:pt idx="5">
                  <c:v>0.37381738701428002</c:v>
                </c:pt>
                <c:pt idx="6">
                  <c:v>0.36927854983907998</c:v>
                </c:pt>
                <c:pt idx="7">
                  <c:v>0.36204916684388</c:v>
                </c:pt>
                <c:pt idx="8">
                  <c:v>0.34319935665198997</c:v>
                </c:pt>
                <c:pt idx="9">
                  <c:v>0.23136761039581999</c:v>
                </c:pt>
                <c:pt idx="10">
                  <c:v>0.29045958270229999</c:v>
                </c:pt>
                <c:pt idx="11">
                  <c:v>0.27849415338685002</c:v>
                </c:pt>
                <c:pt idx="12">
                  <c:v>0.26247424700772998</c:v>
                </c:pt>
                <c:pt idx="13">
                  <c:v>0.26315965319656998</c:v>
                </c:pt>
                <c:pt idx="14">
                  <c:v>0.26841862307374997</c:v>
                </c:pt>
                <c:pt idx="15">
                  <c:v>0.28016407262477999</c:v>
                </c:pt>
                <c:pt idx="16">
                  <c:v>0.27156716652257001</c:v>
                </c:pt>
                <c:pt idx="17">
                  <c:v>0.26863159643966</c:v>
                </c:pt>
                <c:pt idx="18">
                  <c:v>0.27092018370151999</c:v>
                </c:pt>
              </c:numCache>
            </c:numRef>
          </c:val>
          <c:smooth val="0"/>
          <c:extLst>
            <c:ext xmlns:c16="http://schemas.microsoft.com/office/drawing/2014/chart" uri="{C3380CC4-5D6E-409C-BE32-E72D297353CC}">
              <c16:uniqueId val="{00000002-A043-4DB5-BF83-39FAF87D817B}"/>
            </c:ext>
          </c:extLst>
        </c:ser>
        <c:ser>
          <c:idx val="2"/>
          <c:order val="2"/>
          <c:tx>
            <c:strRef>
              <c:f>node_55378_field_table_data_und!$D$1</c:f>
              <c:strCache>
                <c:ptCount val="1"/>
                <c:pt idx="0">
                  <c:v>Skupaj</c:v>
                </c:pt>
              </c:strCache>
            </c:strRef>
          </c:tx>
          <c:marker>
            <c:symbol val="none"/>
          </c:marker>
          <c:cat>
            <c:strRef>
              <c:f>node_55378_field_table_data_und!$A$10:$A$28</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node_55378_field_table_data_und!$D$10:$D$28</c:f>
              <c:numCache>
                <c:formatCode>#,##0.00</c:formatCode>
                <c:ptCount val="19"/>
                <c:pt idx="0">
                  <c:v>4.4118379243948</c:v>
                </c:pt>
                <c:pt idx="1">
                  <c:v>4.4296092217006997</c:v>
                </c:pt>
                <c:pt idx="2">
                  <c:v>4.2849110714554</c:v>
                </c:pt>
                <c:pt idx="3">
                  <c:v>4.3627382094489002</c:v>
                </c:pt>
                <c:pt idx="4">
                  <c:v>4.0115944369014001</c:v>
                </c:pt>
                <c:pt idx="5">
                  <c:v>3.7089146137954998</c:v>
                </c:pt>
                <c:pt idx="6">
                  <c:v>3.9738354088571</c:v>
                </c:pt>
                <c:pt idx="7">
                  <c:v>3.8178279160463999</c:v>
                </c:pt>
                <c:pt idx="8">
                  <c:v>3.3010540306727001</c:v>
                </c:pt>
                <c:pt idx="9">
                  <c:v>3.7330204313377</c:v>
                </c:pt>
                <c:pt idx="10">
                  <c:v>3.6029451993775998</c:v>
                </c:pt>
                <c:pt idx="11">
                  <c:v>3.7231396247167998</c:v>
                </c:pt>
                <c:pt idx="12">
                  <c:v>3.4520112664781002</c:v>
                </c:pt>
                <c:pt idx="13">
                  <c:v>3.5747663545547002</c:v>
                </c:pt>
                <c:pt idx="14">
                  <c:v>3.7198795567989</c:v>
                </c:pt>
                <c:pt idx="15">
                  <c:v>3.7346566302200999</c:v>
                </c:pt>
                <c:pt idx="16">
                  <c:v>3.5713958980134999</c:v>
                </c:pt>
                <c:pt idx="17">
                  <c:v>3.5412265093526001</c:v>
                </c:pt>
                <c:pt idx="18">
                  <c:v>3.5972288265563002</c:v>
                </c:pt>
              </c:numCache>
            </c:numRef>
          </c:val>
          <c:smooth val="0"/>
          <c:extLst>
            <c:ext xmlns:c16="http://schemas.microsoft.com/office/drawing/2014/chart" uri="{C3380CC4-5D6E-409C-BE32-E72D297353CC}">
              <c16:uniqueId val="{00000003-A043-4DB5-BF83-39FAF87D817B}"/>
            </c:ext>
          </c:extLst>
        </c:ser>
        <c:dLbls>
          <c:showLegendKey val="0"/>
          <c:showVal val="0"/>
          <c:showCatName val="0"/>
          <c:showSerName val="0"/>
          <c:showPercent val="0"/>
          <c:showBubbleSize val="0"/>
        </c:dLbls>
        <c:marker val="1"/>
        <c:smooth val="0"/>
        <c:axId val="109466752"/>
        <c:axId val="109468288"/>
      </c:lineChart>
      <c:catAx>
        <c:axId val="109466752"/>
        <c:scaling>
          <c:orientation val="minMax"/>
        </c:scaling>
        <c:delete val="0"/>
        <c:axPos val="b"/>
        <c:numFmt formatCode="General" sourceLinked="0"/>
        <c:majorTickMark val="out"/>
        <c:minorTickMark val="none"/>
        <c:tickLblPos val="nextTo"/>
        <c:crossAx val="109468288"/>
        <c:crosses val="autoZero"/>
        <c:auto val="1"/>
        <c:lblAlgn val="ctr"/>
        <c:lblOffset val="100"/>
        <c:noMultiLvlLbl val="0"/>
      </c:catAx>
      <c:valAx>
        <c:axId val="109468288"/>
        <c:scaling>
          <c:orientation val="minMax"/>
        </c:scaling>
        <c:delete val="0"/>
        <c:axPos val="l"/>
        <c:majorGridlines/>
        <c:numFmt formatCode="#,##0.00" sourceLinked="1"/>
        <c:majorTickMark val="out"/>
        <c:minorTickMark val="none"/>
        <c:tickLblPos val="nextTo"/>
        <c:crossAx val="109466752"/>
        <c:crosses val="autoZero"/>
        <c:crossBetween val="between"/>
      </c:valAx>
      <c:valAx>
        <c:axId val="109470080"/>
        <c:scaling>
          <c:orientation val="minMax"/>
        </c:scaling>
        <c:delete val="0"/>
        <c:axPos val="r"/>
        <c:numFmt formatCode="General" sourceLinked="1"/>
        <c:majorTickMark val="out"/>
        <c:minorTickMark val="none"/>
        <c:tickLblPos val="nextTo"/>
        <c:crossAx val="109471616"/>
        <c:crosses val="max"/>
        <c:crossBetween val="between"/>
      </c:valAx>
      <c:catAx>
        <c:axId val="109471616"/>
        <c:scaling>
          <c:orientation val="minMax"/>
        </c:scaling>
        <c:delete val="1"/>
        <c:axPos val="b"/>
        <c:majorTickMark val="out"/>
        <c:minorTickMark val="none"/>
        <c:tickLblPos val="nextTo"/>
        <c:crossAx val="109470080"/>
        <c:crosses val="autoZero"/>
        <c:auto val="1"/>
        <c:lblAlgn val="ctr"/>
        <c:lblOffset val="100"/>
        <c:noMultiLvlLbl val="0"/>
      </c:catAx>
    </c:plotArea>
    <c:legend>
      <c:legendPos val="b"/>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a:pPr>
            <a:r>
              <a:rPr lang="sl-SI" sz="1000">
                <a:latin typeface="Arial" panose="020B0604020202020204" pitchFamily="34" charset="0"/>
                <a:cs typeface="Arial" panose="020B0604020202020204" pitchFamily="34" charset="0"/>
              </a:rPr>
              <a:t>Delež energije iz obnovljivih virov v bruto končni porabi energije (%)</a:t>
            </a:r>
          </a:p>
        </c:rich>
      </c:tx>
      <c:layout/>
      <c:overlay val="0"/>
    </c:title>
    <c:autoTitleDeleted val="0"/>
    <c:plotArea>
      <c:layout/>
      <c:lineChart>
        <c:grouping val="standard"/>
        <c:varyColors val="0"/>
        <c:ser>
          <c:idx val="0"/>
          <c:order val="0"/>
          <c:marker>
            <c:symbol val="none"/>
          </c:marker>
          <c:cat>
            <c:numRef>
              <c:f>List1!$F$3:$P$3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List1!$F$4:$P$4</c:f>
              <c:numCache>
                <c:formatCode>General</c:formatCode>
                <c:ptCount val="11"/>
                <c:pt idx="0">
                  <c:v>15</c:v>
                </c:pt>
                <c:pt idx="1">
                  <c:v>20.149999999999999</c:v>
                </c:pt>
                <c:pt idx="2">
                  <c:v>20.420000000000002</c:v>
                </c:pt>
                <c:pt idx="3">
                  <c:v>20.260000000000002</c:v>
                </c:pt>
                <c:pt idx="4">
                  <c:v>20.82</c:v>
                </c:pt>
                <c:pt idx="5">
                  <c:v>22.41</c:v>
                </c:pt>
                <c:pt idx="6">
                  <c:v>21.54</c:v>
                </c:pt>
                <c:pt idx="7">
                  <c:v>21.89</c:v>
                </c:pt>
                <c:pt idx="8">
                  <c:v>21.29</c:v>
                </c:pt>
                <c:pt idx="9">
                  <c:v>21.04</c:v>
                </c:pt>
                <c:pt idx="10">
                  <c:v>21.14</c:v>
                </c:pt>
              </c:numCache>
            </c:numRef>
          </c:val>
          <c:smooth val="0"/>
          <c:extLst>
            <c:ext xmlns:c16="http://schemas.microsoft.com/office/drawing/2014/chart" uri="{C3380CC4-5D6E-409C-BE32-E72D297353CC}">
              <c16:uniqueId val="{00000000-8698-474F-8FE6-D714B4A36EB1}"/>
            </c:ext>
          </c:extLst>
        </c:ser>
        <c:dLbls>
          <c:showLegendKey val="0"/>
          <c:showVal val="0"/>
          <c:showCatName val="0"/>
          <c:showSerName val="0"/>
          <c:showPercent val="0"/>
          <c:showBubbleSize val="0"/>
        </c:dLbls>
        <c:smooth val="0"/>
        <c:axId val="109484288"/>
        <c:axId val="109502464"/>
      </c:lineChart>
      <c:catAx>
        <c:axId val="109484288"/>
        <c:scaling>
          <c:orientation val="minMax"/>
        </c:scaling>
        <c:delete val="0"/>
        <c:axPos val="b"/>
        <c:numFmt formatCode="General" sourceLinked="1"/>
        <c:majorTickMark val="out"/>
        <c:minorTickMark val="none"/>
        <c:tickLblPos val="nextTo"/>
        <c:crossAx val="109502464"/>
        <c:crosses val="autoZero"/>
        <c:auto val="1"/>
        <c:lblAlgn val="ctr"/>
        <c:lblOffset val="100"/>
        <c:noMultiLvlLbl val="0"/>
      </c:catAx>
      <c:valAx>
        <c:axId val="109502464"/>
        <c:scaling>
          <c:orientation val="minMax"/>
          <c:max val="24"/>
          <c:min val="14"/>
        </c:scaling>
        <c:delete val="0"/>
        <c:axPos val="l"/>
        <c:majorGridlines/>
        <c:numFmt formatCode="General" sourceLinked="1"/>
        <c:majorTickMark val="out"/>
        <c:minorTickMark val="none"/>
        <c:tickLblPos val="nextTo"/>
        <c:crossAx val="109484288"/>
        <c:crosses val="autoZero"/>
        <c:crossBetween val="between"/>
        <c:majorUnit val="2"/>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l-SI"/>
        </a:p>
      </c:txPr>
    </c:title>
    <c:autoTitleDeleted val="0"/>
    <c:plotArea>
      <c:layout>
        <c:manualLayout>
          <c:layoutTarget val="inner"/>
          <c:xMode val="edge"/>
          <c:yMode val="edge"/>
          <c:x val="9.2030732353845901E-2"/>
          <c:y val="0.15205770990408879"/>
          <c:w val="0.51736310200778368"/>
          <c:h val="0.83767341043269805"/>
        </c:manualLayout>
      </c:layout>
      <c:doughnutChart>
        <c:varyColors val="1"/>
        <c:ser>
          <c:idx val="0"/>
          <c:order val="0"/>
          <c:tx>
            <c:strRef>
              <c:f>List1!$C$600</c:f>
              <c:strCache>
                <c:ptCount val="1"/>
                <c:pt idx="0">
                  <c:v>Vsebinska opredelitev (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599-469C-9481-0ACE6A8DE07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599-469C-9481-0ACE6A8DE07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599-469C-9481-0ACE6A8DE07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599-469C-9481-0ACE6A8DE07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599-469C-9481-0ACE6A8DE072}"/>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599-469C-9481-0ACE6A8DE07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A599-469C-9481-0ACE6A8DE072}"/>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A599-469C-9481-0ACE6A8DE072}"/>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A599-469C-9481-0ACE6A8DE072}"/>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A599-469C-9481-0ACE6A8DE072}"/>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A599-469C-9481-0ACE6A8DE072}"/>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A599-469C-9481-0ACE6A8DE07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List1!$B$601:$B$612</c:f>
              <c:strCache>
                <c:ptCount val="12"/>
                <c:pt idx="0">
                  <c:v>turizem</c:v>
                </c:pt>
                <c:pt idx="1">
                  <c:v>izobraževanje</c:v>
                </c:pt>
                <c:pt idx="2">
                  <c:v>obnova in razvoj vasi</c:v>
                </c:pt>
                <c:pt idx="3">
                  <c:v>kulturna dediščina</c:v>
                </c:pt>
                <c:pt idx="4">
                  <c:v>družba in sociala</c:v>
                </c:pt>
                <c:pt idx="5">
                  <c:v>študije in analize stanja</c:v>
                </c:pt>
                <c:pt idx="6">
                  <c:v>kmetijstvo, gozdarstvo, prehrana</c:v>
                </c:pt>
                <c:pt idx="7">
                  <c:v>podjetništvo na podeželju</c:v>
                </c:pt>
                <c:pt idx="8">
                  <c:v>digitalizacija na podeželju</c:v>
                </c:pt>
                <c:pt idx="9">
                  <c:v>varstvo okolja, naravni viri energije in varovanje podnebja</c:v>
                </c:pt>
                <c:pt idx="11">
                  <c:v>biogospodarstvo</c:v>
                </c:pt>
              </c:strCache>
            </c:strRef>
          </c:cat>
          <c:val>
            <c:numRef>
              <c:f>List1!$C$601:$C$612</c:f>
              <c:numCache>
                <c:formatCode>#,##0.00</c:formatCode>
                <c:ptCount val="12"/>
                <c:pt idx="0">
                  <c:v>22.788203753351208</c:v>
                </c:pt>
                <c:pt idx="1">
                  <c:v>2.4128686327077746</c:v>
                </c:pt>
                <c:pt idx="2">
                  <c:v>19.034852546916888</c:v>
                </c:pt>
                <c:pt idx="3">
                  <c:v>16.353887399463808</c:v>
                </c:pt>
                <c:pt idx="4">
                  <c:v>12.868632707774799</c:v>
                </c:pt>
                <c:pt idx="5">
                  <c:v>0.53619302949061665</c:v>
                </c:pt>
                <c:pt idx="6">
                  <c:v>11.796246648793565</c:v>
                </c:pt>
                <c:pt idx="7">
                  <c:v>4.8257372654155493</c:v>
                </c:pt>
                <c:pt idx="8">
                  <c:v>0.26809651474530832</c:v>
                </c:pt>
                <c:pt idx="9">
                  <c:v>7.98</c:v>
                </c:pt>
                <c:pt idx="11">
                  <c:v>1.0723860589812333</c:v>
                </c:pt>
              </c:numCache>
            </c:numRef>
          </c:val>
          <c:extLst>
            <c:ext xmlns:c16="http://schemas.microsoft.com/office/drawing/2014/chart" uri="{C3380CC4-5D6E-409C-BE32-E72D297353CC}">
              <c16:uniqueId val="{00000000-9A56-4FE3-B5F3-97F0820B090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4999585301899465"/>
          <c:y val="0.13353550384946392"/>
          <c:w val="0.33857557726650511"/>
          <c:h val="0.8253729502066062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099630880012796E-2"/>
          <c:y val="2.7658649884274366E-2"/>
          <c:w val="0.86569921554942197"/>
          <c:h val="0.88506989860803287"/>
        </c:manualLayout>
      </c:layout>
      <c:barChart>
        <c:barDir val="col"/>
        <c:grouping val="clustered"/>
        <c:varyColors val="0"/>
        <c:ser>
          <c:idx val="0"/>
          <c:order val="0"/>
          <c:tx>
            <c:strRef>
              <c:f>'število preb.'!$E$448</c:f>
              <c:strCache>
                <c:ptCount val="1"/>
                <c:pt idx="0">
                  <c:v>SLOVENIJA</c:v>
                </c:pt>
              </c:strCache>
            </c:strRef>
          </c:tx>
          <c:spPr>
            <a:ln w="3175">
              <a:solidFill>
                <a:schemeClr val="tx1"/>
              </a:solidFill>
            </a:ln>
          </c:spPr>
          <c:invertIfNegative val="0"/>
          <c:dPt>
            <c:idx val="1"/>
            <c:invertIfNegative val="0"/>
            <c:bubble3D val="0"/>
            <c:spPr>
              <a:ln w="3175" cmpd="sng">
                <a:solidFill>
                  <a:schemeClr val="tx1"/>
                </a:solidFill>
              </a:ln>
            </c:spPr>
            <c:extLst>
              <c:ext xmlns:c16="http://schemas.microsoft.com/office/drawing/2014/chart" uri="{C3380CC4-5D6E-409C-BE32-E72D297353CC}">
                <c16:uniqueId val="{00000001-8437-4473-A072-75F773F82F9F}"/>
              </c:ext>
            </c:extLst>
          </c:dPt>
          <c:dPt>
            <c:idx val="4"/>
            <c:invertIfNegative val="0"/>
            <c:bubble3D val="0"/>
            <c:extLst>
              <c:ext xmlns:c16="http://schemas.microsoft.com/office/drawing/2014/chart" uri="{C3380CC4-5D6E-409C-BE32-E72D297353CC}">
                <c16:uniqueId val="{00000003-8437-4473-A072-75F773F82F9F}"/>
              </c:ext>
            </c:extLst>
          </c:dPt>
          <c:dPt>
            <c:idx val="7"/>
            <c:invertIfNegative val="0"/>
            <c:bubble3D val="0"/>
            <c:extLst>
              <c:ext xmlns:c16="http://schemas.microsoft.com/office/drawing/2014/chart" uri="{C3380CC4-5D6E-409C-BE32-E72D297353CC}">
                <c16:uniqueId val="{00000005-8437-4473-A072-75F773F82F9F}"/>
              </c:ext>
            </c:extLst>
          </c:dPt>
          <c:dPt>
            <c:idx val="10"/>
            <c:invertIfNegative val="0"/>
            <c:bubble3D val="0"/>
            <c:extLst>
              <c:ext xmlns:c16="http://schemas.microsoft.com/office/drawing/2014/chart" uri="{C3380CC4-5D6E-409C-BE32-E72D297353CC}">
                <c16:uniqueId val="{00000007-8437-4473-A072-75F773F82F9F}"/>
              </c:ext>
            </c:extLst>
          </c:dPt>
          <c:dPt>
            <c:idx val="13"/>
            <c:invertIfNegative val="0"/>
            <c:bubble3D val="0"/>
            <c:extLst>
              <c:ext xmlns:c16="http://schemas.microsoft.com/office/drawing/2014/chart" uri="{C3380CC4-5D6E-409C-BE32-E72D297353CC}">
                <c16:uniqueId val="{00000009-8437-4473-A072-75F773F82F9F}"/>
              </c:ext>
            </c:extLst>
          </c:dPt>
          <c:dPt>
            <c:idx val="16"/>
            <c:invertIfNegative val="0"/>
            <c:bubble3D val="0"/>
            <c:extLst>
              <c:ext xmlns:c16="http://schemas.microsoft.com/office/drawing/2014/chart" uri="{C3380CC4-5D6E-409C-BE32-E72D297353CC}">
                <c16:uniqueId val="{0000000B-8437-4473-A072-75F773F82F9F}"/>
              </c:ext>
            </c:extLst>
          </c:dPt>
          <c:cat>
            <c:multiLvlStrRef>
              <c:f>'število preb.'!$F$446:$Y$447</c:f>
              <c:multiLvlStrCache>
                <c:ptCount val="18"/>
                <c:lvl>
                  <c:pt idx="0">
                    <c:v>Skupaj</c:v>
                  </c:pt>
                  <c:pt idx="1">
                    <c:v>MLADI (15-26 let)</c:v>
                  </c:pt>
                  <c:pt idx="2">
                    <c:v>65 + let</c:v>
                  </c:pt>
                  <c:pt idx="3">
                    <c:v>Skupaj</c:v>
                  </c:pt>
                  <c:pt idx="4">
                    <c:v>MLADI (15-26 let)</c:v>
                  </c:pt>
                  <c:pt idx="5">
                    <c:v>65 + let</c:v>
                  </c:pt>
                  <c:pt idx="6">
                    <c:v>Skupaj</c:v>
                  </c:pt>
                  <c:pt idx="7">
                    <c:v>MLADI (15-26 let)</c:v>
                  </c:pt>
                  <c:pt idx="9">
                    <c:v>Skupaj</c:v>
                  </c:pt>
                  <c:pt idx="10">
                    <c:v>MLADI (15-26 let)</c:v>
                  </c:pt>
                  <c:pt idx="11">
                    <c:v>65 + let</c:v>
                  </c:pt>
                  <c:pt idx="12">
                    <c:v>Skupaj</c:v>
                  </c:pt>
                  <c:pt idx="13">
                    <c:v>MLADI (15-26 let)</c:v>
                  </c:pt>
                  <c:pt idx="14">
                    <c:v>65 + let</c:v>
                  </c:pt>
                  <c:pt idx="15">
                    <c:v>Skupaj</c:v>
                  </c:pt>
                  <c:pt idx="16">
                    <c:v>MLADI (15-26 let)</c:v>
                  </c:pt>
                  <c:pt idx="17">
                    <c:v>65 + let</c:v>
                  </c:pt>
                </c:lvl>
                <c:lvl>
                  <c:pt idx="0">
                    <c:v>2005</c:v>
                  </c:pt>
                  <c:pt idx="3">
                    <c:v>2008</c:v>
                  </c:pt>
                  <c:pt idx="6">
                    <c:v>2010</c:v>
                  </c:pt>
                  <c:pt idx="9">
                    <c:v>2015</c:v>
                  </c:pt>
                  <c:pt idx="12">
                    <c:v>2018</c:v>
                  </c:pt>
                  <c:pt idx="15">
                    <c:v>2019</c:v>
                  </c:pt>
                </c:lvl>
              </c:multiLvlStrCache>
            </c:multiLvlStrRef>
          </c:cat>
          <c:val>
            <c:numRef>
              <c:f>'število preb.'!$F$448:$Y$448</c:f>
              <c:numCache>
                <c:formatCode>0</c:formatCode>
                <c:ptCount val="18"/>
                <c:pt idx="0" formatCode="General">
                  <c:v>1997590</c:v>
                </c:pt>
                <c:pt idx="1">
                  <c:v>329429</c:v>
                </c:pt>
                <c:pt idx="2">
                  <c:v>306484</c:v>
                </c:pt>
                <c:pt idx="3">
                  <c:v>2049261</c:v>
                </c:pt>
                <c:pt idx="4">
                  <c:v>310290</c:v>
                </c:pt>
                <c:pt idx="5">
                  <c:v>326847</c:v>
                </c:pt>
                <c:pt idx="6">
                  <c:v>2049261</c:v>
                </c:pt>
                <c:pt idx="7">
                  <c:v>294847</c:v>
                </c:pt>
                <c:pt idx="8">
                  <c:v>338265</c:v>
                </c:pt>
                <c:pt idx="9">
                  <c:v>2063077</c:v>
                </c:pt>
                <c:pt idx="10">
                  <c:v>246964</c:v>
                </c:pt>
                <c:pt idx="11">
                  <c:v>380102</c:v>
                </c:pt>
                <c:pt idx="12">
                  <c:v>2070050</c:v>
                </c:pt>
                <c:pt idx="13">
                  <c:v>237866</c:v>
                </c:pt>
                <c:pt idx="14">
                  <c:v>401262</c:v>
                </c:pt>
                <c:pt idx="15">
                  <c:v>2089310</c:v>
                </c:pt>
                <c:pt idx="16">
                  <c:v>240666</c:v>
                </c:pt>
                <c:pt idx="17">
                  <c:v>424004</c:v>
                </c:pt>
              </c:numCache>
            </c:numRef>
          </c:val>
          <c:extLst>
            <c:ext xmlns:c16="http://schemas.microsoft.com/office/drawing/2014/chart" uri="{C3380CC4-5D6E-409C-BE32-E72D297353CC}">
              <c16:uniqueId val="{0000000C-8437-4473-A072-75F773F82F9F}"/>
            </c:ext>
          </c:extLst>
        </c:ser>
        <c:ser>
          <c:idx val="1"/>
          <c:order val="1"/>
          <c:tx>
            <c:strRef>
              <c:f>'število preb.'!$E$449</c:f>
              <c:strCache>
                <c:ptCount val="1"/>
                <c:pt idx="0">
                  <c:v>Podeželje</c:v>
                </c:pt>
              </c:strCache>
            </c:strRef>
          </c:tx>
          <c:spPr>
            <a:solidFill>
              <a:srgbClr val="92D050"/>
            </a:solidFill>
            <a:ln w="3175" cmpd="sng">
              <a:solidFill>
                <a:schemeClr val="tx1"/>
              </a:solidFill>
            </a:ln>
          </c:spPr>
          <c:invertIfNegative val="0"/>
          <c:dPt>
            <c:idx val="1"/>
            <c:invertIfNegative val="0"/>
            <c:bubble3D val="0"/>
            <c:extLst>
              <c:ext xmlns:c16="http://schemas.microsoft.com/office/drawing/2014/chart" uri="{C3380CC4-5D6E-409C-BE32-E72D297353CC}">
                <c16:uniqueId val="{0000000E-8437-4473-A072-75F773F82F9F}"/>
              </c:ext>
            </c:extLst>
          </c:dPt>
          <c:dPt>
            <c:idx val="4"/>
            <c:invertIfNegative val="0"/>
            <c:bubble3D val="0"/>
            <c:extLst>
              <c:ext xmlns:c16="http://schemas.microsoft.com/office/drawing/2014/chart" uri="{C3380CC4-5D6E-409C-BE32-E72D297353CC}">
                <c16:uniqueId val="{00000010-8437-4473-A072-75F773F82F9F}"/>
              </c:ext>
            </c:extLst>
          </c:dPt>
          <c:dPt>
            <c:idx val="7"/>
            <c:invertIfNegative val="0"/>
            <c:bubble3D val="0"/>
            <c:extLst>
              <c:ext xmlns:c16="http://schemas.microsoft.com/office/drawing/2014/chart" uri="{C3380CC4-5D6E-409C-BE32-E72D297353CC}">
                <c16:uniqueId val="{00000012-8437-4473-A072-75F773F82F9F}"/>
              </c:ext>
            </c:extLst>
          </c:dPt>
          <c:dPt>
            <c:idx val="10"/>
            <c:invertIfNegative val="0"/>
            <c:bubble3D val="0"/>
            <c:extLst>
              <c:ext xmlns:c16="http://schemas.microsoft.com/office/drawing/2014/chart" uri="{C3380CC4-5D6E-409C-BE32-E72D297353CC}">
                <c16:uniqueId val="{00000014-8437-4473-A072-75F773F82F9F}"/>
              </c:ext>
            </c:extLst>
          </c:dPt>
          <c:dPt>
            <c:idx val="13"/>
            <c:invertIfNegative val="0"/>
            <c:bubble3D val="0"/>
            <c:extLst>
              <c:ext xmlns:c16="http://schemas.microsoft.com/office/drawing/2014/chart" uri="{C3380CC4-5D6E-409C-BE32-E72D297353CC}">
                <c16:uniqueId val="{00000016-8437-4473-A072-75F773F82F9F}"/>
              </c:ext>
            </c:extLst>
          </c:dPt>
          <c:dPt>
            <c:idx val="16"/>
            <c:invertIfNegative val="0"/>
            <c:bubble3D val="0"/>
            <c:extLst>
              <c:ext xmlns:c16="http://schemas.microsoft.com/office/drawing/2014/chart" uri="{C3380CC4-5D6E-409C-BE32-E72D297353CC}">
                <c16:uniqueId val="{00000018-8437-4473-A072-75F773F82F9F}"/>
              </c:ext>
            </c:extLst>
          </c:dPt>
          <c:cat>
            <c:multiLvlStrRef>
              <c:f>'število preb.'!$F$446:$Y$447</c:f>
              <c:multiLvlStrCache>
                <c:ptCount val="18"/>
                <c:lvl>
                  <c:pt idx="0">
                    <c:v>Skupaj</c:v>
                  </c:pt>
                  <c:pt idx="1">
                    <c:v>MLADI (15-26 let)</c:v>
                  </c:pt>
                  <c:pt idx="2">
                    <c:v>65 + let</c:v>
                  </c:pt>
                  <c:pt idx="3">
                    <c:v>Skupaj</c:v>
                  </c:pt>
                  <c:pt idx="4">
                    <c:v>MLADI (15-26 let)</c:v>
                  </c:pt>
                  <c:pt idx="5">
                    <c:v>65 + let</c:v>
                  </c:pt>
                  <c:pt idx="6">
                    <c:v>Skupaj</c:v>
                  </c:pt>
                  <c:pt idx="7">
                    <c:v>MLADI (15-26 let)</c:v>
                  </c:pt>
                  <c:pt idx="9">
                    <c:v>Skupaj</c:v>
                  </c:pt>
                  <c:pt idx="10">
                    <c:v>MLADI (15-26 let)</c:v>
                  </c:pt>
                  <c:pt idx="11">
                    <c:v>65 + let</c:v>
                  </c:pt>
                  <c:pt idx="12">
                    <c:v>Skupaj</c:v>
                  </c:pt>
                  <c:pt idx="13">
                    <c:v>MLADI (15-26 let)</c:v>
                  </c:pt>
                  <c:pt idx="14">
                    <c:v>65 + let</c:v>
                  </c:pt>
                  <c:pt idx="15">
                    <c:v>Skupaj</c:v>
                  </c:pt>
                  <c:pt idx="16">
                    <c:v>MLADI (15-26 let)</c:v>
                  </c:pt>
                  <c:pt idx="17">
                    <c:v>65 + let</c:v>
                  </c:pt>
                </c:lvl>
                <c:lvl>
                  <c:pt idx="0">
                    <c:v>2005</c:v>
                  </c:pt>
                  <c:pt idx="3">
                    <c:v>2008</c:v>
                  </c:pt>
                  <c:pt idx="6">
                    <c:v>2010</c:v>
                  </c:pt>
                  <c:pt idx="9">
                    <c:v>2015</c:v>
                  </c:pt>
                  <c:pt idx="12">
                    <c:v>2018</c:v>
                  </c:pt>
                  <c:pt idx="15">
                    <c:v>2019</c:v>
                  </c:pt>
                </c:lvl>
              </c:multiLvlStrCache>
            </c:multiLvlStrRef>
          </c:cat>
          <c:val>
            <c:numRef>
              <c:f>'število preb.'!$F$449:$Y$449</c:f>
              <c:numCache>
                <c:formatCode>General</c:formatCode>
                <c:ptCount val="18"/>
                <c:pt idx="0">
                  <c:v>1178641</c:v>
                </c:pt>
                <c:pt idx="1">
                  <c:v>198718</c:v>
                </c:pt>
                <c:pt idx="2">
                  <c:v>177914</c:v>
                </c:pt>
                <c:pt idx="3" formatCode="0">
                  <c:v>1216589</c:v>
                </c:pt>
                <c:pt idx="4" formatCode="0">
                  <c:v>190292</c:v>
                </c:pt>
                <c:pt idx="5" formatCode="0">
                  <c:v>190289</c:v>
                </c:pt>
                <c:pt idx="6" formatCode="0">
                  <c:v>1216589</c:v>
                </c:pt>
                <c:pt idx="7">
                  <c:v>172412</c:v>
                </c:pt>
                <c:pt idx="8">
                  <c:v>197541</c:v>
                </c:pt>
                <c:pt idx="9" formatCode="0">
                  <c:v>1224223</c:v>
                </c:pt>
                <c:pt idx="10" formatCode="0">
                  <c:v>142012</c:v>
                </c:pt>
                <c:pt idx="11" formatCode="0">
                  <c:v>222846</c:v>
                </c:pt>
                <c:pt idx="12" formatCode="0">
                  <c:v>1227785</c:v>
                </c:pt>
                <c:pt idx="13">
                  <c:v>136634</c:v>
                </c:pt>
                <c:pt idx="14">
                  <c:v>235411</c:v>
                </c:pt>
                <c:pt idx="15" formatCode="0">
                  <c:v>1236278</c:v>
                </c:pt>
                <c:pt idx="16" formatCode="0">
                  <c:v>135396</c:v>
                </c:pt>
                <c:pt idx="17" formatCode="0">
                  <c:v>249177</c:v>
                </c:pt>
              </c:numCache>
            </c:numRef>
          </c:val>
          <c:extLst>
            <c:ext xmlns:c16="http://schemas.microsoft.com/office/drawing/2014/chart" uri="{C3380CC4-5D6E-409C-BE32-E72D297353CC}">
              <c16:uniqueId val="{00000019-8437-4473-A072-75F773F82F9F}"/>
            </c:ext>
          </c:extLst>
        </c:ser>
        <c:dLbls>
          <c:showLegendKey val="0"/>
          <c:showVal val="0"/>
          <c:showCatName val="0"/>
          <c:showSerName val="0"/>
          <c:showPercent val="0"/>
          <c:showBubbleSize val="0"/>
        </c:dLbls>
        <c:gapWidth val="150"/>
        <c:axId val="40761600"/>
        <c:axId val="62103552"/>
      </c:barChart>
      <c:catAx>
        <c:axId val="40761600"/>
        <c:scaling>
          <c:orientation val="minMax"/>
        </c:scaling>
        <c:delete val="0"/>
        <c:axPos val="b"/>
        <c:numFmt formatCode="General" sourceLinked="0"/>
        <c:majorTickMark val="out"/>
        <c:minorTickMark val="none"/>
        <c:tickLblPos val="nextTo"/>
        <c:crossAx val="62103552"/>
        <c:crosses val="autoZero"/>
        <c:auto val="1"/>
        <c:lblAlgn val="ctr"/>
        <c:lblOffset val="100"/>
        <c:noMultiLvlLbl val="0"/>
      </c:catAx>
      <c:valAx>
        <c:axId val="62103552"/>
        <c:scaling>
          <c:orientation val="minMax"/>
          <c:max val="2500000"/>
          <c:min val="0"/>
        </c:scaling>
        <c:delete val="0"/>
        <c:axPos val="l"/>
        <c:majorGridlines/>
        <c:numFmt formatCode="#,##0" sourceLinked="0"/>
        <c:majorTickMark val="out"/>
        <c:minorTickMark val="none"/>
        <c:tickLblPos val="nextTo"/>
        <c:crossAx val="40761600"/>
        <c:crosses val="autoZero"/>
        <c:crossBetween val="between"/>
      </c:valAx>
    </c:plotArea>
    <c:legend>
      <c:legendPos val="t"/>
      <c:layout/>
      <c:overlay val="0"/>
      <c:txPr>
        <a:bodyPr/>
        <a:lstStyle/>
        <a:p>
          <a:pPr>
            <a:defRPr sz="1100"/>
          </a:pPr>
          <a:endParaRPr lang="sl-SI"/>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470410538305348E-2"/>
          <c:y val="4.3912175648702596E-2"/>
          <c:w val="0.91677148846960166"/>
          <c:h val="0.66513649865623081"/>
        </c:manualLayout>
      </c:layout>
      <c:barChart>
        <c:barDir val="bar"/>
        <c:grouping val="clustered"/>
        <c:varyColors val="0"/>
        <c:ser>
          <c:idx val="0"/>
          <c:order val="0"/>
          <c:tx>
            <c:strRef>
              <c:f>'naravni prirast'!$A$473:$B$473</c:f>
              <c:strCache>
                <c:ptCount val="1"/>
                <c:pt idx="0">
                  <c:v>Naravni prirast (na 1.000 prebivalcev)  Slovenija</c:v>
                </c:pt>
              </c:strCache>
            </c:strRef>
          </c:tx>
          <c:invertIfNegative val="0"/>
          <c:cat>
            <c:strRef>
              <c:f>'naravni prirast'!$C$472:$G$472</c:f>
              <c:strCache>
                <c:ptCount val="5"/>
                <c:pt idx="0">
                  <c:v>2008</c:v>
                </c:pt>
                <c:pt idx="1">
                  <c:v>2010</c:v>
                </c:pt>
                <c:pt idx="2">
                  <c:v>2013</c:v>
                </c:pt>
                <c:pt idx="3">
                  <c:v>2015</c:v>
                </c:pt>
                <c:pt idx="4">
                  <c:v>2018</c:v>
                </c:pt>
              </c:strCache>
            </c:strRef>
          </c:cat>
          <c:val>
            <c:numRef>
              <c:f>'naravni prirast'!$C$473:$G$473</c:f>
              <c:numCache>
                <c:formatCode>0.0</c:formatCode>
                <c:ptCount val="5"/>
                <c:pt idx="0">
                  <c:v>1.7</c:v>
                </c:pt>
                <c:pt idx="1">
                  <c:v>1.8</c:v>
                </c:pt>
                <c:pt idx="2">
                  <c:v>0.9</c:v>
                </c:pt>
                <c:pt idx="3">
                  <c:v>0.4</c:v>
                </c:pt>
                <c:pt idx="4">
                  <c:v>-0.4</c:v>
                </c:pt>
              </c:numCache>
            </c:numRef>
          </c:val>
          <c:extLst>
            <c:ext xmlns:c16="http://schemas.microsoft.com/office/drawing/2014/chart" uri="{C3380CC4-5D6E-409C-BE32-E72D297353CC}">
              <c16:uniqueId val="{00000000-1C06-491D-9EE7-8F3E5CC72C5D}"/>
            </c:ext>
          </c:extLst>
        </c:ser>
        <c:ser>
          <c:idx val="1"/>
          <c:order val="1"/>
          <c:tx>
            <c:strRef>
              <c:f>'naravni prirast'!$A$474:$B$474</c:f>
              <c:strCache>
                <c:ptCount val="1"/>
                <c:pt idx="0">
                  <c:v>Naravni prirast (na 1.000 prebivalcev)  Podeželje </c:v>
                </c:pt>
              </c:strCache>
            </c:strRef>
          </c:tx>
          <c:spPr>
            <a:solidFill>
              <a:srgbClr val="FFFF00"/>
            </a:solidFill>
            <a:ln>
              <a:solidFill>
                <a:sysClr val="windowText" lastClr="000000"/>
              </a:solidFill>
            </a:ln>
          </c:spPr>
          <c:invertIfNegative val="0"/>
          <c:cat>
            <c:strRef>
              <c:f>'naravni prirast'!$C$472:$G$472</c:f>
              <c:strCache>
                <c:ptCount val="5"/>
                <c:pt idx="0">
                  <c:v>2008</c:v>
                </c:pt>
                <c:pt idx="1">
                  <c:v>2010</c:v>
                </c:pt>
                <c:pt idx="2">
                  <c:v>2013</c:v>
                </c:pt>
                <c:pt idx="3">
                  <c:v>2015</c:v>
                </c:pt>
                <c:pt idx="4">
                  <c:v>2018</c:v>
                </c:pt>
              </c:strCache>
            </c:strRef>
          </c:cat>
          <c:val>
            <c:numRef>
              <c:f>'naravni prirast'!$C$474:$G$474</c:f>
              <c:numCache>
                <c:formatCode>0.0</c:formatCode>
                <c:ptCount val="5"/>
                <c:pt idx="0">
                  <c:v>1.361780459030518</c:v>
                </c:pt>
                <c:pt idx="1">
                  <c:v>1.1824899722091295</c:v>
                </c:pt>
                <c:pt idx="2">
                  <c:v>4.9126843971682509E-2</c:v>
                </c:pt>
                <c:pt idx="3">
                  <c:v>0.1507569000140101</c:v>
                </c:pt>
                <c:pt idx="4">
                  <c:v>-0.56383979454623689</c:v>
                </c:pt>
              </c:numCache>
            </c:numRef>
          </c:val>
          <c:extLst>
            <c:ext xmlns:c16="http://schemas.microsoft.com/office/drawing/2014/chart" uri="{C3380CC4-5D6E-409C-BE32-E72D297353CC}">
              <c16:uniqueId val="{00000001-1C06-491D-9EE7-8F3E5CC72C5D}"/>
            </c:ext>
          </c:extLst>
        </c:ser>
        <c:ser>
          <c:idx val="2"/>
          <c:order val="2"/>
          <c:tx>
            <c:strRef>
              <c:f>'naravni prirast'!$A$475:$B$475</c:f>
              <c:strCache>
                <c:ptCount val="1"/>
                <c:pt idx="0">
                  <c:v>Skupni selitveni prirast (na 1.000 prebivalcev) Slovenija</c:v>
                </c:pt>
              </c:strCache>
            </c:strRef>
          </c:tx>
          <c:spPr>
            <a:solidFill>
              <a:schemeClr val="bg1">
                <a:lumMod val="85000"/>
              </a:schemeClr>
            </a:solidFill>
            <a:ln>
              <a:solidFill>
                <a:schemeClr val="bg1">
                  <a:lumMod val="65000"/>
                </a:schemeClr>
              </a:solidFill>
            </a:ln>
          </c:spPr>
          <c:invertIfNegative val="0"/>
          <c:cat>
            <c:strRef>
              <c:f>'naravni prirast'!$C$472:$G$472</c:f>
              <c:strCache>
                <c:ptCount val="5"/>
                <c:pt idx="0">
                  <c:v>2008</c:v>
                </c:pt>
                <c:pt idx="1">
                  <c:v>2010</c:v>
                </c:pt>
                <c:pt idx="2">
                  <c:v>2013</c:v>
                </c:pt>
                <c:pt idx="3">
                  <c:v>2015</c:v>
                </c:pt>
                <c:pt idx="4">
                  <c:v>2018</c:v>
                </c:pt>
              </c:strCache>
            </c:strRef>
          </c:cat>
          <c:val>
            <c:numRef>
              <c:f>'naravni prirast'!$C$475:$G$475</c:f>
              <c:numCache>
                <c:formatCode>0.0</c:formatCode>
                <c:ptCount val="5"/>
                <c:pt idx="0">
                  <c:v>9.1999999999999993</c:v>
                </c:pt>
                <c:pt idx="1">
                  <c:v>-0.3</c:v>
                </c:pt>
                <c:pt idx="2">
                  <c:v>0.2</c:v>
                </c:pt>
                <c:pt idx="3">
                  <c:v>0.2</c:v>
                </c:pt>
                <c:pt idx="4">
                  <c:v>7.2</c:v>
                </c:pt>
              </c:numCache>
            </c:numRef>
          </c:val>
          <c:extLst>
            <c:ext xmlns:c16="http://schemas.microsoft.com/office/drawing/2014/chart" uri="{C3380CC4-5D6E-409C-BE32-E72D297353CC}">
              <c16:uniqueId val="{00000002-1C06-491D-9EE7-8F3E5CC72C5D}"/>
            </c:ext>
          </c:extLst>
        </c:ser>
        <c:ser>
          <c:idx val="3"/>
          <c:order val="3"/>
          <c:tx>
            <c:strRef>
              <c:f>'naravni prirast'!$A$476:$B$476</c:f>
              <c:strCache>
                <c:ptCount val="1"/>
                <c:pt idx="0">
                  <c:v>Skupni selitveni prirast (na 1.000 prebivalcev) Podeželje </c:v>
                </c:pt>
              </c:strCache>
            </c:strRef>
          </c:tx>
          <c:spPr>
            <a:solidFill>
              <a:srgbClr val="00B050"/>
            </a:solidFill>
            <a:ln>
              <a:solidFill>
                <a:sysClr val="windowText" lastClr="000000"/>
              </a:solidFill>
            </a:ln>
          </c:spPr>
          <c:invertIfNegative val="0"/>
          <c:cat>
            <c:strRef>
              <c:f>'naravni prirast'!$C$472:$G$472</c:f>
              <c:strCache>
                <c:ptCount val="5"/>
                <c:pt idx="0">
                  <c:v>2008</c:v>
                </c:pt>
                <c:pt idx="1">
                  <c:v>2010</c:v>
                </c:pt>
                <c:pt idx="2">
                  <c:v>2013</c:v>
                </c:pt>
                <c:pt idx="3">
                  <c:v>2015</c:v>
                </c:pt>
                <c:pt idx="4">
                  <c:v>2018</c:v>
                </c:pt>
              </c:strCache>
            </c:strRef>
          </c:cat>
          <c:val>
            <c:numRef>
              <c:f>'naravni prirast'!$C$476:$G$476</c:f>
              <c:numCache>
                <c:formatCode>0.0</c:formatCode>
                <c:ptCount val="5"/>
                <c:pt idx="0">
                  <c:v>4.2377551020408157</c:v>
                </c:pt>
                <c:pt idx="1">
                  <c:v>0.60765306122448959</c:v>
                </c:pt>
                <c:pt idx="2">
                  <c:v>-2.7637755102040806</c:v>
                </c:pt>
                <c:pt idx="3">
                  <c:v>-0.80765306122448954</c:v>
                </c:pt>
                <c:pt idx="4">
                  <c:v>3.9994897959183668</c:v>
                </c:pt>
              </c:numCache>
            </c:numRef>
          </c:val>
          <c:extLst>
            <c:ext xmlns:c16="http://schemas.microsoft.com/office/drawing/2014/chart" uri="{C3380CC4-5D6E-409C-BE32-E72D297353CC}">
              <c16:uniqueId val="{00000003-1C06-491D-9EE7-8F3E5CC72C5D}"/>
            </c:ext>
          </c:extLst>
        </c:ser>
        <c:dLbls>
          <c:showLegendKey val="0"/>
          <c:showVal val="0"/>
          <c:showCatName val="0"/>
          <c:showSerName val="0"/>
          <c:showPercent val="0"/>
          <c:showBubbleSize val="0"/>
        </c:dLbls>
        <c:gapWidth val="150"/>
        <c:axId val="106727680"/>
        <c:axId val="106729472"/>
      </c:barChart>
      <c:catAx>
        <c:axId val="106727680"/>
        <c:scaling>
          <c:orientation val="minMax"/>
        </c:scaling>
        <c:delete val="0"/>
        <c:axPos val="l"/>
        <c:numFmt formatCode="General" sourceLinked="0"/>
        <c:majorTickMark val="out"/>
        <c:minorTickMark val="none"/>
        <c:tickLblPos val="low"/>
        <c:txPr>
          <a:bodyPr anchor="t" anchorCtr="1"/>
          <a:lstStyle/>
          <a:p>
            <a:pPr>
              <a:defRPr sz="1200" baseline="0"/>
            </a:pPr>
            <a:endParaRPr lang="sl-SI"/>
          </a:p>
        </c:txPr>
        <c:crossAx val="106729472"/>
        <c:crosses val="autoZero"/>
        <c:auto val="1"/>
        <c:lblAlgn val="ctr"/>
        <c:lblOffset val="100"/>
        <c:noMultiLvlLbl val="0"/>
      </c:catAx>
      <c:valAx>
        <c:axId val="106729472"/>
        <c:scaling>
          <c:orientation val="minMax"/>
        </c:scaling>
        <c:delete val="0"/>
        <c:axPos val="b"/>
        <c:majorGridlines/>
        <c:numFmt formatCode="0.0" sourceLinked="1"/>
        <c:majorTickMark val="out"/>
        <c:minorTickMark val="none"/>
        <c:tickLblPos val="nextTo"/>
        <c:crossAx val="106727680"/>
        <c:crosses val="autoZero"/>
        <c:crossBetween val="between"/>
        <c:majorUnit val="1"/>
      </c:valAx>
    </c:plotArea>
    <c:legend>
      <c:legendPos val="b"/>
      <c:layout>
        <c:manualLayout>
          <c:xMode val="edge"/>
          <c:yMode val="edge"/>
          <c:x val="1.2578616352201259E-2"/>
          <c:y val="0.79308721140396377"/>
          <c:w val="0.97064989517819711"/>
          <c:h val="0.19094472472378074"/>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'[05C1006-1.xlsx]05C1006'!$B$4</c:f>
              <c:strCache>
                <c:ptCount val="1"/>
                <c:pt idx="0">
                  <c:v>Koeficient starostne odvisnosti</c:v>
                </c:pt>
              </c:strCache>
            </c:strRef>
          </c:tx>
          <c:marker>
            <c:symbol val="none"/>
          </c:marker>
          <c:cat>
            <c:numRef>
              <c:f>'[05C1006-1.xlsx]05C1006'!$C$3:$N$3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'[05C1006-1.xlsx]05C1006'!$C$4:$N$4</c:f>
              <c:numCache>
                <c:formatCode>0.0</c:formatCode>
                <c:ptCount val="12"/>
                <c:pt idx="0">
                  <c:v>43.4</c:v>
                </c:pt>
                <c:pt idx="1">
                  <c:v>43.8</c:v>
                </c:pt>
                <c:pt idx="2">
                  <c:v>44.2</c:v>
                </c:pt>
                <c:pt idx="3">
                  <c:v>44.6</c:v>
                </c:pt>
                <c:pt idx="4">
                  <c:v>45.6</c:v>
                </c:pt>
                <c:pt idx="5">
                  <c:v>46.7</c:v>
                </c:pt>
                <c:pt idx="6">
                  <c:v>47.8</c:v>
                </c:pt>
                <c:pt idx="7">
                  <c:v>49.1</c:v>
                </c:pt>
                <c:pt idx="8">
                  <c:v>50.5</c:v>
                </c:pt>
                <c:pt idx="9">
                  <c:v>51.8</c:v>
                </c:pt>
                <c:pt idx="10">
                  <c:v>53.2</c:v>
                </c:pt>
                <c:pt idx="11">
                  <c:v>54.1</c:v>
                </c:pt>
              </c:numCache>
            </c:numRef>
          </c:val>
          <c:smooth val="0"/>
          <c:extLst>
            <c:ext xmlns:c16="http://schemas.microsoft.com/office/drawing/2014/chart" uri="{C3380CC4-5D6E-409C-BE32-E72D297353CC}">
              <c16:uniqueId val="{00000000-26A4-40DC-94F0-3C2168609A3B}"/>
            </c:ext>
          </c:extLst>
        </c:ser>
        <c:ser>
          <c:idx val="1"/>
          <c:order val="1"/>
          <c:tx>
            <c:strRef>
              <c:f>'[05C1006-1.xlsx]05C1006'!$B$5</c:f>
              <c:strCache>
                <c:ptCount val="1"/>
                <c:pt idx="0">
                  <c:v>Koeficient starostne odvisnosti mladih</c:v>
                </c:pt>
              </c:strCache>
            </c:strRef>
          </c:tx>
          <c:spPr>
            <a:ln>
              <a:solidFill>
                <a:srgbClr val="00B050"/>
              </a:solidFill>
            </a:ln>
          </c:spPr>
          <c:marker>
            <c:symbol val="none"/>
          </c:marker>
          <c:cat>
            <c:numRef>
              <c:f>'[05C1006-1.xlsx]05C1006'!$C$3:$N$3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'[05C1006-1.xlsx]05C1006'!$C$5:$N$5</c:f>
              <c:numCache>
                <c:formatCode>0.0</c:formatCode>
                <c:ptCount val="12"/>
                <c:pt idx="0">
                  <c:v>20</c:v>
                </c:pt>
                <c:pt idx="1">
                  <c:v>20.100000000000001</c:v>
                </c:pt>
                <c:pt idx="2">
                  <c:v>20.3</c:v>
                </c:pt>
                <c:pt idx="3">
                  <c:v>20.6</c:v>
                </c:pt>
                <c:pt idx="4">
                  <c:v>20.9</c:v>
                </c:pt>
                <c:pt idx="5">
                  <c:v>21.3</c:v>
                </c:pt>
                <c:pt idx="6">
                  <c:v>21.7</c:v>
                </c:pt>
                <c:pt idx="7">
                  <c:v>22.1</c:v>
                </c:pt>
                <c:pt idx="8">
                  <c:v>22.4</c:v>
                </c:pt>
                <c:pt idx="9">
                  <c:v>22.8</c:v>
                </c:pt>
                <c:pt idx="10">
                  <c:v>23.1</c:v>
                </c:pt>
                <c:pt idx="11">
                  <c:v>23.2</c:v>
                </c:pt>
              </c:numCache>
            </c:numRef>
          </c:val>
          <c:smooth val="0"/>
          <c:extLst>
            <c:ext xmlns:c16="http://schemas.microsoft.com/office/drawing/2014/chart" uri="{C3380CC4-5D6E-409C-BE32-E72D297353CC}">
              <c16:uniqueId val="{00000001-26A4-40DC-94F0-3C2168609A3B}"/>
            </c:ext>
          </c:extLst>
        </c:ser>
        <c:ser>
          <c:idx val="2"/>
          <c:order val="2"/>
          <c:tx>
            <c:strRef>
              <c:f>'[05C1006-1.xlsx]05C1006'!$B$6</c:f>
              <c:strCache>
                <c:ptCount val="1"/>
                <c:pt idx="0">
                  <c:v>Koeficient starostne odvisnosti starih</c:v>
                </c:pt>
              </c:strCache>
            </c:strRef>
          </c:tx>
          <c:spPr>
            <a:ln>
              <a:solidFill>
                <a:srgbClr val="FFC000"/>
              </a:solidFill>
            </a:ln>
          </c:spPr>
          <c:marker>
            <c:symbol val="none"/>
          </c:marker>
          <c:cat>
            <c:numRef>
              <c:f>'[05C1006-1.xlsx]05C1006'!$C$3:$N$3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'[05C1006-1.xlsx]05C1006'!$C$6:$N$6</c:f>
              <c:numCache>
                <c:formatCode>0.0</c:formatCode>
                <c:ptCount val="12"/>
                <c:pt idx="0">
                  <c:v>23.4</c:v>
                </c:pt>
                <c:pt idx="1">
                  <c:v>23.7</c:v>
                </c:pt>
                <c:pt idx="2">
                  <c:v>23.9</c:v>
                </c:pt>
                <c:pt idx="3">
                  <c:v>24</c:v>
                </c:pt>
                <c:pt idx="4">
                  <c:v>24.7</c:v>
                </c:pt>
                <c:pt idx="5">
                  <c:v>25.3</c:v>
                </c:pt>
                <c:pt idx="6">
                  <c:v>26.1</c:v>
                </c:pt>
                <c:pt idx="7">
                  <c:v>27.1</c:v>
                </c:pt>
                <c:pt idx="8">
                  <c:v>28.1</c:v>
                </c:pt>
                <c:pt idx="9">
                  <c:v>29.1</c:v>
                </c:pt>
                <c:pt idx="10">
                  <c:v>30.2</c:v>
                </c:pt>
                <c:pt idx="11">
                  <c:v>30.9</c:v>
                </c:pt>
              </c:numCache>
            </c:numRef>
          </c:val>
          <c:smooth val="0"/>
          <c:extLst>
            <c:ext xmlns:c16="http://schemas.microsoft.com/office/drawing/2014/chart" uri="{C3380CC4-5D6E-409C-BE32-E72D297353CC}">
              <c16:uniqueId val="{00000002-26A4-40DC-94F0-3C2168609A3B}"/>
            </c:ext>
          </c:extLst>
        </c:ser>
        <c:dLbls>
          <c:showLegendKey val="0"/>
          <c:showVal val="0"/>
          <c:showCatName val="0"/>
          <c:showSerName val="0"/>
          <c:showPercent val="0"/>
          <c:showBubbleSize val="0"/>
        </c:dLbls>
        <c:smooth val="0"/>
        <c:axId val="106744064"/>
        <c:axId val="106754048"/>
      </c:lineChart>
      <c:catAx>
        <c:axId val="106744064"/>
        <c:scaling>
          <c:orientation val="minMax"/>
        </c:scaling>
        <c:delete val="0"/>
        <c:axPos val="b"/>
        <c:numFmt formatCode="General" sourceLinked="1"/>
        <c:majorTickMark val="out"/>
        <c:minorTickMark val="none"/>
        <c:tickLblPos val="nextTo"/>
        <c:crossAx val="106754048"/>
        <c:crosses val="autoZero"/>
        <c:auto val="1"/>
        <c:lblAlgn val="ctr"/>
        <c:lblOffset val="100"/>
        <c:noMultiLvlLbl val="0"/>
      </c:catAx>
      <c:valAx>
        <c:axId val="106754048"/>
        <c:scaling>
          <c:orientation val="minMax"/>
          <c:max val="55"/>
          <c:min val="15"/>
        </c:scaling>
        <c:delete val="0"/>
        <c:axPos val="l"/>
        <c:majorGridlines/>
        <c:numFmt formatCode="0.0" sourceLinked="1"/>
        <c:majorTickMark val="out"/>
        <c:minorTickMark val="none"/>
        <c:tickLblPos val="nextTo"/>
        <c:crossAx val="10674406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Notranje</a:t>
            </a:r>
            <a:r>
              <a:rPr lang="sl-SI"/>
              <a:t> selitve</a:t>
            </a:r>
            <a:r>
              <a:rPr lang="sl-SI" baseline="0"/>
              <a:t> med </a:t>
            </a:r>
            <a:r>
              <a:rPr lang="sl-SI"/>
              <a:t>mladi</a:t>
            </a:r>
            <a:endParaRPr lang="en-US"/>
          </a:p>
        </c:rich>
      </c:tx>
      <c:layout/>
      <c:overlay val="0"/>
      <c:spPr>
        <a:noFill/>
        <a:ln>
          <a:noFill/>
        </a:ln>
        <a:effectLst/>
      </c:spPr>
    </c:title>
    <c:autoTitleDeleted val="0"/>
    <c:plotArea>
      <c:layout/>
      <c:barChart>
        <c:barDir val="col"/>
        <c:grouping val="stacked"/>
        <c:varyColors val="0"/>
        <c:ser>
          <c:idx val="0"/>
          <c:order val="0"/>
          <c:tx>
            <c:strRef>
              <c:f>'selitve skupaj'!$I$5</c:f>
              <c:strCache>
                <c:ptCount val="1"/>
                <c:pt idx="0">
                  <c:v>MLADI (15-29 let)</c:v>
                </c:pt>
              </c:strCache>
            </c:strRef>
          </c:tx>
          <c:spPr>
            <a:solidFill>
              <a:schemeClr val="accent1"/>
            </a:solidFill>
            <a:ln>
              <a:noFill/>
            </a:ln>
            <a:effectLst/>
          </c:spPr>
          <c:invertIfNegative val="0"/>
          <c:cat>
            <c:numRef>
              <c:f>'selitve skupaj'!$J$4:$O$4</c:f>
              <c:numCache>
                <c:formatCode>General</c:formatCode>
                <c:ptCount val="6"/>
                <c:pt idx="0">
                  <c:v>2005</c:v>
                </c:pt>
                <c:pt idx="1">
                  <c:v>2008</c:v>
                </c:pt>
                <c:pt idx="2">
                  <c:v>2010</c:v>
                </c:pt>
                <c:pt idx="3">
                  <c:v>2012</c:v>
                </c:pt>
                <c:pt idx="4">
                  <c:v>2015</c:v>
                </c:pt>
                <c:pt idx="5">
                  <c:v>2018</c:v>
                </c:pt>
              </c:numCache>
            </c:numRef>
          </c:cat>
          <c:val>
            <c:numRef>
              <c:f>'selitve skupaj'!$J$5:$O$5</c:f>
              <c:numCache>
                <c:formatCode>0</c:formatCode>
                <c:ptCount val="6"/>
                <c:pt idx="0">
                  <c:v>9644</c:v>
                </c:pt>
                <c:pt idx="1">
                  <c:v>45148</c:v>
                </c:pt>
                <c:pt idx="2">
                  <c:v>37616</c:v>
                </c:pt>
                <c:pt idx="3">
                  <c:v>41131</c:v>
                </c:pt>
                <c:pt idx="4" formatCode="General">
                  <c:v>39184</c:v>
                </c:pt>
                <c:pt idx="5">
                  <c:v>34073</c:v>
                </c:pt>
              </c:numCache>
            </c:numRef>
          </c:val>
          <c:extLst>
            <c:ext xmlns:c16="http://schemas.microsoft.com/office/drawing/2014/chart" uri="{C3380CC4-5D6E-409C-BE32-E72D297353CC}">
              <c16:uniqueId val="{00000000-5F08-4CDC-8896-2C3636D7A5E7}"/>
            </c:ext>
          </c:extLst>
        </c:ser>
        <c:ser>
          <c:idx val="1"/>
          <c:order val="1"/>
          <c:tx>
            <c:strRef>
              <c:f>'selitve skupaj'!$I$6</c:f>
              <c:strCache>
                <c:ptCount val="1"/>
                <c:pt idx="0">
                  <c:v>Skupaj</c:v>
                </c:pt>
              </c:strCache>
            </c:strRef>
          </c:tx>
          <c:spPr>
            <a:solidFill>
              <a:schemeClr val="accent6">
                <a:lumMod val="60000"/>
                <a:lumOff val="40000"/>
              </a:schemeClr>
            </a:solidFill>
            <a:ln>
              <a:noFill/>
            </a:ln>
            <a:effectLst/>
          </c:spPr>
          <c:invertIfNegative val="0"/>
          <c:cat>
            <c:numRef>
              <c:f>'selitve skupaj'!$J$4:$O$4</c:f>
              <c:numCache>
                <c:formatCode>General</c:formatCode>
                <c:ptCount val="6"/>
                <c:pt idx="0">
                  <c:v>2005</c:v>
                </c:pt>
                <c:pt idx="1">
                  <c:v>2008</c:v>
                </c:pt>
                <c:pt idx="2">
                  <c:v>2010</c:v>
                </c:pt>
                <c:pt idx="3">
                  <c:v>2012</c:v>
                </c:pt>
                <c:pt idx="4">
                  <c:v>2015</c:v>
                </c:pt>
                <c:pt idx="5">
                  <c:v>2018</c:v>
                </c:pt>
              </c:numCache>
            </c:numRef>
          </c:cat>
          <c:val>
            <c:numRef>
              <c:f>'selitve skupaj'!$J$6:$O$6</c:f>
              <c:numCache>
                <c:formatCode>0</c:formatCode>
                <c:ptCount val="6"/>
                <c:pt idx="0">
                  <c:v>32204</c:v>
                </c:pt>
                <c:pt idx="1">
                  <c:v>106248</c:v>
                </c:pt>
                <c:pt idx="2">
                  <c:v>106551</c:v>
                </c:pt>
                <c:pt idx="3">
                  <c:v>112668</c:v>
                </c:pt>
                <c:pt idx="4" formatCode="General">
                  <c:v>108944</c:v>
                </c:pt>
                <c:pt idx="5">
                  <c:v>103961</c:v>
                </c:pt>
              </c:numCache>
            </c:numRef>
          </c:val>
          <c:extLst>
            <c:ext xmlns:c16="http://schemas.microsoft.com/office/drawing/2014/chart" uri="{C3380CC4-5D6E-409C-BE32-E72D297353CC}">
              <c16:uniqueId val="{00000001-5F08-4CDC-8896-2C3636D7A5E7}"/>
            </c:ext>
          </c:extLst>
        </c:ser>
        <c:dLbls>
          <c:showLegendKey val="0"/>
          <c:showVal val="0"/>
          <c:showCatName val="0"/>
          <c:showSerName val="0"/>
          <c:showPercent val="0"/>
          <c:showBubbleSize val="0"/>
        </c:dLbls>
        <c:gapWidth val="150"/>
        <c:overlap val="100"/>
        <c:axId val="106666624"/>
        <c:axId val="106668416"/>
      </c:barChart>
      <c:catAx>
        <c:axId val="10666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6668416"/>
        <c:crosses val="autoZero"/>
        <c:auto val="1"/>
        <c:lblAlgn val="ctr"/>
        <c:lblOffset val="100"/>
        <c:noMultiLvlLbl val="0"/>
      </c:catAx>
      <c:valAx>
        <c:axId val="106668416"/>
        <c:scaling>
          <c:orientation val="minMax"/>
          <c:max val="16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6666624"/>
        <c:crosses val="autoZero"/>
        <c:crossBetween val="between"/>
        <c:majorUnit val="4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85000"/>
          <a:lumOff val="15000"/>
        </a:schemeClr>
      </a:solidFill>
      <a:round/>
    </a:ln>
    <a:effectLst/>
  </c:spPr>
  <c:txPr>
    <a:bodyPr/>
    <a:lstStyle/>
    <a:p>
      <a:pPr>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'2640010'!$I$11</c:f>
              <c:strCache>
                <c:ptCount val="1"/>
                <c:pt idx="0">
                  <c:v>Slovenija</c:v>
                </c:pt>
              </c:strCache>
            </c:strRef>
          </c:tx>
          <c:spPr>
            <a:solidFill>
              <a:schemeClr val="accent1"/>
            </a:solidFill>
            <a:ln>
              <a:noFill/>
            </a:ln>
            <a:effectLst/>
          </c:spPr>
          <c:invertIfNegative val="0"/>
          <c:cat>
            <c:strRef>
              <c:f>'2640010'!$H$12:$H$14</c:f>
              <c:strCache>
                <c:ptCount val="3"/>
                <c:pt idx="0">
                  <c:v>% učencev</c:v>
                </c:pt>
                <c:pt idx="1">
                  <c:v>% dijakov</c:v>
                </c:pt>
                <c:pt idx="2">
                  <c:v>% študentov</c:v>
                </c:pt>
              </c:strCache>
            </c:strRef>
          </c:cat>
          <c:val>
            <c:numRef>
              <c:f>'2640010'!$I$12:$I$14</c:f>
              <c:numCache>
                <c:formatCode>#,##0.00</c:formatCode>
                <c:ptCount val="3"/>
                <c:pt idx="0">
                  <c:v>8.987799799933951</c:v>
                </c:pt>
                <c:pt idx="1">
                  <c:v>3.481436455097616</c:v>
                </c:pt>
                <c:pt idx="2">
                  <c:v>3.6724085942248879</c:v>
                </c:pt>
              </c:numCache>
            </c:numRef>
          </c:val>
          <c:extLst>
            <c:ext xmlns:c16="http://schemas.microsoft.com/office/drawing/2014/chart" uri="{C3380CC4-5D6E-409C-BE32-E72D297353CC}">
              <c16:uniqueId val="{00000000-D2F6-405D-9B9D-213AB12FDC6A}"/>
            </c:ext>
          </c:extLst>
        </c:ser>
        <c:ser>
          <c:idx val="1"/>
          <c:order val="1"/>
          <c:tx>
            <c:strRef>
              <c:f>'2640010'!$J$11</c:f>
              <c:strCache>
                <c:ptCount val="1"/>
                <c:pt idx="0">
                  <c:v>Podeželje</c:v>
                </c:pt>
              </c:strCache>
            </c:strRef>
          </c:tx>
          <c:spPr>
            <a:solidFill>
              <a:srgbClr val="92D050"/>
            </a:solidFill>
            <a:ln>
              <a:noFill/>
            </a:ln>
            <a:effectLst/>
          </c:spPr>
          <c:invertIfNegative val="0"/>
          <c:cat>
            <c:strRef>
              <c:f>'2640010'!$H$12:$H$14</c:f>
              <c:strCache>
                <c:ptCount val="3"/>
                <c:pt idx="0">
                  <c:v>% učencev</c:v>
                </c:pt>
                <c:pt idx="1">
                  <c:v>% dijakov</c:v>
                </c:pt>
                <c:pt idx="2">
                  <c:v>% študentov</c:v>
                </c:pt>
              </c:strCache>
            </c:strRef>
          </c:cat>
          <c:val>
            <c:numRef>
              <c:f>'2640010'!$J$12:$J$14</c:f>
              <c:numCache>
                <c:formatCode>#,##0.00</c:formatCode>
                <c:ptCount val="3"/>
                <c:pt idx="0">
                  <c:v>9.0761139484808435</c:v>
                </c:pt>
                <c:pt idx="1">
                  <c:v>3.5815568990146227</c:v>
                </c:pt>
                <c:pt idx="2">
                  <c:v>3.4494668674844977</c:v>
                </c:pt>
              </c:numCache>
            </c:numRef>
          </c:val>
          <c:extLst>
            <c:ext xmlns:c16="http://schemas.microsoft.com/office/drawing/2014/chart" uri="{C3380CC4-5D6E-409C-BE32-E72D297353CC}">
              <c16:uniqueId val="{00000001-D2F6-405D-9B9D-213AB12FDC6A}"/>
            </c:ext>
          </c:extLst>
        </c:ser>
        <c:dLbls>
          <c:showLegendKey val="0"/>
          <c:showVal val="0"/>
          <c:showCatName val="0"/>
          <c:showSerName val="0"/>
          <c:showPercent val="0"/>
          <c:showBubbleSize val="0"/>
        </c:dLbls>
        <c:gapWidth val="219"/>
        <c:overlap val="-27"/>
        <c:axId val="106784640"/>
        <c:axId val="106786176"/>
      </c:barChart>
      <c:catAx>
        <c:axId val="10678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6786176"/>
        <c:crosses val="autoZero"/>
        <c:auto val="1"/>
        <c:lblAlgn val="ctr"/>
        <c:lblOffset val="100"/>
        <c:noMultiLvlLbl val="0"/>
      </c:catAx>
      <c:valAx>
        <c:axId val="106786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67846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333530359643391"/>
          <c:y val="0"/>
          <c:w val="0.57253154180124277"/>
          <c:h val="0.84300472889713296"/>
        </c:manualLayout>
      </c:layout>
      <c:barChart>
        <c:barDir val="bar"/>
        <c:grouping val="stacked"/>
        <c:varyColors val="0"/>
        <c:ser>
          <c:idx val="0"/>
          <c:order val="0"/>
          <c:tx>
            <c:strRef>
              <c:f>List1!$Q$33</c:f>
              <c:strCache>
                <c:ptCount val="1"/>
                <c:pt idx="0">
                  <c:v>Podeželje</c:v>
                </c:pt>
              </c:strCache>
            </c:strRef>
          </c:tx>
          <c:spPr>
            <a:solidFill>
              <a:srgbClr val="92D050"/>
            </a:solidFill>
            <a:ln>
              <a:solidFill>
                <a:schemeClr val="tx1">
                  <a:lumMod val="50000"/>
                  <a:lumOff val="50000"/>
                </a:schemeClr>
              </a:solidFill>
            </a:ln>
            <a:effectLst/>
          </c:spPr>
          <c:invertIfNegative val="0"/>
          <c:cat>
            <c:strRef>
              <c:f>List1!$R$32:$V$32</c:f>
              <c:strCache>
                <c:ptCount val="5"/>
                <c:pt idx="0">
                  <c:v>Osnovnošolska ali manj - Skupaj</c:v>
                </c:pt>
                <c:pt idx="1">
                  <c:v>Brez izobrazbe, nepopolna osnovnošolska</c:v>
                </c:pt>
                <c:pt idx="2">
                  <c:v>Osnovnošolska</c:v>
                </c:pt>
                <c:pt idx="3">
                  <c:v>Srednješolska - Skupaj</c:v>
                </c:pt>
                <c:pt idx="4">
                  <c:v>Višješolska, visokošolska - Skupaj</c:v>
                </c:pt>
              </c:strCache>
            </c:strRef>
          </c:cat>
          <c:val>
            <c:numRef>
              <c:f>List1!$R$33:$V$33</c:f>
              <c:numCache>
                <c:formatCode>General</c:formatCode>
                <c:ptCount val="5"/>
                <c:pt idx="0">
                  <c:v>259341</c:v>
                </c:pt>
                <c:pt idx="1">
                  <c:v>35551</c:v>
                </c:pt>
                <c:pt idx="2">
                  <c:v>223790</c:v>
                </c:pt>
                <c:pt idx="3">
                  <c:v>553105</c:v>
                </c:pt>
                <c:pt idx="4">
                  <c:v>215727</c:v>
                </c:pt>
              </c:numCache>
            </c:numRef>
          </c:val>
          <c:extLst>
            <c:ext xmlns:c16="http://schemas.microsoft.com/office/drawing/2014/chart" uri="{C3380CC4-5D6E-409C-BE32-E72D297353CC}">
              <c16:uniqueId val="{00000000-8BF2-4855-8718-96754CE5D0E6}"/>
            </c:ext>
          </c:extLst>
        </c:ser>
        <c:ser>
          <c:idx val="1"/>
          <c:order val="1"/>
          <c:tx>
            <c:strRef>
              <c:f>List1!$Q$34</c:f>
              <c:strCache>
                <c:ptCount val="1"/>
                <c:pt idx="0">
                  <c:v>Ostalo</c:v>
                </c:pt>
              </c:strCache>
            </c:strRef>
          </c:tx>
          <c:spPr>
            <a:solidFill>
              <a:schemeClr val="tx2">
                <a:lumMod val="60000"/>
                <a:lumOff val="40000"/>
              </a:schemeClr>
            </a:solidFill>
            <a:ln>
              <a:solidFill>
                <a:schemeClr val="tx1">
                  <a:lumMod val="50000"/>
                  <a:lumOff val="50000"/>
                </a:schemeClr>
              </a:solidFill>
            </a:ln>
            <a:effectLst/>
          </c:spPr>
          <c:invertIfNegative val="0"/>
          <c:cat>
            <c:strRef>
              <c:f>List1!$R$32:$V$32</c:f>
              <c:strCache>
                <c:ptCount val="5"/>
                <c:pt idx="0">
                  <c:v>Osnovnošolska ali manj - Skupaj</c:v>
                </c:pt>
                <c:pt idx="1">
                  <c:v>Brez izobrazbe, nepopolna osnovnošolska</c:v>
                </c:pt>
                <c:pt idx="2">
                  <c:v>Osnovnošolska</c:v>
                </c:pt>
                <c:pt idx="3">
                  <c:v>Srednješolska - Skupaj</c:v>
                </c:pt>
                <c:pt idx="4">
                  <c:v>Višješolska, visokošolska - Skupaj</c:v>
                </c:pt>
              </c:strCache>
            </c:strRef>
          </c:cat>
          <c:val>
            <c:numRef>
              <c:f>List1!$R$34:$V$34</c:f>
              <c:numCache>
                <c:formatCode>General</c:formatCode>
                <c:ptCount val="5"/>
                <c:pt idx="0">
                  <c:v>147657</c:v>
                </c:pt>
                <c:pt idx="1">
                  <c:v>16545</c:v>
                </c:pt>
                <c:pt idx="2">
                  <c:v>131112</c:v>
                </c:pt>
                <c:pt idx="3">
                  <c:v>379766</c:v>
                </c:pt>
                <c:pt idx="4">
                  <c:v>211606</c:v>
                </c:pt>
              </c:numCache>
            </c:numRef>
          </c:val>
          <c:extLst>
            <c:ext xmlns:c16="http://schemas.microsoft.com/office/drawing/2014/chart" uri="{C3380CC4-5D6E-409C-BE32-E72D297353CC}">
              <c16:uniqueId val="{00000001-8BF2-4855-8718-96754CE5D0E6}"/>
            </c:ext>
          </c:extLst>
        </c:ser>
        <c:dLbls>
          <c:showLegendKey val="0"/>
          <c:showVal val="0"/>
          <c:showCatName val="0"/>
          <c:showSerName val="0"/>
          <c:showPercent val="0"/>
          <c:showBubbleSize val="0"/>
        </c:dLbls>
        <c:gapWidth val="78"/>
        <c:overlap val="100"/>
        <c:axId val="107426176"/>
        <c:axId val="107427712"/>
      </c:barChart>
      <c:catAx>
        <c:axId val="10742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427712"/>
        <c:crosses val="autoZero"/>
        <c:auto val="1"/>
        <c:lblAlgn val="ctr"/>
        <c:lblOffset val="100"/>
        <c:noMultiLvlLbl val="0"/>
      </c:catAx>
      <c:valAx>
        <c:axId val="1074277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426176"/>
        <c:crosses val="autoZero"/>
        <c:crossBetween val="between"/>
      </c:valAx>
      <c:spPr>
        <a:noFill/>
        <a:ln>
          <a:noFill/>
        </a:ln>
        <a:effectLst/>
      </c:spPr>
    </c:plotArea>
    <c:legend>
      <c:legendPos val="l"/>
      <c:layout>
        <c:manualLayout>
          <c:xMode val="edge"/>
          <c:yMode val="edge"/>
          <c:x val="0.77301161751563896"/>
          <c:y val="0.48672902155405051"/>
          <c:w val="0.11933999513893029"/>
          <c:h val="0.163995316911916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6350" cap="flat" cmpd="sng" algn="ctr">
      <a:solidFill>
        <a:schemeClr val="tx1">
          <a:lumMod val="75000"/>
          <a:lumOff val="25000"/>
        </a:schemeClr>
      </a:solidFill>
      <a:round/>
    </a:ln>
    <a:effectLst/>
  </c:spPr>
  <c:txPr>
    <a:bodyPr/>
    <a:lstStyle/>
    <a:p>
      <a:pPr>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sl-SI" sz="1100" b="1">
                <a:solidFill>
                  <a:schemeClr val="tx1"/>
                </a:solidFill>
                <a:latin typeface="+mn-lt"/>
                <a:cs typeface="Arial" panose="020B0604020202020204" pitchFamily="34" charset="0"/>
              </a:rPr>
              <a:t>BDP na prebivalca na posamezno regijo za</a:t>
            </a:r>
            <a:r>
              <a:rPr lang="sl-SI" sz="1100" b="1" baseline="0">
                <a:solidFill>
                  <a:schemeClr val="tx1"/>
                </a:solidFill>
                <a:latin typeface="+mn-lt"/>
                <a:cs typeface="Arial" panose="020B0604020202020204" pitchFamily="34" charset="0"/>
              </a:rPr>
              <a:t> leto </a:t>
            </a:r>
            <a:r>
              <a:rPr lang="sl-SI" sz="1100" b="1">
                <a:solidFill>
                  <a:schemeClr val="tx1"/>
                </a:solidFill>
                <a:latin typeface="+mn-lt"/>
                <a:cs typeface="Arial" panose="020B0604020202020204" pitchFamily="34" charset="0"/>
              </a:rPr>
              <a:t>2018</a:t>
            </a:r>
            <a:r>
              <a:rPr lang="sl-SI" sz="1100" b="1" baseline="0">
                <a:solidFill>
                  <a:schemeClr val="tx1"/>
                </a:solidFill>
                <a:latin typeface="+mn-lt"/>
                <a:cs typeface="Arial" panose="020B0604020202020204" pitchFamily="34" charset="0"/>
              </a:rPr>
              <a:t> (v EUR)</a:t>
            </a:r>
            <a:endParaRPr lang="sl-SI" sz="1100" b="1">
              <a:solidFill>
                <a:schemeClr val="tx1"/>
              </a:solidFill>
              <a:latin typeface="+mn-lt"/>
              <a:cs typeface="Arial" panose="020B0604020202020204" pitchFamily="34" charset="0"/>
            </a:endParaRP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Pt>
            <c:idx val="2"/>
            <c:invertIfNegative val="0"/>
            <c:bubble3D val="0"/>
            <c:spPr>
              <a:solidFill>
                <a:schemeClr val="accent1">
                  <a:lumMod val="50000"/>
                </a:schemeClr>
              </a:solidFill>
              <a:ln>
                <a:noFill/>
              </a:ln>
              <a:effectLst/>
            </c:spPr>
            <c:extLst>
              <c:ext xmlns:c16="http://schemas.microsoft.com/office/drawing/2014/chart" uri="{C3380CC4-5D6E-409C-BE32-E72D297353CC}">
                <c16:uniqueId val="{00000001-529A-4F8C-A77E-8404E72BB8A5}"/>
              </c:ext>
            </c:extLst>
          </c:dPt>
          <c:cat>
            <c:strRef>
              <c:f>List1!$A$2:$A$14</c:f>
              <c:strCache>
                <c:ptCount val="13"/>
                <c:pt idx="0">
                  <c:v>  Osrednjeslovenska</c:v>
                </c:pt>
                <c:pt idx="1">
                  <c:v>  Obalno-kraška</c:v>
                </c:pt>
                <c:pt idx="2">
                  <c:v>SLOVENIJA</c:v>
                </c:pt>
                <c:pt idx="3">
                  <c:v>  Jugovzhodna Slovenija</c:v>
                </c:pt>
                <c:pt idx="4">
                  <c:v>  Savinjska</c:v>
                </c:pt>
                <c:pt idx="5">
                  <c:v>  Goriška</c:v>
                </c:pt>
                <c:pt idx="6">
                  <c:v>  Gorenjska</c:v>
                </c:pt>
                <c:pt idx="7">
                  <c:v>  Posavska</c:v>
                </c:pt>
                <c:pt idx="8">
                  <c:v>  Koroška</c:v>
                </c:pt>
                <c:pt idx="9">
                  <c:v>  Podravska</c:v>
                </c:pt>
                <c:pt idx="10">
                  <c:v>  Primorsko-notranjska</c:v>
                </c:pt>
                <c:pt idx="11">
                  <c:v>  Pomurska</c:v>
                </c:pt>
                <c:pt idx="12">
                  <c:v>  Zasavska</c:v>
                </c:pt>
              </c:strCache>
            </c:strRef>
          </c:cat>
          <c:val>
            <c:numRef>
              <c:f>List1!$D$2:$D$14</c:f>
              <c:numCache>
                <c:formatCode>#,##0</c:formatCode>
                <c:ptCount val="13"/>
                <c:pt idx="0">
                  <c:v>31169</c:v>
                </c:pt>
                <c:pt idx="1">
                  <c:v>22627</c:v>
                </c:pt>
                <c:pt idx="2">
                  <c:v>22083</c:v>
                </c:pt>
                <c:pt idx="3">
                  <c:v>21630</c:v>
                </c:pt>
                <c:pt idx="4">
                  <c:v>19987</c:v>
                </c:pt>
                <c:pt idx="5">
                  <c:v>19930</c:v>
                </c:pt>
                <c:pt idx="6">
                  <c:v>19833</c:v>
                </c:pt>
                <c:pt idx="7">
                  <c:v>18314</c:v>
                </c:pt>
                <c:pt idx="8">
                  <c:v>17885</c:v>
                </c:pt>
                <c:pt idx="9">
                  <c:v>17838</c:v>
                </c:pt>
                <c:pt idx="10">
                  <c:v>15837</c:v>
                </c:pt>
                <c:pt idx="11">
                  <c:v>14937</c:v>
                </c:pt>
                <c:pt idx="12">
                  <c:v>11574</c:v>
                </c:pt>
              </c:numCache>
            </c:numRef>
          </c:val>
          <c:extLst>
            <c:ext xmlns:c16="http://schemas.microsoft.com/office/drawing/2014/chart" uri="{C3380CC4-5D6E-409C-BE32-E72D297353CC}">
              <c16:uniqueId val="{00000002-529A-4F8C-A77E-8404E72BB8A5}"/>
            </c:ext>
          </c:extLst>
        </c:ser>
        <c:dLbls>
          <c:showLegendKey val="0"/>
          <c:showVal val="0"/>
          <c:showCatName val="0"/>
          <c:showSerName val="0"/>
          <c:showPercent val="0"/>
          <c:showBubbleSize val="0"/>
        </c:dLbls>
        <c:gapWidth val="45"/>
        <c:axId val="107469824"/>
        <c:axId val="107471616"/>
      </c:barChart>
      <c:catAx>
        <c:axId val="107469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107471616"/>
        <c:crosses val="autoZero"/>
        <c:auto val="1"/>
        <c:lblAlgn val="ctr"/>
        <c:lblOffset val="100"/>
        <c:noMultiLvlLbl val="0"/>
      </c:catAx>
      <c:valAx>
        <c:axId val="107471616"/>
        <c:scaling>
          <c:orientation val="minMax"/>
          <c:max val="32000"/>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107469824"/>
        <c:crosses val="autoZero"/>
        <c:crossBetween val="between"/>
        <c:majorUnit val="4000"/>
      </c:valAx>
      <c:spPr>
        <a:noFill/>
        <a:ln>
          <a:noFill/>
        </a:ln>
        <a:effectLst/>
      </c:spPr>
    </c:plotArea>
    <c:plotVisOnly val="1"/>
    <c:dispBlanksAs val="gap"/>
    <c:showDLblsOverMax val="0"/>
  </c:chart>
  <c:spPr>
    <a:solidFill>
      <a:schemeClr val="bg1"/>
    </a:solidFill>
    <a:ln w="6350" cap="flat" cmpd="sng" algn="ctr">
      <a:solidFill>
        <a:schemeClr val="tx1">
          <a:lumMod val="65000"/>
          <a:lumOff val="35000"/>
        </a:schemeClr>
      </a:solidFill>
      <a:round/>
    </a:ln>
    <a:effectLst/>
  </c:spPr>
  <c:txPr>
    <a:bodyPr/>
    <a:lstStyle/>
    <a:p>
      <a:pPr>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a:pPr>
            <a:r>
              <a:rPr lang="sl-SI" sz="1000" b="1">
                <a:latin typeface="Arial" panose="020B0604020202020204" pitchFamily="34" charset="0"/>
                <a:cs typeface="Arial" panose="020B0604020202020204" pitchFamily="34" charset="0"/>
              </a:rPr>
              <a:t>Bruto dodana vrednost na zaposlenega v gospodarskih družbah, zadrugah in samostojnih podjetnikih posamezniki</a:t>
            </a:r>
            <a:r>
              <a:rPr lang="sl-SI" sz="1000" b="1" baseline="0">
                <a:latin typeface="Arial" panose="020B0604020202020204" pitchFamily="34" charset="0"/>
                <a:cs typeface="Arial" panose="020B0604020202020204" pitchFamily="34" charset="0"/>
              </a:rPr>
              <a:t> (EUR)</a:t>
            </a:r>
            <a:endParaRPr lang="sl-SI" sz="1000" b="1">
              <a:latin typeface="Arial" panose="020B0604020202020204" pitchFamily="34" charset="0"/>
              <a:cs typeface="Arial" panose="020B0604020202020204" pitchFamily="34" charset="0"/>
            </a:endParaRPr>
          </a:p>
        </c:rich>
      </c:tx>
      <c:layout/>
      <c:overlay val="0"/>
    </c:title>
    <c:autoTitleDeleted val="0"/>
    <c:plotArea>
      <c:layout/>
      <c:lineChart>
        <c:grouping val="standard"/>
        <c:varyColors val="0"/>
        <c:ser>
          <c:idx val="0"/>
          <c:order val="0"/>
          <c:spPr>
            <a:ln w="41275"/>
          </c:spPr>
          <c:marker>
            <c:symbol val="none"/>
          </c:marker>
          <c:cat>
            <c:strRef>
              <c:f>'[1420804.xlsx]1420804'!$A$4:$H$4</c:f>
              <c:strCache>
                <c:ptCount val="8"/>
                <c:pt idx="0">
                  <c:v>2008</c:v>
                </c:pt>
                <c:pt idx="1">
                  <c:v>2009</c:v>
                </c:pt>
                <c:pt idx="2">
                  <c:v>2010</c:v>
                </c:pt>
                <c:pt idx="3">
                  <c:v>2011</c:v>
                </c:pt>
                <c:pt idx="4">
                  <c:v>2012</c:v>
                </c:pt>
                <c:pt idx="5">
                  <c:v>2013</c:v>
                </c:pt>
                <c:pt idx="6">
                  <c:v>2014</c:v>
                </c:pt>
                <c:pt idx="7">
                  <c:v>2015</c:v>
                </c:pt>
              </c:strCache>
            </c:strRef>
          </c:cat>
          <c:val>
            <c:numRef>
              <c:f>'[1420804.xlsx]1420804'!$A$5:$H$5</c:f>
              <c:numCache>
                <c:formatCode>0</c:formatCode>
                <c:ptCount val="8"/>
                <c:pt idx="0">
                  <c:v>34253</c:v>
                </c:pt>
                <c:pt idx="1">
                  <c:v>33137</c:v>
                </c:pt>
                <c:pt idx="2">
                  <c:v>35152</c:v>
                </c:pt>
                <c:pt idx="3">
                  <c:v>36966</c:v>
                </c:pt>
                <c:pt idx="4">
                  <c:v>37187</c:v>
                </c:pt>
                <c:pt idx="5">
                  <c:v>38093</c:v>
                </c:pt>
                <c:pt idx="6">
                  <c:v>39463</c:v>
                </c:pt>
                <c:pt idx="7">
                  <c:v>40263</c:v>
                </c:pt>
              </c:numCache>
            </c:numRef>
          </c:val>
          <c:smooth val="0"/>
          <c:extLst>
            <c:ext xmlns:c16="http://schemas.microsoft.com/office/drawing/2014/chart" uri="{C3380CC4-5D6E-409C-BE32-E72D297353CC}">
              <c16:uniqueId val="{00000000-BBFB-4B4C-975A-479E68B26BAD}"/>
            </c:ext>
          </c:extLst>
        </c:ser>
        <c:dLbls>
          <c:showLegendKey val="0"/>
          <c:showVal val="0"/>
          <c:showCatName val="0"/>
          <c:showSerName val="0"/>
          <c:showPercent val="0"/>
          <c:showBubbleSize val="0"/>
        </c:dLbls>
        <c:smooth val="0"/>
        <c:axId val="62010496"/>
        <c:axId val="62012032"/>
      </c:lineChart>
      <c:catAx>
        <c:axId val="62010496"/>
        <c:scaling>
          <c:orientation val="minMax"/>
        </c:scaling>
        <c:delete val="0"/>
        <c:axPos val="b"/>
        <c:numFmt formatCode="General" sourceLinked="0"/>
        <c:majorTickMark val="out"/>
        <c:minorTickMark val="none"/>
        <c:tickLblPos val="nextTo"/>
        <c:crossAx val="62012032"/>
        <c:crosses val="autoZero"/>
        <c:auto val="1"/>
        <c:lblAlgn val="ctr"/>
        <c:lblOffset val="100"/>
        <c:noMultiLvlLbl val="0"/>
      </c:catAx>
      <c:valAx>
        <c:axId val="62012032"/>
        <c:scaling>
          <c:orientation val="minMax"/>
          <c:min val="30000"/>
        </c:scaling>
        <c:delete val="0"/>
        <c:axPos val="l"/>
        <c:majorGridlines/>
        <c:numFmt formatCode="#,##0" sourceLinked="0"/>
        <c:majorTickMark val="out"/>
        <c:minorTickMark val="none"/>
        <c:tickLblPos val="nextTo"/>
        <c:crossAx val="620104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72B1E9967B03B4E9613AA9F5C437767" ma:contentTypeVersion="0" ma:contentTypeDescription="Ustvari nov dokument." ma:contentTypeScope="" ma:versionID="f5182ff1f4c331044e7ae4dcfa36b823">
  <xsd:schema xmlns:xsd="http://www.w3.org/2001/XMLSchema" xmlns:xs="http://www.w3.org/2001/XMLSchema" xmlns:p="http://schemas.microsoft.com/office/2006/metadata/properties" targetNamespace="http://schemas.microsoft.com/office/2006/metadata/properties" ma:root="true" ma:fieldsID="1f364b8a4b0942fda4a0d8155e6e3cc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50FFC-5EC3-4FDF-BF07-D8291CB57A81}">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2.xml><?xml version="1.0" encoding="utf-8"?>
<ds:datastoreItem xmlns:ds="http://schemas.openxmlformats.org/officeDocument/2006/customXml" ds:itemID="{C04F115A-E92F-41B5-8BB6-40B2365E4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1943A8C-AB47-4D26-A5F7-710B7528BFAA}">
  <ds:schemaRefs>
    <ds:schemaRef ds:uri="http://schemas.microsoft.com/sharepoint/v3/contenttype/forms"/>
  </ds:schemaRefs>
</ds:datastoreItem>
</file>

<file path=customXml/itemProps4.xml><?xml version="1.0" encoding="utf-8"?>
<ds:datastoreItem xmlns:ds="http://schemas.openxmlformats.org/officeDocument/2006/customXml" ds:itemID="{85892C9A-C3A5-47A4-88C5-E16A0C3B8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105</Pages>
  <Words>32423</Words>
  <Characters>184814</Characters>
  <Application>Microsoft Office Word</Application>
  <DocSecurity>0</DocSecurity>
  <Lines>1540</Lines>
  <Paragraphs>433</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216804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Urška Keše</dc:creator>
  <cp:lastModifiedBy>Nina-Victoria Čarman</cp:lastModifiedBy>
  <cp:revision>8</cp:revision>
  <cp:lastPrinted>2020-11-11T14:36:00Z</cp:lastPrinted>
  <dcterms:created xsi:type="dcterms:W3CDTF">2020-10-30T06:40:00Z</dcterms:created>
  <dcterms:modified xsi:type="dcterms:W3CDTF">2020-11-11T14:45:00Z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0x010100372B1E9967B03B4E9613AA9F5C437767</vt:lpwstr>
  </property>
</Properties>
</file>