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2.xml" ContentType="application/vnd.openxmlformats-officedocument.themeOverride+xml"/>
  <Override PartName="/word/charts/chart3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3.xml" ContentType="application/vnd.openxmlformats-officedocument.themeOverride+xml"/>
  <Override PartName="/word/charts/chart3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4.xml" ContentType="application/vnd.openxmlformats-officedocument.themeOverride+xml"/>
  <Override PartName="/word/charts/chart3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5.xml" ContentType="application/vnd.openxmlformats-officedocument.themeOverride+xml"/>
  <Override PartName="/word/charts/chart3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6.xml" ContentType="application/vnd.openxmlformats-officedocument.themeOverride+xml"/>
  <Override PartName="/word/charts/chart41.xml" ContentType="application/vnd.openxmlformats-officedocument.drawingml.chart+xml"/>
  <Override PartName="/word/theme/themeOverride17.xml" ContentType="application/vnd.openxmlformats-officedocument.themeOverride+xml"/>
  <Override PartName="/word/charts/chart42.xml" ContentType="application/vnd.openxmlformats-officedocument.drawingml.chart+xml"/>
  <Override PartName="/word/theme/themeOverride18.xml" ContentType="application/vnd.openxmlformats-officedocument.themeOverride+xml"/>
  <Override PartName="/word/charts/chart43.xml" ContentType="application/vnd.openxmlformats-officedocument.drawingml.chart+xml"/>
  <Override PartName="/word/theme/themeOverride19.xml" ContentType="application/vnd.openxmlformats-officedocument.themeOverride+xml"/>
  <Override PartName="/word/charts/chart44.xml" ContentType="application/vnd.openxmlformats-officedocument.drawingml.chart+xml"/>
  <Override PartName="/word/theme/themeOverride20.xml" ContentType="application/vnd.openxmlformats-officedocument.themeOverride+xml"/>
  <Override PartName="/word/charts/chart45.xml" ContentType="application/vnd.openxmlformats-officedocument.drawingml.chart+xml"/>
  <Override PartName="/word/theme/themeOverride21.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theme/themeOverride22.xml" ContentType="application/vnd.openxmlformats-officedocument.themeOverride+xml"/>
  <Override PartName="/word/charts/chart49.xml" ContentType="application/vnd.openxmlformats-officedocument.drawingml.chart+xml"/>
  <Override PartName="/word/theme/themeOverride23.xml" ContentType="application/vnd.openxmlformats-officedocument.themeOverride+xml"/>
  <Override PartName="/word/charts/chart50.xml" ContentType="application/vnd.openxmlformats-officedocument.drawingml.chart+xml"/>
  <Override PartName="/word/theme/themeOverride24.xml" ContentType="application/vnd.openxmlformats-officedocument.themeOverride+xml"/>
  <Override PartName="/word/charts/chart51.xml" ContentType="application/vnd.openxmlformats-officedocument.drawingml.chart+xml"/>
  <Override PartName="/word/theme/themeOverride25.xml" ContentType="application/vnd.openxmlformats-officedocument.themeOverride+xml"/>
  <Override PartName="/word/charts/chart52.xml" ContentType="application/vnd.openxmlformats-officedocument.drawingml.chart+xml"/>
  <Override PartName="/word/theme/themeOverride26.xml" ContentType="application/vnd.openxmlformats-officedocument.themeOverride+xml"/>
  <Override PartName="/word/charts/chart53.xml" ContentType="application/vnd.openxmlformats-officedocument.drawingml.chart+xml"/>
  <Override PartName="/word/theme/themeOverride27.xml" ContentType="application/vnd.openxmlformats-officedocument.themeOverride+xml"/>
  <Override PartName="/word/charts/chart5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55.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5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6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62.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60562" w14:textId="20C18F2B" w:rsidR="00C92429" w:rsidRDefault="0008694D"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bookmarkStart w:id="0" w:name="_GoBack"/>
      <w:bookmarkEnd w:id="0"/>
      <w:r>
        <w:rPr>
          <w:rFonts w:cstheme="minorBidi"/>
          <w:noProof/>
          <w:szCs w:val="22"/>
          <w:lang w:eastAsia="sl-SI"/>
        </w:rPr>
        <w:drawing>
          <wp:anchor distT="0" distB="0" distL="114300" distR="114300" simplePos="0" relativeHeight="251658241" behindDoc="1" locked="0" layoutInCell="1" allowOverlap="1" wp14:anchorId="20EB26FD" wp14:editId="6526F3CC">
            <wp:simplePos x="0" y="0"/>
            <wp:positionH relativeFrom="page">
              <wp:posOffset>3818255</wp:posOffset>
            </wp:positionH>
            <wp:positionV relativeFrom="page">
              <wp:posOffset>655955</wp:posOffset>
            </wp:positionV>
            <wp:extent cx="4170045" cy="1086485"/>
            <wp:effectExtent l="0" t="0" r="1905" b="0"/>
            <wp:wrapNone/>
            <wp:docPr id="9" name="Slika 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r w:rsidR="00C92429">
        <w:rPr>
          <w:rFonts w:cstheme="minorBidi"/>
          <w:noProof/>
          <w:szCs w:val="22"/>
          <w:lang w:eastAsia="sl-SI"/>
        </w:rPr>
        <w:drawing>
          <wp:anchor distT="0" distB="0" distL="114300" distR="114300" simplePos="0" relativeHeight="251658240" behindDoc="1" locked="0" layoutInCell="1" allowOverlap="1" wp14:anchorId="67244520" wp14:editId="757CBE2E">
            <wp:simplePos x="0" y="0"/>
            <wp:positionH relativeFrom="margin">
              <wp:posOffset>-1270</wp:posOffset>
            </wp:positionH>
            <wp:positionV relativeFrom="paragraph">
              <wp:posOffset>50165</wp:posOffset>
            </wp:positionV>
            <wp:extent cx="2725420" cy="1036955"/>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58194310"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5C2E9B12"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02FFEEB7"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2F75888C" w14:textId="7BC1D892"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eastAsia="Malgun Gothic"/>
          <w:b/>
          <w:color w:val="92D050"/>
          <w:sz w:val="72"/>
          <w:szCs w:val="72"/>
        </w:rPr>
        <w:t>STRATEŠKI NAČRT SKUPNE KMETIJSKE POLITIKE 202</w:t>
      </w:r>
      <w:r w:rsidR="00871B06">
        <w:rPr>
          <w:rFonts w:eastAsia="Malgun Gothic"/>
          <w:b/>
          <w:color w:val="92D050"/>
          <w:sz w:val="72"/>
          <w:szCs w:val="72"/>
        </w:rPr>
        <w:t>3</w:t>
      </w:r>
      <w:r>
        <w:rPr>
          <w:rFonts w:eastAsia="Malgun Gothic"/>
          <w:b/>
          <w:color w:val="92D050"/>
          <w:sz w:val="72"/>
          <w:szCs w:val="72"/>
        </w:rPr>
        <w:t>–2027</w:t>
      </w:r>
    </w:p>
    <w:p w14:paraId="4B0420D4" w14:textId="77777777"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786C37CF" w14:textId="7B060D5C" w:rsidR="00C92429" w:rsidRDefault="00C92429" w:rsidP="00C92429">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Pr>
          <w:rFonts w:eastAsia="Malgun Gothic"/>
          <w:b/>
          <w:color w:val="92D050"/>
          <w:sz w:val="52"/>
          <w:szCs w:val="52"/>
        </w:rPr>
        <w:t>SPECIFIČNI CILJ 2</w:t>
      </w:r>
    </w:p>
    <w:p w14:paraId="6AA5F563" w14:textId="720F8901" w:rsidR="00C92429" w:rsidRPr="0030046C" w:rsidRDefault="00C92429" w:rsidP="0030046C">
      <w:pPr>
        <w:pBdr>
          <w:top w:val="single" w:sz="4" w:space="1" w:color="auto"/>
          <w:left w:val="single" w:sz="4" w:space="1" w:color="auto"/>
          <w:bottom w:val="single" w:sz="4" w:space="1" w:color="auto"/>
          <w:right w:val="single" w:sz="4" w:space="1" w:color="auto"/>
        </w:pBdr>
        <w:jc w:val="center"/>
        <w:rPr>
          <w:b/>
          <w:color w:val="92D050"/>
          <w:sz w:val="28"/>
          <w:szCs w:val="28"/>
        </w:rPr>
      </w:pPr>
      <w:r w:rsidRPr="0030046C">
        <w:rPr>
          <w:b/>
          <w:color w:val="92D050"/>
          <w:sz w:val="28"/>
          <w:szCs w:val="28"/>
        </w:rPr>
        <w:t>KREPITEV TRŽNE USMERJENOSTI IN POVEČANJE KONKURENČNOSTI, TUDI Z VEČJIM POUDARKOM NA RAZISKAVAH, TEHNOLOGIJI IN DIGITALIZACIJI</w:t>
      </w:r>
    </w:p>
    <w:p w14:paraId="7BC3B419"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color w:val="000000" w:themeColor="text1"/>
          <w:sz w:val="16"/>
          <w:szCs w:val="16"/>
        </w:rPr>
      </w:pPr>
    </w:p>
    <w:p w14:paraId="1DE11AD2"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sz w:val="16"/>
          <w:szCs w:val="16"/>
        </w:rPr>
      </w:pPr>
    </w:p>
    <w:p w14:paraId="5FCEA7F4" w14:textId="77777777" w:rsidR="00C92429" w:rsidRDefault="00C92429" w:rsidP="00C92429">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ANALIZA STANJA</w:t>
      </w:r>
    </w:p>
    <w:p w14:paraId="160E284A" w14:textId="77777777" w:rsidR="00C92429" w:rsidRDefault="00C92429" w:rsidP="00C92429">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 xml:space="preserve">ANALIZA SWOT </w:t>
      </w:r>
    </w:p>
    <w:p w14:paraId="198E0C02"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b/>
          <w:color w:val="000000" w:themeColor="text1"/>
          <w:sz w:val="40"/>
          <w:szCs w:val="40"/>
        </w:rPr>
      </w:pPr>
    </w:p>
    <w:p w14:paraId="796F61E5" w14:textId="3E73C45C" w:rsidR="00C92429" w:rsidRDefault="00C92429" w:rsidP="00C92429">
      <w:pPr>
        <w:pBdr>
          <w:top w:val="single" w:sz="4" w:space="1" w:color="auto"/>
          <w:left w:val="single" w:sz="4" w:space="1" w:color="auto"/>
          <w:bottom w:val="single" w:sz="4" w:space="1" w:color="auto"/>
          <w:right w:val="single" w:sz="4" w:space="1" w:color="auto"/>
        </w:pBdr>
        <w:jc w:val="center"/>
        <w:rPr>
          <w:rFonts w:eastAsia="Malgun Gothic"/>
          <w:sz w:val="24"/>
        </w:rPr>
      </w:pPr>
      <w:r>
        <w:rPr>
          <w:rFonts w:eastAsia="Malgun Gothic"/>
          <w:sz w:val="24"/>
        </w:rPr>
        <w:t xml:space="preserve">Ljubljana, </w:t>
      </w:r>
      <w:r w:rsidR="00BE1775">
        <w:rPr>
          <w:rFonts w:eastAsia="Malgun Gothic"/>
          <w:sz w:val="24"/>
        </w:rPr>
        <w:t xml:space="preserve">november </w:t>
      </w:r>
      <w:r>
        <w:rPr>
          <w:rFonts w:eastAsia="Malgun Gothic"/>
          <w:sz w:val="24"/>
        </w:rPr>
        <w:t>202</w:t>
      </w:r>
      <w:r w:rsidR="001C1D23">
        <w:rPr>
          <w:rFonts w:eastAsia="Malgun Gothic"/>
          <w:sz w:val="24"/>
        </w:rPr>
        <w:t>1</w:t>
      </w:r>
    </w:p>
    <w:p w14:paraId="410B7EBC" w14:textId="77777777" w:rsidR="00C92429" w:rsidRDefault="00C92429" w:rsidP="00C92429">
      <w:pPr>
        <w:pBdr>
          <w:top w:val="single" w:sz="4" w:space="1" w:color="auto"/>
          <w:left w:val="single" w:sz="4" w:space="1" w:color="auto"/>
          <w:bottom w:val="single" w:sz="4" w:space="1" w:color="auto"/>
          <w:right w:val="single" w:sz="4" w:space="1" w:color="auto"/>
        </w:pBdr>
        <w:rPr>
          <w:rFonts w:eastAsia="Arial"/>
          <w:sz w:val="16"/>
          <w:szCs w:val="16"/>
        </w:rPr>
      </w:pPr>
    </w:p>
    <w:p w14:paraId="7109C58A" w14:textId="1016DE02" w:rsidR="00C92429" w:rsidRDefault="00C92429" w:rsidP="00C92429">
      <w:pPr>
        <w:pBdr>
          <w:top w:val="single" w:sz="4" w:space="1" w:color="auto"/>
          <w:left w:val="single" w:sz="4" w:space="1" w:color="auto"/>
          <w:bottom w:val="single" w:sz="4" w:space="1" w:color="auto"/>
          <w:right w:val="single" w:sz="4" w:space="1" w:color="auto"/>
        </w:pBdr>
        <w:rPr>
          <w:sz w:val="16"/>
          <w:szCs w:val="16"/>
        </w:rPr>
      </w:pPr>
      <w:r>
        <w:rPr>
          <w:rFonts w:eastAsia="Arial"/>
          <w:sz w:val="16"/>
          <w:szCs w:val="16"/>
        </w:rPr>
        <w:t>Ta dokument predstavlja osnutek analize stanja</w:t>
      </w:r>
      <w:r w:rsidR="00852A1D">
        <w:rPr>
          <w:rFonts w:eastAsia="Arial"/>
          <w:sz w:val="16"/>
          <w:szCs w:val="16"/>
        </w:rPr>
        <w:t xml:space="preserve"> in</w:t>
      </w:r>
      <w:r>
        <w:rPr>
          <w:rFonts w:eastAsia="Arial"/>
          <w:sz w:val="16"/>
          <w:szCs w:val="16"/>
        </w:rPr>
        <w:t xml:space="preserve"> analize SWOT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1EEC37C5" w14:textId="77777777" w:rsidR="00C92429" w:rsidRDefault="00C92429" w:rsidP="00C92429">
      <w:pPr>
        <w:spacing w:before="0" w:line="240" w:lineRule="auto"/>
      </w:pPr>
    </w:p>
    <w:p w14:paraId="14A0CCE2" w14:textId="507599EB" w:rsidR="00C92429" w:rsidRDefault="00C92429" w:rsidP="009F3567">
      <w:pPr>
        <w:spacing w:before="0" w:line="276" w:lineRule="auto"/>
        <w:rPr>
          <w:sz w:val="20"/>
          <w:szCs w:val="20"/>
        </w:rPr>
      </w:pPr>
    </w:p>
    <w:p w14:paraId="4A9EA7C9" w14:textId="330D29BC" w:rsidR="00C92429" w:rsidRPr="00FA0AA9" w:rsidRDefault="00C92429" w:rsidP="006249A0">
      <w:pPr>
        <w:spacing w:before="0" w:after="200" w:line="276" w:lineRule="auto"/>
        <w:jc w:val="left"/>
        <w:rPr>
          <w:sz w:val="20"/>
          <w:szCs w:val="20"/>
        </w:rPr>
      </w:pPr>
      <w:r>
        <w:rPr>
          <w:sz w:val="20"/>
          <w:szCs w:val="20"/>
        </w:rPr>
        <w:br w:type="page"/>
      </w:r>
    </w:p>
    <w:sdt>
      <w:sdtPr>
        <w:rPr>
          <w:rFonts w:ascii="Arial" w:eastAsia="Times New Roman" w:hAnsi="Arial" w:cs="Arial"/>
          <w:b w:val="0"/>
          <w:bCs w:val="0"/>
          <w:smallCaps w:val="0"/>
          <w:vanish/>
          <w:color w:val="auto"/>
          <w:sz w:val="22"/>
          <w:szCs w:val="20"/>
          <w:highlight w:val="yellow"/>
          <w:lang w:eastAsia="en-GB"/>
        </w:rPr>
        <w:id w:val="-1670627077"/>
        <w:docPartObj>
          <w:docPartGallery w:val="Table of Contents"/>
          <w:docPartUnique/>
        </w:docPartObj>
      </w:sdtPr>
      <w:sdtEndPr>
        <w:rPr>
          <w:sz w:val="20"/>
        </w:rPr>
      </w:sdtEndPr>
      <w:sdtContent>
        <w:p w14:paraId="2D09EEA3" w14:textId="77777777" w:rsidR="0007738B" w:rsidRPr="009F3567" w:rsidRDefault="00A45F69" w:rsidP="00871B06">
          <w:pPr>
            <w:pStyle w:val="NaslovTOC"/>
            <w:numPr>
              <w:ilvl w:val="0"/>
              <w:numId w:val="0"/>
            </w:numPr>
            <w:ind w:left="432"/>
            <w:rPr>
              <w:rFonts w:ascii="Arial" w:hAnsi="Arial" w:cs="Arial"/>
              <w:color w:val="auto"/>
              <w:szCs w:val="20"/>
            </w:rPr>
          </w:pPr>
          <w:r w:rsidRPr="009F3567">
            <w:rPr>
              <w:rFonts w:ascii="Arial" w:hAnsi="Arial" w:cs="Arial"/>
              <w:color w:val="auto"/>
              <w:szCs w:val="20"/>
            </w:rPr>
            <w:t>Kazalo vsebine</w:t>
          </w:r>
        </w:p>
        <w:p w14:paraId="5F50363E" w14:textId="3A4AADC4" w:rsidR="00464E53" w:rsidRDefault="00A34306">
          <w:pPr>
            <w:pStyle w:val="Kazalovsebine1"/>
            <w:rPr>
              <w:rFonts w:asciiTheme="minorHAnsi" w:eastAsiaTheme="minorEastAsia" w:hAnsiTheme="minorHAnsi" w:cstheme="minorBidi"/>
              <w:szCs w:val="22"/>
              <w:lang w:eastAsia="sl-SI"/>
            </w:rPr>
          </w:pPr>
          <w:r w:rsidRPr="00852E36">
            <w:rPr>
              <w:sz w:val="20"/>
              <w:szCs w:val="20"/>
            </w:rPr>
            <w:fldChar w:fldCharType="begin"/>
          </w:r>
          <w:r w:rsidR="0007738B" w:rsidRPr="00081CD6">
            <w:rPr>
              <w:sz w:val="20"/>
              <w:szCs w:val="20"/>
            </w:rPr>
            <w:instrText xml:space="preserve"> TOC \o "1-3" \h \z \u </w:instrText>
          </w:r>
          <w:r w:rsidRPr="00852E36">
            <w:rPr>
              <w:sz w:val="20"/>
              <w:szCs w:val="20"/>
            </w:rPr>
            <w:fldChar w:fldCharType="separate"/>
          </w:r>
          <w:hyperlink w:anchor="_Toc86822531" w:history="1">
            <w:r w:rsidR="00464E53" w:rsidRPr="005E426B">
              <w:rPr>
                <w:rStyle w:val="Hiperpovezava"/>
              </w:rPr>
              <w:t>1</w:t>
            </w:r>
            <w:r w:rsidR="00464E53">
              <w:rPr>
                <w:rFonts w:asciiTheme="minorHAnsi" w:eastAsiaTheme="minorEastAsia" w:hAnsiTheme="minorHAnsi" w:cstheme="minorBidi"/>
                <w:szCs w:val="22"/>
                <w:lang w:eastAsia="sl-SI"/>
              </w:rPr>
              <w:tab/>
            </w:r>
            <w:r w:rsidR="00464E53" w:rsidRPr="005E426B">
              <w:rPr>
                <w:rStyle w:val="Hiperpovezava"/>
              </w:rPr>
              <w:t>SEZNAM UPORABLJENIH KRATIC IN SIMBOLOV</w:t>
            </w:r>
            <w:r w:rsidR="00464E53">
              <w:rPr>
                <w:webHidden/>
              </w:rPr>
              <w:tab/>
            </w:r>
            <w:r w:rsidR="00464E53">
              <w:rPr>
                <w:webHidden/>
              </w:rPr>
              <w:fldChar w:fldCharType="begin"/>
            </w:r>
            <w:r w:rsidR="00464E53">
              <w:rPr>
                <w:webHidden/>
              </w:rPr>
              <w:instrText xml:space="preserve"> PAGEREF _Toc86822531 \h </w:instrText>
            </w:r>
            <w:r w:rsidR="00464E53">
              <w:rPr>
                <w:webHidden/>
              </w:rPr>
            </w:r>
            <w:r w:rsidR="00464E53">
              <w:rPr>
                <w:webHidden/>
              </w:rPr>
              <w:fldChar w:fldCharType="separate"/>
            </w:r>
            <w:r w:rsidR="0088117A">
              <w:rPr>
                <w:webHidden/>
              </w:rPr>
              <w:t>13</w:t>
            </w:r>
            <w:r w:rsidR="00464E53">
              <w:rPr>
                <w:webHidden/>
              </w:rPr>
              <w:fldChar w:fldCharType="end"/>
            </w:r>
          </w:hyperlink>
        </w:p>
        <w:p w14:paraId="233DD94B" w14:textId="46FB1FA8" w:rsidR="00464E53" w:rsidRDefault="00701492">
          <w:pPr>
            <w:pStyle w:val="Kazalovsebine1"/>
            <w:rPr>
              <w:rFonts w:asciiTheme="minorHAnsi" w:eastAsiaTheme="minorEastAsia" w:hAnsiTheme="minorHAnsi" w:cstheme="minorBidi"/>
              <w:szCs w:val="22"/>
              <w:lang w:eastAsia="sl-SI"/>
            </w:rPr>
          </w:pPr>
          <w:hyperlink w:anchor="_Toc86822532" w:history="1">
            <w:r w:rsidR="00464E53" w:rsidRPr="005E426B">
              <w:rPr>
                <w:rStyle w:val="Hiperpovezava"/>
              </w:rPr>
              <w:t>2</w:t>
            </w:r>
            <w:r w:rsidR="00464E53">
              <w:rPr>
                <w:rFonts w:asciiTheme="minorHAnsi" w:eastAsiaTheme="minorEastAsia" w:hAnsiTheme="minorHAnsi" w:cstheme="minorBidi"/>
                <w:szCs w:val="22"/>
                <w:lang w:eastAsia="sl-SI"/>
              </w:rPr>
              <w:tab/>
            </w:r>
            <w:r w:rsidR="00464E53" w:rsidRPr="005E426B">
              <w:rPr>
                <w:rStyle w:val="Hiperpovezava"/>
              </w:rPr>
              <w:t>Uporabljeni kazalniki stanja</w:t>
            </w:r>
            <w:r w:rsidR="00464E53">
              <w:rPr>
                <w:webHidden/>
              </w:rPr>
              <w:tab/>
            </w:r>
            <w:r w:rsidR="00464E53">
              <w:rPr>
                <w:webHidden/>
              </w:rPr>
              <w:fldChar w:fldCharType="begin"/>
            </w:r>
            <w:r w:rsidR="00464E53">
              <w:rPr>
                <w:webHidden/>
              </w:rPr>
              <w:instrText xml:space="preserve"> PAGEREF _Toc86822532 \h </w:instrText>
            </w:r>
            <w:r w:rsidR="00464E53">
              <w:rPr>
                <w:webHidden/>
              </w:rPr>
            </w:r>
            <w:r w:rsidR="00464E53">
              <w:rPr>
                <w:webHidden/>
              </w:rPr>
              <w:fldChar w:fldCharType="separate"/>
            </w:r>
            <w:r w:rsidR="0088117A">
              <w:rPr>
                <w:webHidden/>
              </w:rPr>
              <w:t>14</w:t>
            </w:r>
            <w:r w:rsidR="00464E53">
              <w:rPr>
                <w:webHidden/>
              </w:rPr>
              <w:fldChar w:fldCharType="end"/>
            </w:r>
          </w:hyperlink>
        </w:p>
        <w:p w14:paraId="16C5D3E3" w14:textId="609A2E8B" w:rsidR="00464E53" w:rsidRDefault="00701492">
          <w:pPr>
            <w:pStyle w:val="Kazalovsebine1"/>
            <w:rPr>
              <w:rFonts w:asciiTheme="minorHAnsi" w:eastAsiaTheme="minorEastAsia" w:hAnsiTheme="minorHAnsi" w:cstheme="minorBidi"/>
              <w:szCs w:val="22"/>
              <w:lang w:eastAsia="sl-SI"/>
            </w:rPr>
          </w:pPr>
          <w:hyperlink w:anchor="_Toc86822533" w:history="1">
            <w:r w:rsidR="00464E53" w:rsidRPr="005E426B">
              <w:rPr>
                <w:rStyle w:val="Hiperpovezava"/>
              </w:rPr>
              <w:t>3</w:t>
            </w:r>
            <w:r w:rsidR="00464E53">
              <w:rPr>
                <w:rFonts w:asciiTheme="minorHAnsi" w:eastAsiaTheme="minorEastAsia" w:hAnsiTheme="minorHAnsi" w:cstheme="minorBidi"/>
                <w:szCs w:val="22"/>
                <w:lang w:eastAsia="sl-SI"/>
              </w:rPr>
              <w:tab/>
            </w:r>
            <w:r w:rsidR="00464E53" w:rsidRPr="005E426B">
              <w:rPr>
                <w:rStyle w:val="Hiperpovezava"/>
              </w:rPr>
              <w:t>Konkurenčnost in produktivnost gospodarstva in kmetijstva v Sloveniji</w:t>
            </w:r>
            <w:r w:rsidR="00464E53">
              <w:rPr>
                <w:webHidden/>
              </w:rPr>
              <w:tab/>
            </w:r>
            <w:r w:rsidR="00464E53">
              <w:rPr>
                <w:webHidden/>
              </w:rPr>
              <w:fldChar w:fldCharType="begin"/>
            </w:r>
            <w:r w:rsidR="00464E53">
              <w:rPr>
                <w:webHidden/>
              </w:rPr>
              <w:instrText xml:space="preserve"> PAGEREF _Toc86822533 \h </w:instrText>
            </w:r>
            <w:r w:rsidR="00464E53">
              <w:rPr>
                <w:webHidden/>
              </w:rPr>
            </w:r>
            <w:r w:rsidR="00464E53">
              <w:rPr>
                <w:webHidden/>
              </w:rPr>
              <w:fldChar w:fldCharType="separate"/>
            </w:r>
            <w:r w:rsidR="0088117A">
              <w:rPr>
                <w:webHidden/>
              </w:rPr>
              <w:t>15</w:t>
            </w:r>
            <w:r w:rsidR="00464E53">
              <w:rPr>
                <w:webHidden/>
              </w:rPr>
              <w:fldChar w:fldCharType="end"/>
            </w:r>
          </w:hyperlink>
        </w:p>
        <w:p w14:paraId="3E5E6370" w14:textId="75B242F6" w:rsidR="00464E53" w:rsidRDefault="00701492">
          <w:pPr>
            <w:pStyle w:val="Kazalovsebine2"/>
            <w:rPr>
              <w:rFonts w:asciiTheme="minorHAnsi" w:eastAsiaTheme="minorEastAsia" w:hAnsiTheme="minorHAnsi" w:cstheme="minorBidi"/>
              <w:noProof/>
              <w:szCs w:val="22"/>
              <w:lang w:eastAsia="sl-SI"/>
            </w:rPr>
          </w:pPr>
          <w:hyperlink w:anchor="_Toc86822534" w:history="1">
            <w:r w:rsidR="00464E53" w:rsidRPr="005E426B">
              <w:rPr>
                <w:rStyle w:val="Hiperpovezava"/>
                <w:noProof/>
              </w:rPr>
              <w:t>3.1</w:t>
            </w:r>
            <w:r w:rsidR="00464E53">
              <w:rPr>
                <w:rFonts w:asciiTheme="minorHAnsi" w:eastAsiaTheme="minorEastAsia" w:hAnsiTheme="minorHAnsi" w:cstheme="minorBidi"/>
                <w:noProof/>
                <w:szCs w:val="22"/>
                <w:lang w:eastAsia="sl-SI"/>
              </w:rPr>
              <w:tab/>
            </w:r>
            <w:r w:rsidR="00464E53" w:rsidRPr="005E426B">
              <w:rPr>
                <w:rStyle w:val="Hiperpovezava"/>
                <w:noProof/>
              </w:rPr>
              <w:t>Stanje slovenskega gospodarstva</w:t>
            </w:r>
            <w:r w:rsidR="00464E53">
              <w:rPr>
                <w:noProof/>
                <w:webHidden/>
              </w:rPr>
              <w:tab/>
            </w:r>
            <w:r w:rsidR="00464E53">
              <w:rPr>
                <w:noProof/>
                <w:webHidden/>
              </w:rPr>
              <w:fldChar w:fldCharType="begin"/>
            </w:r>
            <w:r w:rsidR="00464E53">
              <w:rPr>
                <w:noProof/>
                <w:webHidden/>
              </w:rPr>
              <w:instrText xml:space="preserve"> PAGEREF _Toc86822534 \h </w:instrText>
            </w:r>
            <w:r w:rsidR="00464E53">
              <w:rPr>
                <w:noProof/>
                <w:webHidden/>
              </w:rPr>
            </w:r>
            <w:r w:rsidR="00464E53">
              <w:rPr>
                <w:noProof/>
                <w:webHidden/>
              </w:rPr>
              <w:fldChar w:fldCharType="separate"/>
            </w:r>
            <w:r w:rsidR="0088117A">
              <w:rPr>
                <w:noProof/>
                <w:webHidden/>
              </w:rPr>
              <w:t>15</w:t>
            </w:r>
            <w:r w:rsidR="00464E53">
              <w:rPr>
                <w:noProof/>
                <w:webHidden/>
              </w:rPr>
              <w:fldChar w:fldCharType="end"/>
            </w:r>
          </w:hyperlink>
        </w:p>
        <w:p w14:paraId="46198D77" w14:textId="2502CAAF" w:rsidR="00464E53" w:rsidRDefault="00701492">
          <w:pPr>
            <w:pStyle w:val="Kazalovsebine2"/>
            <w:rPr>
              <w:rFonts w:asciiTheme="minorHAnsi" w:eastAsiaTheme="minorEastAsia" w:hAnsiTheme="minorHAnsi" w:cstheme="minorBidi"/>
              <w:noProof/>
              <w:szCs w:val="22"/>
              <w:lang w:eastAsia="sl-SI"/>
            </w:rPr>
          </w:pPr>
          <w:hyperlink w:anchor="_Toc86822535" w:history="1">
            <w:r w:rsidR="00464E53" w:rsidRPr="005E426B">
              <w:rPr>
                <w:rStyle w:val="Hiperpovezava"/>
                <w:noProof/>
              </w:rPr>
              <w:t>3.2</w:t>
            </w:r>
            <w:r w:rsidR="00464E53">
              <w:rPr>
                <w:rFonts w:asciiTheme="minorHAnsi" w:eastAsiaTheme="minorEastAsia" w:hAnsiTheme="minorHAnsi" w:cstheme="minorBidi"/>
                <w:noProof/>
                <w:szCs w:val="22"/>
                <w:lang w:eastAsia="sl-SI"/>
              </w:rPr>
              <w:tab/>
            </w:r>
            <w:r w:rsidR="00464E53" w:rsidRPr="005E426B">
              <w:rPr>
                <w:rStyle w:val="Hiperpovezava"/>
                <w:noProof/>
              </w:rPr>
              <w:t>Stanje kmetijstva v Sloveniji</w:t>
            </w:r>
            <w:r w:rsidR="00464E53">
              <w:rPr>
                <w:noProof/>
                <w:webHidden/>
              </w:rPr>
              <w:tab/>
            </w:r>
            <w:r w:rsidR="00464E53">
              <w:rPr>
                <w:noProof/>
                <w:webHidden/>
              </w:rPr>
              <w:fldChar w:fldCharType="begin"/>
            </w:r>
            <w:r w:rsidR="00464E53">
              <w:rPr>
                <w:noProof/>
                <w:webHidden/>
              </w:rPr>
              <w:instrText xml:space="preserve"> PAGEREF _Toc86822535 \h </w:instrText>
            </w:r>
            <w:r w:rsidR="00464E53">
              <w:rPr>
                <w:noProof/>
                <w:webHidden/>
              </w:rPr>
            </w:r>
            <w:r w:rsidR="00464E53">
              <w:rPr>
                <w:noProof/>
                <w:webHidden/>
              </w:rPr>
              <w:fldChar w:fldCharType="separate"/>
            </w:r>
            <w:r w:rsidR="0088117A">
              <w:rPr>
                <w:noProof/>
                <w:webHidden/>
              </w:rPr>
              <w:t>19</w:t>
            </w:r>
            <w:r w:rsidR="00464E53">
              <w:rPr>
                <w:noProof/>
                <w:webHidden/>
              </w:rPr>
              <w:fldChar w:fldCharType="end"/>
            </w:r>
          </w:hyperlink>
        </w:p>
        <w:p w14:paraId="5D54D689" w14:textId="171A7036" w:rsidR="00464E53" w:rsidRDefault="00701492">
          <w:pPr>
            <w:pStyle w:val="Kazalovsebine2"/>
            <w:rPr>
              <w:rFonts w:asciiTheme="minorHAnsi" w:eastAsiaTheme="minorEastAsia" w:hAnsiTheme="minorHAnsi" w:cstheme="minorBidi"/>
              <w:noProof/>
              <w:szCs w:val="22"/>
              <w:lang w:eastAsia="sl-SI"/>
            </w:rPr>
          </w:pPr>
          <w:hyperlink w:anchor="_Toc86822536" w:history="1">
            <w:r w:rsidR="00464E53" w:rsidRPr="005E426B">
              <w:rPr>
                <w:rStyle w:val="Hiperpovezava"/>
                <w:noProof/>
              </w:rPr>
              <w:t>3.3</w:t>
            </w:r>
            <w:r w:rsidR="00464E53">
              <w:rPr>
                <w:rFonts w:asciiTheme="minorHAnsi" w:eastAsiaTheme="minorEastAsia" w:hAnsiTheme="minorHAnsi" w:cstheme="minorBidi"/>
                <w:noProof/>
                <w:szCs w:val="22"/>
                <w:lang w:eastAsia="sl-SI"/>
              </w:rPr>
              <w:tab/>
            </w:r>
            <w:r w:rsidR="00464E53" w:rsidRPr="005E426B">
              <w:rPr>
                <w:rStyle w:val="Hiperpovezava"/>
                <w:noProof/>
              </w:rPr>
              <w:t>Skupna faktorska produktivnost kmetijstva (C.28)</w:t>
            </w:r>
            <w:r w:rsidR="00464E53">
              <w:rPr>
                <w:noProof/>
                <w:webHidden/>
              </w:rPr>
              <w:tab/>
            </w:r>
            <w:r w:rsidR="00464E53">
              <w:rPr>
                <w:noProof/>
                <w:webHidden/>
              </w:rPr>
              <w:fldChar w:fldCharType="begin"/>
            </w:r>
            <w:r w:rsidR="00464E53">
              <w:rPr>
                <w:noProof/>
                <w:webHidden/>
              </w:rPr>
              <w:instrText xml:space="preserve"> PAGEREF _Toc86822536 \h </w:instrText>
            </w:r>
            <w:r w:rsidR="00464E53">
              <w:rPr>
                <w:noProof/>
                <w:webHidden/>
              </w:rPr>
            </w:r>
            <w:r w:rsidR="00464E53">
              <w:rPr>
                <w:noProof/>
                <w:webHidden/>
              </w:rPr>
              <w:fldChar w:fldCharType="separate"/>
            </w:r>
            <w:r w:rsidR="0088117A">
              <w:rPr>
                <w:noProof/>
                <w:webHidden/>
              </w:rPr>
              <w:t>21</w:t>
            </w:r>
            <w:r w:rsidR="00464E53">
              <w:rPr>
                <w:noProof/>
                <w:webHidden/>
              </w:rPr>
              <w:fldChar w:fldCharType="end"/>
            </w:r>
          </w:hyperlink>
        </w:p>
        <w:p w14:paraId="1AB72A7A" w14:textId="42BBBC2A" w:rsidR="00464E53" w:rsidRDefault="00701492">
          <w:pPr>
            <w:pStyle w:val="Kazalovsebine2"/>
            <w:rPr>
              <w:rFonts w:asciiTheme="minorHAnsi" w:eastAsiaTheme="minorEastAsia" w:hAnsiTheme="minorHAnsi" w:cstheme="minorBidi"/>
              <w:noProof/>
              <w:szCs w:val="22"/>
              <w:lang w:eastAsia="sl-SI"/>
            </w:rPr>
          </w:pPr>
          <w:hyperlink w:anchor="_Toc86822537" w:history="1">
            <w:r w:rsidR="00464E53" w:rsidRPr="005E426B">
              <w:rPr>
                <w:rStyle w:val="Hiperpovezava"/>
                <w:noProof/>
              </w:rPr>
              <w:t>3.4</w:t>
            </w:r>
            <w:r w:rsidR="00464E53">
              <w:rPr>
                <w:rFonts w:asciiTheme="minorHAnsi" w:eastAsiaTheme="minorEastAsia" w:hAnsiTheme="minorHAnsi" w:cstheme="minorBidi"/>
                <w:noProof/>
                <w:szCs w:val="22"/>
                <w:lang w:eastAsia="sl-SI"/>
              </w:rPr>
              <w:tab/>
            </w:r>
            <w:r w:rsidR="00464E53" w:rsidRPr="005E426B">
              <w:rPr>
                <w:rStyle w:val="Hiperpovezava"/>
                <w:noProof/>
              </w:rPr>
              <w:t>Produktivnost dela</w:t>
            </w:r>
            <w:r w:rsidR="00464E53">
              <w:rPr>
                <w:noProof/>
                <w:webHidden/>
              </w:rPr>
              <w:tab/>
            </w:r>
            <w:r w:rsidR="00464E53">
              <w:rPr>
                <w:noProof/>
                <w:webHidden/>
              </w:rPr>
              <w:fldChar w:fldCharType="begin"/>
            </w:r>
            <w:r w:rsidR="00464E53">
              <w:rPr>
                <w:noProof/>
                <w:webHidden/>
              </w:rPr>
              <w:instrText xml:space="preserve"> PAGEREF _Toc86822537 \h </w:instrText>
            </w:r>
            <w:r w:rsidR="00464E53">
              <w:rPr>
                <w:noProof/>
                <w:webHidden/>
              </w:rPr>
            </w:r>
            <w:r w:rsidR="00464E53">
              <w:rPr>
                <w:noProof/>
                <w:webHidden/>
              </w:rPr>
              <w:fldChar w:fldCharType="separate"/>
            </w:r>
            <w:r w:rsidR="0088117A">
              <w:rPr>
                <w:noProof/>
                <w:webHidden/>
              </w:rPr>
              <w:t>24</w:t>
            </w:r>
            <w:r w:rsidR="00464E53">
              <w:rPr>
                <w:noProof/>
                <w:webHidden/>
              </w:rPr>
              <w:fldChar w:fldCharType="end"/>
            </w:r>
          </w:hyperlink>
        </w:p>
        <w:p w14:paraId="7FE54296" w14:textId="0A0C30E6"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38" w:history="1">
            <w:r w:rsidR="00464E53" w:rsidRPr="005E426B">
              <w:rPr>
                <w:rStyle w:val="Hiperpovezava"/>
                <w:noProof/>
              </w:rPr>
              <w:t>3.4.1</w:t>
            </w:r>
            <w:r w:rsidR="00464E53">
              <w:rPr>
                <w:rFonts w:asciiTheme="minorHAnsi" w:eastAsiaTheme="minorEastAsia" w:hAnsiTheme="minorHAnsi" w:cstheme="minorBidi"/>
                <w:noProof/>
                <w:szCs w:val="22"/>
                <w:lang w:eastAsia="sl-SI"/>
              </w:rPr>
              <w:tab/>
            </w:r>
            <w:r w:rsidR="00464E53" w:rsidRPr="005E426B">
              <w:rPr>
                <w:rStyle w:val="Hiperpovezava"/>
                <w:noProof/>
              </w:rPr>
              <w:t>Gibanje obsega delovne sile v kmetijstvu (C.13)</w:t>
            </w:r>
            <w:r w:rsidR="00464E53">
              <w:rPr>
                <w:noProof/>
                <w:webHidden/>
              </w:rPr>
              <w:tab/>
            </w:r>
            <w:r w:rsidR="00464E53">
              <w:rPr>
                <w:noProof/>
                <w:webHidden/>
              </w:rPr>
              <w:fldChar w:fldCharType="begin"/>
            </w:r>
            <w:r w:rsidR="00464E53">
              <w:rPr>
                <w:noProof/>
                <w:webHidden/>
              </w:rPr>
              <w:instrText xml:space="preserve"> PAGEREF _Toc86822538 \h </w:instrText>
            </w:r>
            <w:r w:rsidR="00464E53">
              <w:rPr>
                <w:noProof/>
                <w:webHidden/>
              </w:rPr>
            </w:r>
            <w:r w:rsidR="00464E53">
              <w:rPr>
                <w:noProof/>
                <w:webHidden/>
              </w:rPr>
              <w:fldChar w:fldCharType="separate"/>
            </w:r>
            <w:r w:rsidR="0088117A">
              <w:rPr>
                <w:noProof/>
                <w:webHidden/>
              </w:rPr>
              <w:t>24</w:t>
            </w:r>
            <w:r w:rsidR="00464E53">
              <w:rPr>
                <w:noProof/>
                <w:webHidden/>
              </w:rPr>
              <w:fldChar w:fldCharType="end"/>
            </w:r>
          </w:hyperlink>
        </w:p>
        <w:p w14:paraId="19388482" w14:textId="2DED9B15"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39" w:history="1">
            <w:r w:rsidR="00464E53" w:rsidRPr="005E426B">
              <w:rPr>
                <w:rStyle w:val="Hiperpovezava"/>
                <w:noProof/>
              </w:rPr>
              <w:t>3.4.2</w:t>
            </w:r>
            <w:r w:rsidR="00464E53">
              <w:rPr>
                <w:rFonts w:asciiTheme="minorHAnsi" w:eastAsiaTheme="minorEastAsia" w:hAnsiTheme="minorHAnsi" w:cstheme="minorBidi"/>
                <w:noProof/>
                <w:szCs w:val="22"/>
                <w:lang w:eastAsia="sl-SI"/>
              </w:rPr>
              <w:tab/>
            </w:r>
            <w:r w:rsidR="00464E53" w:rsidRPr="005E426B">
              <w:rPr>
                <w:rStyle w:val="Hiperpovezava"/>
                <w:noProof/>
              </w:rPr>
              <w:t>Povprečni vložek delovne sile na kmetijskem gospodarstvu</w:t>
            </w:r>
            <w:r w:rsidR="00464E53">
              <w:rPr>
                <w:noProof/>
                <w:webHidden/>
              </w:rPr>
              <w:tab/>
            </w:r>
            <w:r w:rsidR="00464E53">
              <w:rPr>
                <w:noProof/>
                <w:webHidden/>
              </w:rPr>
              <w:fldChar w:fldCharType="begin"/>
            </w:r>
            <w:r w:rsidR="00464E53">
              <w:rPr>
                <w:noProof/>
                <w:webHidden/>
              </w:rPr>
              <w:instrText xml:space="preserve"> PAGEREF _Toc86822539 \h </w:instrText>
            </w:r>
            <w:r w:rsidR="00464E53">
              <w:rPr>
                <w:noProof/>
                <w:webHidden/>
              </w:rPr>
            </w:r>
            <w:r w:rsidR="00464E53">
              <w:rPr>
                <w:noProof/>
                <w:webHidden/>
              </w:rPr>
              <w:fldChar w:fldCharType="separate"/>
            </w:r>
            <w:r w:rsidR="0088117A">
              <w:rPr>
                <w:noProof/>
                <w:webHidden/>
              </w:rPr>
              <w:t>25</w:t>
            </w:r>
            <w:r w:rsidR="00464E53">
              <w:rPr>
                <w:noProof/>
                <w:webHidden/>
              </w:rPr>
              <w:fldChar w:fldCharType="end"/>
            </w:r>
          </w:hyperlink>
        </w:p>
        <w:p w14:paraId="28402733" w14:textId="6B4856FE"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40" w:history="1">
            <w:r w:rsidR="00464E53" w:rsidRPr="005E426B">
              <w:rPr>
                <w:rStyle w:val="Hiperpovezava"/>
                <w:noProof/>
              </w:rPr>
              <w:t>3.4.3</w:t>
            </w:r>
            <w:r w:rsidR="00464E53">
              <w:rPr>
                <w:rFonts w:asciiTheme="minorHAnsi" w:eastAsiaTheme="minorEastAsia" w:hAnsiTheme="minorHAnsi" w:cstheme="minorBidi"/>
                <w:noProof/>
                <w:szCs w:val="22"/>
                <w:lang w:eastAsia="sl-SI"/>
              </w:rPr>
              <w:tab/>
            </w:r>
            <w:r w:rsidR="00464E53" w:rsidRPr="005E426B">
              <w:rPr>
                <w:rStyle w:val="Hiperpovezava"/>
                <w:noProof/>
              </w:rPr>
              <w:t>Dodana vrednost na enoto dela (C.29)</w:t>
            </w:r>
            <w:r w:rsidR="00464E53">
              <w:rPr>
                <w:noProof/>
                <w:webHidden/>
              </w:rPr>
              <w:tab/>
            </w:r>
            <w:r w:rsidR="00464E53">
              <w:rPr>
                <w:noProof/>
                <w:webHidden/>
              </w:rPr>
              <w:fldChar w:fldCharType="begin"/>
            </w:r>
            <w:r w:rsidR="00464E53">
              <w:rPr>
                <w:noProof/>
                <w:webHidden/>
              </w:rPr>
              <w:instrText xml:space="preserve"> PAGEREF _Toc86822540 \h </w:instrText>
            </w:r>
            <w:r w:rsidR="00464E53">
              <w:rPr>
                <w:noProof/>
                <w:webHidden/>
              </w:rPr>
            </w:r>
            <w:r w:rsidR="00464E53">
              <w:rPr>
                <w:noProof/>
                <w:webHidden/>
              </w:rPr>
              <w:fldChar w:fldCharType="separate"/>
            </w:r>
            <w:r w:rsidR="0088117A">
              <w:rPr>
                <w:noProof/>
                <w:webHidden/>
              </w:rPr>
              <w:t>26</w:t>
            </w:r>
            <w:r w:rsidR="00464E53">
              <w:rPr>
                <w:noProof/>
                <w:webHidden/>
              </w:rPr>
              <w:fldChar w:fldCharType="end"/>
            </w:r>
          </w:hyperlink>
        </w:p>
        <w:p w14:paraId="402C9D4E" w14:textId="5E1632E9" w:rsidR="00464E53" w:rsidRDefault="00701492">
          <w:pPr>
            <w:pStyle w:val="Kazalovsebine2"/>
            <w:rPr>
              <w:rFonts w:asciiTheme="minorHAnsi" w:eastAsiaTheme="minorEastAsia" w:hAnsiTheme="minorHAnsi" w:cstheme="minorBidi"/>
              <w:noProof/>
              <w:szCs w:val="22"/>
              <w:lang w:eastAsia="sl-SI"/>
            </w:rPr>
          </w:pPr>
          <w:hyperlink w:anchor="_Toc86822541" w:history="1">
            <w:r w:rsidR="00464E53" w:rsidRPr="005E426B">
              <w:rPr>
                <w:rStyle w:val="Hiperpovezava"/>
                <w:noProof/>
              </w:rPr>
              <w:t>3.5</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_Toc86822541 \h </w:instrText>
            </w:r>
            <w:r w:rsidR="00464E53">
              <w:rPr>
                <w:noProof/>
                <w:webHidden/>
              </w:rPr>
            </w:r>
            <w:r w:rsidR="00464E53">
              <w:rPr>
                <w:noProof/>
                <w:webHidden/>
              </w:rPr>
              <w:fldChar w:fldCharType="separate"/>
            </w:r>
            <w:r w:rsidR="0088117A">
              <w:rPr>
                <w:noProof/>
                <w:webHidden/>
              </w:rPr>
              <w:t>28</w:t>
            </w:r>
            <w:r w:rsidR="00464E53">
              <w:rPr>
                <w:noProof/>
                <w:webHidden/>
              </w:rPr>
              <w:fldChar w:fldCharType="end"/>
            </w:r>
          </w:hyperlink>
        </w:p>
        <w:p w14:paraId="0A9B81A5" w14:textId="25F9996A" w:rsidR="00464E53" w:rsidRDefault="00701492">
          <w:pPr>
            <w:pStyle w:val="Kazalovsebine1"/>
            <w:rPr>
              <w:rFonts w:asciiTheme="minorHAnsi" w:eastAsiaTheme="minorEastAsia" w:hAnsiTheme="minorHAnsi" w:cstheme="minorBidi"/>
              <w:szCs w:val="22"/>
              <w:lang w:eastAsia="sl-SI"/>
            </w:rPr>
          </w:pPr>
          <w:hyperlink w:anchor="_Toc86822542" w:history="1">
            <w:r w:rsidR="00464E53" w:rsidRPr="005E426B">
              <w:rPr>
                <w:rStyle w:val="Hiperpovezava"/>
              </w:rPr>
              <w:t>4</w:t>
            </w:r>
            <w:r w:rsidR="00464E53">
              <w:rPr>
                <w:rFonts w:asciiTheme="minorHAnsi" w:eastAsiaTheme="minorEastAsia" w:hAnsiTheme="minorHAnsi" w:cstheme="minorBidi"/>
                <w:szCs w:val="22"/>
                <w:lang w:eastAsia="sl-SI"/>
              </w:rPr>
              <w:tab/>
            </w:r>
            <w:r w:rsidR="00464E53" w:rsidRPr="005E426B">
              <w:rPr>
                <w:rStyle w:val="Hiperpovezava"/>
              </w:rPr>
              <w:t>Produktivnost kapitala</w:t>
            </w:r>
            <w:r w:rsidR="00464E53">
              <w:rPr>
                <w:webHidden/>
              </w:rPr>
              <w:tab/>
            </w:r>
            <w:r w:rsidR="00464E53">
              <w:rPr>
                <w:webHidden/>
              </w:rPr>
              <w:fldChar w:fldCharType="begin"/>
            </w:r>
            <w:r w:rsidR="00464E53">
              <w:rPr>
                <w:webHidden/>
              </w:rPr>
              <w:instrText xml:space="preserve"> PAGEREF _Toc86822542 \h </w:instrText>
            </w:r>
            <w:r w:rsidR="00464E53">
              <w:rPr>
                <w:webHidden/>
              </w:rPr>
            </w:r>
            <w:r w:rsidR="00464E53">
              <w:rPr>
                <w:webHidden/>
              </w:rPr>
              <w:fldChar w:fldCharType="separate"/>
            </w:r>
            <w:r w:rsidR="0088117A">
              <w:rPr>
                <w:webHidden/>
              </w:rPr>
              <w:t>29</w:t>
            </w:r>
            <w:r w:rsidR="00464E53">
              <w:rPr>
                <w:webHidden/>
              </w:rPr>
              <w:fldChar w:fldCharType="end"/>
            </w:r>
          </w:hyperlink>
        </w:p>
        <w:p w14:paraId="0AC95549" w14:textId="746F4B60" w:rsidR="00464E53" w:rsidRDefault="00701492">
          <w:pPr>
            <w:pStyle w:val="Kazalovsebine2"/>
            <w:rPr>
              <w:rFonts w:asciiTheme="minorHAnsi" w:eastAsiaTheme="minorEastAsia" w:hAnsiTheme="minorHAnsi" w:cstheme="minorBidi"/>
              <w:noProof/>
              <w:szCs w:val="22"/>
              <w:lang w:eastAsia="sl-SI"/>
            </w:rPr>
          </w:pPr>
          <w:hyperlink w:anchor="_Toc86822543" w:history="1">
            <w:r w:rsidR="00464E53" w:rsidRPr="005E426B">
              <w:rPr>
                <w:rStyle w:val="Hiperpovezava"/>
                <w:noProof/>
              </w:rPr>
              <w:t>4.1</w:t>
            </w:r>
            <w:r w:rsidR="00464E53">
              <w:rPr>
                <w:rFonts w:asciiTheme="minorHAnsi" w:eastAsiaTheme="minorEastAsia" w:hAnsiTheme="minorHAnsi" w:cstheme="minorBidi"/>
                <w:noProof/>
                <w:szCs w:val="22"/>
                <w:lang w:eastAsia="sl-SI"/>
              </w:rPr>
              <w:tab/>
            </w:r>
            <w:r w:rsidR="00464E53" w:rsidRPr="005E426B">
              <w:rPr>
                <w:rStyle w:val="Hiperpovezava"/>
                <w:noProof/>
              </w:rPr>
              <w:t>Bruto naložbe v osnovna sredstva v kmetijstvu (C. 27)</w:t>
            </w:r>
            <w:r w:rsidR="00464E53">
              <w:rPr>
                <w:noProof/>
                <w:webHidden/>
              </w:rPr>
              <w:tab/>
            </w:r>
            <w:r w:rsidR="00464E53">
              <w:rPr>
                <w:noProof/>
                <w:webHidden/>
              </w:rPr>
              <w:fldChar w:fldCharType="begin"/>
            </w:r>
            <w:r w:rsidR="00464E53">
              <w:rPr>
                <w:noProof/>
                <w:webHidden/>
              </w:rPr>
              <w:instrText xml:space="preserve"> PAGEREF _Toc86822543 \h </w:instrText>
            </w:r>
            <w:r w:rsidR="00464E53">
              <w:rPr>
                <w:noProof/>
                <w:webHidden/>
              </w:rPr>
            </w:r>
            <w:r w:rsidR="00464E53">
              <w:rPr>
                <w:noProof/>
                <w:webHidden/>
              </w:rPr>
              <w:fldChar w:fldCharType="separate"/>
            </w:r>
            <w:r w:rsidR="0088117A">
              <w:rPr>
                <w:noProof/>
                <w:webHidden/>
              </w:rPr>
              <w:t>29</w:t>
            </w:r>
            <w:r w:rsidR="00464E53">
              <w:rPr>
                <w:noProof/>
                <w:webHidden/>
              </w:rPr>
              <w:fldChar w:fldCharType="end"/>
            </w:r>
          </w:hyperlink>
        </w:p>
        <w:p w14:paraId="68D989CA" w14:textId="0D030735"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44" w:history="1">
            <w:r w:rsidR="00464E53" w:rsidRPr="005E426B">
              <w:rPr>
                <w:rStyle w:val="Hiperpovezava"/>
                <w:rFonts w:eastAsiaTheme="minorHAnsi"/>
                <w:noProof/>
              </w:rPr>
              <w:t>4.1.1</w:t>
            </w:r>
            <w:r w:rsidR="00464E53">
              <w:rPr>
                <w:rFonts w:asciiTheme="minorHAnsi" w:eastAsiaTheme="minorEastAsia" w:hAnsiTheme="minorHAnsi" w:cstheme="minorBidi"/>
                <w:noProof/>
                <w:szCs w:val="22"/>
                <w:lang w:eastAsia="sl-SI"/>
              </w:rPr>
              <w:tab/>
            </w:r>
            <w:r w:rsidR="00464E53" w:rsidRPr="005E426B">
              <w:rPr>
                <w:rStyle w:val="Hiperpovezava"/>
                <w:rFonts w:eastAsiaTheme="minorHAnsi"/>
                <w:noProof/>
              </w:rPr>
              <w:t>Investicije v kmetijstvu preko PRP 2007–2013 in PRP 2014-2020</w:t>
            </w:r>
            <w:r w:rsidR="00464E53">
              <w:rPr>
                <w:noProof/>
                <w:webHidden/>
              </w:rPr>
              <w:tab/>
            </w:r>
            <w:r w:rsidR="00464E53">
              <w:rPr>
                <w:noProof/>
                <w:webHidden/>
              </w:rPr>
              <w:fldChar w:fldCharType="begin"/>
            </w:r>
            <w:r w:rsidR="00464E53">
              <w:rPr>
                <w:noProof/>
                <w:webHidden/>
              </w:rPr>
              <w:instrText xml:space="preserve"> PAGEREF _Toc86822544 \h </w:instrText>
            </w:r>
            <w:r w:rsidR="00464E53">
              <w:rPr>
                <w:noProof/>
                <w:webHidden/>
              </w:rPr>
            </w:r>
            <w:r w:rsidR="00464E53">
              <w:rPr>
                <w:noProof/>
                <w:webHidden/>
              </w:rPr>
              <w:fldChar w:fldCharType="separate"/>
            </w:r>
            <w:r w:rsidR="0088117A">
              <w:rPr>
                <w:noProof/>
                <w:webHidden/>
              </w:rPr>
              <w:t>34</w:t>
            </w:r>
            <w:r w:rsidR="00464E53">
              <w:rPr>
                <w:noProof/>
                <w:webHidden/>
              </w:rPr>
              <w:fldChar w:fldCharType="end"/>
            </w:r>
          </w:hyperlink>
        </w:p>
        <w:p w14:paraId="7C87F407" w14:textId="31F0038D" w:rsidR="00464E53" w:rsidRDefault="00701492">
          <w:pPr>
            <w:pStyle w:val="Kazalovsebine2"/>
            <w:rPr>
              <w:rFonts w:asciiTheme="minorHAnsi" w:eastAsiaTheme="minorEastAsia" w:hAnsiTheme="minorHAnsi" w:cstheme="minorBidi"/>
              <w:noProof/>
              <w:szCs w:val="22"/>
              <w:lang w:eastAsia="sl-SI"/>
            </w:rPr>
          </w:pPr>
          <w:hyperlink w:anchor="_Toc86822545" w:history="1">
            <w:r w:rsidR="00464E53" w:rsidRPr="005E426B">
              <w:rPr>
                <w:rStyle w:val="Hiperpovezava"/>
                <w:noProof/>
              </w:rPr>
              <w:t>4.2</w:t>
            </w:r>
            <w:r w:rsidR="00464E53">
              <w:rPr>
                <w:rFonts w:asciiTheme="minorHAnsi" w:eastAsiaTheme="minorEastAsia" w:hAnsiTheme="minorHAnsi" w:cstheme="minorBidi"/>
                <w:noProof/>
                <w:szCs w:val="22"/>
                <w:lang w:eastAsia="sl-SI"/>
              </w:rPr>
              <w:tab/>
            </w:r>
            <w:r w:rsidR="00464E53" w:rsidRPr="005E426B">
              <w:rPr>
                <w:rStyle w:val="Hiperpovezava"/>
                <w:noProof/>
              </w:rPr>
              <w:t>Amortizacija osnovnih sredstev</w:t>
            </w:r>
            <w:r w:rsidR="00464E53">
              <w:rPr>
                <w:noProof/>
                <w:webHidden/>
              </w:rPr>
              <w:tab/>
            </w:r>
            <w:r w:rsidR="00464E53">
              <w:rPr>
                <w:noProof/>
                <w:webHidden/>
              </w:rPr>
              <w:fldChar w:fldCharType="begin"/>
            </w:r>
            <w:r w:rsidR="00464E53">
              <w:rPr>
                <w:noProof/>
                <w:webHidden/>
              </w:rPr>
              <w:instrText xml:space="preserve"> PAGEREF _Toc86822545 \h </w:instrText>
            </w:r>
            <w:r w:rsidR="00464E53">
              <w:rPr>
                <w:noProof/>
                <w:webHidden/>
              </w:rPr>
            </w:r>
            <w:r w:rsidR="00464E53">
              <w:rPr>
                <w:noProof/>
                <w:webHidden/>
              </w:rPr>
              <w:fldChar w:fldCharType="separate"/>
            </w:r>
            <w:r w:rsidR="0088117A">
              <w:rPr>
                <w:noProof/>
                <w:webHidden/>
              </w:rPr>
              <w:t>37</w:t>
            </w:r>
            <w:r w:rsidR="00464E53">
              <w:rPr>
                <w:noProof/>
                <w:webHidden/>
              </w:rPr>
              <w:fldChar w:fldCharType="end"/>
            </w:r>
          </w:hyperlink>
        </w:p>
        <w:p w14:paraId="06A9B518" w14:textId="23B7DF7D" w:rsidR="00464E53" w:rsidRDefault="00701492">
          <w:pPr>
            <w:pStyle w:val="Kazalovsebine2"/>
            <w:rPr>
              <w:rFonts w:asciiTheme="minorHAnsi" w:eastAsiaTheme="minorEastAsia" w:hAnsiTheme="minorHAnsi" w:cstheme="minorBidi"/>
              <w:noProof/>
              <w:szCs w:val="22"/>
              <w:lang w:eastAsia="sl-SI"/>
            </w:rPr>
          </w:pPr>
          <w:hyperlink w:anchor="_Toc86822546" w:history="1">
            <w:r w:rsidR="00464E53" w:rsidRPr="005E426B">
              <w:rPr>
                <w:rStyle w:val="Hiperpovezava"/>
                <w:noProof/>
              </w:rPr>
              <w:t>4.3</w:t>
            </w:r>
            <w:r w:rsidR="00464E53">
              <w:rPr>
                <w:rFonts w:asciiTheme="minorHAnsi" w:eastAsiaTheme="minorEastAsia" w:hAnsiTheme="minorHAnsi" w:cstheme="minorBidi"/>
                <w:noProof/>
                <w:szCs w:val="22"/>
                <w:lang w:eastAsia="sl-SI"/>
              </w:rPr>
              <w:tab/>
            </w:r>
            <w:r w:rsidR="00464E53" w:rsidRPr="005E426B">
              <w:rPr>
                <w:rStyle w:val="Hiperpovezava"/>
                <w:noProof/>
              </w:rPr>
              <w:t>Potrebe po financiranju, dostop do finančnih sredstev in finančna vrzel v kmetijskem sektorju v Sloveniji</w:t>
            </w:r>
            <w:r w:rsidR="00464E53">
              <w:rPr>
                <w:noProof/>
                <w:webHidden/>
              </w:rPr>
              <w:tab/>
            </w:r>
            <w:r w:rsidR="00464E53">
              <w:rPr>
                <w:noProof/>
                <w:webHidden/>
              </w:rPr>
              <w:fldChar w:fldCharType="begin"/>
            </w:r>
            <w:r w:rsidR="00464E53">
              <w:rPr>
                <w:noProof/>
                <w:webHidden/>
              </w:rPr>
              <w:instrText xml:space="preserve"> PAGEREF _Toc86822546 \h </w:instrText>
            </w:r>
            <w:r w:rsidR="00464E53">
              <w:rPr>
                <w:noProof/>
                <w:webHidden/>
              </w:rPr>
            </w:r>
            <w:r w:rsidR="00464E53">
              <w:rPr>
                <w:noProof/>
                <w:webHidden/>
              </w:rPr>
              <w:fldChar w:fldCharType="separate"/>
            </w:r>
            <w:r w:rsidR="0088117A">
              <w:rPr>
                <w:noProof/>
                <w:webHidden/>
              </w:rPr>
              <w:t>38</w:t>
            </w:r>
            <w:r w:rsidR="00464E53">
              <w:rPr>
                <w:noProof/>
                <w:webHidden/>
              </w:rPr>
              <w:fldChar w:fldCharType="end"/>
            </w:r>
          </w:hyperlink>
        </w:p>
        <w:p w14:paraId="379519A2" w14:textId="512A66DF" w:rsidR="00464E53" w:rsidRDefault="00701492">
          <w:pPr>
            <w:pStyle w:val="Kazalovsebine2"/>
            <w:rPr>
              <w:rFonts w:asciiTheme="minorHAnsi" w:eastAsiaTheme="minorEastAsia" w:hAnsiTheme="minorHAnsi" w:cstheme="minorBidi"/>
              <w:noProof/>
              <w:szCs w:val="22"/>
              <w:lang w:eastAsia="sl-SI"/>
            </w:rPr>
          </w:pPr>
          <w:hyperlink w:anchor="_Toc86822547" w:history="1">
            <w:r w:rsidR="00464E53" w:rsidRPr="005E426B">
              <w:rPr>
                <w:rStyle w:val="Hiperpovezava"/>
                <w:noProof/>
              </w:rPr>
              <w:t>4.4</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_Toc86822547 \h </w:instrText>
            </w:r>
            <w:r w:rsidR="00464E53">
              <w:rPr>
                <w:noProof/>
                <w:webHidden/>
              </w:rPr>
            </w:r>
            <w:r w:rsidR="00464E53">
              <w:rPr>
                <w:noProof/>
                <w:webHidden/>
              </w:rPr>
              <w:fldChar w:fldCharType="separate"/>
            </w:r>
            <w:r w:rsidR="0088117A">
              <w:rPr>
                <w:noProof/>
                <w:webHidden/>
              </w:rPr>
              <w:t>40</w:t>
            </w:r>
            <w:r w:rsidR="00464E53">
              <w:rPr>
                <w:noProof/>
                <w:webHidden/>
              </w:rPr>
              <w:fldChar w:fldCharType="end"/>
            </w:r>
          </w:hyperlink>
        </w:p>
        <w:p w14:paraId="6E05335E" w14:textId="7A44CB85" w:rsidR="00464E53" w:rsidRDefault="00701492">
          <w:pPr>
            <w:pStyle w:val="Kazalovsebine1"/>
            <w:rPr>
              <w:rFonts w:asciiTheme="minorHAnsi" w:eastAsiaTheme="minorEastAsia" w:hAnsiTheme="minorHAnsi" w:cstheme="minorBidi"/>
              <w:szCs w:val="22"/>
              <w:lang w:eastAsia="sl-SI"/>
            </w:rPr>
          </w:pPr>
          <w:hyperlink w:anchor="_Toc86822548" w:history="1">
            <w:r w:rsidR="00464E53" w:rsidRPr="005E426B">
              <w:rPr>
                <w:rStyle w:val="Hiperpovezava"/>
              </w:rPr>
              <w:t>5</w:t>
            </w:r>
            <w:r w:rsidR="00464E53">
              <w:rPr>
                <w:rFonts w:asciiTheme="minorHAnsi" w:eastAsiaTheme="minorEastAsia" w:hAnsiTheme="minorHAnsi" w:cstheme="minorBidi"/>
                <w:szCs w:val="22"/>
                <w:lang w:eastAsia="sl-SI"/>
              </w:rPr>
              <w:tab/>
            </w:r>
            <w:r w:rsidR="00464E53" w:rsidRPr="005E426B">
              <w:rPr>
                <w:rStyle w:val="Hiperpovezava"/>
              </w:rPr>
              <w:t>Proizvodni potencial in dostop do kmetijskih zemljišč</w:t>
            </w:r>
            <w:r w:rsidR="00464E53">
              <w:rPr>
                <w:webHidden/>
              </w:rPr>
              <w:tab/>
            </w:r>
            <w:r w:rsidR="00464E53">
              <w:rPr>
                <w:webHidden/>
              </w:rPr>
              <w:fldChar w:fldCharType="begin"/>
            </w:r>
            <w:r w:rsidR="00464E53">
              <w:rPr>
                <w:webHidden/>
              </w:rPr>
              <w:instrText xml:space="preserve"> PAGEREF _Toc86822548 \h </w:instrText>
            </w:r>
            <w:r w:rsidR="00464E53">
              <w:rPr>
                <w:webHidden/>
              </w:rPr>
            </w:r>
            <w:r w:rsidR="00464E53">
              <w:rPr>
                <w:webHidden/>
              </w:rPr>
              <w:fldChar w:fldCharType="separate"/>
            </w:r>
            <w:r w:rsidR="0088117A">
              <w:rPr>
                <w:webHidden/>
              </w:rPr>
              <w:t>41</w:t>
            </w:r>
            <w:r w:rsidR="00464E53">
              <w:rPr>
                <w:webHidden/>
              </w:rPr>
              <w:fldChar w:fldCharType="end"/>
            </w:r>
          </w:hyperlink>
        </w:p>
        <w:p w14:paraId="58907CFB" w14:textId="1778E2A3" w:rsidR="00464E53" w:rsidRDefault="00701492">
          <w:pPr>
            <w:pStyle w:val="Kazalovsebine2"/>
            <w:rPr>
              <w:rFonts w:asciiTheme="minorHAnsi" w:eastAsiaTheme="minorEastAsia" w:hAnsiTheme="minorHAnsi" w:cstheme="minorBidi"/>
              <w:noProof/>
              <w:szCs w:val="22"/>
              <w:lang w:eastAsia="sl-SI"/>
            </w:rPr>
          </w:pPr>
          <w:hyperlink w:anchor="_Toc86822549" w:history="1">
            <w:r w:rsidR="00464E53" w:rsidRPr="005E426B">
              <w:rPr>
                <w:rStyle w:val="Hiperpovezava"/>
                <w:noProof/>
              </w:rPr>
              <w:t>5.1</w:t>
            </w:r>
            <w:r w:rsidR="00464E53">
              <w:rPr>
                <w:rFonts w:asciiTheme="minorHAnsi" w:eastAsiaTheme="minorEastAsia" w:hAnsiTheme="minorHAnsi" w:cstheme="minorBidi"/>
                <w:noProof/>
                <w:szCs w:val="22"/>
                <w:lang w:eastAsia="sl-SI"/>
              </w:rPr>
              <w:tab/>
            </w:r>
            <w:r w:rsidR="00464E53" w:rsidRPr="005E426B">
              <w:rPr>
                <w:rStyle w:val="Hiperpovezava"/>
                <w:noProof/>
              </w:rPr>
              <w:t>Razdrobljenost kmetijskih zemljišč</w:t>
            </w:r>
            <w:r w:rsidR="00464E53">
              <w:rPr>
                <w:noProof/>
                <w:webHidden/>
              </w:rPr>
              <w:tab/>
            </w:r>
            <w:r w:rsidR="00464E53">
              <w:rPr>
                <w:noProof/>
                <w:webHidden/>
              </w:rPr>
              <w:fldChar w:fldCharType="begin"/>
            </w:r>
            <w:r w:rsidR="00464E53">
              <w:rPr>
                <w:noProof/>
                <w:webHidden/>
              </w:rPr>
              <w:instrText xml:space="preserve"> PAGEREF _Toc86822549 \h </w:instrText>
            </w:r>
            <w:r w:rsidR="00464E53">
              <w:rPr>
                <w:noProof/>
                <w:webHidden/>
              </w:rPr>
            </w:r>
            <w:r w:rsidR="00464E53">
              <w:rPr>
                <w:noProof/>
                <w:webHidden/>
              </w:rPr>
              <w:fldChar w:fldCharType="separate"/>
            </w:r>
            <w:r w:rsidR="0088117A">
              <w:rPr>
                <w:noProof/>
                <w:webHidden/>
              </w:rPr>
              <w:t>41</w:t>
            </w:r>
            <w:r w:rsidR="00464E53">
              <w:rPr>
                <w:noProof/>
                <w:webHidden/>
              </w:rPr>
              <w:fldChar w:fldCharType="end"/>
            </w:r>
          </w:hyperlink>
        </w:p>
        <w:p w14:paraId="3A178F50" w14:textId="45D6C215" w:rsidR="00464E53" w:rsidRDefault="00701492">
          <w:pPr>
            <w:pStyle w:val="Kazalovsebine2"/>
            <w:rPr>
              <w:rFonts w:asciiTheme="minorHAnsi" w:eastAsiaTheme="minorEastAsia" w:hAnsiTheme="minorHAnsi" w:cstheme="minorBidi"/>
              <w:noProof/>
              <w:szCs w:val="22"/>
              <w:lang w:eastAsia="sl-SI"/>
            </w:rPr>
          </w:pPr>
          <w:hyperlink w:anchor="_Toc86822550" w:history="1">
            <w:r w:rsidR="00464E53" w:rsidRPr="005E426B">
              <w:rPr>
                <w:rStyle w:val="Hiperpovezava"/>
                <w:noProof/>
              </w:rPr>
              <w:t>5.2</w:t>
            </w:r>
            <w:r w:rsidR="00464E53">
              <w:rPr>
                <w:rFonts w:asciiTheme="minorHAnsi" w:eastAsiaTheme="minorEastAsia" w:hAnsiTheme="minorHAnsi" w:cstheme="minorBidi"/>
                <w:noProof/>
                <w:szCs w:val="22"/>
                <w:lang w:eastAsia="sl-SI"/>
              </w:rPr>
              <w:tab/>
            </w:r>
            <w:r w:rsidR="00464E53" w:rsidRPr="005E426B">
              <w:rPr>
                <w:rStyle w:val="Hiperpovezava"/>
                <w:noProof/>
              </w:rPr>
              <w:t>Dostop do kmetijskih zemljišč</w:t>
            </w:r>
            <w:r w:rsidR="00464E53">
              <w:rPr>
                <w:noProof/>
                <w:webHidden/>
              </w:rPr>
              <w:tab/>
            </w:r>
            <w:r w:rsidR="00464E53">
              <w:rPr>
                <w:noProof/>
                <w:webHidden/>
              </w:rPr>
              <w:fldChar w:fldCharType="begin"/>
            </w:r>
            <w:r w:rsidR="00464E53">
              <w:rPr>
                <w:noProof/>
                <w:webHidden/>
              </w:rPr>
              <w:instrText xml:space="preserve"> PAGEREF _Toc86822550 \h </w:instrText>
            </w:r>
            <w:r w:rsidR="00464E53">
              <w:rPr>
                <w:noProof/>
                <w:webHidden/>
              </w:rPr>
            </w:r>
            <w:r w:rsidR="00464E53">
              <w:rPr>
                <w:noProof/>
                <w:webHidden/>
              </w:rPr>
              <w:fldChar w:fldCharType="separate"/>
            </w:r>
            <w:r w:rsidR="0088117A">
              <w:rPr>
                <w:noProof/>
                <w:webHidden/>
              </w:rPr>
              <w:t>45</w:t>
            </w:r>
            <w:r w:rsidR="00464E53">
              <w:rPr>
                <w:noProof/>
                <w:webHidden/>
              </w:rPr>
              <w:fldChar w:fldCharType="end"/>
            </w:r>
          </w:hyperlink>
        </w:p>
        <w:p w14:paraId="34E1B9A5" w14:textId="7321C56C" w:rsidR="00464E53" w:rsidRDefault="00701492">
          <w:pPr>
            <w:pStyle w:val="Kazalovsebine2"/>
            <w:rPr>
              <w:rFonts w:asciiTheme="minorHAnsi" w:eastAsiaTheme="minorEastAsia" w:hAnsiTheme="minorHAnsi" w:cstheme="minorBidi"/>
              <w:noProof/>
              <w:szCs w:val="22"/>
              <w:lang w:eastAsia="sl-SI"/>
            </w:rPr>
          </w:pPr>
          <w:hyperlink w:anchor="_Toc86822551" w:history="1">
            <w:r w:rsidR="00464E53" w:rsidRPr="005E426B">
              <w:rPr>
                <w:rStyle w:val="Hiperpovezava"/>
                <w:noProof/>
              </w:rPr>
              <w:t>5.3</w:t>
            </w:r>
            <w:r w:rsidR="00464E53">
              <w:rPr>
                <w:rFonts w:asciiTheme="minorHAnsi" w:eastAsiaTheme="minorEastAsia" w:hAnsiTheme="minorHAnsi" w:cstheme="minorBidi"/>
                <w:noProof/>
                <w:szCs w:val="22"/>
                <w:lang w:eastAsia="sl-SI"/>
              </w:rPr>
              <w:tab/>
            </w:r>
            <w:r w:rsidR="00464E53" w:rsidRPr="005E426B">
              <w:rPr>
                <w:rStyle w:val="Hiperpovezava"/>
                <w:noProof/>
              </w:rPr>
              <w:t>Proizvodni potencial in produktivnost kmetijskih zemljišč</w:t>
            </w:r>
            <w:r w:rsidR="00464E53">
              <w:rPr>
                <w:noProof/>
                <w:webHidden/>
              </w:rPr>
              <w:tab/>
            </w:r>
            <w:r w:rsidR="00464E53">
              <w:rPr>
                <w:noProof/>
                <w:webHidden/>
              </w:rPr>
              <w:fldChar w:fldCharType="begin"/>
            </w:r>
            <w:r w:rsidR="00464E53">
              <w:rPr>
                <w:noProof/>
                <w:webHidden/>
              </w:rPr>
              <w:instrText xml:space="preserve"> PAGEREF _Toc86822551 \h </w:instrText>
            </w:r>
            <w:r w:rsidR="00464E53">
              <w:rPr>
                <w:noProof/>
                <w:webHidden/>
              </w:rPr>
            </w:r>
            <w:r w:rsidR="00464E53">
              <w:rPr>
                <w:noProof/>
                <w:webHidden/>
              </w:rPr>
              <w:fldChar w:fldCharType="separate"/>
            </w:r>
            <w:r w:rsidR="0088117A">
              <w:rPr>
                <w:noProof/>
                <w:webHidden/>
              </w:rPr>
              <w:t>47</w:t>
            </w:r>
            <w:r w:rsidR="00464E53">
              <w:rPr>
                <w:noProof/>
                <w:webHidden/>
              </w:rPr>
              <w:fldChar w:fldCharType="end"/>
            </w:r>
          </w:hyperlink>
        </w:p>
        <w:p w14:paraId="529BB0A7" w14:textId="18D7382A" w:rsidR="00464E53" w:rsidRDefault="00701492">
          <w:pPr>
            <w:pStyle w:val="Kazalovsebine2"/>
            <w:rPr>
              <w:rFonts w:asciiTheme="minorHAnsi" w:eastAsiaTheme="minorEastAsia" w:hAnsiTheme="minorHAnsi" w:cstheme="minorBidi"/>
              <w:noProof/>
              <w:szCs w:val="22"/>
              <w:lang w:eastAsia="sl-SI"/>
            </w:rPr>
          </w:pPr>
          <w:hyperlink w:anchor="_Toc86822552" w:history="1">
            <w:r w:rsidR="00464E53" w:rsidRPr="005E426B">
              <w:rPr>
                <w:rStyle w:val="Hiperpovezava"/>
                <w:noProof/>
              </w:rPr>
              <w:t>5.4</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_Toc86822552 \h </w:instrText>
            </w:r>
            <w:r w:rsidR="00464E53">
              <w:rPr>
                <w:noProof/>
                <w:webHidden/>
              </w:rPr>
            </w:r>
            <w:r w:rsidR="00464E53">
              <w:rPr>
                <w:noProof/>
                <w:webHidden/>
              </w:rPr>
              <w:fldChar w:fldCharType="separate"/>
            </w:r>
            <w:r w:rsidR="0088117A">
              <w:rPr>
                <w:noProof/>
                <w:webHidden/>
              </w:rPr>
              <w:t>48</w:t>
            </w:r>
            <w:r w:rsidR="00464E53">
              <w:rPr>
                <w:noProof/>
                <w:webHidden/>
              </w:rPr>
              <w:fldChar w:fldCharType="end"/>
            </w:r>
          </w:hyperlink>
        </w:p>
        <w:p w14:paraId="39D4DBF9" w14:textId="7107B11A" w:rsidR="00464E53" w:rsidRDefault="00701492">
          <w:pPr>
            <w:pStyle w:val="Kazalovsebine1"/>
            <w:rPr>
              <w:rFonts w:asciiTheme="minorHAnsi" w:eastAsiaTheme="minorEastAsia" w:hAnsiTheme="minorHAnsi" w:cstheme="minorBidi"/>
              <w:szCs w:val="22"/>
              <w:lang w:eastAsia="sl-SI"/>
            </w:rPr>
          </w:pPr>
          <w:hyperlink w:anchor="_Toc86822553" w:history="1">
            <w:r w:rsidR="00464E53" w:rsidRPr="005E426B">
              <w:rPr>
                <w:rStyle w:val="Hiperpovezava"/>
              </w:rPr>
              <w:t>6</w:t>
            </w:r>
            <w:r w:rsidR="00464E53">
              <w:rPr>
                <w:rFonts w:asciiTheme="minorHAnsi" w:eastAsiaTheme="minorEastAsia" w:hAnsiTheme="minorHAnsi" w:cstheme="minorBidi"/>
                <w:szCs w:val="22"/>
                <w:lang w:eastAsia="sl-SI"/>
              </w:rPr>
              <w:tab/>
            </w:r>
            <w:r w:rsidR="00464E53" w:rsidRPr="005E426B">
              <w:rPr>
                <w:rStyle w:val="Hiperpovezava"/>
              </w:rPr>
              <w:t>Učinkovitost rabe inputov v kmetijski proizvodnji (vmesna potrošnja)</w:t>
            </w:r>
            <w:r w:rsidR="00464E53">
              <w:rPr>
                <w:webHidden/>
              </w:rPr>
              <w:tab/>
            </w:r>
            <w:r w:rsidR="00464E53">
              <w:rPr>
                <w:webHidden/>
              </w:rPr>
              <w:fldChar w:fldCharType="begin"/>
            </w:r>
            <w:r w:rsidR="00464E53">
              <w:rPr>
                <w:webHidden/>
              </w:rPr>
              <w:instrText xml:space="preserve"> PAGEREF _Toc86822553 \h </w:instrText>
            </w:r>
            <w:r w:rsidR="00464E53">
              <w:rPr>
                <w:webHidden/>
              </w:rPr>
            </w:r>
            <w:r w:rsidR="00464E53">
              <w:rPr>
                <w:webHidden/>
              </w:rPr>
              <w:fldChar w:fldCharType="separate"/>
            </w:r>
            <w:r w:rsidR="0088117A">
              <w:rPr>
                <w:webHidden/>
              </w:rPr>
              <w:t>49</w:t>
            </w:r>
            <w:r w:rsidR="00464E53">
              <w:rPr>
                <w:webHidden/>
              </w:rPr>
              <w:fldChar w:fldCharType="end"/>
            </w:r>
          </w:hyperlink>
        </w:p>
        <w:p w14:paraId="3607A91D" w14:textId="6DCA1E60" w:rsidR="00464E53" w:rsidRDefault="00701492">
          <w:pPr>
            <w:pStyle w:val="Kazalovsebine2"/>
            <w:rPr>
              <w:rFonts w:asciiTheme="minorHAnsi" w:eastAsiaTheme="minorEastAsia" w:hAnsiTheme="minorHAnsi" w:cstheme="minorBidi"/>
              <w:noProof/>
              <w:szCs w:val="22"/>
              <w:lang w:eastAsia="sl-SI"/>
            </w:rPr>
          </w:pPr>
          <w:hyperlink w:anchor="_Toc86822554" w:history="1">
            <w:r w:rsidR="00464E53" w:rsidRPr="005E426B">
              <w:rPr>
                <w:rStyle w:val="Hiperpovezava"/>
                <w:noProof/>
              </w:rPr>
              <w:t>6.1</w:t>
            </w:r>
            <w:r w:rsidR="00464E53">
              <w:rPr>
                <w:rFonts w:asciiTheme="minorHAnsi" w:eastAsiaTheme="minorEastAsia" w:hAnsiTheme="minorHAnsi" w:cstheme="minorBidi"/>
                <w:noProof/>
                <w:szCs w:val="22"/>
                <w:lang w:eastAsia="sl-SI"/>
              </w:rPr>
              <w:tab/>
            </w:r>
            <w:r w:rsidR="00464E53" w:rsidRPr="005E426B">
              <w:rPr>
                <w:rStyle w:val="Hiperpovezava"/>
                <w:noProof/>
                <w:lang w:eastAsia="sl-SI"/>
              </w:rPr>
              <w:t>Prihodkovno-stroškovna struktura podjetniškega dohodka</w:t>
            </w:r>
            <w:r w:rsidR="00464E53">
              <w:rPr>
                <w:noProof/>
                <w:webHidden/>
              </w:rPr>
              <w:tab/>
            </w:r>
            <w:r w:rsidR="00464E53">
              <w:rPr>
                <w:noProof/>
                <w:webHidden/>
              </w:rPr>
              <w:fldChar w:fldCharType="begin"/>
            </w:r>
            <w:r w:rsidR="00464E53">
              <w:rPr>
                <w:noProof/>
                <w:webHidden/>
              </w:rPr>
              <w:instrText xml:space="preserve"> PAGEREF _Toc86822554 \h </w:instrText>
            </w:r>
            <w:r w:rsidR="00464E53">
              <w:rPr>
                <w:noProof/>
                <w:webHidden/>
              </w:rPr>
            </w:r>
            <w:r w:rsidR="00464E53">
              <w:rPr>
                <w:noProof/>
                <w:webHidden/>
              </w:rPr>
              <w:fldChar w:fldCharType="separate"/>
            </w:r>
            <w:r w:rsidR="0088117A">
              <w:rPr>
                <w:noProof/>
                <w:webHidden/>
              </w:rPr>
              <w:t>49</w:t>
            </w:r>
            <w:r w:rsidR="00464E53">
              <w:rPr>
                <w:noProof/>
                <w:webHidden/>
              </w:rPr>
              <w:fldChar w:fldCharType="end"/>
            </w:r>
          </w:hyperlink>
        </w:p>
        <w:p w14:paraId="5EEF8637" w14:textId="5324AF15" w:rsidR="00464E53" w:rsidRDefault="00701492">
          <w:pPr>
            <w:pStyle w:val="Kazalovsebine2"/>
            <w:rPr>
              <w:rFonts w:asciiTheme="minorHAnsi" w:eastAsiaTheme="minorEastAsia" w:hAnsiTheme="minorHAnsi" w:cstheme="minorBidi"/>
              <w:noProof/>
              <w:szCs w:val="22"/>
              <w:lang w:eastAsia="sl-SI"/>
            </w:rPr>
          </w:pPr>
          <w:hyperlink w:anchor="_Toc86822555" w:history="1">
            <w:r w:rsidR="00464E53" w:rsidRPr="005E426B">
              <w:rPr>
                <w:rStyle w:val="Hiperpovezava"/>
                <w:noProof/>
              </w:rPr>
              <w:t>6.2</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_Toc86822555 \h </w:instrText>
            </w:r>
            <w:r w:rsidR="00464E53">
              <w:rPr>
                <w:noProof/>
                <w:webHidden/>
              </w:rPr>
            </w:r>
            <w:r w:rsidR="00464E53">
              <w:rPr>
                <w:noProof/>
                <w:webHidden/>
              </w:rPr>
              <w:fldChar w:fldCharType="separate"/>
            </w:r>
            <w:r w:rsidR="0088117A">
              <w:rPr>
                <w:noProof/>
                <w:webHidden/>
              </w:rPr>
              <w:t>53</w:t>
            </w:r>
            <w:r w:rsidR="00464E53">
              <w:rPr>
                <w:noProof/>
                <w:webHidden/>
              </w:rPr>
              <w:fldChar w:fldCharType="end"/>
            </w:r>
          </w:hyperlink>
        </w:p>
        <w:p w14:paraId="25FCCD2A" w14:textId="3F7DC39C" w:rsidR="00464E53" w:rsidRDefault="00701492">
          <w:pPr>
            <w:pStyle w:val="Kazalovsebine1"/>
            <w:rPr>
              <w:rFonts w:asciiTheme="minorHAnsi" w:eastAsiaTheme="minorEastAsia" w:hAnsiTheme="minorHAnsi" w:cstheme="minorBidi"/>
              <w:szCs w:val="22"/>
              <w:lang w:eastAsia="sl-SI"/>
            </w:rPr>
          </w:pPr>
          <w:hyperlink w:anchor="_Toc86822556" w:history="1">
            <w:r w:rsidR="00464E53" w:rsidRPr="005E426B">
              <w:rPr>
                <w:rStyle w:val="Hiperpovezava"/>
              </w:rPr>
              <w:t>7</w:t>
            </w:r>
            <w:r w:rsidR="00464E53">
              <w:rPr>
                <w:rFonts w:asciiTheme="minorHAnsi" w:eastAsiaTheme="minorEastAsia" w:hAnsiTheme="minorHAnsi" w:cstheme="minorBidi"/>
                <w:szCs w:val="22"/>
                <w:lang w:eastAsia="sl-SI"/>
              </w:rPr>
              <w:tab/>
            </w:r>
            <w:r w:rsidR="00464E53" w:rsidRPr="005E426B">
              <w:rPr>
                <w:rStyle w:val="Hiperpovezava"/>
              </w:rPr>
              <w:t>Specifični vidik: Nižja konkurenčnost kmetij na OMD</w:t>
            </w:r>
            <w:r w:rsidR="00464E53">
              <w:rPr>
                <w:webHidden/>
              </w:rPr>
              <w:tab/>
            </w:r>
            <w:r w:rsidR="00464E53">
              <w:rPr>
                <w:webHidden/>
              </w:rPr>
              <w:fldChar w:fldCharType="begin"/>
            </w:r>
            <w:r w:rsidR="00464E53">
              <w:rPr>
                <w:webHidden/>
              </w:rPr>
              <w:instrText xml:space="preserve"> PAGEREF _Toc86822556 \h </w:instrText>
            </w:r>
            <w:r w:rsidR="00464E53">
              <w:rPr>
                <w:webHidden/>
              </w:rPr>
            </w:r>
            <w:r w:rsidR="00464E53">
              <w:rPr>
                <w:webHidden/>
              </w:rPr>
              <w:fldChar w:fldCharType="separate"/>
            </w:r>
            <w:r w:rsidR="0088117A">
              <w:rPr>
                <w:webHidden/>
              </w:rPr>
              <w:t>53</w:t>
            </w:r>
            <w:r w:rsidR="00464E53">
              <w:rPr>
                <w:webHidden/>
              </w:rPr>
              <w:fldChar w:fldCharType="end"/>
            </w:r>
          </w:hyperlink>
        </w:p>
        <w:p w14:paraId="6E578E49" w14:textId="05A676C5" w:rsidR="00464E53" w:rsidRDefault="00701492">
          <w:pPr>
            <w:pStyle w:val="Kazalovsebine2"/>
            <w:rPr>
              <w:rFonts w:asciiTheme="minorHAnsi" w:eastAsiaTheme="minorEastAsia" w:hAnsiTheme="minorHAnsi" w:cstheme="minorBidi"/>
              <w:noProof/>
              <w:szCs w:val="22"/>
              <w:lang w:eastAsia="sl-SI"/>
            </w:rPr>
          </w:pPr>
          <w:hyperlink w:anchor="_Toc86822557" w:history="1">
            <w:r w:rsidR="00464E53" w:rsidRPr="005E426B">
              <w:rPr>
                <w:rStyle w:val="Hiperpovezava"/>
                <w:noProof/>
              </w:rPr>
              <w:t>7.1</w:t>
            </w:r>
            <w:r w:rsidR="00464E53">
              <w:rPr>
                <w:rFonts w:asciiTheme="minorHAnsi" w:eastAsiaTheme="minorEastAsia" w:hAnsiTheme="minorHAnsi" w:cstheme="minorBidi"/>
                <w:noProof/>
                <w:szCs w:val="22"/>
                <w:lang w:eastAsia="sl-SI"/>
              </w:rPr>
              <w:tab/>
            </w:r>
            <w:r w:rsidR="00464E53" w:rsidRPr="005E426B">
              <w:rPr>
                <w:rStyle w:val="Hiperpovezava"/>
                <w:noProof/>
              </w:rPr>
              <w:t>Analiza naložb v okviru podukrepa M04.1 Podpora za naložbe v kmetijska gospodarstva PRP 2014-2020 glede na OMD (stanje 30. 4. 2020)</w:t>
            </w:r>
            <w:r w:rsidR="00464E53">
              <w:rPr>
                <w:noProof/>
                <w:webHidden/>
              </w:rPr>
              <w:tab/>
            </w:r>
            <w:r w:rsidR="00464E53">
              <w:rPr>
                <w:noProof/>
                <w:webHidden/>
              </w:rPr>
              <w:fldChar w:fldCharType="begin"/>
            </w:r>
            <w:r w:rsidR="00464E53">
              <w:rPr>
                <w:noProof/>
                <w:webHidden/>
              </w:rPr>
              <w:instrText xml:space="preserve"> PAGEREF _Toc86822557 \h </w:instrText>
            </w:r>
            <w:r w:rsidR="00464E53">
              <w:rPr>
                <w:noProof/>
                <w:webHidden/>
              </w:rPr>
            </w:r>
            <w:r w:rsidR="00464E53">
              <w:rPr>
                <w:noProof/>
                <w:webHidden/>
              </w:rPr>
              <w:fldChar w:fldCharType="separate"/>
            </w:r>
            <w:r w:rsidR="0088117A">
              <w:rPr>
                <w:noProof/>
                <w:webHidden/>
              </w:rPr>
              <w:t>54</w:t>
            </w:r>
            <w:r w:rsidR="00464E53">
              <w:rPr>
                <w:noProof/>
                <w:webHidden/>
              </w:rPr>
              <w:fldChar w:fldCharType="end"/>
            </w:r>
          </w:hyperlink>
        </w:p>
        <w:p w14:paraId="2FFA720B" w14:textId="1AD467E1" w:rsidR="00464E53" w:rsidRDefault="00701492">
          <w:pPr>
            <w:pStyle w:val="Kazalovsebine2"/>
            <w:rPr>
              <w:rFonts w:asciiTheme="minorHAnsi" w:eastAsiaTheme="minorEastAsia" w:hAnsiTheme="minorHAnsi" w:cstheme="minorBidi"/>
              <w:noProof/>
              <w:szCs w:val="22"/>
              <w:lang w:eastAsia="sl-SI"/>
            </w:rPr>
          </w:pPr>
          <w:hyperlink w:anchor="_Toc86822558" w:history="1">
            <w:r w:rsidR="00464E53" w:rsidRPr="005E426B">
              <w:rPr>
                <w:rStyle w:val="Hiperpovezava"/>
                <w:noProof/>
              </w:rPr>
              <w:t>7.2</w:t>
            </w:r>
            <w:r w:rsidR="00464E53">
              <w:rPr>
                <w:rFonts w:asciiTheme="minorHAnsi" w:eastAsiaTheme="minorEastAsia" w:hAnsiTheme="minorHAnsi" w:cstheme="minorBidi"/>
                <w:noProof/>
                <w:szCs w:val="22"/>
                <w:lang w:eastAsia="sl-SI"/>
              </w:rPr>
              <w:tab/>
            </w:r>
            <w:r w:rsidR="00464E53" w:rsidRPr="005E426B">
              <w:rPr>
                <w:rStyle w:val="Hiperpovezava"/>
                <w:noProof/>
              </w:rPr>
              <w:t>Analiza naložb v okviru podukrepa M04.2 Podpora za naložbe v predelavo/trženje in/ali razvoj kmetijskih proizvodov PRP 2014–2020 glede na OMD (stanje 30. 4. 2020)</w:t>
            </w:r>
            <w:r w:rsidR="00464E53">
              <w:rPr>
                <w:noProof/>
                <w:webHidden/>
              </w:rPr>
              <w:tab/>
            </w:r>
            <w:r w:rsidR="00464E53">
              <w:rPr>
                <w:noProof/>
                <w:webHidden/>
              </w:rPr>
              <w:fldChar w:fldCharType="begin"/>
            </w:r>
            <w:r w:rsidR="00464E53">
              <w:rPr>
                <w:noProof/>
                <w:webHidden/>
              </w:rPr>
              <w:instrText xml:space="preserve"> PAGEREF _Toc86822558 \h </w:instrText>
            </w:r>
            <w:r w:rsidR="00464E53">
              <w:rPr>
                <w:noProof/>
                <w:webHidden/>
              </w:rPr>
            </w:r>
            <w:r w:rsidR="00464E53">
              <w:rPr>
                <w:noProof/>
                <w:webHidden/>
              </w:rPr>
              <w:fldChar w:fldCharType="separate"/>
            </w:r>
            <w:r w:rsidR="0088117A">
              <w:rPr>
                <w:noProof/>
                <w:webHidden/>
              </w:rPr>
              <w:t>59</w:t>
            </w:r>
            <w:r w:rsidR="00464E53">
              <w:rPr>
                <w:noProof/>
                <w:webHidden/>
              </w:rPr>
              <w:fldChar w:fldCharType="end"/>
            </w:r>
          </w:hyperlink>
        </w:p>
        <w:p w14:paraId="35F5DCA6" w14:textId="1C1EE590" w:rsidR="00464E53" w:rsidRDefault="00701492">
          <w:pPr>
            <w:pStyle w:val="Kazalovsebine2"/>
            <w:rPr>
              <w:rFonts w:asciiTheme="minorHAnsi" w:eastAsiaTheme="minorEastAsia" w:hAnsiTheme="minorHAnsi" w:cstheme="minorBidi"/>
              <w:noProof/>
              <w:szCs w:val="22"/>
              <w:lang w:eastAsia="sl-SI"/>
            </w:rPr>
          </w:pPr>
          <w:hyperlink w:anchor="_Toc86822559" w:history="1">
            <w:r w:rsidR="00464E53" w:rsidRPr="005E426B">
              <w:rPr>
                <w:rStyle w:val="Hiperpovezava"/>
                <w:noProof/>
              </w:rPr>
              <w:t>7.3</w:t>
            </w:r>
            <w:r w:rsidR="00464E53">
              <w:rPr>
                <w:rFonts w:asciiTheme="minorHAnsi" w:eastAsiaTheme="minorEastAsia" w:hAnsiTheme="minorHAnsi" w:cstheme="minorBidi"/>
                <w:noProof/>
                <w:szCs w:val="22"/>
                <w:lang w:eastAsia="sl-SI"/>
              </w:rPr>
              <w:tab/>
            </w:r>
            <w:r w:rsidR="00464E53" w:rsidRPr="005E426B">
              <w:rPr>
                <w:rStyle w:val="Hiperpovezava"/>
                <w:noProof/>
              </w:rPr>
              <w:t>Analiza podpor kmetijam na OMD v okviru podukrepa M06.3 Pomoč za zagon dejavnosti, namenjena zagonu majhnih kmetij PRP 2014–2020</w:t>
            </w:r>
            <w:r w:rsidR="00464E53">
              <w:rPr>
                <w:noProof/>
                <w:webHidden/>
              </w:rPr>
              <w:tab/>
            </w:r>
            <w:r w:rsidR="00464E53">
              <w:rPr>
                <w:noProof/>
                <w:webHidden/>
              </w:rPr>
              <w:fldChar w:fldCharType="begin"/>
            </w:r>
            <w:r w:rsidR="00464E53">
              <w:rPr>
                <w:noProof/>
                <w:webHidden/>
              </w:rPr>
              <w:instrText xml:space="preserve"> PAGEREF _Toc86822559 \h </w:instrText>
            </w:r>
            <w:r w:rsidR="00464E53">
              <w:rPr>
                <w:noProof/>
                <w:webHidden/>
              </w:rPr>
            </w:r>
            <w:r w:rsidR="00464E53">
              <w:rPr>
                <w:noProof/>
                <w:webHidden/>
              </w:rPr>
              <w:fldChar w:fldCharType="separate"/>
            </w:r>
            <w:r w:rsidR="0088117A">
              <w:rPr>
                <w:noProof/>
                <w:webHidden/>
              </w:rPr>
              <w:t>61</w:t>
            </w:r>
            <w:r w:rsidR="00464E53">
              <w:rPr>
                <w:noProof/>
                <w:webHidden/>
              </w:rPr>
              <w:fldChar w:fldCharType="end"/>
            </w:r>
          </w:hyperlink>
        </w:p>
        <w:p w14:paraId="341E9F2D" w14:textId="4F6F8188" w:rsidR="00464E53" w:rsidRDefault="00701492">
          <w:pPr>
            <w:pStyle w:val="Kazalovsebine1"/>
            <w:rPr>
              <w:rFonts w:asciiTheme="minorHAnsi" w:eastAsiaTheme="minorEastAsia" w:hAnsiTheme="minorHAnsi" w:cstheme="minorBidi"/>
              <w:szCs w:val="22"/>
              <w:lang w:eastAsia="sl-SI"/>
            </w:rPr>
          </w:pPr>
          <w:hyperlink w:anchor="_Toc86822560" w:history="1">
            <w:r w:rsidR="00464E53" w:rsidRPr="005E426B">
              <w:rPr>
                <w:rStyle w:val="Hiperpovezava"/>
              </w:rPr>
              <w:t>8</w:t>
            </w:r>
            <w:r w:rsidR="00464E53">
              <w:rPr>
                <w:rFonts w:asciiTheme="minorHAnsi" w:eastAsiaTheme="minorEastAsia" w:hAnsiTheme="minorHAnsi" w:cstheme="minorBidi"/>
                <w:szCs w:val="22"/>
                <w:lang w:eastAsia="sl-SI"/>
              </w:rPr>
              <w:tab/>
            </w:r>
            <w:r w:rsidR="00464E53" w:rsidRPr="005E426B">
              <w:rPr>
                <w:rStyle w:val="Hiperpovezava"/>
              </w:rPr>
              <w:t>Tržna usmerjenost kmetijskih gospodarstev</w:t>
            </w:r>
            <w:r w:rsidR="00464E53">
              <w:rPr>
                <w:webHidden/>
              </w:rPr>
              <w:tab/>
            </w:r>
            <w:r w:rsidR="00464E53">
              <w:rPr>
                <w:webHidden/>
              </w:rPr>
              <w:fldChar w:fldCharType="begin"/>
            </w:r>
            <w:r w:rsidR="00464E53">
              <w:rPr>
                <w:webHidden/>
              </w:rPr>
              <w:instrText xml:space="preserve"> PAGEREF _Toc86822560 \h </w:instrText>
            </w:r>
            <w:r w:rsidR="00464E53">
              <w:rPr>
                <w:webHidden/>
              </w:rPr>
            </w:r>
            <w:r w:rsidR="00464E53">
              <w:rPr>
                <w:webHidden/>
              </w:rPr>
              <w:fldChar w:fldCharType="separate"/>
            </w:r>
            <w:r w:rsidR="0088117A">
              <w:rPr>
                <w:webHidden/>
              </w:rPr>
              <w:t>62</w:t>
            </w:r>
            <w:r w:rsidR="00464E53">
              <w:rPr>
                <w:webHidden/>
              </w:rPr>
              <w:fldChar w:fldCharType="end"/>
            </w:r>
          </w:hyperlink>
        </w:p>
        <w:p w14:paraId="15CD5725" w14:textId="55B6AEEB" w:rsidR="00464E53" w:rsidRDefault="00701492">
          <w:pPr>
            <w:pStyle w:val="Kazalovsebine2"/>
            <w:rPr>
              <w:rFonts w:asciiTheme="minorHAnsi" w:eastAsiaTheme="minorEastAsia" w:hAnsiTheme="minorHAnsi" w:cstheme="minorBidi"/>
              <w:noProof/>
              <w:szCs w:val="22"/>
              <w:lang w:eastAsia="sl-SI"/>
            </w:rPr>
          </w:pPr>
          <w:hyperlink w:anchor="_Toc86822561" w:history="1">
            <w:r w:rsidR="00464E53" w:rsidRPr="005E426B">
              <w:rPr>
                <w:rStyle w:val="Hiperpovezava"/>
                <w:noProof/>
              </w:rPr>
              <w:t>8.1</w:t>
            </w:r>
            <w:r w:rsidR="00464E53">
              <w:rPr>
                <w:rFonts w:asciiTheme="minorHAnsi" w:eastAsiaTheme="minorEastAsia" w:hAnsiTheme="minorHAnsi" w:cstheme="minorBidi"/>
                <w:noProof/>
                <w:szCs w:val="22"/>
                <w:lang w:eastAsia="sl-SI"/>
              </w:rPr>
              <w:tab/>
            </w:r>
            <w:r w:rsidR="00464E53" w:rsidRPr="005E426B">
              <w:rPr>
                <w:rStyle w:val="Hiperpovezava"/>
                <w:noProof/>
              </w:rPr>
              <w:t>Struktura kmetijskih gospodarstev glede na identificiranost za namen DDV</w:t>
            </w:r>
            <w:r w:rsidR="00464E53">
              <w:rPr>
                <w:noProof/>
                <w:webHidden/>
              </w:rPr>
              <w:tab/>
            </w:r>
            <w:r w:rsidR="00464E53">
              <w:rPr>
                <w:noProof/>
                <w:webHidden/>
              </w:rPr>
              <w:fldChar w:fldCharType="begin"/>
            </w:r>
            <w:r w:rsidR="00464E53">
              <w:rPr>
                <w:noProof/>
                <w:webHidden/>
              </w:rPr>
              <w:instrText xml:space="preserve"> PAGEREF _Toc86822561 \h </w:instrText>
            </w:r>
            <w:r w:rsidR="00464E53">
              <w:rPr>
                <w:noProof/>
                <w:webHidden/>
              </w:rPr>
            </w:r>
            <w:r w:rsidR="00464E53">
              <w:rPr>
                <w:noProof/>
                <w:webHidden/>
              </w:rPr>
              <w:fldChar w:fldCharType="separate"/>
            </w:r>
            <w:r w:rsidR="0088117A">
              <w:rPr>
                <w:noProof/>
                <w:webHidden/>
              </w:rPr>
              <w:t>62</w:t>
            </w:r>
            <w:r w:rsidR="00464E53">
              <w:rPr>
                <w:noProof/>
                <w:webHidden/>
              </w:rPr>
              <w:fldChar w:fldCharType="end"/>
            </w:r>
          </w:hyperlink>
        </w:p>
        <w:p w14:paraId="0194D919" w14:textId="1CCD1F15" w:rsidR="00464E53" w:rsidRDefault="00701492">
          <w:pPr>
            <w:pStyle w:val="Kazalovsebine2"/>
            <w:rPr>
              <w:rFonts w:asciiTheme="minorHAnsi" w:eastAsiaTheme="minorEastAsia" w:hAnsiTheme="minorHAnsi" w:cstheme="minorBidi"/>
              <w:noProof/>
              <w:szCs w:val="22"/>
              <w:lang w:eastAsia="sl-SI"/>
            </w:rPr>
          </w:pPr>
          <w:hyperlink w:anchor="_Toc86822562" w:history="1">
            <w:r w:rsidR="00464E53" w:rsidRPr="005E426B">
              <w:rPr>
                <w:rStyle w:val="Hiperpovezava"/>
                <w:noProof/>
              </w:rPr>
              <w:t>8.2</w:t>
            </w:r>
            <w:r w:rsidR="00464E53">
              <w:rPr>
                <w:rFonts w:asciiTheme="minorHAnsi" w:eastAsiaTheme="minorEastAsia" w:hAnsiTheme="minorHAnsi" w:cstheme="minorBidi"/>
                <w:noProof/>
                <w:szCs w:val="22"/>
                <w:lang w:eastAsia="sl-SI"/>
              </w:rPr>
              <w:tab/>
            </w:r>
            <w:r w:rsidR="00464E53" w:rsidRPr="005E426B">
              <w:rPr>
                <w:rStyle w:val="Hiperpovezava"/>
                <w:noProof/>
              </w:rPr>
              <w:t>Analiza kmetij, ki so prejele podporo za prestrukturiranje s ciljem večje tržne usmerjenosti v okviru podukrepa M04.1 Podpora za naložbe v kmetijska gospodarstva PRP 2014-2020</w:t>
            </w:r>
            <w:r w:rsidR="00464E53">
              <w:rPr>
                <w:noProof/>
                <w:webHidden/>
              </w:rPr>
              <w:tab/>
            </w:r>
            <w:r w:rsidR="00464E53">
              <w:rPr>
                <w:noProof/>
                <w:webHidden/>
              </w:rPr>
              <w:fldChar w:fldCharType="begin"/>
            </w:r>
            <w:r w:rsidR="00464E53">
              <w:rPr>
                <w:noProof/>
                <w:webHidden/>
              </w:rPr>
              <w:instrText xml:space="preserve"> PAGEREF _Toc86822562 \h </w:instrText>
            </w:r>
            <w:r w:rsidR="00464E53">
              <w:rPr>
                <w:noProof/>
                <w:webHidden/>
              </w:rPr>
            </w:r>
            <w:r w:rsidR="00464E53">
              <w:rPr>
                <w:noProof/>
                <w:webHidden/>
              </w:rPr>
              <w:fldChar w:fldCharType="separate"/>
            </w:r>
            <w:r w:rsidR="0088117A">
              <w:rPr>
                <w:noProof/>
                <w:webHidden/>
              </w:rPr>
              <w:t>65</w:t>
            </w:r>
            <w:r w:rsidR="00464E53">
              <w:rPr>
                <w:noProof/>
                <w:webHidden/>
              </w:rPr>
              <w:fldChar w:fldCharType="end"/>
            </w:r>
          </w:hyperlink>
        </w:p>
        <w:p w14:paraId="46593F77" w14:textId="7A1B30E8" w:rsidR="00464E53" w:rsidRDefault="00701492">
          <w:pPr>
            <w:pStyle w:val="Kazalovsebine2"/>
            <w:rPr>
              <w:rFonts w:asciiTheme="minorHAnsi" w:eastAsiaTheme="minorEastAsia" w:hAnsiTheme="minorHAnsi" w:cstheme="minorBidi"/>
              <w:noProof/>
              <w:szCs w:val="22"/>
              <w:lang w:eastAsia="sl-SI"/>
            </w:rPr>
          </w:pPr>
          <w:hyperlink w:anchor="_Toc86822563" w:history="1">
            <w:r w:rsidR="00464E53" w:rsidRPr="005E426B">
              <w:rPr>
                <w:rStyle w:val="Hiperpovezava"/>
                <w:noProof/>
              </w:rPr>
              <w:t>8.3</w:t>
            </w:r>
            <w:r w:rsidR="00464E53">
              <w:rPr>
                <w:rFonts w:asciiTheme="minorHAnsi" w:eastAsiaTheme="minorEastAsia" w:hAnsiTheme="minorHAnsi" w:cstheme="minorBidi"/>
                <w:noProof/>
                <w:szCs w:val="22"/>
                <w:lang w:eastAsia="sl-SI"/>
              </w:rPr>
              <w:tab/>
            </w:r>
            <w:r w:rsidR="00464E53" w:rsidRPr="005E426B">
              <w:rPr>
                <w:rStyle w:val="Hiperpovezava"/>
                <w:noProof/>
              </w:rPr>
              <w:t>Analiza vključenih kmetij v podukrep M16.4 PRP 2014–2020, namenjen vzpostavljanju kratkih dobavnih verig in lokalnih trgov</w:t>
            </w:r>
            <w:r w:rsidR="00464E53">
              <w:rPr>
                <w:noProof/>
                <w:webHidden/>
              </w:rPr>
              <w:tab/>
            </w:r>
            <w:r w:rsidR="00464E53">
              <w:rPr>
                <w:noProof/>
                <w:webHidden/>
              </w:rPr>
              <w:fldChar w:fldCharType="begin"/>
            </w:r>
            <w:r w:rsidR="00464E53">
              <w:rPr>
                <w:noProof/>
                <w:webHidden/>
              </w:rPr>
              <w:instrText xml:space="preserve"> PAGEREF _Toc86822563 \h </w:instrText>
            </w:r>
            <w:r w:rsidR="00464E53">
              <w:rPr>
                <w:noProof/>
                <w:webHidden/>
              </w:rPr>
            </w:r>
            <w:r w:rsidR="00464E53">
              <w:rPr>
                <w:noProof/>
                <w:webHidden/>
              </w:rPr>
              <w:fldChar w:fldCharType="separate"/>
            </w:r>
            <w:r w:rsidR="0088117A">
              <w:rPr>
                <w:noProof/>
                <w:webHidden/>
              </w:rPr>
              <w:t>65</w:t>
            </w:r>
            <w:r w:rsidR="00464E53">
              <w:rPr>
                <w:noProof/>
                <w:webHidden/>
              </w:rPr>
              <w:fldChar w:fldCharType="end"/>
            </w:r>
          </w:hyperlink>
        </w:p>
        <w:p w14:paraId="68E49896" w14:textId="51ED66BA" w:rsidR="00464E53" w:rsidRDefault="00701492">
          <w:pPr>
            <w:pStyle w:val="Kazalovsebine2"/>
            <w:rPr>
              <w:rFonts w:asciiTheme="minorHAnsi" w:eastAsiaTheme="minorEastAsia" w:hAnsiTheme="minorHAnsi" w:cstheme="minorBidi"/>
              <w:noProof/>
              <w:szCs w:val="22"/>
              <w:lang w:eastAsia="sl-SI"/>
            </w:rPr>
          </w:pPr>
          <w:hyperlink w:anchor="_Toc86822564" w:history="1">
            <w:r w:rsidR="00464E53" w:rsidRPr="005E426B">
              <w:rPr>
                <w:rStyle w:val="Hiperpovezava"/>
                <w:noProof/>
              </w:rPr>
              <w:t>8.4</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_Toc86822564 \h </w:instrText>
            </w:r>
            <w:r w:rsidR="00464E53">
              <w:rPr>
                <w:noProof/>
                <w:webHidden/>
              </w:rPr>
            </w:r>
            <w:r w:rsidR="00464E53">
              <w:rPr>
                <w:noProof/>
                <w:webHidden/>
              </w:rPr>
              <w:fldChar w:fldCharType="separate"/>
            </w:r>
            <w:r w:rsidR="0088117A">
              <w:rPr>
                <w:noProof/>
                <w:webHidden/>
              </w:rPr>
              <w:t>66</w:t>
            </w:r>
            <w:r w:rsidR="00464E53">
              <w:rPr>
                <w:noProof/>
                <w:webHidden/>
              </w:rPr>
              <w:fldChar w:fldCharType="end"/>
            </w:r>
          </w:hyperlink>
        </w:p>
        <w:p w14:paraId="24BEAE6D" w14:textId="3835EE81" w:rsidR="00464E53" w:rsidRDefault="00701492">
          <w:pPr>
            <w:pStyle w:val="Kazalovsebine1"/>
            <w:rPr>
              <w:rFonts w:asciiTheme="minorHAnsi" w:eastAsiaTheme="minorEastAsia" w:hAnsiTheme="minorHAnsi" w:cstheme="minorBidi"/>
              <w:szCs w:val="22"/>
              <w:lang w:eastAsia="sl-SI"/>
            </w:rPr>
          </w:pPr>
          <w:hyperlink w:anchor="_Toc86822565" w:history="1">
            <w:r w:rsidR="00464E53" w:rsidRPr="005E426B">
              <w:rPr>
                <w:rStyle w:val="Hiperpovezava"/>
              </w:rPr>
              <w:t>9</w:t>
            </w:r>
            <w:r w:rsidR="00464E53">
              <w:rPr>
                <w:rFonts w:asciiTheme="minorHAnsi" w:eastAsiaTheme="minorEastAsia" w:hAnsiTheme="minorHAnsi" w:cstheme="minorBidi"/>
                <w:szCs w:val="22"/>
                <w:lang w:eastAsia="sl-SI"/>
              </w:rPr>
              <w:tab/>
            </w:r>
            <w:r w:rsidR="00464E53" w:rsidRPr="005E426B">
              <w:rPr>
                <w:rStyle w:val="Hiperpovezava"/>
              </w:rPr>
              <w:t>Opis stanja kmetijskih sektorjev</w:t>
            </w:r>
            <w:r w:rsidR="00464E53">
              <w:rPr>
                <w:webHidden/>
              </w:rPr>
              <w:tab/>
            </w:r>
            <w:r w:rsidR="00464E53">
              <w:rPr>
                <w:webHidden/>
              </w:rPr>
              <w:fldChar w:fldCharType="begin"/>
            </w:r>
            <w:r w:rsidR="00464E53">
              <w:rPr>
                <w:webHidden/>
              </w:rPr>
              <w:instrText xml:space="preserve"> PAGEREF _Toc86822565 \h </w:instrText>
            </w:r>
            <w:r w:rsidR="00464E53">
              <w:rPr>
                <w:webHidden/>
              </w:rPr>
            </w:r>
            <w:r w:rsidR="00464E53">
              <w:rPr>
                <w:webHidden/>
              </w:rPr>
              <w:fldChar w:fldCharType="separate"/>
            </w:r>
            <w:r w:rsidR="0088117A">
              <w:rPr>
                <w:webHidden/>
              </w:rPr>
              <w:t>66</w:t>
            </w:r>
            <w:r w:rsidR="00464E53">
              <w:rPr>
                <w:webHidden/>
              </w:rPr>
              <w:fldChar w:fldCharType="end"/>
            </w:r>
          </w:hyperlink>
        </w:p>
        <w:p w14:paraId="42364FB5" w14:textId="3DF76A63" w:rsidR="00464E53" w:rsidRDefault="00701492">
          <w:pPr>
            <w:pStyle w:val="Kazalovsebine2"/>
            <w:rPr>
              <w:rFonts w:asciiTheme="minorHAnsi" w:eastAsiaTheme="minorEastAsia" w:hAnsiTheme="minorHAnsi" w:cstheme="minorBidi"/>
              <w:noProof/>
              <w:szCs w:val="22"/>
              <w:lang w:eastAsia="sl-SI"/>
            </w:rPr>
          </w:pPr>
          <w:hyperlink w:anchor="_Toc86822566" w:history="1">
            <w:r w:rsidR="00464E53" w:rsidRPr="005E426B">
              <w:rPr>
                <w:rStyle w:val="Hiperpovezava"/>
                <w:noProof/>
              </w:rPr>
              <w:t>9.1</w:t>
            </w:r>
            <w:r w:rsidR="00464E53">
              <w:rPr>
                <w:rFonts w:asciiTheme="minorHAnsi" w:eastAsiaTheme="minorEastAsia" w:hAnsiTheme="minorHAnsi" w:cstheme="minorBidi"/>
                <w:noProof/>
                <w:szCs w:val="22"/>
                <w:lang w:eastAsia="sl-SI"/>
              </w:rPr>
              <w:tab/>
            </w:r>
            <w:r w:rsidR="00464E53" w:rsidRPr="005E426B">
              <w:rPr>
                <w:rStyle w:val="Hiperpovezava"/>
                <w:noProof/>
              </w:rPr>
              <w:t>Govedoreja</w:t>
            </w:r>
            <w:r w:rsidR="00464E53">
              <w:rPr>
                <w:noProof/>
                <w:webHidden/>
              </w:rPr>
              <w:tab/>
            </w:r>
            <w:r w:rsidR="00464E53">
              <w:rPr>
                <w:noProof/>
                <w:webHidden/>
              </w:rPr>
              <w:fldChar w:fldCharType="begin"/>
            </w:r>
            <w:r w:rsidR="00464E53">
              <w:rPr>
                <w:noProof/>
                <w:webHidden/>
              </w:rPr>
              <w:instrText xml:space="preserve"> PAGEREF _Toc86822566 \h </w:instrText>
            </w:r>
            <w:r w:rsidR="00464E53">
              <w:rPr>
                <w:noProof/>
                <w:webHidden/>
              </w:rPr>
            </w:r>
            <w:r w:rsidR="00464E53">
              <w:rPr>
                <w:noProof/>
                <w:webHidden/>
              </w:rPr>
              <w:fldChar w:fldCharType="separate"/>
            </w:r>
            <w:r w:rsidR="0088117A">
              <w:rPr>
                <w:noProof/>
                <w:webHidden/>
              </w:rPr>
              <w:t>66</w:t>
            </w:r>
            <w:r w:rsidR="00464E53">
              <w:rPr>
                <w:noProof/>
                <w:webHidden/>
              </w:rPr>
              <w:fldChar w:fldCharType="end"/>
            </w:r>
          </w:hyperlink>
        </w:p>
        <w:p w14:paraId="389CB0DD" w14:textId="76931F30"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67" w:history="1">
            <w:r w:rsidR="00464E53" w:rsidRPr="005E426B">
              <w:rPr>
                <w:rStyle w:val="Hiperpovezava"/>
                <w:rFonts w:eastAsia="Calibri"/>
                <w:noProof/>
              </w:rPr>
              <w:t>9.1.1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in osnovni ekonomski kazalniki</w:t>
            </w:r>
            <w:r w:rsidR="00464E53">
              <w:rPr>
                <w:noProof/>
                <w:webHidden/>
              </w:rPr>
              <w:tab/>
            </w:r>
            <w:r w:rsidR="00464E53">
              <w:rPr>
                <w:noProof/>
                <w:webHidden/>
              </w:rPr>
              <w:fldChar w:fldCharType="begin"/>
            </w:r>
            <w:r w:rsidR="00464E53">
              <w:rPr>
                <w:noProof/>
                <w:webHidden/>
              </w:rPr>
              <w:instrText xml:space="preserve"> PAGEREF _Toc86822567 \h </w:instrText>
            </w:r>
            <w:r w:rsidR="00464E53">
              <w:rPr>
                <w:noProof/>
                <w:webHidden/>
              </w:rPr>
            </w:r>
            <w:r w:rsidR="00464E53">
              <w:rPr>
                <w:noProof/>
                <w:webHidden/>
              </w:rPr>
              <w:fldChar w:fldCharType="separate"/>
            </w:r>
            <w:r w:rsidR="0088117A">
              <w:rPr>
                <w:noProof/>
                <w:webHidden/>
              </w:rPr>
              <w:t>66</w:t>
            </w:r>
            <w:r w:rsidR="00464E53">
              <w:rPr>
                <w:noProof/>
                <w:webHidden/>
              </w:rPr>
              <w:fldChar w:fldCharType="end"/>
            </w:r>
          </w:hyperlink>
        </w:p>
        <w:p w14:paraId="6E39ED84" w14:textId="459E11FD"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68" w:history="1">
            <w:r w:rsidR="00464E53" w:rsidRPr="005E426B">
              <w:rPr>
                <w:rStyle w:val="Hiperpovezava"/>
                <w:rFonts w:eastAsia="Calibri"/>
                <w:noProof/>
              </w:rPr>
              <w:t>9.1.2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_Toc86822568 \h </w:instrText>
            </w:r>
            <w:r w:rsidR="00464E53">
              <w:rPr>
                <w:noProof/>
                <w:webHidden/>
              </w:rPr>
            </w:r>
            <w:r w:rsidR="00464E53">
              <w:rPr>
                <w:noProof/>
                <w:webHidden/>
              </w:rPr>
              <w:fldChar w:fldCharType="separate"/>
            </w:r>
            <w:r w:rsidR="0088117A">
              <w:rPr>
                <w:noProof/>
                <w:webHidden/>
              </w:rPr>
              <w:t>71</w:t>
            </w:r>
            <w:r w:rsidR="00464E53">
              <w:rPr>
                <w:noProof/>
                <w:webHidden/>
              </w:rPr>
              <w:fldChar w:fldCharType="end"/>
            </w:r>
          </w:hyperlink>
        </w:p>
        <w:p w14:paraId="3F59DBFC" w14:textId="0F34F2EF" w:rsidR="00464E53" w:rsidRDefault="00701492">
          <w:pPr>
            <w:pStyle w:val="Kazalovsebine2"/>
            <w:rPr>
              <w:rFonts w:asciiTheme="minorHAnsi" w:eastAsiaTheme="minorEastAsia" w:hAnsiTheme="minorHAnsi" w:cstheme="minorBidi"/>
              <w:noProof/>
              <w:szCs w:val="22"/>
              <w:lang w:eastAsia="sl-SI"/>
            </w:rPr>
          </w:pPr>
          <w:hyperlink w:anchor="_Toc86822569" w:history="1">
            <w:r w:rsidR="00464E53" w:rsidRPr="005E426B">
              <w:rPr>
                <w:rStyle w:val="Hiperpovezava"/>
                <w:noProof/>
              </w:rPr>
              <w:t>9.2</w:t>
            </w:r>
            <w:r w:rsidR="00464E53">
              <w:rPr>
                <w:rFonts w:asciiTheme="minorHAnsi" w:eastAsiaTheme="minorEastAsia" w:hAnsiTheme="minorHAnsi" w:cstheme="minorBidi"/>
                <w:noProof/>
                <w:szCs w:val="22"/>
                <w:lang w:eastAsia="sl-SI"/>
              </w:rPr>
              <w:tab/>
            </w:r>
            <w:r w:rsidR="00464E53" w:rsidRPr="005E426B">
              <w:rPr>
                <w:rStyle w:val="Hiperpovezava"/>
                <w:noProof/>
              </w:rPr>
              <w:t>Prašičereja</w:t>
            </w:r>
            <w:r w:rsidR="00464E53">
              <w:rPr>
                <w:noProof/>
                <w:webHidden/>
              </w:rPr>
              <w:tab/>
            </w:r>
            <w:r w:rsidR="00464E53">
              <w:rPr>
                <w:noProof/>
                <w:webHidden/>
              </w:rPr>
              <w:fldChar w:fldCharType="begin"/>
            </w:r>
            <w:r w:rsidR="00464E53">
              <w:rPr>
                <w:noProof/>
                <w:webHidden/>
              </w:rPr>
              <w:instrText xml:space="preserve"> PAGEREF _Toc86822569 \h </w:instrText>
            </w:r>
            <w:r w:rsidR="00464E53">
              <w:rPr>
                <w:noProof/>
                <w:webHidden/>
              </w:rPr>
            </w:r>
            <w:r w:rsidR="00464E53">
              <w:rPr>
                <w:noProof/>
                <w:webHidden/>
              </w:rPr>
              <w:fldChar w:fldCharType="separate"/>
            </w:r>
            <w:r w:rsidR="0088117A">
              <w:rPr>
                <w:noProof/>
                <w:webHidden/>
              </w:rPr>
              <w:t>72</w:t>
            </w:r>
            <w:r w:rsidR="00464E53">
              <w:rPr>
                <w:noProof/>
                <w:webHidden/>
              </w:rPr>
              <w:fldChar w:fldCharType="end"/>
            </w:r>
          </w:hyperlink>
        </w:p>
        <w:p w14:paraId="75593646" w14:textId="47B40D4E"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70" w:history="1">
            <w:r w:rsidR="00464E53" w:rsidRPr="005E426B">
              <w:rPr>
                <w:rStyle w:val="Hiperpovezava"/>
                <w:rFonts w:eastAsia="Calibri"/>
                <w:noProof/>
              </w:rPr>
              <w:t>9.2.1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_Toc86822570 \h </w:instrText>
            </w:r>
            <w:r w:rsidR="00464E53">
              <w:rPr>
                <w:noProof/>
                <w:webHidden/>
              </w:rPr>
            </w:r>
            <w:r w:rsidR="00464E53">
              <w:rPr>
                <w:noProof/>
                <w:webHidden/>
              </w:rPr>
              <w:fldChar w:fldCharType="separate"/>
            </w:r>
            <w:r w:rsidR="0088117A">
              <w:rPr>
                <w:noProof/>
                <w:webHidden/>
              </w:rPr>
              <w:t>72</w:t>
            </w:r>
            <w:r w:rsidR="00464E53">
              <w:rPr>
                <w:noProof/>
                <w:webHidden/>
              </w:rPr>
              <w:fldChar w:fldCharType="end"/>
            </w:r>
          </w:hyperlink>
        </w:p>
        <w:p w14:paraId="7A841290" w14:textId="035173F5"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71" w:history="1">
            <w:r w:rsidR="00464E53" w:rsidRPr="005E426B">
              <w:rPr>
                <w:rStyle w:val="Hiperpovezava"/>
                <w:rFonts w:eastAsia="Calibri"/>
                <w:noProof/>
              </w:rPr>
              <w:t>9.2.2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_Toc86822571 \h </w:instrText>
            </w:r>
            <w:r w:rsidR="00464E53">
              <w:rPr>
                <w:noProof/>
                <w:webHidden/>
              </w:rPr>
            </w:r>
            <w:r w:rsidR="00464E53">
              <w:rPr>
                <w:noProof/>
                <w:webHidden/>
              </w:rPr>
              <w:fldChar w:fldCharType="separate"/>
            </w:r>
            <w:r w:rsidR="0088117A">
              <w:rPr>
                <w:noProof/>
                <w:webHidden/>
              </w:rPr>
              <w:t>75</w:t>
            </w:r>
            <w:r w:rsidR="00464E53">
              <w:rPr>
                <w:noProof/>
                <w:webHidden/>
              </w:rPr>
              <w:fldChar w:fldCharType="end"/>
            </w:r>
          </w:hyperlink>
        </w:p>
        <w:p w14:paraId="37C91753" w14:textId="5A1C5F34" w:rsidR="00464E53" w:rsidRDefault="00701492">
          <w:pPr>
            <w:pStyle w:val="Kazalovsebine2"/>
            <w:rPr>
              <w:rFonts w:asciiTheme="minorHAnsi" w:eastAsiaTheme="minorEastAsia" w:hAnsiTheme="minorHAnsi" w:cstheme="minorBidi"/>
              <w:noProof/>
              <w:szCs w:val="22"/>
              <w:lang w:eastAsia="sl-SI"/>
            </w:rPr>
          </w:pPr>
          <w:hyperlink w:anchor="_Toc86822572" w:history="1">
            <w:r w:rsidR="00464E53" w:rsidRPr="005E426B">
              <w:rPr>
                <w:rStyle w:val="Hiperpovezava"/>
                <w:noProof/>
              </w:rPr>
              <w:t>9.3</w:t>
            </w:r>
            <w:r w:rsidR="00464E53">
              <w:rPr>
                <w:rFonts w:asciiTheme="minorHAnsi" w:eastAsiaTheme="minorEastAsia" w:hAnsiTheme="minorHAnsi" w:cstheme="minorBidi"/>
                <w:noProof/>
                <w:szCs w:val="22"/>
                <w:lang w:eastAsia="sl-SI"/>
              </w:rPr>
              <w:tab/>
            </w:r>
            <w:r w:rsidR="00464E53" w:rsidRPr="005E426B">
              <w:rPr>
                <w:rStyle w:val="Hiperpovezava"/>
                <w:noProof/>
              </w:rPr>
              <w:t>Perutninarstvo</w:t>
            </w:r>
            <w:r w:rsidR="00464E53">
              <w:rPr>
                <w:noProof/>
                <w:webHidden/>
              </w:rPr>
              <w:tab/>
            </w:r>
            <w:r w:rsidR="00464E53">
              <w:rPr>
                <w:noProof/>
                <w:webHidden/>
              </w:rPr>
              <w:fldChar w:fldCharType="begin"/>
            </w:r>
            <w:r w:rsidR="00464E53">
              <w:rPr>
                <w:noProof/>
                <w:webHidden/>
              </w:rPr>
              <w:instrText xml:space="preserve"> PAGEREF _Toc86822572 \h </w:instrText>
            </w:r>
            <w:r w:rsidR="00464E53">
              <w:rPr>
                <w:noProof/>
                <w:webHidden/>
              </w:rPr>
            </w:r>
            <w:r w:rsidR="00464E53">
              <w:rPr>
                <w:noProof/>
                <w:webHidden/>
              </w:rPr>
              <w:fldChar w:fldCharType="separate"/>
            </w:r>
            <w:r w:rsidR="0088117A">
              <w:rPr>
                <w:noProof/>
                <w:webHidden/>
              </w:rPr>
              <w:t>75</w:t>
            </w:r>
            <w:r w:rsidR="00464E53">
              <w:rPr>
                <w:noProof/>
                <w:webHidden/>
              </w:rPr>
              <w:fldChar w:fldCharType="end"/>
            </w:r>
          </w:hyperlink>
        </w:p>
        <w:p w14:paraId="38908C1E" w14:textId="17C88752"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73" w:history="1">
            <w:r w:rsidR="00464E53" w:rsidRPr="005E426B">
              <w:rPr>
                <w:rStyle w:val="Hiperpovezava"/>
                <w:rFonts w:eastAsia="Calibri"/>
                <w:noProof/>
              </w:rPr>
              <w:t>9.3.1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_Toc86822573 \h </w:instrText>
            </w:r>
            <w:r w:rsidR="00464E53">
              <w:rPr>
                <w:noProof/>
                <w:webHidden/>
              </w:rPr>
            </w:r>
            <w:r w:rsidR="00464E53">
              <w:rPr>
                <w:noProof/>
                <w:webHidden/>
              </w:rPr>
              <w:fldChar w:fldCharType="separate"/>
            </w:r>
            <w:r w:rsidR="0088117A">
              <w:rPr>
                <w:noProof/>
                <w:webHidden/>
              </w:rPr>
              <w:t>75</w:t>
            </w:r>
            <w:r w:rsidR="00464E53">
              <w:rPr>
                <w:noProof/>
                <w:webHidden/>
              </w:rPr>
              <w:fldChar w:fldCharType="end"/>
            </w:r>
          </w:hyperlink>
        </w:p>
        <w:p w14:paraId="1C5C20E2" w14:textId="1BB0350A"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74" w:history="1">
            <w:r w:rsidR="00464E53" w:rsidRPr="005E426B">
              <w:rPr>
                <w:rStyle w:val="Hiperpovezava"/>
                <w:rFonts w:eastAsia="Calibri"/>
                <w:noProof/>
              </w:rPr>
              <w:t>9.3.2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_Toc86822574 \h </w:instrText>
            </w:r>
            <w:r w:rsidR="00464E53">
              <w:rPr>
                <w:noProof/>
                <w:webHidden/>
              </w:rPr>
            </w:r>
            <w:r w:rsidR="00464E53">
              <w:rPr>
                <w:noProof/>
                <w:webHidden/>
              </w:rPr>
              <w:fldChar w:fldCharType="separate"/>
            </w:r>
            <w:r w:rsidR="0088117A">
              <w:rPr>
                <w:noProof/>
                <w:webHidden/>
              </w:rPr>
              <w:t>78</w:t>
            </w:r>
            <w:r w:rsidR="00464E53">
              <w:rPr>
                <w:noProof/>
                <w:webHidden/>
              </w:rPr>
              <w:fldChar w:fldCharType="end"/>
            </w:r>
          </w:hyperlink>
        </w:p>
        <w:p w14:paraId="15664A9B" w14:textId="6BCA4D63" w:rsidR="00464E53" w:rsidRDefault="00701492">
          <w:pPr>
            <w:pStyle w:val="Kazalovsebine2"/>
            <w:rPr>
              <w:rFonts w:asciiTheme="minorHAnsi" w:eastAsiaTheme="minorEastAsia" w:hAnsiTheme="minorHAnsi" w:cstheme="minorBidi"/>
              <w:noProof/>
              <w:szCs w:val="22"/>
              <w:lang w:eastAsia="sl-SI"/>
            </w:rPr>
          </w:pPr>
          <w:hyperlink w:anchor="_Toc86822575" w:history="1">
            <w:r w:rsidR="00464E53" w:rsidRPr="005E426B">
              <w:rPr>
                <w:rStyle w:val="Hiperpovezava"/>
                <w:noProof/>
              </w:rPr>
              <w:t>9.4</w:t>
            </w:r>
            <w:r w:rsidR="00464E53">
              <w:rPr>
                <w:rFonts w:asciiTheme="minorHAnsi" w:eastAsiaTheme="minorEastAsia" w:hAnsiTheme="minorHAnsi" w:cstheme="minorBidi"/>
                <w:noProof/>
                <w:szCs w:val="22"/>
                <w:lang w:eastAsia="sl-SI"/>
              </w:rPr>
              <w:tab/>
            </w:r>
            <w:r w:rsidR="00464E53" w:rsidRPr="005E426B">
              <w:rPr>
                <w:rStyle w:val="Hiperpovezava"/>
                <w:noProof/>
              </w:rPr>
              <w:t>Drobnica</w:t>
            </w:r>
            <w:r w:rsidR="00464E53">
              <w:rPr>
                <w:noProof/>
                <w:webHidden/>
              </w:rPr>
              <w:tab/>
            </w:r>
            <w:r w:rsidR="00464E53">
              <w:rPr>
                <w:noProof/>
                <w:webHidden/>
              </w:rPr>
              <w:fldChar w:fldCharType="begin"/>
            </w:r>
            <w:r w:rsidR="00464E53">
              <w:rPr>
                <w:noProof/>
                <w:webHidden/>
              </w:rPr>
              <w:instrText xml:space="preserve"> PAGEREF _Toc86822575 \h </w:instrText>
            </w:r>
            <w:r w:rsidR="00464E53">
              <w:rPr>
                <w:noProof/>
                <w:webHidden/>
              </w:rPr>
            </w:r>
            <w:r w:rsidR="00464E53">
              <w:rPr>
                <w:noProof/>
                <w:webHidden/>
              </w:rPr>
              <w:fldChar w:fldCharType="separate"/>
            </w:r>
            <w:r w:rsidR="0088117A">
              <w:rPr>
                <w:noProof/>
                <w:webHidden/>
              </w:rPr>
              <w:t>78</w:t>
            </w:r>
            <w:r w:rsidR="00464E53">
              <w:rPr>
                <w:noProof/>
                <w:webHidden/>
              </w:rPr>
              <w:fldChar w:fldCharType="end"/>
            </w:r>
          </w:hyperlink>
        </w:p>
        <w:p w14:paraId="1048E13F" w14:textId="0153A808"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76" w:history="1">
            <w:r w:rsidR="00464E53" w:rsidRPr="005E426B">
              <w:rPr>
                <w:rStyle w:val="Hiperpovezava"/>
                <w:rFonts w:eastAsia="Calibri"/>
                <w:noProof/>
              </w:rPr>
              <w:t>9.4.1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_Toc86822576 \h </w:instrText>
            </w:r>
            <w:r w:rsidR="00464E53">
              <w:rPr>
                <w:noProof/>
                <w:webHidden/>
              </w:rPr>
            </w:r>
            <w:r w:rsidR="00464E53">
              <w:rPr>
                <w:noProof/>
                <w:webHidden/>
              </w:rPr>
              <w:fldChar w:fldCharType="separate"/>
            </w:r>
            <w:r w:rsidR="0088117A">
              <w:rPr>
                <w:noProof/>
                <w:webHidden/>
              </w:rPr>
              <w:t>79</w:t>
            </w:r>
            <w:r w:rsidR="00464E53">
              <w:rPr>
                <w:noProof/>
                <w:webHidden/>
              </w:rPr>
              <w:fldChar w:fldCharType="end"/>
            </w:r>
          </w:hyperlink>
        </w:p>
        <w:p w14:paraId="56F5E58F" w14:textId="276CFB79"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77" w:history="1">
            <w:r w:rsidR="00464E53" w:rsidRPr="005E426B">
              <w:rPr>
                <w:rStyle w:val="Hiperpovezava"/>
                <w:rFonts w:eastAsia="Calibri"/>
                <w:noProof/>
              </w:rPr>
              <w:t>9.4.2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_Toc86822577 \h </w:instrText>
            </w:r>
            <w:r w:rsidR="00464E53">
              <w:rPr>
                <w:noProof/>
                <w:webHidden/>
              </w:rPr>
            </w:r>
            <w:r w:rsidR="00464E53">
              <w:rPr>
                <w:noProof/>
                <w:webHidden/>
              </w:rPr>
              <w:fldChar w:fldCharType="separate"/>
            </w:r>
            <w:r w:rsidR="0088117A">
              <w:rPr>
                <w:noProof/>
                <w:webHidden/>
              </w:rPr>
              <w:t>81</w:t>
            </w:r>
            <w:r w:rsidR="00464E53">
              <w:rPr>
                <w:noProof/>
                <w:webHidden/>
              </w:rPr>
              <w:fldChar w:fldCharType="end"/>
            </w:r>
          </w:hyperlink>
        </w:p>
        <w:p w14:paraId="32747737" w14:textId="38E9F441" w:rsidR="00464E53" w:rsidRDefault="00701492">
          <w:pPr>
            <w:pStyle w:val="Kazalovsebine2"/>
            <w:rPr>
              <w:rFonts w:asciiTheme="minorHAnsi" w:eastAsiaTheme="minorEastAsia" w:hAnsiTheme="minorHAnsi" w:cstheme="minorBidi"/>
              <w:noProof/>
              <w:szCs w:val="22"/>
              <w:lang w:eastAsia="sl-SI"/>
            </w:rPr>
          </w:pPr>
          <w:hyperlink w:anchor="_Toc86822578" w:history="1">
            <w:r w:rsidR="00464E53" w:rsidRPr="005E426B">
              <w:rPr>
                <w:rStyle w:val="Hiperpovezava"/>
                <w:noProof/>
              </w:rPr>
              <w:t>9.5</w:t>
            </w:r>
            <w:r w:rsidR="00464E53">
              <w:rPr>
                <w:rFonts w:asciiTheme="minorHAnsi" w:eastAsiaTheme="minorEastAsia" w:hAnsiTheme="minorHAnsi" w:cstheme="minorBidi"/>
                <w:noProof/>
                <w:szCs w:val="22"/>
                <w:lang w:eastAsia="sl-SI"/>
              </w:rPr>
              <w:tab/>
            </w:r>
            <w:r w:rsidR="00464E53" w:rsidRPr="005E426B">
              <w:rPr>
                <w:rStyle w:val="Hiperpovezava"/>
                <w:noProof/>
              </w:rPr>
              <w:t>Čebelarstvo</w:t>
            </w:r>
            <w:r w:rsidR="00464E53">
              <w:rPr>
                <w:noProof/>
                <w:webHidden/>
              </w:rPr>
              <w:tab/>
            </w:r>
            <w:r w:rsidR="00464E53">
              <w:rPr>
                <w:noProof/>
                <w:webHidden/>
              </w:rPr>
              <w:fldChar w:fldCharType="begin"/>
            </w:r>
            <w:r w:rsidR="00464E53">
              <w:rPr>
                <w:noProof/>
                <w:webHidden/>
              </w:rPr>
              <w:instrText xml:space="preserve"> PAGEREF _Toc86822578 \h </w:instrText>
            </w:r>
            <w:r w:rsidR="00464E53">
              <w:rPr>
                <w:noProof/>
                <w:webHidden/>
              </w:rPr>
            </w:r>
            <w:r w:rsidR="00464E53">
              <w:rPr>
                <w:noProof/>
                <w:webHidden/>
              </w:rPr>
              <w:fldChar w:fldCharType="separate"/>
            </w:r>
            <w:r w:rsidR="0088117A">
              <w:rPr>
                <w:noProof/>
                <w:webHidden/>
              </w:rPr>
              <w:t>82</w:t>
            </w:r>
            <w:r w:rsidR="00464E53">
              <w:rPr>
                <w:noProof/>
                <w:webHidden/>
              </w:rPr>
              <w:fldChar w:fldCharType="end"/>
            </w:r>
          </w:hyperlink>
        </w:p>
        <w:p w14:paraId="390E51C5" w14:textId="4264E958"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79" w:history="1">
            <w:r w:rsidR="00464E53" w:rsidRPr="005E426B">
              <w:rPr>
                <w:rStyle w:val="Hiperpovezava"/>
                <w:rFonts w:eastAsia="Calibri"/>
                <w:noProof/>
              </w:rPr>
              <w:t>9.5.1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in osnovni ekonomski kazalniki</w:t>
            </w:r>
            <w:r w:rsidR="00464E53">
              <w:rPr>
                <w:noProof/>
                <w:webHidden/>
              </w:rPr>
              <w:tab/>
            </w:r>
            <w:r w:rsidR="00464E53">
              <w:rPr>
                <w:noProof/>
                <w:webHidden/>
              </w:rPr>
              <w:fldChar w:fldCharType="begin"/>
            </w:r>
            <w:r w:rsidR="00464E53">
              <w:rPr>
                <w:noProof/>
                <w:webHidden/>
              </w:rPr>
              <w:instrText xml:space="preserve"> PAGEREF _Toc86822579 \h </w:instrText>
            </w:r>
            <w:r w:rsidR="00464E53">
              <w:rPr>
                <w:noProof/>
                <w:webHidden/>
              </w:rPr>
            </w:r>
            <w:r w:rsidR="00464E53">
              <w:rPr>
                <w:noProof/>
                <w:webHidden/>
              </w:rPr>
              <w:fldChar w:fldCharType="separate"/>
            </w:r>
            <w:r w:rsidR="0088117A">
              <w:rPr>
                <w:noProof/>
                <w:webHidden/>
              </w:rPr>
              <w:t>82</w:t>
            </w:r>
            <w:r w:rsidR="00464E53">
              <w:rPr>
                <w:noProof/>
                <w:webHidden/>
              </w:rPr>
              <w:fldChar w:fldCharType="end"/>
            </w:r>
          </w:hyperlink>
        </w:p>
        <w:p w14:paraId="7563D5C5" w14:textId="4A4557B8"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80" w:history="1">
            <w:r w:rsidR="00464E53" w:rsidRPr="005E426B">
              <w:rPr>
                <w:rStyle w:val="Hiperpovezava"/>
                <w:noProof/>
              </w:rPr>
              <w:t>9.5.2</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_Toc86822580 \h </w:instrText>
            </w:r>
            <w:r w:rsidR="00464E53">
              <w:rPr>
                <w:noProof/>
                <w:webHidden/>
              </w:rPr>
            </w:r>
            <w:r w:rsidR="00464E53">
              <w:rPr>
                <w:noProof/>
                <w:webHidden/>
              </w:rPr>
              <w:fldChar w:fldCharType="separate"/>
            </w:r>
            <w:r w:rsidR="0088117A">
              <w:rPr>
                <w:noProof/>
                <w:webHidden/>
              </w:rPr>
              <w:t>85</w:t>
            </w:r>
            <w:r w:rsidR="00464E53">
              <w:rPr>
                <w:noProof/>
                <w:webHidden/>
              </w:rPr>
              <w:fldChar w:fldCharType="end"/>
            </w:r>
          </w:hyperlink>
        </w:p>
        <w:p w14:paraId="120CD34A" w14:textId="618DCD23" w:rsidR="00464E53" w:rsidRDefault="00701492">
          <w:pPr>
            <w:pStyle w:val="Kazalovsebine2"/>
            <w:rPr>
              <w:rFonts w:asciiTheme="minorHAnsi" w:eastAsiaTheme="minorEastAsia" w:hAnsiTheme="minorHAnsi" w:cstheme="minorBidi"/>
              <w:noProof/>
              <w:szCs w:val="22"/>
              <w:lang w:eastAsia="sl-SI"/>
            </w:rPr>
          </w:pPr>
          <w:hyperlink w:anchor="_Toc86822581" w:history="1">
            <w:r w:rsidR="00464E53" w:rsidRPr="005E426B">
              <w:rPr>
                <w:rStyle w:val="Hiperpovezava"/>
                <w:noProof/>
              </w:rPr>
              <w:t>9.6</w:t>
            </w:r>
            <w:r w:rsidR="00464E53">
              <w:rPr>
                <w:rFonts w:asciiTheme="minorHAnsi" w:eastAsiaTheme="minorEastAsia" w:hAnsiTheme="minorHAnsi" w:cstheme="minorBidi"/>
                <w:noProof/>
                <w:szCs w:val="22"/>
                <w:lang w:eastAsia="sl-SI"/>
              </w:rPr>
              <w:tab/>
            </w:r>
            <w:r w:rsidR="00464E53" w:rsidRPr="005E426B">
              <w:rPr>
                <w:rStyle w:val="Hiperpovezava"/>
                <w:noProof/>
              </w:rPr>
              <w:t>Konjereja</w:t>
            </w:r>
            <w:r w:rsidR="00464E53">
              <w:rPr>
                <w:noProof/>
                <w:webHidden/>
              </w:rPr>
              <w:tab/>
            </w:r>
            <w:r w:rsidR="00464E53">
              <w:rPr>
                <w:noProof/>
                <w:webHidden/>
              </w:rPr>
              <w:fldChar w:fldCharType="begin"/>
            </w:r>
            <w:r w:rsidR="00464E53">
              <w:rPr>
                <w:noProof/>
                <w:webHidden/>
              </w:rPr>
              <w:instrText xml:space="preserve"> PAGEREF _Toc86822581 \h </w:instrText>
            </w:r>
            <w:r w:rsidR="00464E53">
              <w:rPr>
                <w:noProof/>
                <w:webHidden/>
              </w:rPr>
            </w:r>
            <w:r w:rsidR="00464E53">
              <w:rPr>
                <w:noProof/>
                <w:webHidden/>
              </w:rPr>
              <w:fldChar w:fldCharType="separate"/>
            </w:r>
            <w:r w:rsidR="0088117A">
              <w:rPr>
                <w:noProof/>
                <w:webHidden/>
              </w:rPr>
              <w:t>86</w:t>
            </w:r>
            <w:r w:rsidR="00464E53">
              <w:rPr>
                <w:noProof/>
                <w:webHidden/>
              </w:rPr>
              <w:fldChar w:fldCharType="end"/>
            </w:r>
          </w:hyperlink>
        </w:p>
        <w:p w14:paraId="111286F1" w14:textId="5BF6A621"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82" w:history="1">
            <w:r w:rsidR="00464E53" w:rsidRPr="005E426B">
              <w:rPr>
                <w:rStyle w:val="Hiperpovezava"/>
                <w:rFonts w:eastAsia="Calibri"/>
                <w:noProof/>
              </w:rPr>
              <w:t>9.6.1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in osnovni ekonomski kazalniki</w:t>
            </w:r>
            <w:r w:rsidR="00464E53">
              <w:rPr>
                <w:noProof/>
                <w:webHidden/>
              </w:rPr>
              <w:tab/>
            </w:r>
            <w:r w:rsidR="00464E53">
              <w:rPr>
                <w:noProof/>
                <w:webHidden/>
              </w:rPr>
              <w:fldChar w:fldCharType="begin"/>
            </w:r>
            <w:r w:rsidR="00464E53">
              <w:rPr>
                <w:noProof/>
                <w:webHidden/>
              </w:rPr>
              <w:instrText xml:space="preserve"> PAGEREF _Toc86822582 \h </w:instrText>
            </w:r>
            <w:r w:rsidR="00464E53">
              <w:rPr>
                <w:noProof/>
                <w:webHidden/>
              </w:rPr>
            </w:r>
            <w:r w:rsidR="00464E53">
              <w:rPr>
                <w:noProof/>
                <w:webHidden/>
              </w:rPr>
              <w:fldChar w:fldCharType="separate"/>
            </w:r>
            <w:r w:rsidR="0088117A">
              <w:rPr>
                <w:noProof/>
                <w:webHidden/>
              </w:rPr>
              <w:t>86</w:t>
            </w:r>
            <w:r w:rsidR="00464E53">
              <w:rPr>
                <w:noProof/>
                <w:webHidden/>
              </w:rPr>
              <w:fldChar w:fldCharType="end"/>
            </w:r>
          </w:hyperlink>
        </w:p>
        <w:p w14:paraId="0ECF82DA" w14:textId="3B4C5394"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83" w:history="1">
            <w:r w:rsidR="00464E53" w:rsidRPr="005E426B">
              <w:rPr>
                <w:rStyle w:val="Hiperpovezava"/>
                <w:rFonts w:eastAsia="Calibri"/>
                <w:noProof/>
              </w:rPr>
              <w:t>9.6.2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_Toc86822583 \h </w:instrText>
            </w:r>
            <w:r w:rsidR="00464E53">
              <w:rPr>
                <w:noProof/>
                <w:webHidden/>
              </w:rPr>
            </w:r>
            <w:r w:rsidR="00464E53">
              <w:rPr>
                <w:noProof/>
                <w:webHidden/>
              </w:rPr>
              <w:fldChar w:fldCharType="separate"/>
            </w:r>
            <w:r w:rsidR="0088117A">
              <w:rPr>
                <w:noProof/>
                <w:webHidden/>
              </w:rPr>
              <w:t>88</w:t>
            </w:r>
            <w:r w:rsidR="00464E53">
              <w:rPr>
                <w:noProof/>
                <w:webHidden/>
              </w:rPr>
              <w:fldChar w:fldCharType="end"/>
            </w:r>
          </w:hyperlink>
        </w:p>
        <w:p w14:paraId="49DB9A9E" w14:textId="7C78405E" w:rsidR="00464E53" w:rsidRDefault="00701492">
          <w:pPr>
            <w:pStyle w:val="Kazalovsebine2"/>
            <w:rPr>
              <w:rFonts w:asciiTheme="minorHAnsi" w:eastAsiaTheme="minorEastAsia" w:hAnsiTheme="minorHAnsi" w:cstheme="minorBidi"/>
              <w:noProof/>
              <w:szCs w:val="22"/>
              <w:lang w:eastAsia="sl-SI"/>
            </w:rPr>
          </w:pPr>
          <w:hyperlink w:anchor="_Toc86822584" w:history="1">
            <w:r w:rsidR="00464E53" w:rsidRPr="005E426B">
              <w:rPr>
                <w:rStyle w:val="Hiperpovezava"/>
                <w:noProof/>
              </w:rPr>
              <w:t>9.7</w:t>
            </w:r>
            <w:r w:rsidR="00464E53">
              <w:rPr>
                <w:rFonts w:asciiTheme="minorHAnsi" w:eastAsiaTheme="minorEastAsia" w:hAnsiTheme="minorHAnsi" w:cstheme="minorBidi"/>
                <w:noProof/>
                <w:szCs w:val="22"/>
                <w:lang w:eastAsia="sl-SI"/>
              </w:rPr>
              <w:tab/>
            </w:r>
            <w:r w:rsidR="00464E53" w:rsidRPr="005E426B">
              <w:rPr>
                <w:rStyle w:val="Hiperpovezava"/>
                <w:noProof/>
              </w:rPr>
              <w:t>Zelenjadarstvo</w:t>
            </w:r>
            <w:r w:rsidR="00464E53">
              <w:rPr>
                <w:noProof/>
                <w:webHidden/>
              </w:rPr>
              <w:tab/>
            </w:r>
            <w:r w:rsidR="00464E53">
              <w:rPr>
                <w:noProof/>
                <w:webHidden/>
              </w:rPr>
              <w:fldChar w:fldCharType="begin"/>
            </w:r>
            <w:r w:rsidR="00464E53">
              <w:rPr>
                <w:noProof/>
                <w:webHidden/>
              </w:rPr>
              <w:instrText xml:space="preserve"> PAGEREF _Toc86822584 \h </w:instrText>
            </w:r>
            <w:r w:rsidR="00464E53">
              <w:rPr>
                <w:noProof/>
                <w:webHidden/>
              </w:rPr>
            </w:r>
            <w:r w:rsidR="00464E53">
              <w:rPr>
                <w:noProof/>
                <w:webHidden/>
              </w:rPr>
              <w:fldChar w:fldCharType="separate"/>
            </w:r>
            <w:r w:rsidR="0088117A">
              <w:rPr>
                <w:noProof/>
                <w:webHidden/>
              </w:rPr>
              <w:t>88</w:t>
            </w:r>
            <w:r w:rsidR="00464E53">
              <w:rPr>
                <w:noProof/>
                <w:webHidden/>
              </w:rPr>
              <w:fldChar w:fldCharType="end"/>
            </w:r>
          </w:hyperlink>
        </w:p>
        <w:p w14:paraId="08C78CCC" w14:textId="3C387CEC"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85" w:history="1">
            <w:r w:rsidR="00464E53" w:rsidRPr="005E426B">
              <w:rPr>
                <w:rStyle w:val="Hiperpovezava"/>
                <w:rFonts w:eastAsia="Calibri"/>
                <w:noProof/>
              </w:rPr>
              <w:t>9.7.1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_Toc86822585 \h </w:instrText>
            </w:r>
            <w:r w:rsidR="00464E53">
              <w:rPr>
                <w:noProof/>
                <w:webHidden/>
              </w:rPr>
            </w:r>
            <w:r w:rsidR="00464E53">
              <w:rPr>
                <w:noProof/>
                <w:webHidden/>
              </w:rPr>
              <w:fldChar w:fldCharType="separate"/>
            </w:r>
            <w:r w:rsidR="0088117A">
              <w:rPr>
                <w:noProof/>
                <w:webHidden/>
              </w:rPr>
              <w:t>88</w:t>
            </w:r>
            <w:r w:rsidR="00464E53">
              <w:rPr>
                <w:noProof/>
                <w:webHidden/>
              </w:rPr>
              <w:fldChar w:fldCharType="end"/>
            </w:r>
          </w:hyperlink>
        </w:p>
        <w:p w14:paraId="6A712913" w14:textId="25513D95"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86" w:history="1">
            <w:r w:rsidR="00464E53" w:rsidRPr="005E426B">
              <w:rPr>
                <w:rStyle w:val="Hiperpovezava"/>
                <w:rFonts w:eastAsia="Calibri"/>
                <w:noProof/>
              </w:rPr>
              <w:t>9.7.2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_Toc86822586 \h </w:instrText>
            </w:r>
            <w:r w:rsidR="00464E53">
              <w:rPr>
                <w:noProof/>
                <w:webHidden/>
              </w:rPr>
            </w:r>
            <w:r w:rsidR="00464E53">
              <w:rPr>
                <w:noProof/>
                <w:webHidden/>
              </w:rPr>
              <w:fldChar w:fldCharType="separate"/>
            </w:r>
            <w:r w:rsidR="0088117A">
              <w:rPr>
                <w:noProof/>
                <w:webHidden/>
              </w:rPr>
              <w:t>94</w:t>
            </w:r>
            <w:r w:rsidR="00464E53">
              <w:rPr>
                <w:noProof/>
                <w:webHidden/>
              </w:rPr>
              <w:fldChar w:fldCharType="end"/>
            </w:r>
          </w:hyperlink>
        </w:p>
        <w:p w14:paraId="1241BC3C" w14:textId="77543277" w:rsidR="00464E53" w:rsidRDefault="00701492">
          <w:pPr>
            <w:pStyle w:val="Kazalovsebine2"/>
            <w:rPr>
              <w:rFonts w:asciiTheme="minorHAnsi" w:eastAsiaTheme="minorEastAsia" w:hAnsiTheme="minorHAnsi" w:cstheme="minorBidi"/>
              <w:noProof/>
              <w:szCs w:val="22"/>
              <w:lang w:eastAsia="sl-SI"/>
            </w:rPr>
          </w:pPr>
          <w:hyperlink w:anchor="_Toc86822587" w:history="1">
            <w:r w:rsidR="00464E53" w:rsidRPr="005E426B">
              <w:rPr>
                <w:rStyle w:val="Hiperpovezava"/>
                <w:noProof/>
              </w:rPr>
              <w:t>9.8</w:t>
            </w:r>
            <w:r w:rsidR="00464E53">
              <w:rPr>
                <w:rFonts w:asciiTheme="minorHAnsi" w:eastAsiaTheme="minorEastAsia" w:hAnsiTheme="minorHAnsi" w:cstheme="minorBidi"/>
                <w:noProof/>
                <w:szCs w:val="22"/>
                <w:lang w:eastAsia="sl-SI"/>
              </w:rPr>
              <w:tab/>
            </w:r>
            <w:r w:rsidR="00464E53" w:rsidRPr="005E426B">
              <w:rPr>
                <w:rStyle w:val="Hiperpovezava"/>
                <w:noProof/>
              </w:rPr>
              <w:t>Zelišča</w:t>
            </w:r>
            <w:r w:rsidR="00464E53">
              <w:rPr>
                <w:noProof/>
                <w:webHidden/>
              </w:rPr>
              <w:tab/>
            </w:r>
            <w:r w:rsidR="00464E53">
              <w:rPr>
                <w:noProof/>
                <w:webHidden/>
              </w:rPr>
              <w:fldChar w:fldCharType="begin"/>
            </w:r>
            <w:r w:rsidR="00464E53">
              <w:rPr>
                <w:noProof/>
                <w:webHidden/>
              </w:rPr>
              <w:instrText xml:space="preserve"> PAGEREF _Toc86822587 \h </w:instrText>
            </w:r>
            <w:r w:rsidR="00464E53">
              <w:rPr>
                <w:noProof/>
                <w:webHidden/>
              </w:rPr>
            </w:r>
            <w:r w:rsidR="00464E53">
              <w:rPr>
                <w:noProof/>
                <w:webHidden/>
              </w:rPr>
              <w:fldChar w:fldCharType="separate"/>
            </w:r>
            <w:r w:rsidR="0088117A">
              <w:rPr>
                <w:noProof/>
                <w:webHidden/>
              </w:rPr>
              <w:t>94</w:t>
            </w:r>
            <w:r w:rsidR="00464E53">
              <w:rPr>
                <w:noProof/>
                <w:webHidden/>
              </w:rPr>
              <w:fldChar w:fldCharType="end"/>
            </w:r>
          </w:hyperlink>
        </w:p>
        <w:p w14:paraId="7EDF06B6" w14:textId="2E1CD7DE"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88" w:history="1">
            <w:r w:rsidR="00464E53" w:rsidRPr="005E426B">
              <w:rPr>
                <w:rStyle w:val="Hiperpovezava"/>
                <w:rFonts w:eastAsia="Calibri"/>
                <w:noProof/>
              </w:rPr>
              <w:t>9.8.1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_Toc86822588 \h </w:instrText>
            </w:r>
            <w:r w:rsidR="00464E53">
              <w:rPr>
                <w:noProof/>
                <w:webHidden/>
              </w:rPr>
            </w:r>
            <w:r w:rsidR="00464E53">
              <w:rPr>
                <w:noProof/>
                <w:webHidden/>
              </w:rPr>
              <w:fldChar w:fldCharType="separate"/>
            </w:r>
            <w:r w:rsidR="0088117A">
              <w:rPr>
                <w:noProof/>
                <w:webHidden/>
              </w:rPr>
              <w:t>95</w:t>
            </w:r>
            <w:r w:rsidR="00464E53">
              <w:rPr>
                <w:noProof/>
                <w:webHidden/>
              </w:rPr>
              <w:fldChar w:fldCharType="end"/>
            </w:r>
          </w:hyperlink>
        </w:p>
        <w:p w14:paraId="4D1167CE" w14:textId="3902611F"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89" w:history="1">
            <w:r w:rsidR="00464E53" w:rsidRPr="005E426B">
              <w:rPr>
                <w:rStyle w:val="Hiperpovezava"/>
                <w:rFonts w:eastAsia="Calibri"/>
                <w:noProof/>
              </w:rPr>
              <w:t>9.8.2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_Toc86822589 \h </w:instrText>
            </w:r>
            <w:r w:rsidR="00464E53">
              <w:rPr>
                <w:noProof/>
                <w:webHidden/>
              </w:rPr>
            </w:r>
            <w:r w:rsidR="00464E53">
              <w:rPr>
                <w:noProof/>
                <w:webHidden/>
              </w:rPr>
              <w:fldChar w:fldCharType="separate"/>
            </w:r>
            <w:r w:rsidR="0088117A">
              <w:rPr>
                <w:noProof/>
                <w:webHidden/>
              </w:rPr>
              <w:t>96</w:t>
            </w:r>
            <w:r w:rsidR="00464E53">
              <w:rPr>
                <w:noProof/>
                <w:webHidden/>
              </w:rPr>
              <w:fldChar w:fldCharType="end"/>
            </w:r>
          </w:hyperlink>
        </w:p>
        <w:p w14:paraId="2FC8350F" w14:textId="6B6DD260" w:rsidR="00464E53" w:rsidRDefault="00701492">
          <w:pPr>
            <w:pStyle w:val="Kazalovsebine2"/>
            <w:rPr>
              <w:rFonts w:asciiTheme="minorHAnsi" w:eastAsiaTheme="minorEastAsia" w:hAnsiTheme="minorHAnsi" w:cstheme="minorBidi"/>
              <w:noProof/>
              <w:szCs w:val="22"/>
              <w:lang w:eastAsia="sl-SI"/>
            </w:rPr>
          </w:pPr>
          <w:hyperlink w:anchor="_Toc86822590" w:history="1">
            <w:r w:rsidR="00464E53" w:rsidRPr="005E426B">
              <w:rPr>
                <w:rStyle w:val="Hiperpovezava"/>
                <w:noProof/>
              </w:rPr>
              <w:t>9.9</w:t>
            </w:r>
            <w:r w:rsidR="00464E53">
              <w:rPr>
                <w:rFonts w:asciiTheme="minorHAnsi" w:eastAsiaTheme="minorEastAsia" w:hAnsiTheme="minorHAnsi" w:cstheme="minorBidi"/>
                <w:noProof/>
                <w:szCs w:val="22"/>
                <w:lang w:eastAsia="sl-SI"/>
              </w:rPr>
              <w:tab/>
            </w:r>
            <w:r w:rsidR="00464E53" w:rsidRPr="005E426B">
              <w:rPr>
                <w:rStyle w:val="Hiperpovezava"/>
                <w:noProof/>
              </w:rPr>
              <w:t>Sadjarstvo</w:t>
            </w:r>
            <w:r w:rsidR="00464E53">
              <w:rPr>
                <w:noProof/>
                <w:webHidden/>
              </w:rPr>
              <w:tab/>
            </w:r>
            <w:r w:rsidR="00464E53">
              <w:rPr>
                <w:noProof/>
                <w:webHidden/>
              </w:rPr>
              <w:fldChar w:fldCharType="begin"/>
            </w:r>
            <w:r w:rsidR="00464E53">
              <w:rPr>
                <w:noProof/>
                <w:webHidden/>
              </w:rPr>
              <w:instrText xml:space="preserve"> PAGEREF _Toc86822590 \h </w:instrText>
            </w:r>
            <w:r w:rsidR="00464E53">
              <w:rPr>
                <w:noProof/>
                <w:webHidden/>
              </w:rPr>
            </w:r>
            <w:r w:rsidR="00464E53">
              <w:rPr>
                <w:noProof/>
                <w:webHidden/>
              </w:rPr>
              <w:fldChar w:fldCharType="separate"/>
            </w:r>
            <w:r w:rsidR="0088117A">
              <w:rPr>
                <w:noProof/>
                <w:webHidden/>
              </w:rPr>
              <w:t>96</w:t>
            </w:r>
            <w:r w:rsidR="00464E53">
              <w:rPr>
                <w:noProof/>
                <w:webHidden/>
              </w:rPr>
              <w:fldChar w:fldCharType="end"/>
            </w:r>
          </w:hyperlink>
        </w:p>
        <w:p w14:paraId="2EA85784" w14:textId="1E0A4042"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91" w:history="1">
            <w:r w:rsidR="00464E53" w:rsidRPr="005E426B">
              <w:rPr>
                <w:rStyle w:val="Hiperpovezava"/>
                <w:rFonts w:eastAsia="Calibri"/>
                <w:noProof/>
              </w:rPr>
              <w:t>9.9.1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_Toc86822591 \h </w:instrText>
            </w:r>
            <w:r w:rsidR="00464E53">
              <w:rPr>
                <w:noProof/>
                <w:webHidden/>
              </w:rPr>
            </w:r>
            <w:r w:rsidR="00464E53">
              <w:rPr>
                <w:noProof/>
                <w:webHidden/>
              </w:rPr>
              <w:fldChar w:fldCharType="separate"/>
            </w:r>
            <w:r w:rsidR="0088117A">
              <w:rPr>
                <w:noProof/>
                <w:webHidden/>
              </w:rPr>
              <w:t>96</w:t>
            </w:r>
            <w:r w:rsidR="00464E53">
              <w:rPr>
                <w:noProof/>
                <w:webHidden/>
              </w:rPr>
              <w:fldChar w:fldCharType="end"/>
            </w:r>
          </w:hyperlink>
        </w:p>
        <w:p w14:paraId="0B323F58" w14:textId="37C3A3E1"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92" w:history="1">
            <w:r w:rsidR="00464E53" w:rsidRPr="005E426B">
              <w:rPr>
                <w:rStyle w:val="Hiperpovezava"/>
                <w:rFonts w:eastAsia="Calibri"/>
                <w:noProof/>
              </w:rPr>
              <w:t>9.9.2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_Toc86822592 \h </w:instrText>
            </w:r>
            <w:r w:rsidR="00464E53">
              <w:rPr>
                <w:noProof/>
                <w:webHidden/>
              </w:rPr>
            </w:r>
            <w:r w:rsidR="00464E53">
              <w:rPr>
                <w:noProof/>
                <w:webHidden/>
              </w:rPr>
              <w:fldChar w:fldCharType="separate"/>
            </w:r>
            <w:r w:rsidR="0088117A">
              <w:rPr>
                <w:noProof/>
                <w:webHidden/>
              </w:rPr>
              <w:t>101</w:t>
            </w:r>
            <w:r w:rsidR="00464E53">
              <w:rPr>
                <w:noProof/>
                <w:webHidden/>
              </w:rPr>
              <w:fldChar w:fldCharType="end"/>
            </w:r>
          </w:hyperlink>
        </w:p>
        <w:p w14:paraId="21B4C506" w14:textId="35A3142F" w:rsidR="00464E53" w:rsidRDefault="00701492">
          <w:pPr>
            <w:pStyle w:val="Kazalovsebine2"/>
            <w:rPr>
              <w:rFonts w:asciiTheme="minorHAnsi" w:eastAsiaTheme="minorEastAsia" w:hAnsiTheme="minorHAnsi" w:cstheme="minorBidi"/>
              <w:noProof/>
              <w:szCs w:val="22"/>
              <w:lang w:eastAsia="sl-SI"/>
            </w:rPr>
          </w:pPr>
          <w:hyperlink w:anchor="_Toc86822593" w:history="1">
            <w:r w:rsidR="00464E53" w:rsidRPr="005E426B">
              <w:rPr>
                <w:rStyle w:val="Hiperpovezava"/>
                <w:noProof/>
              </w:rPr>
              <w:t>9.10</w:t>
            </w:r>
            <w:r w:rsidR="00464E53">
              <w:rPr>
                <w:rFonts w:asciiTheme="minorHAnsi" w:eastAsiaTheme="minorEastAsia" w:hAnsiTheme="minorHAnsi" w:cstheme="minorBidi"/>
                <w:noProof/>
                <w:szCs w:val="22"/>
                <w:lang w:eastAsia="sl-SI"/>
              </w:rPr>
              <w:tab/>
            </w:r>
            <w:r w:rsidR="00464E53" w:rsidRPr="005E426B">
              <w:rPr>
                <w:rStyle w:val="Hiperpovezava"/>
                <w:noProof/>
              </w:rPr>
              <w:t>Vinogradništvo in vinarstvo</w:t>
            </w:r>
            <w:r w:rsidR="00464E53">
              <w:rPr>
                <w:noProof/>
                <w:webHidden/>
              </w:rPr>
              <w:tab/>
            </w:r>
            <w:r w:rsidR="00464E53">
              <w:rPr>
                <w:noProof/>
                <w:webHidden/>
              </w:rPr>
              <w:fldChar w:fldCharType="begin"/>
            </w:r>
            <w:r w:rsidR="00464E53">
              <w:rPr>
                <w:noProof/>
                <w:webHidden/>
              </w:rPr>
              <w:instrText xml:space="preserve"> PAGEREF _Toc86822593 \h </w:instrText>
            </w:r>
            <w:r w:rsidR="00464E53">
              <w:rPr>
                <w:noProof/>
                <w:webHidden/>
              </w:rPr>
            </w:r>
            <w:r w:rsidR="00464E53">
              <w:rPr>
                <w:noProof/>
                <w:webHidden/>
              </w:rPr>
              <w:fldChar w:fldCharType="separate"/>
            </w:r>
            <w:r w:rsidR="0088117A">
              <w:rPr>
                <w:noProof/>
                <w:webHidden/>
              </w:rPr>
              <w:t>101</w:t>
            </w:r>
            <w:r w:rsidR="00464E53">
              <w:rPr>
                <w:noProof/>
                <w:webHidden/>
              </w:rPr>
              <w:fldChar w:fldCharType="end"/>
            </w:r>
          </w:hyperlink>
        </w:p>
        <w:p w14:paraId="2EF7378B" w14:textId="54F66055"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94" w:history="1">
            <w:r w:rsidR="00464E53" w:rsidRPr="005E426B">
              <w:rPr>
                <w:rStyle w:val="Hiperpovezava"/>
                <w:rFonts w:eastAsia="Calibri"/>
                <w:noProof/>
              </w:rPr>
              <w:t>9.10.1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_Toc86822594 \h </w:instrText>
            </w:r>
            <w:r w:rsidR="00464E53">
              <w:rPr>
                <w:noProof/>
                <w:webHidden/>
              </w:rPr>
            </w:r>
            <w:r w:rsidR="00464E53">
              <w:rPr>
                <w:noProof/>
                <w:webHidden/>
              </w:rPr>
              <w:fldChar w:fldCharType="separate"/>
            </w:r>
            <w:r w:rsidR="0088117A">
              <w:rPr>
                <w:noProof/>
                <w:webHidden/>
              </w:rPr>
              <w:t>101</w:t>
            </w:r>
            <w:r w:rsidR="00464E53">
              <w:rPr>
                <w:noProof/>
                <w:webHidden/>
              </w:rPr>
              <w:fldChar w:fldCharType="end"/>
            </w:r>
          </w:hyperlink>
        </w:p>
        <w:p w14:paraId="5D1AAA75" w14:textId="7C4DE863"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95" w:history="1">
            <w:r w:rsidR="00464E53" w:rsidRPr="005E426B">
              <w:rPr>
                <w:rStyle w:val="Hiperpovezava"/>
                <w:rFonts w:eastAsia="Calibri"/>
                <w:noProof/>
              </w:rPr>
              <w:t>9.10.2</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Ključne ugotovitve</w:t>
            </w:r>
            <w:r w:rsidR="00464E53">
              <w:rPr>
                <w:noProof/>
                <w:webHidden/>
              </w:rPr>
              <w:tab/>
            </w:r>
            <w:r w:rsidR="00464E53">
              <w:rPr>
                <w:noProof/>
                <w:webHidden/>
              </w:rPr>
              <w:fldChar w:fldCharType="begin"/>
            </w:r>
            <w:r w:rsidR="00464E53">
              <w:rPr>
                <w:noProof/>
                <w:webHidden/>
              </w:rPr>
              <w:instrText xml:space="preserve"> PAGEREF _Toc86822595 \h </w:instrText>
            </w:r>
            <w:r w:rsidR="00464E53">
              <w:rPr>
                <w:noProof/>
                <w:webHidden/>
              </w:rPr>
            </w:r>
            <w:r w:rsidR="00464E53">
              <w:rPr>
                <w:noProof/>
                <w:webHidden/>
              </w:rPr>
              <w:fldChar w:fldCharType="separate"/>
            </w:r>
            <w:r w:rsidR="0088117A">
              <w:rPr>
                <w:noProof/>
                <w:webHidden/>
              </w:rPr>
              <w:t>105</w:t>
            </w:r>
            <w:r w:rsidR="00464E53">
              <w:rPr>
                <w:noProof/>
                <w:webHidden/>
              </w:rPr>
              <w:fldChar w:fldCharType="end"/>
            </w:r>
          </w:hyperlink>
        </w:p>
        <w:p w14:paraId="630A37F9" w14:textId="4D10963A" w:rsidR="00464E53" w:rsidRDefault="00701492">
          <w:pPr>
            <w:pStyle w:val="Kazalovsebine2"/>
            <w:rPr>
              <w:rFonts w:asciiTheme="minorHAnsi" w:eastAsiaTheme="minorEastAsia" w:hAnsiTheme="minorHAnsi" w:cstheme="minorBidi"/>
              <w:noProof/>
              <w:szCs w:val="22"/>
              <w:lang w:eastAsia="sl-SI"/>
            </w:rPr>
          </w:pPr>
          <w:hyperlink w:anchor="_Toc86822596" w:history="1">
            <w:r w:rsidR="00464E53" w:rsidRPr="005E426B">
              <w:rPr>
                <w:rStyle w:val="Hiperpovezava"/>
                <w:noProof/>
              </w:rPr>
              <w:t>9.11</w:t>
            </w:r>
            <w:r w:rsidR="00464E53">
              <w:rPr>
                <w:rFonts w:asciiTheme="minorHAnsi" w:eastAsiaTheme="minorEastAsia" w:hAnsiTheme="minorHAnsi" w:cstheme="minorBidi"/>
                <w:noProof/>
                <w:szCs w:val="22"/>
                <w:lang w:eastAsia="sl-SI"/>
              </w:rPr>
              <w:tab/>
            </w:r>
            <w:r w:rsidR="00464E53" w:rsidRPr="005E426B">
              <w:rPr>
                <w:rStyle w:val="Hiperpovezava"/>
                <w:noProof/>
              </w:rPr>
              <w:t>Sektor oljkarstva</w:t>
            </w:r>
            <w:r w:rsidR="00464E53">
              <w:rPr>
                <w:noProof/>
                <w:webHidden/>
              </w:rPr>
              <w:tab/>
            </w:r>
            <w:r w:rsidR="00464E53">
              <w:rPr>
                <w:noProof/>
                <w:webHidden/>
              </w:rPr>
              <w:fldChar w:fldCharType="begin"/>
            </w:r>
            <w:r w:rsidR="00464E53">
              <w:rPr>
                <w:noProof/>
                <w:webHidden/>
              </w:rPr>
              <w:instrText xml:space="preserve"> PAGEREF _Toc86822596 \h </w:instrText>
            </w:r>
            <w:r w:rsidR="00464E53">
              <w:rPr>
                <w:noProof/>
                <w:webHidden/>
              </w:rPr>
            </w:r>
            <w:r w:rsidR="00464E53">
              <w:rPr>
                <w:noProof/>
                <w:webHidden/>
              </w:rPr>
              <w:fldChar w:fldCharType="separate"/>
            </w:r>
            <w:r w:rsidR="0088117A">
              <w:rPr>
                <w:noProof/>
                <w:webHidden/>
              </w:rPr>
              <w:t>105</w:t>
            </w:r>
            <w:r w:rsidR="00464E53">
              <w:rPr>
                <w:noProof/>
                <w:webHidden/>
              </w:rPr>
              <w:fldChar w:fldCharType="end"/>
            </w:r>
          </w:hyperlink>
        </w:p>
        <w:p w14:paraId="1A1233C3" w14:textId="50D23257"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97" w:history="1">
            <w:r w:rsidR="00464E53" w:rsidRPr="005E426B">
              <w:rPr>
                <w:rStyle w:val="Hiperpovezava"/>
                <w:rFonts w:eastAsia="Calibri"/>
                <w:noProof/>
              </w:rPr>
              <w:t>9.11.1</w:t>
            </w:r>
            <w:r w:rsidR="00464E53">
              <w:rPr>
                <w:rFonts w:asciiTheme="minorHAnsi" w:eastAsiaTheme="minorEastAsia" w:hAnsiTheme="minorHAnsi" w:cstheme="minorBidi"/>
                <w:noProof/>
                <w:szCs w:val="22"/>
                <w:lang w:eastAsia="sl-SI"/>
              </w:rPr>
              <w:tab/>
            </w:r>
            <w:r w:rsidR="00464E53" w:rsidRPr="005E426B">
              <w:rPr>
                <w:rStyle w:val="Hiperpovezava"/>
                <w:rFonts w:eastAsia="Calibri"/>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_Toc86822597 \h </w:instrText>
            </w:r>
            <w:r w:rsidR="00464E53">
              <w:rPr>
                <w:noProof/>
                <w:webHidden/>
              </w:rPr>
            </w:r>
            <w:r w:rsidR="00464E53">
              <w:rPr>
                <w:noProof/>
                <w:webHidden/>
              </w:rPr>
              <w:fldChar w:fldCharType="separate"/>
            </w:r>
            <w:r w:rsidR="0088117A">
              <w:rPr>
                <w:noProof/>
                <w:webHidden/>
              </w:rPr>
              <w:t>106</w:t>
            </w:r>
            <w:r w:rsidR="00464E53">
              <w:rPr>
                <w:noProof/>
                <w:webHidden/>
              </w:rPr>
              <w:fldChar w:fldCharType="end"/>
            </w:r>
          </w:hyperlink>
        </w:p>
        <w:p w14:paraId="47586D52" w14:textId="3D7DFC56"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598" w:history="1">
            <w:r w:rsidR="00464E53" w:rsidRPr="005E426B">
              <w:rPr>
                <w:rStyle w:val="Hiperpovezava"/>
                <w:noProof/>
              </w:rPr>
              <w:t>9.11.2</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_Toc86822598 \h </w:instrText>
            </w:r>
            <w:r w:rsidR="00464E53">
              <w:rPr>
                <w:noProof/>
                <w:webHidden/>
              </w:rPr>
            </w:r>
            <w:r w:rsidR="00464E53">
              <w:rPr>
                <w:noProof/>
                <w:webHidden/>
              </w:rPr>
              <w:fldChar w:fldCharType="separate"/>
            </w:r>
            <w:r w:rsidR="0088117A">
              <w:rPr>
                <w:noProof/>
                <w:webHidden/>
              </w:rPr>
              <w:t>110</w:t>
            </w:r>
            <w:r w:rsidR="00464E53">
              <w:rPr>
                <w:noProof/>
                <w:webHidden/>
              </w:rPr>
              <w:fldChar w:fldCharType="end"/>
            </w:r>
          </w:hyperlink>
        </w:p>
        <w:p w14:paraId="2666C672" w14:textId="13B3A4B6" w:rsidR="00464E53" w:rsidRDefault="00701492">
          <w:pPr>
            <w:pStyle w:val="Kazalovsebine2"/>
            <w:rPr>
              <w:rFonts w:asciiTheme="minorHAnsi" w:eastAsiaTheme="minorEastAsia" w:hAnsiTheme="minorHAnsi" w:cstheme="minorBidi"/>
              <w:noProof/>
              <w:szCs w:val="22"/>
              <w:lang w:eastAsia="sl-SI"/>
            </w:rPr>
          </w:pPr>
          <w:hyperlink w:anchor="_Toc86822599" w:history="1">
            <w:r w:rsidR="00464E53" w:rsidRPr="005E426B">
              <w:rPr>
                <w:rStyle w:val="Hiperpovezava"/>
                <w:noProof/>
              </w:rPr>
              <w:t>9.12</w:t>
            </w:r>
            <w:r w:rsidR="00464E53">
              <w:rPr>
                <w:rFonts w:asciiTheme="minorHAnsi" w:eastAsiaTheme="minorEastAsia" w:hAnsiTheme="minorHAnsi" w:cstheme="minorBidi"/>
                <w:noProof/>
                <w:szCs w:val="22"/>
                <w:lang w:eastAsia="sl-SI"/>
              </w:rPr>
              <w:tab/>
            </w:r>
            <w:r w:rsidR="00464E53" w:rsidRPr="005E426B">
              <w:rPr>
                <w:rStyle w:val="Hiperpovezava"/>
                <w:noProof/>
              </w:rPr>
              <w:t>Hmeljarstvo</w:t>
            </w:r>
            <w:r w:rsidR="00464E53">
              <w:rPr>
                <w:noProof/>
                <w:webHidden/>
              </w:rPr>
              <w:tab/>
            </w:r>
            <w:r w:rsidR="00464E53">
              <w:rPr>
                <w:noProof/>
                <w:webHidden/>
              </w:rPr>
              <w:fldChar w:fldCharType="begin"/>
            </w:r>
            <w:r w:rsidR="00464E53">
              <w:rPr>
                <w:noProof/>
                <w:webHidden/>
              </w:rPr>
              <w:instrText xml:space="preserve"> PAGEREF _Toc86822599 \h </w:instrText>
            </w:r>
            <w:r w:rsidR="00464E53">
              <w:rPr>
                <w:noProof/>
                <w:webHidden/>
              </w:rPr>
            </w:r>
            <w:r w:rsidR="00464E53">
              <w:rPr>
                <w:noProof/>
                <w:webHidden/>
              </w:rPr>
              <w:fldChar w:fldCharType="separate"/>
            </w:r>
            <w:r w:rsidR="0088117A">
              <w:rPr>
                <w:noProof/>
                <w:webHidden/>
              </w:rPr>
              <w:t>110</w:t>
            </w:r>
            <w:r w:rsidR="00464E53">
              <w:rPr>
                <w:noProof/>
                <w:webHidden/>
              </w:rPr>
              <w:fldChar w:fldCharType="end"/>
            </w:r>
          </w:hyperlink>
        </w:p>
        <w:p w14:paraId="4FD7CD38" w14:textId="5B93B3D4"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00" w:history="1">
            <w:r w:rsidR="00464E53" w:rsidRPr="005E426B">
              <w:rPr>
                <w:rStyle w:val="Hiperpovezava"/>
                <w:noProof/>
              </w:rPr>
              <w:t>9.12.1</w:t>
            </w:r>
            <w:r w:rsidR="00464E53">
              <w:rPr>
                <w:rFonts w:asciiTheme="minorHAnsi" w:eastAsiaTheme="minorEastAsia" w:hAnsiTheme="minorHAnsi" w:cstheme="minorBidi"/>
                <w:noProof/>
                <w:szCs w:val="22"/>
                <w:lang w:eastAsia="sl-SI"/>
              </w:rPr>
              <w:tab/>
            </w:r>
            <w:r w:rsidR="00464E53" w:rsidRPr="005E426B">
              <w:rPr>
                <w:rStyle w:val="Hiperpovezava"/>
                <w:noProof/>
              </w:rPr>
              <w:t>Stanje in osnovni ekonomski kazalniki</w:t>
            </w:r>
            <w:r w:rsidR="00464E53">
              <w:rPr>
                <w:noProof/>
                <w:webHidden/>
              </w:rPr>
              <w:tab/>
            </w:r>
            <w:r w:rsidR="00464E53">
              <w:rPr>
                <w:noProof/>
                <w:webHidden/>
              </w:rPr>
              <w:fldChar w:fldCharType="begin"/>
            </w:r>
            <w:r w:rsidR="00464E53">
              <w:rPr>
                <w:noProof/>
                <w:webHidden/>
              </w:rPr>
              <w:instrText xml:space="preserve"> PAGEREF _Toc86822600 \h </w:instrText>
            </w:r>
            <w:r w:rsidR="00464E53">
              <w:rPr>
                <w:noProof/>
                <w:webHidden/>
              </w:rPr>
            </w:r>
            <w:r w:rsidR="00464E53">
              <w:rPr>
                <w:noProof/>
                <w:webHidden/>
              </w:rPr>
              <w:fldChar w:fldCharType="separate"/>
            </w:r>
            <w:r w:rsidR="0088117A">
              <w:rPr>
                <w:noProof/>
                <w:webHidden/>
              </w:rPr>
              <w:t>110</w:t>
            </w:r>
            <w:r w:rsidR="00464E53">
              <w:rPr>
                <w:noProof/>
                <w:webHidden/>
              </w:rPr>
              <w:fldChar w:fldCharType="end"/>
            </w:r>
          </w:hyperlink>
        </w:p>
        <w:p w14:paraId="24E8B3F6" w14:textId="1C6AEC67"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01" w:history="1">
            <w:r w:rsidR="00464E53" w:rsidRPr="005E426B">
              <w:rPr>
                <w:rStyle w:val="Hiperpovezava"/>
                <w:noProof/>
              </w:rPr>
              <w:t>9.12.2</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_Toc86822601 \h </w:instrText>
            </w:r>
            <w:r w:rsidR="00464E53">
              <w:rPr>
                <w:noProof/>
                <w:webHidden/>
              </w:rPr>
            </w:r>
            <w:r w:rsidR="00464E53">
              <w:rPr>
                <w:noProof/>
                <w:webHidden/>
              </w:rPr>
              <w:fldChar w:fldCharType="separate"/>
            </w:r>
            <w:r w:rsidR="0088117A">
              <w:rPr>
                <w:noProof/>
                <w:webHidden/>
              </w:rPr>
              <w:t>113</w:t>
            </w:r>
            <w:r w:rsidR="00464E53">
              <w:rPr>
                <w:noProof/>
                <w:webHidden/>
              </w:rPr>
              <w:fldChar w:fldCharType="end"/>
            </w:r>
          </w:hyperlink>
        </w:p>
        <w:p w14:paraId="0E4CBD4F" w14:textId="75130F54" w:rsidR="00464E53" w:rsidRDefault="00701492">
          <w:pPr>
            <w:pStyle w:val="Kazalovsebine2"/>
            <w:rPr>
              <w:rFonts w:asciiTheme="minorHAnsi" w:eastAsiaTheme="minorEastAsia" w:hAnsiTheme="minorHAnsi" w:cstheme="minorBidi"/>
              <w:noProof/>
              <w:szCs w:val="22"/>
              <w:lang w:eastAsia="sl-SI"/>
            </w:rPr>
          </w:pPr>
          <w:hyperlink w:anchor="_Toc86822602" w:history="1">
            <w:r w:rsidR="00464E53" w:rsidRPr="005E426B">
              <w:rPr>
                <w:rStyle w:val="Hiperpovezava"/>
                <w:noProof/>
              </w:rPr>
              <w:t>9.13</w:t>
            </w:r>
            <w:r w:rsidR="00464E53">
              <w:rPr>
                <w:rFonts w:asciiTheme="minorHAnsi" w:eastAsiaTheme="minorEastAsia" w:hAnsiTheme="minorHAnsi" w:cstheme="minorBidi"/>
                <w:noProof/>
                <w:szCs w:val="22"/>
                <w:lang w:eastAsia="sl-SI"/>
              </w:rPr>
              <w:tab/>
            </w:r>
            <w:r w:rsidR="00464E53" w:rsidRPr="005E426B">
              <w:rPr>
                <w:rStyle w:val="Hiperpovezava"/>
                <w:noProof/>
              </w:rPr>
              <w:t>Semenarstvo</w:t>
            </w:r>
            <w:r w:rsidR="00464E53">
              <w:rPr>
                <w:noProof/>
                <w:webHidden/>
              </w:rPr>
              <w:tab/>
            </w:r>
            <w:r w:rsidR="00464E53">
              <w:rPr>
                <w:noProof/>
                <w:webHidden/>
              </w:rPr>
              <w:fldChar w:fldCharType="begin"/>
            </w:r>
            <w:r w:rsidR="00464E53">
              <w:rPr>
                <w:noProof/>
                <w:webHidden/>
              </w:rPr>
              <w:instrText xml:space="preserve"> PAGEREF _Toc86822602 \h </w:instrText>
            </w:r>
            <w:r w:rsidR="00464E53">
              <w:rPr>
                <w:noProof/>
                <w:webHidden/>
              </w:rPr>
            </w:r>
            <w:r w:rsidR="00464E53">
              <w:rPr>
                <w:noProof/>
                <w:webHidden/>
              </w:rPr>
              <w:fldChar w:fldCharType="separate"/>
            </w:r>
            <w:r w:rsidR="0088117A">
              <w:rPr>
                <w:noProof/>
                <w:webHidden/>
              </w:rPr>
              <w:t>113</w:t>
            </w:r>
            <w:r w:rsidR="00464E53">
              <w:rPr>
                <w:noProof/>
                <w:webHidden/>
              </w:rPr>
              <w:fldChar w:fldCharType="end"/>
            </w:r>
          </w:hyperlink>
        </w:p>
        <w:p w14:paraId="31074A7B" w14:textId="6B12D402"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03" w:history="1">
            <w:r w:rsidR="00464E53" w:rsidRPr="005E426B">
              <w:rPr>
                <w:rStyle w:val="Hiperpovezava"/>
                <w:noProof/>
              </w:rPr>
              <w:t>9.13.1</w:t>
            </w:r>
            <w:r w:rsidR="00464E53">
              <w:rPr>
                <w:rFonts w:asciiTheme="minorHAnsi" w:eastAsiaTheme="minorEastAsia" w:hAnsiTheme="minorHAnsi" w:cstheme="minorBidi"/>
                <w:noProof/>
                <w:szCs w:val="22"/>
                <w:lang w:eastAsia="sl-SI"/>
              </w:rPr>
              <w:tab/>
            </w:r>
            <w:r w:rsidR="00464E53" w:rsidRPr="005E426B">
              <w:rPr>
                <w:rStyle w:val="Hiperpovezava"/>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_Toc86822603 \h </w:instrText>
            </w:r>
            <w:r w:rsidR="00464E53">
              <w:rPr>
                <w:noProof/>
                <w:webHidden/>
              </w:rPr>
            </w:r>
            <w:r w:rsidR="00464E53">
              <w:rPr>
                <w:noProof/>
                <w:webHidden/>
              </w:rPr>
              <w:fldChar w:fldCharType="separate"/>
            </w:r>
            <w:r w:rsidR="0088117A">
              <w:rPr>
                <w:noProof/>
                <w:webHidden/>
              </w:rPr>
              <w:t>113</w:t>
            </w:r>
            <w:r w:rsidR="00464E53">
              <w:rPr>
                <w:noProof/>
                <w:webHidden/>
              </w:rPr>
              <w:fldChar w:fldCharType="end"/>
            </w:r>
          </w:hyperlink>
        </w:p>
        <w:p w14:paraId="7FC10ECC" w14:textId="092FB387"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04" w:history="1">
            <w:r w:rsidR="00464E53" w:rsidRPr="005E426B">
              <w:rPr>
                <w:rStyle w:val="Hiperpovezava"/>
                <w:noProof/>
              </w:rPr>
              <w:t>9.13.2</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_Toc86822604 \h </w:instrText>
            </w:r>
            <w:r w:rsidR="00464E53">
              <w:rPr>
                <w:noProof/>
                <w:webHidden/>
              </w:rPr>
            </w:r>
            <w:r w:rsidR="00464E53">
              <w:rPr>
                <w:noProof/>
                <w:webHidden/>
              </w:rPr>
              <w:fldChar w:fldCharType="separate"/>
            </w:r>
            <w:r w:rsidR="0088117A">
              <w:rPr>
                <w:noProof/>
                <w:webHidden/>
              </w:rPr>
              <w:t>117</w:t>
            </w:r>
            <w:r w:rsidR="00464E53">
              <w:rPr>
                <w:noProof/>
                <w:webHidden/>
              </w:rPr>
              <w:fldChar w:fldCharType="end"/>
            </w:r>
          </w:hyperlink>
        </w:p>
        <w:p w14:paraId="2C619834" w14:textId="5305EC7F" w:rsidR="00464E53" w:rsidRDefault="00701492">
          <w:pPr>
            <w:pStyle w:val="Kazalovsebine2"/>
            <w:rPr>
              <w:rFonts w:asciiTheme="minorHAnsi" w:eastAsiaTheme="minorEastAsia" w:hAnsiTheme="minorHAnsi" w:cstheme="minorBidi"/>
              <w:noProof/>
              <w:szCs w:val="22"/>
              <w:lang w:eastAsia="sl-SI"/>
            </w:rPr>
          </w:pPr>
          <w:hyperlink w:anchor="_Toc86822605" w:history="1">
            <w:r w:rsidR="00464E53" w:rsidRPr="005E426B">
              <w:rPr>
                <w:rStyle w:val="Hiperpovezava"/>
                <w:noProof/>
              </w:rPr>
              <w:t>9.14</w:t>
            </w:r>
            <w:r w:rsidR="00464E53">
              <w:rPr>
                <w:rFonts w:asciiTheme="minorHAnsi" w:eastAsiaTheme="minorEastAsia" w:hAnsiTheme="minorHAnsi" w:cstheme="minorBidi"/>
                <w:noProof/>
                <w:szCs w:val="22"/>
                <w:lang w:eastAsia="sl-SI"/>
              </w:rPr>
              <w:tab/>
            </w:r>
            <w:r w:rsidR="00464E53" w:rsidRPr="005E426B">
              <w:rPr>
                <w:rStyle w:val="Hiperpovezava"/>
                <w:noProof/>
              </w:rPr>
              <w:t>Poljedelstvo</w:t>
            </w:r>
            <w:r w:rsidR="00464E53">
              <w:rPr>
                <w:noProof/>
                <w:webHidden/>
              </w:rPr>
              <w:tab/>
            </w:r>
            <w:r w:rsidR="00464E53">
              <w:rPr>
                <w:noProof/>
                <w:webHidden/>
              </w:rPr>
              <w:fldChar w:fldCharType="begin"/>
            </w:r>
            <w:r w:rsidR="00464E53">
              <w:rPr>
                <w:noProof/>
                <w:webHidden/>
              </w:rPr>
              <w:instrText xml:space="preserve"> PAGEREF _Toc86822605 \h </w:instrText>
            </w:r>
            <w:r w:rsidR="00464E53">
              <w:rPr>
                <w:noProof/>
                <w:webHidden/>
              </w:rPr>
            </w:r>
            <w:r w:rsidR="00464E53">
              <w:rPr>
                <w:noProof/>
                <w:webHidden/>
              </w:rPr>
              <w:fldChar w:fldCharType="separate"/>
            </w:r>
            <w:r w:rsidR="0088117A">
              <w:rPr>
                <w:noProof/>
                <w:webHidden/>
              </w:rPr>
              <w:t>117</w:t>
            </w:r>
            <w:r w:rsidR="00464E53">
              <w:rPr>
                <w:noProof/>
                <w:webHidden/>
              </w:rPr>
              <w:fldChar w:fldCharType="end"/>
            </w:r>
          </w:hyperlink>
        </w:p>
        <w:p w14:paraId="3718D28A" w14:textId="57370D27"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06" w:history="1">
            <w:r w:rsidR="00464E53" w:rsidRPr="005E426B">
              <w:rPr>
                <w:rStyle w:val="Hiperpovezava"/>
                <w:noProof/>
              </w:rPr>
              <w:t>9.14.1</w:t>
            </w:r>
            <w:r w:rsidR="00464E53">
              <w:rPr>
                <w:rFonts w:asciiTheme="minorHAnsi" w:eastAsiaTheme="minorEastAsia" w:hAnsiTheme="minorHAnsi" w:cstheme="minorBidi"/>
                <w:noProof/>
                <w:szCs w:val="22"/>
                <w:lang w:eastAsia="sl-SI"/>
              </w:rPr>
              <w:tab/>
            </w:r>
            <w:r w:rsidR="00464E53" w:rsidRPr="005E426B">
              <w:rPr>
                <w:rStyle w:val="Hiperpovezava"/>
                <w:noProof/>
              </w:rPr>
              <w:t>Stanje v sektorju in osnovni ekonomski kazalniki</w:t>
            </w:r>
            <w:r w:rsidR="00464E53">
              <w:rPr>
                <w:noProof/>
                <w:webHidden/>
              </w:rPr>
              <w:tab/>
            </w:r>
            <w:r w:rsidR="00464E53">
              <w:rPr>
                <w:noProof/>
                <w:webHidden/>
              </w:rPr>
              <w:fldChar w:fldCharType="begin"/>
            </w:r>
            <w:r w:rsidR="00464E53">
              <w:rPr>
                <w:noProof/>
                <w:webHidden/>
              </w:rPr>
              <w:instrText xml:space="preserve"> PAGEREF _Toc86822606 \h </w:instrText>
            </w:r>
            <w:r w:rsidR="00464E53">
              <w:rPr>
                <w:noProof/>
                <w:webHidden/>
              </w:rPr>
            </w:r>
            <w:r w:rsidR="00464E53">
              <w:rPr>
                <w:noProof/>
                <w:webHidden/>
              </w:rPr>
              <w:fldChar w:fldCharType="separate"/>
            </w:r>
            <w:r w:rsidR="0088117A">
              <w:rPr>
                <w:noProof/>
                <w:webHidden/>
              </w:rPr>
              <w:t>118</w:t>
            </w:r>
            <w:r w:rsidR="00464E53">
              <w:rPr>
                <w:noProof/>
                <w:webHidden/>
              </w:rPr>
              <w:fldChar w:fldCharType="end"/>
            </w:r>
          </w:hyperlink>
        </w:p>
        <w:p w14:paraId="4E51D531" w14:textId="07F3AA77"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07" w:history="1">
            <w:r w:rsidR="00464E53" w:rsidRPr="005E426B">
              <w:rPr>
                <w:rStyle w:val="Hiperpovezava"/>
                <w:noProof/>
              </w:rPr>
              <w:t>9.14.2</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_Toc86822607 \h </w:instrText>
            </w:r>
            <w:r w:rsidR="00464E53">
              <w:rPr>
                <w:noProof/>
                <w:webHidden/>
              </w:rPr>
            </w:r>
            <w:r w:rsidR="00464E53">
              <w:rPr>
                <w:noProof/>
                <w:webHidden/>
              </w:rPr>
              <w:fldChar w:fldCharType="separate"/>
            </w:r>
            <w:r w:rsidR="0088117A">
              <w:rPr>
                <w:noProof/>
                <w:webHidden/>
              </w:rPr>
              <w:t>123</w:t>
            </w:r>
            <w:r w:rsidR="00464E53">
              <w:rPr>
                <w:noProof/>
                <w:webHidden/>
              </w:rPr>
              <w:fldChar w:fldCharType="end"/>
            </w:r>
          </w:hyperlink>
        </w:p>
        <w:p w14:paraId="346CA992" w14:textId="75561E07" w:rsidR="00464E53" w:rsidRDefault="00701492">
          <w:pPr>
            <w:pStyle w:val="Kazalovsebine1"/>
            <w:rPr>
              <w:rFonts w:asciiTheme="minorHAnsi" w:eastAsiaTheme="minorEastAsia" w:hAnsiTheme="minorHAnsi" w:cstheme="minorBidi"/>
              <w:szCs w:val="22"/>
              <w:lang w:eastAsia="sl-SI"/>
            </w:rPr>
          </w:pPr>
          <w:hyperlink w:anchor="_Toc86822608" w:history="1">
            <w:r w:rsidR="00464E53" w:rsidRPr="005E426B">
              <w:rPr>
                <w:rStyle w:val="Hiperpovezava"/>
              </w:rPr>
              <w:t>10</w:t>
            </w:r>
            <w:r w:rsidR="00464E53">
              <w:rPr>
                <w:rFonts w:asciiTheme="minorHAnsi" w:eastAsiaTheme="minorEastAsia" w:hAnsiTheme="minorHAnsi" w:cstheme="minorBidi"/>
                <w:szCs w:val="22"/>
                <w:lang w:eastAsia="sl-SI"/>
              </w:rPr>
              <w:tab/>
            </w:r>
            <w:r w:rsidR="00464E53" w:rsidRPr="005E426B">
              <w:rPr>
                <w:rStyle w:val="Hiperpovezava"/>
              </w:rPr>
              <w:t>Živilskopredelovalna panoga</w:t>
            </w:r>
            <w:r w:rsidR="00464E53">
              <w:rPr>
                <w:webHidden/>
              </w:rPr>
              <w:tab/>
            </w:r>
            <w:r w:rsidR="00464E53">
              <w:rPr>
                <w:webHidden/>
              </w:rPr>
              <w:fldChar w:fldCharType="begin"/>
            </w:r>
            <w:r w:rsidR="00464E53">
              <w:rPr>
                <w:webHidden/>
              </w:rPr>
              <w:instrText xml:space="preserve"> PAGEREF _Toc86822608 \h </w:instrText>
            </w:r>
            <w:r w:rsidR="00464E53">
              <w:rPr>
                <w:webHidden/>
              </w:rPr>
            </w:r>
            <w:r w:rsidR="00464E53">
              <w:rPr>
                <w:webHidden/>
              </w:rPr>
              <w:fldChar w:fldCharType="separate"/>
            </w:r>
            <w:r w:rsidR="0088117A">
              <w:rPr>
                <w:webHidden/>
              </w:rPr>
              <w:t>124</w:t>
            </w:r>
            <w:r w:rsidR="00464E53">
              <w:rPr>
                <w:webHidden/>
              </w:rPr>
              <w:fldChar w:fldCharType="end"/>
            </w:r>
          </w:hyperlink>
        </w:p>
        <w:p w14:paraId="47B207AD" w14:textId="1AA46896" w:rsidR="00464E53" w:rsidRDefault="00701492">
          <w:pPr>
            <w:pStyle w:val="Kazalovsebine2"/>
            <w:rPr>
              <w:rFonts w:asciiTheme="minorHAnsi" w:eastAsiaTheme="minorEastAsia" w:hAnsiTheme="minorHAnsi" w:cstheme="minorBidi"/>
              <w:noProof/>
              <w:szCs w:val="22"/>
              <w:lang w:eastAsia="sl-SI"/>
            </w:rPr>
          </w:pPr>
          <w:hyperlink w:anchor="_Toc86822609" w:history="1">
            <w:r w:rsidR="00464E53" w:rsidRPr="005E426B">
              <w:rPr>
                <w:rStyle w:val="Hiperpovezava"/>
                <w:rFonts w:eastAsiaTheme="minorHAnsi"/>
                <w:noProof/>
              </w:rPr>
              <w:t>10.1</w:t>
            </w:r>
            <w:r w:rsidR="00464E53">
              <w:rPr>
                <w:rFonts w:asciiTheme="minorHAnsi" w:eastAsiaTheme="minorEastAsia" w:hAnsiTheme="minorHAnsi" w:cstheme="minorBidi"/>
                <w:noProof/>
                <w:szCs w:val="22"/>
                <w:lang w:eastAsia="sl-SI"/>
              </w:rPr>
              <w:tab/>
            </w:r>
            <w:r w:rsidR="00464E53" w:rsidRPr="005E426B">
              <w:rPr>
                <w:rStyle w:val="Hiperpovezava"/>
                <w:noProof/>
              </w:rPr>
              <w:t>Število podjetij in zaposlenih</w:t>
            </w:r>
            <w:r w:rsidR="00464E53">
              <w:rPr>
                <w:noProof/>
                <w:webHidden/>
              </w:rPr>
              <w:tab/>
            </w:r>
            <w:r w:rsidR="00464E53">
              <w:rPr>
                <w:noProof/>
                <w:webHidden/>
              </w:rPr>
              <w:fldChar w:fldCharType="begin"/>
            </w:r>
            <w:r w:rsidR="00464E53">
              <w:rPr>
                <w:noProof/>
                <w:webHidden/>
              </w:rPr>
              <w:instrText xml:space="preserve"> PAGEREF _Toc86822609 \h </w:instrText>
            </w:r>
            <w:r w:rsidR="00464E53">
              <w:rPr>
                <w:noProof/>
                <w:webHidden/>
              </w:rPr>
            </w:r>
            <w:r w:rsidR="00464E53">
              <w:rPr>
                <w:noProof/>
                <w:webHidden/>
              </w:rPr>
              <w:fldChar w:fldCharType="separate"/>
            </w:r>
            <w:r w:rsidR="0088117A">
              <w:rPr>
                <w:noProof/>
                <w:webHidden/>
              </w:rPr>
              <w:t>124</w:t>
            </w:r>
            <w:r w:rsidR="00464E53">
              <w:rPr>
                <w:noProof/>
                <w:webHidden/>
              </w:rPr>
              <w:fldChar w:fldCharType="end"/>
            </w:r>
          </w:hyperlink>
        </w:p>
        <w:p w14:paraId="13DD562F" w14:textId="157C0623" w:rsidR="00464E53" w:rsidRDefault="00701492">
          <w:pPr>
            <w:pStyle w:val="Kazalovsebine2"/>
            <w:rPr>
              <w:rFonts w:asciiTheme="minorHAnsi" w:eastAsiaTheme="minorEastAsia" w:hAnsiTheme="minorHAnsi" w:cstheme="minorBidi"/>
              <w:noProof/>
              <w:szCs w:val="22"/>
              <w:lang w:eastAsia="sl-SI"/>
            </w:rPr>
          </w:pPr>
          <w:hyperlink w:anchor="_Toc86822610" w:history="1">
            <w:r w:rsidR="00464E53" w:rsidRPr="005E426B">
              <w:rPr>
                <w:rStyle w:val="Hiperpovezava"/>
                <w:noProof/>
              </w:rPr>
              <w:t>10.2</w:t>
            </w:r>
            <w:r w:rsidR="00464E53">
              <w:rPr>
                <w:rFonts w:asciiTheme="minorHAnsi" w:eastAsiaTheme="minorEastAsia" w:hAnsiTheme="minorHAnsi" w:cstheme="minorBidi"/>
                <w:noProof/>
                <w:szCs w:val="22"/>
                <w:lang w:eastAsia="sl-SI"/>
              </w:rPr>
              <w:tab/>
            </w:r>
            <w:r w:rsidR="00464E53" w:rsidRPr="005E426B">
              <w:rPr>
                <w:rStyle w:val="Hiperpovezava"/>
                <w:noProof/>
              </w:rPr>
              <w:t>Pomen živilskopredelovalne panoge v makroekonomskih agregatih in trendi v obsegu proizvodnje</w:t>
            </w:r>
            <w:r w:rsidR="00464E53">
              <w:rPr>
                <w:noProof/>
                <w:webHidden/>
              </w:rPr>
              <w:tab/>
            </w:r>
            <w:r w:rsidR="00464E53">
              <w:rPr>
                <w:noProof/>
                <w:webHidden/>
              </w:rPr>
              <w:fldChar w:fldCharType="begin"/>
            </w:r>
            <w:r w:rsidR="00464E53">
              <w:rPr>
                <w:noProof/>
                <w:webHidden/>
              </w:rPr>
              <w:instrText xml:space="preserve"> PAGEREF _Toc86822610 \h </w:instrText>
            </w:r>
            <w:r w:rsidR="00464E53">
              <w:rPr>
                <w:noProof/>
                <w:webHidden/>
              </w:rPr>
            </w:r>
            <w:r w:rsidR="00464E53">
              <w:rPr>
                <w:noProof/>
                <w:webHidden/>
              </w:rPr>
              <w:fldChar w:fldCharType="separate"/>
            </w:r>
            <w:r w:rsidR="0088117A">
              <w:rPr>
                <w:noProof/>
                <w:webHidden/>
              </w:rPr>
              <w:t>125</w:t>
            </w:r>
            <w:r w:rsidR="00464E53">
              <w:rPr>
                <w:noProof/>
                <w:webHidden/>
              </w:rPr>
              <w:fldChar w:fldCharType="end"/>
            </w:r>
          </w:hyperlink>
        </w:p>
        <w:p w14:paraId="2D4016DA" w14:textId="046A9CEF" w:rsidR="00464E53" w:rsidRDefault="00701492">
          <w:pPr>
            <w:pStyle w:val="Kazalovsebine2"/>
            <w:rPr>
              <w:rFonts w:asciiTheme="minorHAnsi" w:eastAsiaTheme="minorEastAsia" w:hAnsiTheme="minorHAnsi" w:cstheme="minorBidi"/>
              <w:noProof/>
              <w:szCs w:val="22"/>
              <w:lang w:eastAsia="sl-SI"/>
            </w:rPr>
          </w:pPr>
          <w:hyperlink w:anchor="_Toc86822611" w:history="1">
            <w:r w:rsidR="00464E53" w:rsidRPr="005E426B">
              <w:rPr>
                <w:rStyle w:val="Hiperpovezava"/>
                <w:noProof/>
              </w:rPr>
              <w:t>10.3</w:t>
            </w:r>
            <w:r w:rsidR="00464E53">
              <w:rPr>
                <w:rFonts w:asciiTheme="minorHAnsi" w:eastAsiaTheme="minorEastAsia" w:hAnsiTheme="minorHAnsi" w:cstheme="minorBidi"/>
                <w:noProof/>
                <w:szCs w:val="22"/>
                <w:lang w:eastAsia="sl-SI"/>
              </w:rPr>
              <w:tab/>
            </w:r>
            <w:r w:rsidR="00464E53" w:rsidRPr="005E426B">
              <w:rPr>
                <w:rStyle w:val="Hiperpovezava"/>
                <w:noProof/>
              </w:rPr>
              <w:t>Cene v živilskopredelovalni industriji</w:t>
            </w:r>
            <w:r w:rsidR="00464E53">
              <w:rPr>
                <w:noProof/>
                <w:webHidden/>
              </w:rPr>
              <w:tab/>
            </w:r>
            <w:r w:rsidR="00464E53">
              <w:rPr>
                <w:noProof/>
                <w:webHidden/>
              </w:rPr>
              <w:fldChar w:fldCharType="begin"/>
            </w:r>
            <w:r w:rsidR="00464E53">
              <w:rPr>
                <w:noProof/>
                <w:webHidden/>
              </w:rPr>
              <w:instrText xml:space="preserve"> PAGEREF _Toc86822611 \h </w:instrText>
            </w:r>
            <w:r w:rsidR="00464E53">
              <w:rPr>
                <w:noProof/>
                <w:webHidden/>
              </w:rPr>
            </w:r>
            <w:r w:rsidR="00464E53">
              <w:rPr>
                <w:noProof/>
                <w:webHidden/>
              </w:rPr>
              <w:fldChar w:fldCharType="separate"/>
            </w:r>
            <w:r w:rsidR="0088117A">
              <w:rPr>
                <w:noProof/>
                <w:webHidden/>
              </w:rPr>
              <w:t>127</w:t>
            </w:r>
            <w:r w:rsidR="00464E53">
              <w:rPr>
                <w:noProof/>
                <w:webHidden/>
              </w:rPr>
              <w:fldChar w:fldCharType="end"/>
            </w:r>
          </w:hyperlink>
        </w:p>
        <w:p w14:paraId="0EB97181" w14:textId="3DB5883A" w:rsidR="00464E53" w:rsidRDefault="00701492">
          <w:pPr>
            <w:pStyle w:val="Kazalovsebine2"/>
            <w:rPr>
              <w:rFonts w:asciiTheme="minorHAnsi" w:eastAsiaTheme="minorEastAsia" w:hAnsiTheme="minorHAnsi" w:cstheme="minorBidi"/>
              <w:noProof/>
              <w:szCs w:val="22"/>
              <w:lang w:eastAsia="sl-SI"/>
            </w:rPr>
          </w:pPr>
          <w:hyperlink w:anchor="_Toc86822612" w:history="1">
            <w:r w:rsidR="00464E53" w:rsidRPr="005E426B">
              <w:rPr>
                <w:rStyle w:val="Hiperpovezava"/>
                <w:noProof/>
              </w:rPr>
              <w:t>10.4</w:t>
            </w:r>
            <w:r w:rsidR="00464E53">
              <w:rPr>
                <w:rFonts w:asciiTheme="minorHAnsi" w:eastAsiaTheme="minorEastAsia" w:hAnsiTheme="minorHAnsi" w:cstheme="minorBidi"/>
                <w:noProof/>
                <w:szCs w:val="22"/>
                <w:lang w:eastAsia="sl-SI"/>
              </w:rPr>
              <w:tab/>
            </w:r>
            <w:r w:rsidR="00464E53" w:rsidRPr="005E426B">
              <w:rPr>
                <w:rStyle w:val="Hiperpovezava"/>
                <w:noProof/>
              </w:rPr>
              <w:t>Poslovni rezultati živilskopredelovalne industrije</w:t>
            </w:r>
            <w:r w:rsidR="00464E53">
              <w:rPr>
                <w:noProof/>
                <w:webHidden/>
              </w:rPr>
              <w:tab/>
            </w:r>
            <w:r w:rsidR="00464E53">
              <w:rPr>
                <w:noProof/>
                <w:webHidden/>
              </w:rPr>
              <w:fldChar w:fldCharType="begin"/>
            </w:r>
            <w:r w:rsidR="00464E53">
              <w:rPr>
                <w:noProof/>
                <w:webHidden/>
              </w:rPr>
              <w:instrText xml:space="preserve"> PAGEREF _Toc86822612 \h </w:instrText>
            </w:r>
            <w:r w:rsidR="00464E53">
              <w:rPr>
                <w:noProof/>
                <w:webHidden/>
              </w:rPr>
            </w:r>
            <w:r w:rsidR="00464E53">
              <w:rPr>
                <w:noProof/>
                <w:webHidden/>
              </w:rPr>
              <w:fldChar w:fldCharType="separate"/>
            </w:r>
            <w:r w:rsidR="0088117A">
              <w:rPr>
                <w:noProof/>
                <w:webHidden/>
              </w:rPr>
              <w:t>129</w:t>
            </w:r>
            <w:r w:rsidR="00464E53">
              <w:rPr>
                <w:noProof/>
                <w:webHidden/>
              </w:rPr>
              <w:fldChar w:fldCharType="end"/>
            </w:r>
          </w:hyperlink>
        </w:p>
        <w:p w14:paraId="7B442033" w14:textId="13DF184C"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13" w:history="1">
            <w:r w:rsidR="00464E53" w:rsidRPr="005E426B">
              <w:rPr>
                <w:rStyle w:val="Hiperpovezava"/>
                <w:noProof/>
                <w:lang w:eastAsia="en-US"/>
              </w:rPr>
              <w:t>10.4.1</w:t>
            </w:r>
            <w:r w:rsidR="00464E53">
              <w:rPr>
                <w:rFonts w:asciiTheme="minorHAnsi" w:eastAsiaTheme="minorEastAsia" w:hAnsiTheme="minorHAnsi" w:cstheme="minorBidi"/>
                <w:noProof/>
                <w:szCs w:val="22"/>
                <w:lang w:eastAsia="sl-SI"/>
              </w:rPr>
              <w:tab/>
            </w:r>
            <w:r w:rsidR="00464E53" w:rsidRPr="005E426B">
              <w:rPr>
                <w:rStyle w:val="Hiperpovezava"/>
                <w:noProof/>
                <w:lang w:eastAsia="en-US"/>
              </w:rPr>
              <w:t>Poslovni rezultati celotne živilskopredelovalne panoge</w:t>
            </w:r>
            <w:r w:rsidR="00464E53">
              <w:rPr>
                <w:noProof/>
                <w:webHidden/>
              </w:rPr>
              <w:tab/>
            </w:r>
            <w:r w:rsidR="00464E53">
              <w:rPr>
                <w:noProof/>
                <w:webHidden/>
              </w:rPr>
              <w:fldChar w:fldCharType="begin"/>
            </w:r>
            <w:r w:rsidR="00464E53">
              <w:rPr>
                <w:noProof/>
                <w:webHidden/>
              </w:rPr>
              <w:instrText xml:space="preserve"> PAGEREF _Toc86822613 \h </w:instrText>
            </w:r>
            <w:r w:rsidR="00464E53">
              <w:rPr>
                <w:noProof/>
                <w:webHidden/>
              </w:rPr>
            </w:r>
            <w:r w:rsidR="00464E53">
              <w:rPr>
                <w:noProof/>
                <w:webHidden/>
              </w:rPr>
              <w:fldChar w:fldCharType="separate"/>
            </w:r>
            <w:r w:rsidR="0088117A">
              <w:rPr>
                <w:noProof/>
                <w:webHidden/>
              </w:rPr>
              <w:t>129</w:t>
            </w:r>
            <w:r w:rsidR="00464E53">
              <w:rPr>
                <w:noProof/>
                <w:webHidden/>
              </w:rPr>
              <w:fldChar w:fldCharType="end"/>
            </w:r>
          </w:hyperlink>
        </w:p>
        <w:p w14:paraId="7F944986" w14:textId="3CA955D6"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14" w:history="1">
            <w:r w:rsidR="00464E53" w:rsidRPr="005E426B">
              <w:rPr>
                <w:rStyle w:val="Hiperpovezava"/>
                <w:noProof/>
                <w:lang w:eastAsia="en-US"/>
              </w:rPr>
              <w:t>10.4.2</w:t>
            </w:r>
            <w:r w:rsidR="00464E53">
              <w:rPr>
                <w:rFonts w:asciiTheme="minorHAnsi" w:eastAsiaTheme="minorEastAsia" w:hAnsiTheme="minorHAnsi" w:cstheme="minorBidi"/>
                <w:noProof/>
                <w:szCs w:val="22"/>
                <w:lang w:eastAsia="sl-SI"/>
              </w:rPr>
              <w:tab/>
            </w:r>
            <w:r w:rsidR="00464E53" w:rsidRPr="005E426B">
              <w:rPr>
                <w:rStyle w:val="Hiperpovezava"/>
                <w:noProof/>
                <w:lang w:eastAsia="en-US"/>
              </w:rPr>
              <w:t>Poslovni rezultati po posameznih dejavnostih</w:t>
            </w:r>
            <w:r w:rsidR="00464E53">
              <w:rPr>
                <w:noProof/>
                <w:webHidden/>
              </w:rPr>
              <w:tab/>
            </w:r>
            <w:r w:rsidR="00464E53">
              <w:rPr>
                <w:noProof/>
                <w:webHidden/>
              </w:rPr>
              <w:fldChar w:fldCharType="begin"/>
            </w:r>
            <w:r w:rsidR="00464E53">
              <w:rPr>
                <w:noProof/>
                <w:webHidden/>
              </w:rPr>
              <w:instrText xml:space="preserve"> PAGEREF _Toc86822614 \h </w:instrText>
            </w:r>
            <w:r w:rsidR="00464E53">
              <w:rPr>
                <w:noProof/>
                <w:webHidden/>
              </w:rPr>
            </w:r>
            <w:r w:rsidR="00464E53">
              <w:rPr>
                <w:noProof/>
                <w:webHidden/>
              </w:rPr>
              <w:fldChar w:fldCharType="separate"/>
            </w:r>
            <w:r w:rsidR="0088117A">
              <w:rPr>
                <w:noProof/>
                <w:webHidden/>
              </w:rPr>
              <w:t>130</w:t>
            </w:r>
            <w:r w:rsidR="00464E53">
              <w:rPr>
                <w:noProof/>
                <w:webHidden/>
              </w:rPr>
              <w:fldChar w:fldCharType="end"/>
            </w:r>
          </w:hyperlink>
        </w:p>
        <w:p w14:paraId="76D58367" w14:textId="36B4AEA9" w:rsidR="00464E53" w:rsidRDefault="00701492">
          <w:pPr>
            <w:pStyle w:val="Kazalovsebine2"/>
            <w:rPr>
              <w:rFonts w:asciiTheme="minorHAnsi" w:eastAsiaTheme="minorEastAsia" w:hAnsiTheme="minorHAnsi" w:cstheme="minorBidi"/>
              <w:noProof/>
              <w:szCs w:val="22"/>
              <w:lang w:eastAsia="sl-SI"/>
            </w:rPr>
          </w:pPr>
          <w:hyperlink w:anchor="_Toc86822615" w:history="1">
            <w:r w:rsidR="00464E53" w:rsidRPr="005E426B">
              <w:rPr>
                <w:rStyle w:val="Hiperpovezava"/>
                <w:noProof/>
              </w:rPr>
              <w:t>10.5</w:t>
            </w:r>
            <w:r w:rsidR="00464E53">
              <w:rPr>
                <w:rFonts w:asciiTheme="minorHAnsi" w:eastAsiaTheme="minorEastAsia" w:hAnsiTheme="minorHAnsi" w:cstheme="minorBidi"/>
                <w:noProof/>
                <w:szCs w:val="22"/>
                <w:lang w:eastAsia="sl-SI"/>
              </w:rPr>
              <w:tab/>
            </w:r>
            <w:r w:rsidR="00464E53" w:rsidRPr="005E426B">
              <w:rPr>
                <w:rStyle w:val="Hiperpovezava"/>
                <w:noProof/>
              </w:rPr>
              <w:t>Izvozna usmerjenost živilskopredelovalne industrije</w:t>
            </w:r>
            <w:r w:rsidR="00464E53">
              <w:rPr>
                <w:noProof/>
                <w:webHidden/>
              </w:rPr>
              <w:tab/>
            </w:r>
            <w:r w:rsidR="00464E53">
              <w:rPr>
                <w:noProof/>
                <w:webHidden/>
              </w:rPr>
              <w:fldChar w:fldCharType="begin"/>
            </w:r>
            <w:r w:rsidR="00464E53">
              <w:rPr>
                <w:noProof/>
                <w:webHidden/>
              </w:rPr>
              <w:instrText xml:space="preserve"> PAGEREF _Toc86822615 \h </w:instrText>
            </w:r>
            <w:r w:rsidR="00464E53">
              <w:rPr>
                <w:noProof/>
                <w:webHidden/>
              </w:rPr>
            </w:r>
            <w:r w:rsidR="00464E53">
              <w:rPr>
                <w:noProof/>
                <w:webHidden/>
              </w:rPr>
              <w:fldChar w:fldCharType="separate"/>
            </w:r>
            <w:r w:rsidR="0088117A">
              <w:rPr>
                <w:noProof/>
                <w:webHidden/>
              </w:rPr>
              <w:t>131</w:t>
            </w:r>
            <w:r w:rsidR="00464E53">
              <w:rPr>
                <w:noProof/>
                <w:webHidden/>
              </w:rPr>
              <w:fldChar w:fldCharType="end"/>
            </w:r>
          </w:hyperlink>
        </w:p>
        <w:p w14:paraId="781EEBA5" w14:textId="4D790085" w:rsidR="00464E53" w:rsidRDefault="00701492">
          <w:pPr>
            <w:pStyle w:val="Kazalovsebine2"/>
            <w:rPr>
              <w:rFonts w:asciiTheme="minorHAnsi" w:eastAsiaTheme="minorEastAsia" w:hAnsiTheme="minorHAnsi" w:cstheme="minorBidi"/>
              <w:noProof/>
              <w:szCs w:val="22"/>
              <w:lang w:eastAsia="sl-SI"/>
            </w:rPr>
          </w:pPr>
          <w:hyperlink w:anchor="_Toc86822616" w:history="1">
            <w:r w:rsidR="00464E53" w:rsidRPr="005E426B">
              <w:rPr>
                <w:rStyle w:val="Hiperpovezava"/>
                <w:noProof/>
              </w:rPr>
              <w:t>10.6</w:t>
            </w:r>
            <w:r w:rsidR="00464E53">
              <w:rPr>
                <w:rFonts w:asciiTheme="minorHAnsi" w:eastAsiaTheme="minorEastAsia" w:hAnsiTheme="minorHAnsi" w:cstheme="minorBidi"/>
                <w:noProof/>
                <w:szCs w:val="22"/>
                <w:lang w:eastAsia="sl-SI"/>
              </w:rPr>
              <w:tab/>
            </w:r>
            <w:r w:rsidR="00464E53" w:rsidRPr="005E426B">
              <w:rPr>
                <w:rStyle w:val="Hiperpovezava"/>
                <w:noProof/>
              </w:rPr>
              <w:t>Potrebe po financiranju in finančna vrzel v ŽPI v Sloveniji</w:t>
            </w:r>
            <w:r w:rsidR="00464E53">
              <w:rPr>
                <w:noProof/>
                <w:webHidden/>
              </w:rPr>
              <w:tab/>
            </w:r>
            <w:r w:rsidR="00464E53">
              <w:rPr>
                <w:noProof/>
                <w:webHidden/>
              </w:rPr>
              <w:fldChar w:fldCharType="begin"/>
            </w:r>
            <w:r w:rsidR="00464E53">
              <w:rPr>
                <w:noProof/>
                <w:webHidden/>
              </w:rPr>
              <w:instrText xml:space="preserve"> PAGEREF _Toc86822616 \h </w:instrText>
            </w:r>
            <w:r w:rsidR="00464E53">
              <w:rPr>
                <w:noProof/>
                <w:webHidden/>
              </w:rPr>
            </w:r>
            <w:r w:rsidR="00464E53">
              <w:rPr>
                <w:noProof/>
                <w:webHidden/>
              </w:rPr>
              <w:fldChar w:fldCharType="separate"/>
            </w:r>
            <w:r w:rsidR="0088117A">
              <w:rPr>
                <w:noProof/>
                <w:webHidden/>
              </w:rPr>
              <w:t>131</w:t>
            </w:r>
            <w:r w:rsidR="00464E53">
              <w:rPr>
                <w:noProof/>
                <w:webHidden/>
              </w:rPr>
              <w:fldChar w:fldCharType="end"/>
            </w:r>
          </w:hyperlink>
        </w:p>
        <w:p w14:paraId="55430211" w14:textId="7CF17519" w:rsidR="00464E53" w:rsidRDefault="00701492">
          <w:pPr>
            <w:pStyle w:val="Kazalovsebine2"/>
            <w:rPr>
              <w:rFonts w:asciiTheme="minorHAnsi" w:eastAsiaTheme="minorEastAsia" w:hAnsiTheme="minorHAnsi" w:cstheme="minorBidi"/>
              <w:noProof/>
              <w:szCs w:val="22"/>
              <w:lang w:eastAsia="sl-SI"/>
            </w:rPr>
          </w:pPr>
          <w:hyperlink w:anchor="_Toc86822617" w:history="1">
            <w:r w:rsidR="00464E53" w:rsidRPr="005E426B">
              <w:rPr>
                <w:rStyle w:val="Hiperpovezava"/>
                <w:noProof/>
              </w:rPr>
              <w:t>10.7</w:t>
            </w:r>
            <w:r w:rsidR="00464E53">
              <w:rPr>
                <w:rFonts w:asciiTheme="minorHAnsi" w:eastAsiaTheme="minorEastAsia" w:hAnsiTheme="minorHAnsi" w:cstheme="minorBidi"/>
                <w:noProof/>
                <w:szCs w:val="22"/>
                <w:lang w:eastAsia="sl-SI"/>
              </w:rPr>
              <w:tab/>
            </w:r>
            <w:r w:rsidR="00464E53" w:rsidRPr="005E426B">
              <w:rPr>
                <w:rStyle w:val="Hiperpovezava"/>
                <w:noProof/>
              </w:rPr>
              <w:t>Investicije v ŽPI preko PRP 2007–2013 in PRP 2014-2020</w:t>
            </w:r>
            <w:r w:rsidR="00464E53">
              <w:rPr>
                <w:noProof/>
                <w:webHidden/>
              </w:rPr>
              <w:tab/>
            </w:r>
            <w:r w:rsidR="00464E53">
              <w:rPr>
                <w:noProof/>
                <w:webHidden/>
              </w:rPr>
              <w:fldChar w:fldCharType="begin"/>
            </w:r>
            <w:r w:rsidR="00464E53">
              <w:rPr>
                <w:noProof/>
                <w:webHidden/>
              </w:rPr>
              <w:instrText xml:space="preserve"> PAGEREF _Toc86822617 \h </w:instrText>
            </w:r>
            <w:r w:rsidR="00464E53">
              <w:rPr>
                <w:noProof/>
                <w:webHidden/>
              </w:rPr>
            </w:r>
            <w:r w:rsidR="00464E53">
              <w:rPr>
                <w:noProof/>
                <w:webHidden/>
              </w:rPr>
              <w:fldChar w:fldCharType="separate"/>
            </w:r>
            <w:r w:rsidR="0088117A">
              <w:rPr>
                <w:noProof/>
                <w:webHidden/>
              </w:rPr>
              <w:t>132</w:t>
            </w:r>
            <w:r w:rsidR="00464E53">
              <w:rPr>
                <w:noProof/>
                <w:webHidden/>
              </w:rPr>
              <w:fldChar w:fldCharType="end"/>
            </w:r>
          </w:hyperlink>
        </w:p>
        <w:p w14:paraId="06B31A06" w14:textId="1118E953" w:rsidR="00464E53" w:rsidRDefault="00701492">
          <w:pPr>
            <w:pStyle w:val="Kazalovsebine2"/>
            <w:rPr>
              <w:rFonts w:asciiTheme="minorHAnsi" w:eastAsiaTheme="minorEastAsia" w:hAnsiTheme="minorHAnsi" w:cstheme="minorBidi"/>
              <w:noProof/>
              <w:szCs w:val="22"/>
              <w:lang w:eastAsia="sl-SI"/>
            </w:rPr>
          </w:pPr>
          <w:hyperlink w:anchor="_Toc86822618" w:history="1">
            <w:r w:rsidR="00464E53" w:rsidRPr="005E426B">
              <w:rPr>
                <w:rStyle w:val="Hiperpovezava"/>
                <w:noProof/>
              </w:rPr>
              <w:t>10.8</w:t>
            </w:r>
            <w:r w:rsidR="00464E53">
              <w:rPr>
                <w:rFonts w:asciiTheme="minorHAnsi" w:eastAsiaTheme="minorEastAsia" w:hAnsiTheme="minorHAnsi" w:cstheme="minorBidi"/>
                <w:noProof/>
                <w:szCs w:val="22"/>
                <w:lang w:eastAsia="sl-SI"/>
              </w:rPr>
              <w:tab/>
            </w:r>
            <w:r w:rsidR="00464E53" w:rsidRPr="005E426B">
              <w:rPr>
                <w:rStyle w:val="Hiperpovezava"/>
                <w:noProof/>
              </w:rPr>
              <w:t>Dopolnilne dejavnosti predelave primarnih kmetijskih pridelkov na kmetijah</w:t>
            </w:r>
            <w:r w:rsidR="00464E53">
              <w:rPr>
                <w:noProof/>
                <w:webHidden/>
              </w:rPr>
              <w:tab/>
            </w:r>
            <w:r w:rsidR="00464E53">
              <w:rPr>
                <w:noProof/>
                <w:webHidden/>
              </w:rPr>
              <w:fldChar w:fldCharType="begin"/>
            </w:r>
            <w:r w:rsidR="00464E53">
              <w:rPr>
                <w:noProof/>
                <w:webHidden/>
              </w:rPr>
              <w:instrText xml:space="preserve"> PAGEREF _Toc86822618 \h </w:instrText>
            </w:r>
            <w:r w:rsidR="00464E53">
              <w:rPr>
                <w:noProof/>
                <w:webHidden/>
              </w:rPr>
            </w:r>
            <w:r w:rsidR="00464E53">
              <w:rPr>
                <w:noProof/>
                <w:webHidden/>
              </w:rPr>
              <w:fldChar w:fldCharType="separate"/>
            </w:r>
            <w:r w:rsidR="0088117A">
              <w:rPr>
                <w:noProof/>
                <w:webHidden/>
              </w:rPr>
              <w:t>135</w:t>
            </w:r>
            <w:r w:rsidR="00464E53">
              <w:rPr>
                <w:noProof/>
                <w:webHidden/>
              </w:rPr>
              <w:fldChar w:fldCharType="end"/>
            </w:r>
          </w:hyperlink>
        </w:p>
        <w:p w14:paraId="1FFA1579" w14:textId="599051AE" w:rsidR="00464E53" w:rsidRDefault="00701492">
          <w:pPr>
            <w:pStyle w:val="Kazalovsebine2"/>
            <w:rPr>
              <w:rFonts w:asciiTheme="minorHAnsi" w:eastAsiaTheme="minorEastAsia" w:hAnsiTheme="minorHAnsi" w:cstheme="minorBidi"/>
              <w:noProof/>
              <w:szCs w:val="22"/>
              <w:lang w:eastAsia="sl-SI"/>
            </w:rPr>
          </w:pPr>
          <w:hyperlink w:anchor="_Toc86822619" w:history="1">
            <w:r w:rsidR="00464E53" w:rsidRPr="005E426B">
              <w:rPr>
                <w:rStyle w:val="Hiperpovezava"/>
                <w:noProof/>
              </w:rPr>
              <w:t>10.9</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_Toc86822619 \h </w:instrText>
            </w:r>
            <w:r w:rsidR="00464E53">
              <w:rPr>
                <w:noProof/>
                <w:webHidden/>
              </w:rPr>
            </w:r>
            <w:r w:rsidR="00464E53">
              <w:rPr>
                <w:noProof/>
                <w:webHidden/>
              </w:rPr>
              <w:fldChar w:fldCharType="separate"/>
            </w:r>
            <w:r w:rsidR="0088117A">
              <w:rPr>
                <w:noProof/>
                <w:webHidden/>
              </w:rPr>
              <w:t>136</w:t>
            </w:r>
            <w:r w:rsidR="00464E53">
              <w:rPr>
                <w:noProof/>
                <w:webHidden/>
              </w:rPr>
              <w:fldChar w:fldCharType="end"/>
            </w:r>
          </w:hyperlink>
        </w:p>
        <w:p w14:paraId="58168CC3" w14:textId="0E96FE37" w:rsidR="00464E53" w:rsidRDefault="00701492">
          <w:pPr>
            <w:pStyle w:val="Kazalovsebine1"/>
            <w:rPr>
              <w:rFonts w:asciiTheme="minorHAnsi" w:eastAsiaTheme="minorEastAsia" w:hAnsiTheme="minorHAnsi" w:cstheme="minorBidi"/>
              <w:szCs w:val="22"/>
              <w:lang w:eastAsia="sl-SI"/>
            </w:rPr>
          </w:pPr>
          <w:hyperlink w:anchor="_Toc86822620" w:history="1">
            <w:r w:rsidR="00464E53" w:rsidRPr="005E426B">
              <w:rPr>
                <w:rStyle w:val="Hiperpovezava"/>
              </w:rPr>
              <w:t>11</w:t>
            </w:r>
            <w:r w:rsidR="00464E53">
              <w:rPr>
                <w:rFonts w:asciiTheme="minorHAnsi" w:eastAsiaTheme="minorEastAsia" w:hAnsiTheme="minorHAnsi" w:cstheme="minorBidi"/>
                <w:szCs w:val="22"/>
                <w:lang w:eastAsia="sl-SI"/>
              </w:rPr>
              <w:tab/>
            </w:r>
            <w:r w:rsidR="00464E53" w:rsidRPr="005E426B">
              <w:rPr>
                <w:rStyle w:val="Hiperpovezava"/>
              </w:rPr>
              <w:t>Trgovinska bilanca z agro-živilskimi proizvodi</w:t>
            </w:r>
            <w:r w:rsidR="00464E53">
              <w:rPr>
                <w:webHidden/>
              </w:rPr>
              <w:tab/>
            </w:r>
            <w:r w:rsidR="00464E53">
              <w:rPr>
                <w:webHidden/>
              </w:rPr>
              <w:fldChar w:fldCharType="begin"/>
            </w:r>
            <w:r w:rsidR="00464E53">
              <w:rPr>
                <w:webHidden/>
              </w:rPr>
              <w:instrText xml:space="preserve"> PAGEREF _Toc86822620 \h </w:instrText>
            </w:r>
            <w:r w:rsidR="00464E53">
              <w:rPr>
                <w:webHidden/>
              </w:rPr>
            </w:r>
            <w:r w:rsidR="00464E53">
              <w:rPr>
                <w:webHidden/>
              </w:rPr>
              <w:fldChar w:fldCharType="separate"/>
            </w:r>
            <w:r w:rsidR="0088117A">
              <w:rPr>
                <w:webHidden/>
              </w:rPr>
              <w:t>137</w:t>
            </w:r>
            <w:r w:rsidR="00464E53">
              <w:rPr>
                <w:webHidden/>
              </w:rPr>
              <w:fldChar w:fldCharType="end"/>
            </w:r>
          </w:hyperlink>
        </w:p>
        <w:p w14:paraId="7422EB74" w14:textId="7D00BBC5" w:rsidR="00464E53" w:rsidRDefault="00701492">
          <w:pPr>
            <w:pStyle w:val="Kazalovsebine2"/>
            <w:rPr>
              <w:rFonts w:asciiTheme="minorHAnsi" w:eastAsiaTheme="minorEastAsia" w:hAnsiTheme="minorHAnsi" w:cstheme="minorBidi"/>
              <w:noProof/>
              <w:szCs w:val="22"/>
              <w:lang w:eastAsia="sl-SI"/>
            </w:rPr>
          </w:pPr>
          <w:hyperlink w:anchor="_Toc86822621" w:history="1">
            <w:r w:rsidR="00464E53" w:rsidRPr="005E426B">
              <w:rPr>
                <w:rStyle w:val="Hiperpovezava"/>
                <w:noProof/>
              </w:rPr>
              <w:t>11.1</w:t>
            </w:r>
            <w:r w:rsidR="00464E53">
              <w:rPr>
                <w:rFonts w:asciiTheme="minorHAnsi" w:eastAsiaTheme="minorEastAsia" w:hAnsiTheme="minorHAnsi" w:cstheme="minorBidi"/>
                <w:noProof/>
                <w:szCs w:val="22"/>
                <w:lang w:eastAsia="sl-SI"/>
              </w:rPr>
              <w:tab/>
            </w:r>
            <w:r w:rsidR="00464E53" w:rsidRPr="005E426B">
              <w:rPr>
                <w:rStyle w:val="Hiperpovezava"/>
                <w:noProof/>
              </w:rPr>
              <w:t>Trgovinska bilanca kmetijskih proizvodov po skupinah blaga (C.30)</w:t>
            </w:r>
            <w:r w:rsidR="00464E53">
              <w:rPr>
                <w:noProof/>
                <w:webHidden/>
              </w:rPr>
              <w:tab/>
            </w:r>
            <w:r w:rsidR="00464E53">
              <w:rPr>
                <w:noProof/>
                <w:webHidden/>
              </w:rPr>
              <w:fldChar w:fldCharType="begin"/>
            </w:r>
            <w:r w:rsidR="00464E53">
              <w:rPr>
                <w:noProof/>
                <w:webHidden/>
              </w:rPr>
              <w:instrText xml:space="preserve"> PAGEREF _Toc86822621 \h </w:instrText>
            </w:r>
            <w:r w:rsidR="00464E53">
              <w:rPr>
                <w:noProof/>
                <w:webHidden/>
              </w:rPr>
            </w:r>
            <w:r w:rsidR="00464E53">
              <w:rPr>
                <w:noProof/>
                <w:webHidden/>
              </w:rPr>
              <w:fldChar w:fldCharType="separate"/>
            </w:r>
            <w:r w:rsidR="0088117A">
              <w:rPr>
                <w:noProof/>
                <w:webHidden/>
              </w:rPr>
              <w:t>137</w:t>
            </w:r>
            <w:r w:rsidR="00464E53">
              <w:rPr>
                <w:noProof/>
                <w:webHidden/>
              </w:rPr>
              <w:fldChar w:fldCharType="end"/>
            </w:r>
          </w:hyperlink>
        </w:p>
        <w:p w14:paraId="7AAFC071" w14:textId="7AEBBEB1" w:rsidR="00464E53" w:rsidRDefault="00701492">
          <w:pPr>
            <w:pStyle w:val="Kazalovsebine2"/>
            <w:rPr>
              <w:rFonts w:asciiTheme="minorHAnsi" w:eastAsiaTheme="minorEastAsia" w:hAnsiTheme="minorHAnsi" w:cstheme="minorBidi"/>
              <w:noProof/>
              <w:szCs w:val="22"/>
              <w:lang w:eastAsia="sl-SI"/>
            </w:rPr>
          </w:pPr>
          <w:hyperlink w:anchor="_Toc86822622" w:history="1">
            <w:r w:rsidR="00464E53" w:rsidRPr="005E426B">
              <w:rPr>
                <w:rStyle w:val="Hiperpovezava"/>
                <w:noProof/>
              </w:rPr>
              <w:t>11.2</w:t>
            </w:r>
            <w:r w:rsidR="00464E53">
              <w:rPr>
                <w:rFonts w:asciiTheme="minorHAnsi" w:eastAsiaTheme="minorEastAsia" w:hAnsiTheme="minorHAnsi" w:cstheme="minorBidi"/>
                <w:noProof/>
                <w:szCs w:val="22"/>
                <w:lang w:eastAsia="sl-SI"/>
              </w:rPr>
              <w:tab/>
            </w:r>
            <w:r w:rsidR="00464E53" w:rsidRPr="005E426B">
              <w:rPr>
                <w:rStyle w:val="Hiperpovezava"/>
                <w:noProof/>
              </w:rPr>
              <w:t>Samooskrba s kmetijskimi proizvodi</w:t>
            </w:r>
            <w:r w:rsidR="00464E53">
              <w:rPr>
                <w:noProof/>
                <w:webHidden/>
              </w:rPr>
              <w:tab/>
            </w:r>
            <w:r w:rsidR="00464E53">
              <w:rPr>
                <w:noProof/>
                <w:webHidden/>
              </w:rPr>
              <w:fldChar w:fldCharType="begin"/>
            </w:r>
            <w:r w:rsidR="00464E53">
              <w:rPr>
                <w:noProof/>
                <w:webHidden/>
              </w:rPr>
              <w:instrText xml:space="preserve"> PAGEREF _Toc86822622 \h </w:instrText>
            </w:r>
            <w:r w:rsidR="00464E53">
              <w:rPr>
                <w:noProof/>
                <w:webHidden/>
              </w:rPr>
            </w:r>
            <w:r w:rsidR="00464E53">
              <w:rPr>
                <w:noProof/>
                <w:webHidden/>
              </w:rPr>
              <w:fldChar w:fldCharType="separate"/>
            </w:r>
            <w:r w:rsidR="0088117A">
              <w:rPr>
                <w:noProof/>
                <w:webHidden/>
              </w:rPr>
              <w:t>141</w:t>
            </w:r>
            <w:r w:rsidR="00464E53">
              <w:rPr>
                <w:noProof/>
                <w:webHidden/>
              </w:rPr>
              <w:fldChar w:fldCharType="end"/>
            </w:r>
          </w:hyperlink>
        </w:p>
        <w:p w14:paraId="4376A044" w14:textId="24E3B807" w:rsidR="00464E53" w:rsidRDefault="00701492">
          <w:pPr>
            <w:pStyle w:val="Kazalovsebine3"/>
            <w:tabs>
              <w:tab w:val="left" w:pos="1320"/>
              <w:tab w:val="right" w:leader="dot" w:pos="9062"/>
            </w:tabs>
            <w:rPr>
              <w:rFonts w:asciiTheme="minorHAnsi" w:eastAsiaTheme="minorEastAsia" w:hAnsiTheme="minorHAnsi" w:cstheme="minorBidi"/>
              <w:noProof/>
              <w:szCs w:val="22"/>
              <w:lang w:eastAsia="sl-SI"/>
            </w:rPr>
          </w:pPr>
          <w:hyperlink w:anchor="_Toc86822623" w:history="1">
            <w:r w:rsidR="00464E53" w:rsidRPr="005E426B">
              <w:rPr>
                <w:rStyle w:val="Hiperpovezava"/>
                <w:noProof/>
              </w:rPr>
              <w:t>11.2.1</w:t>
            </w:r>
            <w:r w:rsidR="00464E53">
              <w:rPr>
                <w:rFonts w:asciiTheme="minorHAnsi" w:eastAsiaTheme="minorEastAsia" w:hAnsiTheme="minorHAnsi" w:cstheme="minorBidi"/>
                <w:noProof/>
                <w:szCs w:val="22"/>
                <w:lang w:eastAsia="sl-SI"/>
              </w:rPr>
              <w:tab/>
            </w:r>
            <w:r w:rsidR="00464E53" w:rsidRPr="005E426B">
              <w:rPr>
                <w:rStyle w:val="Hiperpovezava"/>
                <w:noProof/>
              </w:rPr>
              <w:t>Pregled primanjkljajev oziroma presežkov po posameznih skupinah kmetijskih proizvodov</w:t>
            </w:r>
            <w:r w:rsidR="00464E53">
              <w:rPr>
                <w:noProof/>
                <w:webHidden/>
              </w:rPr>
              <w:tab/>
            </w:r>
            <w:r w:rsidR="00464E53">
              <w:rPr>
                <w:noProof/>
                <w:webHidden/>
              </w:rPr>
              <w:fldChar w:fldCharType="begin"/>
            </w:r>
            <w:r w:rsidR="00464E53">
              <w:rPr>
                <w:noProof/>
                <w:webHidden/>
              </w:rPr>
              <w:instrText xml:space="preserve"> PAGEREF _Toc86822623 \h </w:instrText>
            </w:r>
            <w:r w:rsidR="00464E53">
              <w:rPr>
                <w:noProof/>
                <w:webHidden/>
              </w:rPr>
            </w:r>
            <w:r w:rsidR="00464E53">
              <w:rPr>
                <w:noProof/>
                <w:webHidden/>
              </w:rPr>
              <w:fldChar w:fldCharType="separate"/>
            </w:r>
            <w:r w:rsidR="0088117A">
              <w:rPr>
                <w:noProof/>
                <w:webHidden/>
              </w:rPr>
              <w:t>142</w:t>
            </w:r>
            <w:r w:rsidR="00464E53">
              <w:rPr>
                <w:noProof/>
                <w:webHidden/>
              </w:rPr>
              <w:fldChar w:fldCharType="end"/>
            </w:r>
          </w:hyperlink>
        </w:p>
        <w:p w14:paraId="38EF3C3A" w14:textId="579FE472" w:rsidR="00464E53" w:rsidRDefault="00701492">
          <w:pPr>
            <w:pStyle w:val="Kazalovsebine2"/>
            <w:rPr>
              <w:rFonts w:asciiTheme="minorHAnsi" w:eastAsiaTheme="minorEastAsia" w:hAnsiTheme="minorHAnsi" w:cstheme="minorBidi"/>
              <w:noProof/>
              <w:szCs w:val="22"/>
              <w:lang w:eastAsia="sl-SI"/>
            </w:rPr>
          </w:pPr>
          <w:hyperlink w:anchor="_Toc86822624" w:history="1">
            <w:r w:rsidR="00464E53" w:rsidRPr="005E426B">
              <w:rPr>
                <w:rStyle w:val="Hiperpovezava"/>
                <w:noProof/>
              </w:rPr>
              <w:t>11.3</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_Toc86822624 \h </w:instrText>
            </w:r>
            <w:r w:rsidR="00464E53">
              <w:rPr>
                <w:noProof/>
                <w:webHidden/>
              </w:rPr>
            </w:r>
            <w:r w:rsidR="00464E53">
              <w:rPr>
                <w:noProof/>
                <w:webHidden/>
              </w:rPr>
              <w:fldChar w:fldCharType="separate"/>
            </w:r>
            <w:r w:rsidR="0088117A">
              <w:rPr>
                <w:noProof/>
                <w:webHidden/>
              </w:rPr>
              <w:t>146</w:t>
            </w:r>
            <w:r w:rsidR="00464E53">
              <w:rPr>
                <w:noProof/>
                <w:webHidden/>
              </w:rPr>
              <w:fldChar w:fldCharType="end"/>
            </w:r>
          </w:hyperlink>
        </w:p>
        <w:p w14:paraId="4CE649A6" w14:textId="5926539B" w:rsidR="00464E53" w:rsidRDefault="00701492">
          <w:pPr>
            <w:pStyle w:val="Kazalovsebine1"/>
            <w:rPr>
              <w:rFonts w:asciiTheme="minorHAnsi" w:eastAsiaTheme="minorEastAsia" w:hAnsiTheme="minorHAnsi" w:cstheme="minorBidi"/>
              <w:szCs w:val="22"/>
              <w:lang w:eastAsia="sl-SI"/>
            </w:rPr>
          </w:pPr>
          <w:hyperlink w:anchor="_Toc86822625" w:history="1">
            <w:r w:rsidR="00464E53" w:rsidRPr="005E426B">
              <w:rPr>
                <w:rStyle w:val="Hiperpovezava"/>
              </w:rPr>
              <w:t>12</w:t>
            </w:r>
            <w:r w:rsidR="00464E53">
              <w:rPr>
                <w:rFonts w:asciiTheme="minorHAnsi" w:eastAsiaTheme="minorEastAsia" w:hAnsiTheme="minorHAnsi" w:cstheme="minorBidi"/>
                <w:szCs w:val="22"/>
                <w:lang w:eastAsia="sl-SI"/>
              </w:rPr>
              <w:tab/>
            </w:r>
            <w:r w:rsidR="00464E53" w:rsidRPr="005E426B">
              <w:rPr>
                <w:rStyle w:val="Hiperpovezava"/>
              </w:rPr>
              <w:t>Gozdarstvo</w:t>
            </w:r>
            <w:r w:rsidR="00464E53">
              <w:rPr>
                <w:webHidden/>
              </w:rPr>
              <w:tab/>
            </w:r>
            <w:r w:rsidR="00464E53">
              <w:rPr>
                <w:webHidden/>
              </w:rPr>
              <w:fldChar w:fldCharType="begin"/>
            </w:r>
            <w:r w:rsidR="00464E53">
              <w:rPr>
                <w:webHidden/>
              </w:rPr>
              <w:instrText xml:space="preserve"> PAGEREF _Toc86822625 \h </w:instrText>
            </w:r>
            <w:r w:rsidR="00464E53">
              <w:rPr>
                <w:webHidden/>
              </w:rPr>
            </w:r>
            <w:r w:rsidR="00464E53">
              <w:rPr>
                <w:webHidden/>
              </w:rPr>
              <w:fldChar w:fldCharType="separate"/>
            </w:r>
            <w:r w:rsidR="0088117A">
              <w:rPr>
                <w:webHidden/>
              </w:rPr>
              <w:t>148</w:t>
            </w:r>
            <w:r w:rsidR="00464E53">
              <w:rPr>
                <w:webHidden/>
              </w:rPr>
              <w:fldChar w:fldCharType="end"/>
            </w:r>
          </w:hyperlink>
        </w:p>
        <w:p w14:paraId="39A43135" w14:textId="09D18EFD" w:rsidR="00464E53" w:rsidRDefault="00701492">
          <w:pPr>
            <w:pStyle w:val="Kazalovsebine2"/>
            <w:rPr>
              <w:rFonts w:asciiTheme="minorHAnsi" w:eastAsiaTheme="minorEastAsia" w:hAnsiTheme="minorHAnsi" w:cstheme="minorBidi"/>
              <w:noProof/>
              <w:szCs w:val="22"/>
              <w:lang w:eastAsia="sl-SI"/>
            </w:rPr>
          </w:pPr>
          <w:hyperlink w:anchor="_Toc86822626" w:history="1">
            <w:r w:rsidR="00464E53" w:rsidRPr="005E426B">
              <w:rPr>
                <w:rStyle w:val="Hiperpovezava"/>
                <w:noProof/>
              </w:rPr>
              <w:t>12.1</w:t>
            </w:r>
            <w:r w:rsidR="00464E53">
              <w:rPr>
                <w:rFonts w:asciiTheme="minorHAnsi" w:eastAsiaTheme="minorEastAsia" w:hAnsiTheme="minorHAnsi" w:cstheme="minorBidi"/>
                <w:noProof/>
                <w:szCs w:val="22"/>
                <w:lang w:eastAsia="sl-SI"/>
              </w:rPr>
              <w:tab/>
            </w:r>
            <w:r w:rsidR="00464E53" w:rsidRPr="005E426B">
              <w:rPr>
                <w:rStyle w:val="Hiperpovezava"/>
                <w:noProof/>
              </w:rPr>
              <w:t>Pomen gozda in gozdarstva v Sloveniji</w:t>
            </w:r>
            <w:r w:rsidR="00464E53">
              <w:rPr>
                <w:noProof/>
                <w:webHidden/>
              </w:rPr>
              <w:tab/>
            </w:r>
            <w:r w:rsidR="00464E53">
              <w:rPr>
                <w:noProof/>
                <w:webHidden/>
              </w:rPr>
              <w:fldChar w:fldCharType="begin"/>
            </w:r>
            <w:r w:rsidR="00464E53">
              <w:rPr>
                <w:noProof/>
                <w:webHidden/>
              </w:rPr>
              <w:instrText xml:space="preserve"> PAGEREF _Toc86822626 \h </w:instrText>
            </w:r>
            <w:r w:rsidR="00464E53">
              <w:rPr>
                <w:noProof/>
                <w:webHidden/>
              </w:rPr>
            </w:r>
            <w:r w:rsidR="00464E53">
              <w:rPr>
                <w:noProof/>
                <w:webHidden/>
              </w:rPr>
              <w:fldChar w:fldCharType="separate"/>
            </w:r>
            <w:r w:rsidR="0088117A">
              <w:rPr>
                <w:noProof/>
                <w:webHidden/>
              </w:rPr>
              <w:t>148</w:t>
            </w:r>
            <w:r w:rsidR="00464E53">
              <w:rPr>
                <w:noProof/>
                <w:webHidden/>
              </w:rPr>
              <w:fldChar w:fldCharType="end"/>
            </w:r>
          </w:hyperlink>
        </w:p>
        <w:p w14:paraId="6B00982A" w14:textId="5DAC88D1" w:rsidR="00464E53" w:rsidRDefault="00701492">
          <w:pPr>
            <w:pStyle w:val="Kazalovsebine2"/>
            <w:rPr>
              <w:rFonts w:asciiTheme="minorHAnsi" w:eastAsiaTheme="minorEastAsia" w:hAnsiTheme="minorHAnsi" w:cstheme="minorBidi"/>
              <w:noProof/>
              <w:szCs w:val="22"/>
              <w:lang w:eastAsia="sl-SI"/>
            </w:rPr>
          </w:pPr>
          <w:hyperlink w:anchor="_Toc86822627" w:history="1">
            <w:r w:rsidR="00464E53" w:rsidRPr="005E426B">
              <w:rPr>
                <w:rStyle w:val="Hiperpovezava"/>
                <w:noProof/>
              </w:rPr>
              <w:t>12.2</w:t>
            </w:r>
            <w:r w:rsidR="00464E53">
              <w:rPr>
                <w:rFonts w:asciiTheme="minorHAnsi" w:eastAsiaTheme="minorEastAsia" w:hAnsiTheme="minorHAnsi" w:cstheme="minorBidi"/>
                <w:noProof/>
                <w:szCs w:val="22"/>
                <w:lang w:eastAsia="sl-SI"/>
              </w:rPr>
              <w:tab/>
            </w:r>
            <w:r w:rsidR="00464E53" w:rsidRPr="005E426B">
              <w:rPr>
                <w:rStyle w:val="Hiperpovezava"/>
                <w:noProof/>
              </w:rPr>
              <w:t>Stanje v proizvodnji okroglega lesa (gozdnih lesnih sortimentov)</w:t>
            </w:r>
            <w:r w:rsidR="00464E53">
              <w:rPr>
                <w:noProof/>
                <w:webHidden/>
              </w:rPr>
              <w:tab/>
            </w:r>
            <w:r w:rsidR="00464E53">
              <w:rPr>
                <w:noProof/>
                <w:webHidden/>
              </w:rPr>
              <w:fldChar w:fldCharType="begin"/>
            </w:r>
            <w:r w:rsidR="00464E53">
              <w:rPr>
                <w:noProof/>
                <w:webHidden/>
              </w:rPr>
              <w:instrText xml:space="preserve"> PAGEREF _Toc86822627 \h </w:instrText>
            </w:r>
            <w:r w:rsidR="00464E53">
              <w:rPr>
                <w:noProof/>
                <w:webHidden/>
              </w:rPr>
            </w:r>
            <w:r w:rsidR="00464E53">
              <w:rPr>
                <w:noProof/>
                <w:webHidden/>
              </w:rPr>
              <w:fldChar w:fldCharType="separate"/>
            </w:r>
            <w:r w:rsidR="0088117A">
              <w:rPr>
                <w:noProof/>
                <w:webHidden/>
              </w:rPr>
              <w:t>150</w:t>
            </w:r>
            <w:r w:rsidR="00464E53">
              <w:rPr>
                <w:noProof/>
                <w:webHidden/>
              </w:rPr>
              <w:fldChar w:fldCharType="end"/>
            </w:r>
          </w:hyperlink>
        </w:p>
        <w:p w14:paraId="10DA8244" w14:textId="6E59ADA8" w:rsidR="00464E53" w:rsidRDefault="00701492">
          <w:pPr>
            <w:pStyle w:val="Kazalovsebine2"/>
            <w:rPr>
              <w:rFonts w:asciiTheme="minorHAnsi" w:eastAsiaTheme="minorEastAsia" w:hAnsiTheme="minorHAnsi" w:cstheme="minorBidi"/>
              <w:noProof/>
              <w:szCs w:val="22"/>
              <w:lang w:eastAsia="sl-SI"/>
            </w:rPr>
          </w:pPr>
          <w:hyperlink w:anchor="_Toc86822628" w:history="1">
            <w:r w:rsidR="00464E53" w:rsidRPr="005E426B">
              <w:rPr>
                <w:rStyle w:val="Hiperpovezava"/>
                <w:noProof/>
              </w:rPr>
              <w:t>12.3</w:t>
            </w:r>
            <w:r w:rsidR="00464E53">
              <w:rPr>
                <w:rFonts w:asciiTheme="minorHAnsi" w:eastAsiaTheme="minorEastAsia" w:hAnsiTheme="minorHAnsi" w:cstheme="minorBidi"/>
                <w:noProof/>
                <w:szCs w:val="22"/>
                <w:lang w:eastAsia="sl-SI"/>
              </w:rPr>
              <w:tab/>
            </w:r>
            <w:r w:rsidR="00464E53" w:rsidRPr="005E426B">
              <w:rPr>
                <w:rStyle w:val="Hiperpovezava"/>
                <w:noProof/>
              </w:rPr>
              <w:t>Stanje v gozdnem drevesničarstvu</w:t>
            </w:r>
            <w:r w:rsidR="00464E53">
              <w:rPr>
                <w:noProof/>
                <w:webHidden/>
              </w:rPr>
              <w:tab/>
            </w:r>
            <w:r w:rsidR="00464E53">
              <w:rPr>
                <w:noProof/>
                <w:webHidden/>
              </w:rPr>
              <w:fldChar w:fldCharType="begin"/>
            </w:r>
            <w:r w:rsidR="00464E53">
              <w:rPr>
                <w:noProof/>
                <w:webHidden/>
              </w:rPr>
              <w:instrText xml:space="preserve"> PAGEREF _Toc86822628 \h </w:instrText>
            </w:r>
            <w:r w:rsidR="00464E53">
              <w:rPr>
                <w:noProof/>
                <w:webHidden/>
              </w:rPr>
            </w:r>
            <w:r w:rsidR="00464E53">
              <w:rPr>
                <w:noProof/>
                <w:webHidden/>
              </w:rPr>
              <w:fldChar w:fldCharType="separate"/>
            </w:r>
            <w:r w:rsidR="0088117A">
              <w:rPr>
                <w:noProof/>
                <w:webHidden/>
              </w:rPr>
              <w:t>152</w:t>
            </w:r>
            <w:r w:rsidR="00464E53">
              <w:rPr>
                <w:noProof/>
                <w:webHidden/>
              </w:rPr>
              <w:fldChar w:fldCharType="end"/>
            </w:r>
          </w:hyperlink>
        </w:p>
        <w:p w14:paraId="29C419AF" w14:textId="0BE6FE73" w:rsidR="00464E53" w:rsidRDefault="00701492">
          <w:pPr>
            <w:pStyle w:val="Kazalovsebine2"/>
            <w:rPr>
              <w:rFonts w:asciiTheme="minorHAnsi" w:eastAsiaTheme="minorEastAsia" w:hAnsiTheme="minorHAnsi" w:cstheme="minorBidi"/>
              <w:noProof/>
              <w:szCs w:val="22"/>
              <w:lang w:eastAsia="sl-SI"/>
            </w:rPr>
          </w:pPr>
          <w:hyperlink w:anchor="_Toc86822629" w:history="1">
            <w:r w:rsidR="00464E53" w:rsidRPr="005E426B">
              <w:rPr>
                <w:rStyle w:val="Hiperpovezava"/>
                <w:noProof/>
              </w:rPr>
              <w:t>12.4</w:t>
            </w:r>
            <w:r w:rsidR="00464E53">
              <w:rPr>
                <w:rFonts w:asciiTheme="minorHAnsi" w:eastAsiaTheme="minorEastAsia" w:hAnsiTheme="minorHAnsi" w:cstheme="minorBidi"/>
                <w:noProof/>
                <w:szCs w:val="22"/>
                <w:lang w:eastAsia="sl-SI"/>
              </w:rPr>
              <w:tab/>
            </w:r>
            <w:r w:rsidR="00464E53" w:rsidRPr="005E426B">
              <w:rPr>
                <w:rStyle w:val="Hiperpovezava"/>
                <w:noProof/>
              </w:rPr>
              <w:t>Stanje v proizvodnji žaganega lesa</w:t>
            </w:r>
            <w:r w:rsidR="00464E53">
              <w:rPr>
                <w:noProof/>
                <w:webHidden/>
              </w:rPr>
              <w:tab/>
            </w:r>
            <w:r w:rsidR="00464E53">
              <w:rPr>
                <w:noProof/>
                <w:webHidden/>
              </w:rPr>
              <w:fldChar w:fldCharType="begin"/>
            </w:r>
            <w:r w:rsidR="00464E53">
              <w:rPr>
                <w:noProof/>
                <w:webHidden/>
              </w:rPr>
              <w:instrText xml:space="preserve"> PAGEREF _Toc86822629 \h </w:instrText>
            </w:r>
            <w:r w:rsidR="00464E53">
              <w:rPr>
                <w:noProof/>
                <w:webHidden/>
              </w:rPr>
            </w:r>
            <w:r w:rsidR="00464E53">
              <w:rPr>
                <w:noProof/>
                <w:webHidden/>
              </w:rPr>
              <w:fldChar w:fldCharType="separate"/>
            </w:r>
            <w:r w:rsidR="0088117A">
              <w:rPr>
                <w:noProof/>
                <w:webHidden/>
              </w:rPr>
              <w:t>153</w:t>
            </w:r>
            <w:r w:rsidR="00464E53">
              <w:rPr>
                <w:noProof/>
                <w:webHidden/>
              </w:rPr>
              <w:fldChar w:fldCharType="end"/>
            </w:r>
          </w:hyperlink>
        </w:p>
        <w:p w14:paraId="631A2424" w14:textId="4C846291" w:rsidR="00464E53" w:rsidRDefault="00701492">
          <w:pPr>
            <w:pStyle w:val="Kazalovsebine2"/>
            <w:rPr>
              <w:rFonts w:asciiTheme="minorHAnsi" w:eastAsiaTheme="minorEastAsia" w:hAnsiTheme="minorHAnsi" w:cstheme="minorBidi"/>
              <w:noProof/>
              <w:szCs w:val="22"/>
              <w:lang w:eastAsia="sl-SI"/>
            </w:rPr>
          </w:pPr>
          <w:hyperlink w:anchor="_Toc86822630" w:history="1">
            <w:r w:rsidR="00464E53" w:rsidRPr="005E426B">
              <w:rPr>
                <w:rStyle w:val="Hiperpovezava"/>
                <w:noProof/>
              </w:rPr>
              <w:t>12.5</w:t>
            </w:r>
            <w:r w:rsidR="00464E53">
              <w:rPr>
                <w:rFonts w:asciiTheme="minorHAnsi" w:eastAsiaTheme="minorEastAsia" w:hAnsiTheme="minorHAnsi" w:cstheme="minorBidi"/>
                <w:noProof/>
                <w:szCs w:val="22"/>
                <w:lang w:eastAsia="sl-SI"/>
              </w:rPr>
              <w:tab/>
            </w:r>
            <w:r w:rsidR="00464E53" w:rsidRPr="005E426B">
              <w:rPr>
                <w:rStyle w:val="Hiperpovezava"/>
                <w:noProof/>
              </w:rPr>
              <w:t>Ekonomski rezultati gozdarstva</w:t>
            </w:r>
            <w:r w:rsidR="00464E53">
              <w:rPr>
                <w:noProof/>
                <w:webHidden/>
              </w:rPr>
              <w:tab/>
            </w:r>
            <w:r w:rsidR="00464E53">
              <w:rPr>
                <w:noProof/>
                <w:webHidden/>
              </w:rPr>
              <w:fldChar w:fldCharType="begin"/>
            </w:r>
            <w:r w:rsidR="00464E53">
              <w:rPr>
                <w:noProof/>
                <w:webHidden/>
              </w:rPr>
              <w:instrText xml:space="preserve"> PAGEREF _Toc86822630 \h </w:instrText>
            </w:r>
            <w:r w:rsidR="00464E53">
              <w:rPr>
                <w:noProof/>
                <w:webHidden/>
              </w:rPr>
            </w:r>
            <w:r w:rsidR="00464E53">
              <w:rPr>
                <w:noProof/>
                <w:webHidden/>
              </w:rPr>
              <w:fldChar w:fldCharType="separate"/>
            </w:r>
            <w:r w:rsidR="0088117A">
              <w:rPr>
                <w:noProof/>
                <w:webHidden/>
              </w:rPr>
              <w:t>153</w:t>
            </w:r>
            <w:r w:rsidR="00464E53">
              <w:rPr>
                <w:noProof/>
                <w:webHidden/>
              </w:rPr>
              <w:fldChar w:fldCharType="end"/>
            </w:r>
          </w:hyperlink>
        </w:p>
        <w:p w14:paraId="7CE9638C" w14:textId="09631391" w:rsidR="00464E53" w:rsidRDefault="00701492">
          <w:pPr>
            <w:pStyle w:val="Kazalovsebine2"/>
            <w:rPr>
              <w:rFonts w:asciiTheme="minorHAnsi" w:eastAsiaTheme="minorEastAsia" w:hAnsiTheme="minorHAnsi" w:cstheme="minorBidi"/>
              <w:noProof/>
              <w:szCs w:val="22"/>
              <w:lang w:eastAsia="sl-SI"/>
            </w:rPr>
          </w:pPr>
          <w:hyperlink w:anchor="_Toc86822631" w:history="1">
            <w:r w:rsidR="00464E53" w:rsidRPr="005E426B">
              <w:rPr>
                <w:rStyle w:val="Hiperpovezava"/>
                <w:noProof/>
              </w:rPr>
              <w:t>12.6</w:t>
            </w:r>
            <w:r w:rsidR="00464E53">
              <w:rPr>
                <w:rFonts w:asciiTheme="minorHAnsi" w:eastAsiaTheme="minorEastAsia" w:hAnsiTheme="minorHAnsi" w:cstheme="minorBidi"/>
                <w:noProof/>
                <w:szCs w:val="22"/>
                <w:lang w:eastAsia="sl-SI"/>
              </w:rPr>
              <w:tab/>
            </w:r>
            <w:r w:rsidR="00464E53" w:rsidRPr="005E426B">
              <w:rPr>
                <w:rStyle w:val="Hiperpovezava"/>
                <w:noProof/>
              </w:rPr>
              <w:t>Investicije v gozdarstvo in gozdno-lesno verigo preko PRP 2007–2013 in PRP 2014-2020</w:t>
            </w:r>
            <w:r w:rsidR="00464E53">
              <w:rPr>
                <w:noProof/>
                <w:webHidden/>
              </w:rPr>
              <w:tab/>
            </w:r>
            <w:r w:rsidR="00464E53">
              <w:rPr>
                <w:noProof/>
                <w:webHidden/>
              </w:rPr>
              <w:fldChar w:fldCharType="begin"/>
            </w:r>
            <w:r w:rsidR="00464E53">
              <w:rPr>
                <w:noProof/>
                <w:webHidden/>
              </w:rPr>
              <w:instrText xml:space="preserve"> PAGEREF _Toc86822631 \h </w:instrText>
            </w:r>
            <w:r w:rsidR="00464E53">
              <w:rPr>
                <w:noProof/>
                <w:webHidden/>
              </w:rPr>
            </w:r>
            <w:r w:rsidR="00464E53">
              <w:rPr>
                <w:noProof/>
                <w:webHidden/>
              </w:rPr>
              <w:fldChar w:fldCharType="separate"/>
            </w:r>
            <w:r w:rsidR="0088117A">
              <w:rPr>
                <w:noProof/>
                <w:webHidden/>
              </w:rPr>
              <w:t>156</w:t>
            </w:r>
            <w:r w:rsidR="00464E53">
              <w:rPr>
                <w:noProof/>
                <w:webHidden/>
              </w:rPr>
              <w:fldChar w:fldCharType="end"/>
            </w:r>
          </w:hyperlink>
        </w:p>
        <w:p w14:paraId="209CF656" w14:textId="41DF402E" w:rsidR="00464E53" w:rsidRDefault="00701492">
          <w:pPr>
            <w:pStyle w:val="Kazalovsebine2"/>
            <w:rPr>
              <w:rFonts w:asciiTheme="minorHAnsi" w:eastAsiaTheme="minorEastAsia" w:hAnsiTheme="minorHAnsi" w:cstheme="minorBidi"/>
              <w:noProof/>
              <w:szCs w:val="22"/>
              <w:lang w:eastAsia="sl-SI"/>
            </w:rPr>
          </w:pPr>
          <w:hyperlink w:anchor="_Toc86822632" w:history="1">
            <w:r w:rsidR="00464E53" w:rsidRPr="005E426B">
              <w:rPr>
                <w:rStyle w:val="Hiperpovezava"/>
                <w:noProof/>
              </w:rPr>
              <w:t>12.7</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_Toc86822632 \h </w:instrText>
            </w:r>
            <w:r w:rsidR="00464E53">
              <w:rPr>
                <w:noProof/>
                <w:webHidden/>
              </w:rPr>
            </w:r>
            <w:r w:rsidR="00464E53">
              <w:rPr>
                <w:noProof/>
                <w:webHidden/>
              </w:rPr>
              <w:fldChar w:fldCharType="separate"/>
            </w:r>
            <w:r w:rsidR="0088117A">
              <w:rPr>
                <w:noProof/>
                <w:webHidden/>
              </w:rPr>
              <w:t>157</w:t>
            </w:r>
            <w:r w:rsidR="00464E53">
              <w:rPr>
                <w:noProof/>
                <w:webHidden/>
              </w:rPr>
              <w:fldChar w:fldCharType="end"/>
            </w:r>
          </w:hyperlink>
        </w:p>
        <w:p w14:paraId="40A2FA1D" w14:textId="2864ABE8" w:rsidR="00464E53" w:rsidRDefault="00701492">
          <w:pPr>
            <w:pStyle w:val="Kazalovsebine1"/>
            <w:rPr>
              <w:rFonts w:asciiTheme="minorHAnsi" w:eastAsiaTheme="minorEastAsia" w:hAnsiTheme="minorHAnsi" w:cstheme="minorBidi"/>
              <w:szCs w:val="22"/>
              <w:lang w:eastAsia="sl-SI"/>
            </w:rPr>
          </w:pPr>
          <w:hyperlink w:anchor="_Toc86822633" w:history="1">
            <w:r w:rsidR="00464E53" w:rsidRPr="005E426B">
              <w:rPr>
                <w:rStyle w:val="Hiperpovezava"/>
              </w:rPr>
              <w:t>13</w:t>
            </w:r>
            <w:r w:rsidR="00464E53">
              <w:rPr>
                <w:rFonts w:asciiTheme="minorHAnsi" w:eastAsiaTheme="minorEastAsia" w:hAnsiTheme="minorHAnsi" w:cstheme="minorBidi"/>
                <w:szCs w:val="22"/>
                <w:lang w:eastAsia="sl-SI"/>
              </w:rPr>
              <w:tab/>
            </w:r>
            <w:r w:rsidR="00464E53" w:rsidRPr="005E426B">
              <w:rPr>
                <w:rStyle w:val="Hiperpovezava"/>
              </w:rPr>
              <w:t>Nove tehnologije in digitalizacija ter vloga AKIS</w:t>
            </w:r>
            <w:r w:rsidR="00464E53">
              <w:rPr>
                <w:webHidden/>
              </w:rPr>
              <w:tab/>
            </w:r>
            <w:r w:rsidR="00464E53">
              <w:rPr>
                <w:webHidden/>
              </w:rPr>
              <w:fldChar w:fldCharType="begin"/>
            </w:r>
            <w:r w:rsidR="00464E53">
              <w:rPr>
                <w:webHidden/>
              </w:rPr>
              <w:instrText xml:space="preserve"> PAGEREF _Toc86822633 \h </w:instrText>
            </w:r>
            <w:r w:rsidR="00464E53">
              <w:rPr>
                <w:webHidden/>
              </w:rPr>
            </w:r>
            <w:r w:rsidR="00464E53">
              <w:rPr>
                <w:webHidden/>
              </w:rPr>
              <w:fldChar w:fldCharType="separate"/>
            </w:r>
            <w:r w:rsidR="0088117A">
              <w:rPr>
                <w:webHidden/>
              </w:rPr>
              <w:t>158</w:t>
            </w:r>
            <w:r w:rsidR="00464E53">
              <w:rPr>
                <w:webHidden/>
              </w:rPr>
              <w:fldChar w:fldCharType="end"/>
            </w:r>
          </w:hyperlink>
        </w:p>
        <w:p w14:paraId="4761FF34" w14:textId="29D64E8D" w:rsidR="00464E53" w:rsidRDefault="00701492">
          <w:pPr>
            <w:pStyle w:val="Kazalovsebine2"/>
            <w:rPr>
              <w:rFonts w:asciiTheme="minorHAnsi" w:eastAsiaTheme="minorEastAsia" w:hAnsiTheme="minorHAnsi" w:cstheme="minorBidi"/>
              <w:noProof/>
              <w:szCs w:val="22"/>
              <w:lang w:eastAsia="sl-SI"/>
            </w:rPr>
          </w:pPr>
          <w:hyperlink w:anchor="_Toc86822634" w:history="1">
            <w:r w:rsidR="00464E53" w:rsidRPr="005E426B">
              <w:rPr>
                <w:rStyle w:val="Hiperpovezava"/>
                <w:noProof/>
              </w:rPr>
              <w:t>13.1</w:t>
            </w:r>
            <w:r w:rsidR="00464E53">
              <w:rPr>
                <w:rFonts w:asciiTheme="minorHAnsi" w:eastAsiaTheme="minorEastAsia" w:hAnsiTheme="minorHAnsi" w:cstheme="minorBidi"/>
                <w:noProof/>
                <w:szCs w:val="22"/>
                <w:lang w:eastAsia="sl-SI"/>
              </w:rPr>
              <w:tab/>
            </w:r>
            <w:r w:rsidR="00464E53" w:rsidRPr="005E426B">
              <w:rPr>
                <w:rStyle w:val="Hiperpovezava"/>
                <w:noProof/>
              </w:rPr>
              <w:t>Pomen uvajanja novih tehnologij in digitalizacije ter stanje na tem področju</w:t>
            </w:r>
            <w:r w:rsidR="00464E53">
              <w:rPr>
                <w:noProof/>
                <w:webHidden/>
              </w:rPr>
              <w:tab/>
            </w:r>
            <w:r w:rsidR="00464E53">
              <w:rPr>
                <w:noProof/>
                <w:webHidden/>
              </w:rPr>
              <w:fldChar w:fldCharType="begin"/>
            </w:r>
            <w:r w:rsidR="00464E53">
              <w:rPr>
                <w:noProof/>
                <w:webHidden/>
              </w:rPr>
              <w:instrText xml:space="preserve"> PAGEREF _Toc86822634 \h </w:instrText>
            </w:r>
            <w:r w:rsidR="00464E53">
              <w:rPr>
                <w:noProof/>
                <w:webHidden/>
              </w:rPr>
            </w:r>
            <w:r w:rsidR="00464E53">
              <w:rPr>
                <w:noProof/>
                <w:webHidden/>
              </w:rPr>
              <w:fldChar w:fldCharType="separate"/>
            </w:r>
            <w:r w:rsidR="0088117A">
              <w:rPr>
                <w:noProof/>
                <w:webHidden/>
              </w:rPr>
              <w:t>158</w:t>
            </w:r>
            <w:r w:rsidR="00464E53">
              <w:rPr>
                <w:noProof/>
                <w:webHidden/>
              </w:rPr>
              <w:fldChar w:fldCharType="end"/>
            </w:r>
          </w:hyperlink>
        </w:p>
        <w:p w14:paraId="15885179" w14:textId="3F7DBE4B" w:rsidR="00464E53" w:rsidRDefault="00701492">
          <w:pPr>
            <w:pStyle w:val="Kazalovsebine2"/>
            <w:rPr>
              <w:rFonts w:asciiTheme="minorHAnsi" w:eastAsiaTheme="minorEastAsia" w:hAnsiTheme="minorHAnsi" w:cstheme="minorBidi"/>
              <w:noProof/>
              <w:szCs w:val="22"/>
              <w:lang w:eastAsia="sl-SI"/>
            </w:rPr>
          </w:pPr>
          <w:hyperlink w:anchor="_Toc86822635" w:history="1">
            <w:r w:rsidR="00464E53" w:rsidRPr="005E426B">
              <w:rPr>
                <w:rStyle w:val="Hiperpovezava"/>
                <w:noProof/>
              </w:rPr>
              <w:t>13.2</w:t>
            </w:r>
            <w:r w:rsidR="00464E53">
              <w:rPr>
                <w:rFonts w:asciiTheme="minorHAnsi" w:eastAsiaTheme="minorEastAsia" w:hAnsiTheme="minorHAnsi" w:cstheme="minorBidi"/>
                <w:noProof/>
                <w:szCs w:val="22"/>
                <w:lang w:eastAsia="sl-SI"/>
              </w:rPr>
              <w:tab/>
            </w:r>
            <w:r w:rsidR="00464E53" w:rsidRPr="005E426B">
              <w:rPr>
                <w:rStyle w:val="Hiperpovezava"/>
                <w:noProof/>
              </w:rPr>
              <w:t>Vloga AKIS pri povečanju produktivnosti in prevzemanju novih tehnologij in inovacij</w:t>
            </w:r>
            <w:r w:rsidR="00464E53">
              <w:rPr>
                <w:noProof/>
                <w:webHidden/>
              </w:rPr>
              <w:tab/>
            </w:r>
            <w:r w:rsidR="00464E53">
              <w:rPr>
                <w:noProof/>
                <w:webHidden/>
              </w:rPr>
              <w:fldChar w:fldCharType="begin"/>
            </w:r>
            <w:r w:rsidR="00464E53">
              <w:rPr>
                <w:noProof/>
                <w:webHidden/>
              </w:rPr>
              <w:instrText xml:space="preserve"> PAGEREF _Toc86822635 \h </w:instrText>
            </w:r>
            <w:r w:rsidR="00464E53">
              <w:rPr>
                <w:noProof/>
                <w:webHidden/>
              </w:rPr>
            </w:r>
            <w:r w:rsidR="00464E53">
              <w:rPr>
                <w:noProof/>
                <w:webHidden/>
              </w:rPr>
              <w:fldChar w:fldCharType="separate"/>
            </w:r>
            <w:r w:rsidR="0088117A">
              <w:rPr>
                <w:noProof/>
                <w:webHidden/>
              </w:rPr>
              <w:t>159</w:t>
            </w:r>
            <w:r w:rsidR="00464E53">
              <w:rPr>
                <w:noProof/>
                <w:webHidden/>
              </w:rPr>
              <w:fldChar w:fldCharType="end"/>
            </w:r>
          </w:hyperlink>
        </w:p>
        <w:p w14:paraId="29AA51CB" w14:textId="77434646" w:rsidR="00464E53" w:rsidRDefault="00701492">
          <w:pPr>
            <w:pStyle w:val="Kazalovsebine2"/>
            <w:rPr>
              <w:rFonts w:asciiTheme="minorHAnsi" w:eastAsiaTheme="minorEastAsia" w:hAnsiTheme="minorHAnsi" w:cstheme="minorBidi"/>
              <w:noProof/>
              <w:szCs w:val="22"/>
              <w:lang w:eastAsia="sl-SI"/>
            </w:rPr>
          </w:pPr>
          <w:hyperlink w:anchor="_Toc86822636" w:history="1">
            <w:r w:rsidR="00464E53" w:rsidRPr="005E426B">
              <w:rPr>
                <w:rStyle w:val="Hiperpovezava"/>
                <w:noProof/>
              </w:rPr>
              <w:t>13.3</w:t>
            </w:r>
            <w:r w:rsidR="00464E53">
              <w:rPr>
                <w:rFonts w:asciiTheme="minorHAnsi" w:eastAsiaTheme="minorEastAsia" w:hAnsiTheme="minorHAnsi" w:cstheme="minorBidi"/>
                <w:noProof/>
                <w:szCs w:val="22"/>
                <w:lang w:eastAsia="sl-SI"/>
              </w:rPr>
              <w:tab/>
            </w:r>
            <w:r w:rsidR="00464E53" w:rsidRPr="005E426B">
              <w:rPr>
                <w:rStyle w:val="Hiperpovezava"/>
                <w:noProof/>
              </w:rPr>
              <w:t>Ključne ugotovitve</w:t>
            </w:r>
            <w:r w:rsidR="00464E53">
              <w:rPr>
                <w:noProof/>
                <w:webHidden/>
              </w:rPr>
              <w:tab/>
            </w:r>
            <w:r w:rsidR="00464E53">
              <w:rPr>
                <w:noProof/>
                <w:webHidden/>
              </w:rPr>
              <w:fldChar w:fldCharType="begin"/>
            </w:r>
            <w:r w:rsidR="00464E53">
              <w:rPr>
                <w:noProof/>
                <w:webHidden/>
              </w:rPr>
              <w:instrText xml:space="preserve"> PAGEREF _Toc86822636 \h </w:instrText>
            </w:r>
            <w:r w:rsidR="00464E53">
              <w:rPr>
                <w:noProof/>
                <w:webHidden/>
              </w:rPr>
            </w:r>
            <w:r w:rsidR="00464E53">
              <w:rPr>
                <w:noProof/>
                <w:webHidden/>
              </w:rPr>
              <w:fldChar w:fldCharType="separate"/>
            </w:r>
            <w:r w:rsidR="0088117A">
              <w:rPr>
                <w:noProof/>
                <w:webHidden/>
              </w:rPr>
              <w:t>162</w:t>
            </w:r>
            <w:r w:rsidR="00464E53">
              <w:rPr>
                <w:noProof/>
                <w:webHidden/>
              </w:rPr>
              <w:fldChar w:fldCharType="end"/>
            </w:r>
          </w:hyperlink>
        </w:p>
        <w:p w14:paraId="0610B37D" w14:textId="75CFEDA3" w:rsidR="00464E53" w:rsidRDefault="00701492">
          <w:pPr>
            <w:pStyle w:val="Kazalovsebine1"/>
            <w:rPr>
              <w:rFonts w:asciiTheme="minorHAnsi" w:eastAsiaTheme="minorEastAsia" w:hAnsiTheme="minorHAnsi" w:cstheme="minorBidi"/>
              <w:szCs w:val="22"/>
              <w:lang w:eastAsia="sl-SI"/>
            </w:rPr>
          </w:pPr>
          <w:hyperlink w:anchor="_Toc86822637" w:history="1">
            <w:r w:rsidR="00464E53" w:rsidRPr="005E426B">
              <w:rPr>
                <w:rStyle w:val="Hiperpovezava"/>
                <w:rFonts w:eastAsiaTheme="minorHAnsi"/>
              </w:rPr>
              <w:t>14</w:t>
            </w:r>
            <w:r w:rsidR="00464E53">
              <w:rPr>
                <w:rFonts w:asciiTheme="minorHAnsi" w:eastAsiaTheme="minorEastAsia" w:hAnsiTheme="minorHAnsi" w:cstheme="minorBidi"/>
                <w:szCs w:val="22"/>
                <w:lang w:eastAsia="sl-SI"/>
              </w:rPr>
              <w:tab/>
            </w:r>
            <w:r w:rsidR="00464E53" w:rsidRPr="005E426B">
              <w:rPr>
                <w:rStyle w:val="Hiperpovezava"/>
              </w:rPr>
              <w:t>VIRI IN LITERATURA</w:t>
            </w:r>
            <w:r w:rsidR="00464E53">
              <w:rPr>
                <w:webHidden/>
              </w:rPr>
              <w:tab/>
            </w:r>
            <w:r w:rsidR="00464E53">
              <w:rPr>
                <w:webHidden/>
              </w:rPr>
              <w:fldChar w:fldCharType="begin"/>
            </w:r>
            <w:r w:rsidR="00464E53">
              <w:rPr>
                <w:webHidden/>
              </w:rPr>
              <w:instrText xml:space="preserve"> PAGEREF _Toc86822637 \h </w:instrText>
            </w:r>
            <w:r w:rsidR="00464E53">
              <w:rPr>
                <w:webHidden/>
              </w:rPr>
            </w:r>
            <w:r w:rsidR="00464E53">
              <w:rPr>
                <w:webHidden/>
              </w:rPr>
              <w:fldChar w:fldCharType="separate"/>
            </w:r>
            <w:r w:rsidR="0088117A">
              <w:rPr>
                <w:webHidden/>
              </w:rPr>
              <w:t>163</w:t>
            </w:r>
            <w:r w:rsidR="00464E53">
              <w:rPr>
                <w:webHidden/>
              </w:rPr>
              <w:fldChar w:fldCharType="end"/>
            </w:r>
          </w:hyperlink>
        </w:p>
        <w:p w14:paraId="49C2749D" w14:textId="576EB309" w:rsidR="00464E53" w:rsidRDefault="00701492">
          <w:pPr>
            <w:pStyle w:val="Kazalovsebine1"/>
            <w:rPr>
              <w:rFonts w:asciiTheme="minorHAnsi" w:eastAsiaTheme="minorEastAsia" w:hAnsiTheme="minorHAnsi" w:cstheme="minorBidi"/>
              <w:szCs w:val="22"/>
              <w:lang w:eastAsia="sl-SI"/>
            </w:rPr>
          </w:pPr>
          <w:hyperlink w:anchor="_Toc86822638" w:history="1">
            <w:r w:rsidR="00464E53" w:rsidRPr="005E426B">
              <w:rPr>
                <w:rStyle w:val="Hiperpovezava"/>
              </w:rPr>
              <w:t>15</w:t>
            </w:r>
            <w:r w:rsidR="00464E53">
              <w:rPr>
                <w:rFonts w:asciiTheme="minorHAnsi" w:eastAsiaTheme="minorEastAsia" w:hAnsiTheme="minorHAnsi" w:cstheme="minorBidi"/>
                <w:szCs w:val="22"/>
                <w:lang w:eastAsia="sl-SI"/>
              </w:rPr>
              <w:tab/>
            </w:r>
            <w:r w:rsidR="00464E53" w:rsidRPr="005E426B">
              <w:rPr>
                <w:rStyle w:val="Hiperpovezava"/>
              </w:rPr>
              <w:t>SWOT</w:t>
            </w:r>
            <w:r w:rsidR="00464E53">
              <w:rPr>
                <w:webHidden/>
              </w:rPr>
              <w:tab/>
            </w:r>
            <w:r w:rsidR="00464E53">
              <w:rPr>
                <w:webHidden/>
              </w:rPr>
              <w:fldChar w:fldCharType="begin"/>
            </w:r>
            <w:r w:rsidR="00464E53">
              <w:rPr>
                <w:webHidden/>
              </w:rPr>
              <w:instrText xml:space="preserve"> PAGEREF _Toc86822638 \h </w:instrText>
            </w:r>
            <w:r w:rsidR="00464E53">
              <w:rPr>
                <w:webHidden/>
              </w:rPr>
            </w:r>
            <w:r w:rsidR="00464E53">
              <w:rPr>
                <w:webHidden/>
              </w:rPr>
              <w:fldChar w:fldCharType="separate"/>
            </w:r>
            <w:r w:rsidR="0088117A">
              <w:rPr>
                <w:webHidden/>
              </w:rPr>
              <w:t>166</w:t>
            </w:r>
            <w:r w:rsidR="00464E53">
              <w:rPr>
                <w:webHidden/>
              </w:rPr>
              <w:fldChar w:fldCharType="end"/>
            </w:r>
          </w:hyperlink>
        </w:p>
        <w:p w14:paraId="5832757C" w14:textId="61070D9B" w:rsidR="00124A38" w:rsidRDefault="00A34306" w:rsidP="009F3567">
          <w:pPr>
            <w:spacing w:before="0" w:line="276" w:lineRule="auto"/>
            <w:rPr>
              <w:b/>
              <w:bCs/>
              <w:sz w:val="20"/>
              <w:szCs w:val="20"/>
            </w:rPr>
          </w:pPr>
          <w:r w:rsidRPr="00852E36">
            <w:rPr>
              <w:b/>
              <w:bCs/>
              <w:sz w:val="20"/>
              <w:szCs w:val="20"/>
            </w:rPr>
            <w:fldChar w:fldCharType="end"/>
          </w:r>
        </w:p>
        <w:p w14:paraId="22D1EF24" w14:textId="77777777" w:rsidR="0007738B" w:rsidRPr="0047652B" w:rsidRDefault="00701492" w:rsidP="009F3567">
          <w:pPr>
            <w:spacing w:before="0" w:line="276" w:lineRule="auto"/>
            <w:rPr>
              <w:sz w:val="20"/>
              <w:szCs w:val="20"/>
            </w:rPr>
          </w:pPr>
        </w:p>
      </w:sdtContent>
    </w:sdt>
    <w:p w14:paraId="6ACFEA6D" w14:textId="77777777" w:rsidR="00CD02E0" w:rsidRDefault="00CD02E0">
      <w:pPr>
        <w:spacing w:before="0" w:after="200" w:line="276" w:lineRule="auto"/>
        <w:jc w:val="left"/>
        <w:rPr>
          <w:b/>
          <w:sz w:val="20"/>
          <w:szCs w:val="20"/>
          <w:lang w:eastAsia="en-US"/>
        </w:rPr>
      </w:pPr>
      <w:r>
        <w:rPr>
          <w:b/>
          <w:sz w:val="20"/>
          <w:szCs w:val="20"/>
          <w:lang w:eastAsia="en-US"/>
        </w:rPr>
        <w:br w:type="page"/>
      </w:r>
    </w:p>
    <w:p w14:paraId="45615A33" w14:textId="77777777" w:rsidR="00EA3ECA" w:rsidRDefault="00EA3ECA" w:rsidP="009F3567">
      <w:pPr>
        <w:spacing w:before="0" w:line="276" w:lineRule="auto"/>
        <w:ind w:left="709" w:right="567" w:hanging="709"/>
        <w:jc w:val="left"/>
        <w:rPr>
          <w:b/>
          <w:sz w:val="20"/>
          <w:szCs w:val="20"/>
          <w:lang w:eastAsia="en-US"/>
        </w:rPr>
      </w:pPr>
    </w:p>
    <w:p w14:paraId="42CE2115" w14:textId="77777777" w:rsidR="00EA3ECA" w:rsidRPr="009F3567" w:rsidRDefault="00EA3ECA" w:rsidP="009F3567">
      <w:pPr>
        <w:spacing w:before="0" w:line="276" w:lineRule="auto"/>
        <w:jc w:val="left"/>
        <w:rPr>
          <w:b/>
          <w:sz w:val="24"/>
          <w:szCs w:val="20"/>
          <w:lang w:eastAsia="en-US"/>
        </w:rPr>
      </w:pPr>
      <w:r w:rsidRPr="009F3567">
        <w:rPr>
          <w:b/>
          <w:sz w:val="24"/>
          <w:szCs w:val="20"/>
          <w:lang w:eastAsia="en-US"/>
        </w:rPr>
        <w:t>Kazalo tabel</w:t>
      </w:r>
    </w:p>
    <w:p w14:paraId="1140B2F0" w14:textId="35016A90" w:rsidR="00464E53" w:rsidRDefault="00EA3ECA">
      <w:pPr>
        <w:pStyle w:val="Kazaloslik"/>
        <w:tabs>
          <w:tab w:val="right" w:leader="dot" w:pos="9062"/>
        </w:tabs>
        <w:rPr>
          <w:rFonts w:asciiTheme="minorHAnsi" w:eastAsiaTheme="minorEastAsia" w:hAnsiTheme="minorHAnsi" w:cstheme="minorBidi"/>
          <w:noProof/>
          <w:szCs w:val="22"/>
          <w:lang w:eastAsia="sl-SI"/>
        </w:rPr>
      </w:pPr>
      <w:r w:rsidRPr="0047652B">
        <w:rPr>
          <w:sz w:val="20"/>
          <w:szCs w:val="20"/>
          <w:lang w:eastAsia="en-US"/>
        </w:rPr>
        <w:fldChar w:fldCharType="begin"/>
      </w:r>
      <w:r w:rsidRPr="0047652B">
        <w:rPr>
          <w:sz w:val="20"/>
          <w:szCs w:val="20"/>
          <w:lang w:eastAsia="en-US"/>
        </w:rPr>
        <w:instrText xml:space="preserve"> TOC \h \z \c "Tabela" </w:instrText>
      </w:r>
      <w:r w:rsidRPr="0047652B">
        <w:rPr>
          <w:sz w:val="20"/>
          <w:szCs w:val="20"/>
          <w:lang w:eastAsia="en-US"/>
        </w:rPr>
        <w:fldChar w:fldCharType="separate"/>
      </w:r>
      <w:hyperlink w:anchor="_Toc86822639" w:history="1">
        <w:r w:rsidR="00464E53" w:rsidRPr="00FF25EA">
          <w:rPr>
            <w:rStyle w:val="Hiperpovezava"/>
            <w:rFonts w:eastAsia="Calibri"/>
            <w:noProof/>
          </w:rPr>
          <w:t>Tabela 1: Uporabljeni kazalniki stanja v okviru specifičnega cilja 2</w:t>
        </w:r>
        <w:r w:rsidR="00464E53">
          <w:rPr>
            <w:noProof/>
            <w:webHidden/>
          </w:rPr>
          <w:tab/>
        </w:r>
        <w:r w:rsidR="00464E53">
          <w:rPr>
            <w:noProof/>
            <w:webHidden/>
          </w:rPr>
          <w:fldChar w:fldCharType="begin"/>
        </w:r>
        <w:r w:rsidR="00464E53">
          <w:rPr>
            <w:noProof/>
            <w:webHidden/>
          </w:rPr>
          <w:instrText xml:space="preserve"> PAGEREF _Toc86822639 \h </w:instrText>
        </w:r>
        <w:r w:rsidR="00464E53">
          <w:rPr>
            <w:noProof/>
            <w:webHidden/>
          </w:rPr>
        </w:r>
        <w:r w:rsidR="00464E53">
          <w:rPr>
            <w:noProof/>
            <w:webHidden/>
          </w:rPr>
          <w:fldChar w:fldCharType="separate"/>
        </w:r>
        <w:r w:rsidR="0088117A">
          <w:rPr>
            <w:noProof/>
            <w:webHidden/>
          </w:rPr>
          <w:t>14</w:t>
        </w:r>
        <w:r w:rsidR="00464E53">
          <w:rPr>
            <w:noProof/>
            <w:webHidden/>
          </w:rPr>
          <w:fldChar w:fldCharType="end"/>
        </w:r>
      </w:hyperlink>
    </w:p>
    <w:p w14:paraId="7A1D558F" w14:textId="4E3368C9"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0" w:history="1">
        <w:r w:rsidR="00464E53" w:rsidRPr="00FF25EA">
          <w:rPr>
            <w:rStyle w:val="Hiperpovezava"/>
            <w:rFonts w:eastAsia="Calibri"/>
            <w:noProof/>
          </w:rPr>
          <w:t>Tabela 2: Pregled gospodarskih gibanj 2014–2019</w:t>
        </w:r>
        <w:r w:rsidR="00464E53">
          <w:rPr>
            <w:noProof/>
            <w:webHidden/>
          </w:rPr>
          <w:tab/>
        </w:r>
        <w:r w:rsidR="00464E53">
          <w:rPr>
            <w:noProof/>
            <w:webHidden/>
          </w:rPr>
          <w:fldChar w:fldCharType="begin"/>
        </w:r>
        <w:r w:rsidR="00464E53">
          <w:rPr>
            <w:noProof/>
            <w:webHidden/>
          </w:rPr>
          <w:instrText xml:space="preserve"> PAGEREF _Toc86822640 \h </w:instrText>
        </w:r>
        <w:r w:rsidR="00464E53">
          <w:rPr>
            <w:noProof/>
            <w:webHidden/>
          </w:rPr>
        </w:r>
        <w:r w:rsidR="00464E53">
          <w:rPr>
            <w:noProof/>
            <w:webHidden/>
          </w:rPr>
          <w:fldChar w:fldCharType="separate"/>
        </w:r>
        <w:r w:rsidR="0088117A">
          <w:rPr>
            <w:noProof/>
            <w:webHidden/>
          </w:rPr>
          <w:t>16</w:t>
        </w:r>
        <w:r w:rsidR="00464E53">
          <w:rPr>
            <w:noProof/>
            <w:webHidden/>
          </w:rPr>
          <w:fldChar w:fldCharType="end"/>
        </w:r>
      </w:hyperlink>
    </w:p>
    <w:p w14:paraId="52684DE1" w14:textId="4CA4AAC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1" w:history="1">
        <w:r w:rsidR="00464E53" w:rsidRPr="00FF25EA">
          <w:rPr>
            <w:rStyle w:val="Hiperpovezava"/>
            <w:rFonts w:eastAsia="Calibri"/>
            <w:noProof/>
          </w:rPr>
          <w:t>Tabela 3: BDP na prebivalca</w:t>
        </w:r>
        <w:r w:rsidR="00464E53">
          <w:rPr>
            <w:noProof/>
            <w:webHidden/>
          </w:rPr>
          <w:tab/>
        </w:r>
        <w:r w:rsidR="00464E53">
          <w:rPr>
            <w:noProof/>
            <w:webHidden/>
          </w:rPr>
          <w:fldChar w:fldCharType="begin"/>
        </w:r>
        <w:r w:rsidR="00464E53">
          <w:rPr>
            <w:noProof/>
            <w:webHidden/>
          </w:rPr>
          <w:instrText xml:space="preserve"> PAGEREF _Toc86822641 \h </w:instrText>
        </w:r>
        <w:r w:rsidR="00464E53">
          <w:rPr>
            <w:noProof/>
            <w:webHidden/>
          </w:rPr>
        </w:r>
        <w:r w:rsidR="00464E53">
          <w:rPr>
            <w:noProof/>
            <w:webHidden/>
          </w:rPr>
          <w:fldChar w:fldCharType="separate"/>
        </w:r>
        <w:r w:rsidR="0088117A">
          <w:rPr>
            <w:noProof/>
            <w:webHidden/>
          </w:rPr>
          <w:t>17</w:t>
        </w:r>
        <w:r w:rsidR="00464E53">
          <w:rPr>
            <w:noProof/>
            <w:webHidden/>
          </w:rPr>
          <w:fldChar w:fldCharType="end"/>
        </w:r>
      </w:hyperlink>
    </w:p>
    <w:p w14:paraId="06807F31" w14:textId="46E50E1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2" w:history="1">
        <w:r w:rsidR="00464E53" w:rsidRPr="00FF25EA">
          <w:rPr>
            <w:rStyle w:val="Hiperpovezava"/>
            <w:rFonts w:eastAsia="Calibri"/>
            <w:noProof/>
          </w:rPr>
          <w:t>Tabela 4: Bruto dodana vrednost 2010-2019</w:t>
        </w:r>
        <w:r w:rsidR="00464E53">
          <w:rPr>
            <w:noProof/>
            <w:webHidden/>
          </w:rPr>
          <w:tab/>
        </w:r>
        <w:r w:rsidR="00464E53">
          <w:rPr>
            <w:noProof/>
            <w:webHidden/>
          </w:rPr>
          <w:fldChar w:fldCharType="begin"/>
        </w:r>
        <w:r w:rsidR="00464E53">
          <w:rPr>
            <w:noProof/>
            <w:webHidden/>
          </w:rPr>
          <w:instrText xml:space="preserve"> PAGEREF _Toc86822642 \h </w:instrText>
        </w:r>
        <w:r w:rsidR="00464E53">
          <w:rPr>
            <w:noProof/>
            <w:webHidden/>
          </w:rPr>
        </w:r>
        <w:r w:rsidR="00464E53">
          <w:rPr>
            <w:noProof/>
            <w:webHidden/>
          </w:rPr>
          <w:fldChar w:fldCharType="separate"/>
        </w:r>
        <w:r w:rsidR="0088117A">
          <w:rPr>
            <w:noProof/>
            <w:webHidden/>
          </w:rPr>
          <w:t>18</w:t>
        </w:r>
        <w:r w:rsidR="00464E53">
          <w:rPr>
            <w:noProof/>
            <w:webHidden/>
          </w:rPr>
          <w:fldChar w:fldCharType="end"/>
        </w:r>
      </w:hyperlink>
    </w:p>
    <w:p w14:paraId="0A9C3519" w14:textId="785AB684"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3" w:history="1">
        <w:r w:rsidR="00464E53" w:rsidRPr="00FF25EA">
          <w:rPr>
            <w:rStyle w:val="Hiperpovezava"/>
            <w:rFonts w:eastAsia="Calibri"/>
            <w:noProof/>
          </w:rPr>
          <w:t>Tabela 5: Povprečna vrednost podprtih naložb v okviru podukrepa M04.1 PRP 2014-2020 (30. 4. 2020) glede na OMD in vrsto kmetijske pridelave v EUR</w:t>
        </w:r>
        <w:r w:rsidR="00464E53">
          <w:rPr>
            <w:noProof/>
            <w:webHidden/>
          </w:rPr>
          <w:tab/>
        </w:r>
        <w:r w:rsidR="00464E53">
          <w:rPr>
            <w:noProof/>
            <w:webHidden/>
          </w:rPr>
          <w:fldChar w:fldCharType="begin"/>
        </w:r>
        <w:r w:rsidR="00464E53">
          <w:rPr>
            <w:noProof/>
            <w:webHidden/>
          </w:rPr>
          <w:instrText xml:space="preserve"> PAGEREF _Toc86822643 \h </w:instrText>
        </w:r>
        <w:r w:rsidR="00464E53">
          <w:rPr>
            <w:noProof/>
            <w:webHidden/>
          </w:rPr>
        </w:r>
        <w:r w:rsidR="00464E53">
          <w:rPr>
            <w:noProof/>
            <w:webHidden/>
          </w:rPr>
          <w:fldChar w:fldCharType="separate"/>
        </w:r>
        <w:r w:rsidR="0088117A">
          <w:rPr>
            <w:noProof/>
            <w:webHidden/>
          </w:rPr>
          <w:t>54</w:t>
        </w:r>
        <w:r w:rsidR="00464E53">
          <w:rPr>
            <w:noProof/>
            <w:webHidden/>
          </w:rPr>
          <w:fldChar w:fldCharType="end"/>
        </w:r>
      </w:hyperlink>
    </w:p>
    <w:p w14:paraId="25ADBFB3" w14:textId="13C9CF26"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4" w:history="1">
        <w:r w:rsidR="00464E53" w:rsidRPr="00FF25EA">
          <w:rPr>
            <w:rStyle w:val="Hiperpovezava"/>
            <w:rFonts w:eastAsia="Calibri"/>
            <w:noProof/>
          </w:rPr>
          <w:t>Tabela 6: Vrednost podprtih naložb v okviru podukrepa M04.1 PRP 2014-2020 (30. 4. 2020) glede na OMD in vrsto naložbe v sektorju govedoreja</w:t>
        </w:r>
        <w:r w:rsidR="00464E53">
          <w:rPr>
            <w:noProof/>
            <w:webHidden/>
          </w:rPr>
          <w:tab/>
        </w:r>
        <w:r w:rsidR="00464E53">
          <w:rPr>
            <w:noProof/>
            <w:webHidden/>
          </w:rPr>
          <w:fldChar w:fldCharType="begin"/>
        </w:r>
        <w:r w:rsidR="00464E53">
          <w:rPr>
            <w:noProof/>
            <w:webHidden/>
          </w:rPr>
          <w:instrText xml:space="preserve"> PAGEREF _Toc86822644 \h </w:instrText>
        </w:r>
        <w:r w:rsidR="00464E53">
          <w:rPr>
            <w:noProof/>
            <w:webHidden/>
          </w:rPr>
        </w:r>
        <w:r w:rsidR="00464E53">
          <w:rPr>
            <w:noProof/>
            <w:webHidden/>
          </w:rPr>
          <w:fldChar w:fldCharType="separate"/>
        </w:r>
        <w:r w:rsidR="0088117A">
          <w:rPr>
            <w:noProof/>
            <w:webHidden/>
          </w:rPr>
          <w:t>56</w:t>
        </w:r>
        <w:r w:rsidR="00464E53">
          <w:rPr>
            <w:noProof/>
            <w:webHidden/>
          </w:rPr>
          <w:fldChar w:fldCharType="end"/>
        </w:r>
      </w:hyperlink>
    </w:p>
    <w:p w14:paraId="159FF1AC" w14:textId="2463EFD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5" w:history="1">
        <w:r w:rsidR="00464E53" w:rsidRPr="00FF25EA">
          <w:rPr>
            <w:rStyle w:val="Hiperpovezava"/>
            <w:rFonts w:eastAsia="Calibri"/>
            <w:noProof/>
          </w:rPr>
          <w:t>Tabela 7: Povprečna vrednost podprtih naložb v okviru podukrepa M04.2 PRP 2014–2020 (30.4.2020) glede na OMD in vrsto dejavnosti</w:t>
        </w:r>
        <w:r w:rsidR="00464E53">
          <w:rPr>
            <w:noProof/>
            <w:webHidden/>
          </w:rPr>
          <w:tab/>
        </w:r>
        <w:r w:rsidR="00464E53">
          <w:rPr>
            <w:noProof/>
            <w:webHidden/>
          </w:rPr>
          <w:fldChar w:fldCharType="begin"/>
        </w:r>
        <w:r w:rsidR="00464E53">
          <w:rPr>
            <w:noProof/>
            <w:webHidden/>
          </w:rPr>
          <w:instrText xml:space="preserve"> PAGEREF _Toc86822645 \h </w:instrText>
        </w:r>
        <w:r w:rsidR="00464E53">
          <w:rPr>
            <w:noProof/>
            <w:webHidden/>
          </w:rPr>
        </w:r>
        <w:r w:rsidR="00464E53">
          <w:rPr>
            <w:noProof/>
            <w:webHidden/>
          </w:rPr>
          <w:fldChar w:fldCharType="separate"/>
        </w:r>
        <w:r w:rsidR="0088117A">
          <w:rPr>
            <w:noProof/>
            <w:webHidden/>
          </w:rPr>
          <w:t>59</w:t>
        </w:r>
        <w:r w:rsidR="00464E53">
          <w:rPr>
            <w:noProof/>
            <w:webHidden/>
          </w:rPr>
          <w:fldChar w:fldCharType="end"/>
        </w:r>
      </w:hyperlink>
    </w:p>
    <w:p w14:paraId="34071D71" w14:textId="374A2B4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6" w:history="1">
        <w:r w:rsidR="00464E53" w:rsidRPr="00FF25EA">
          <w:rPr>
            <w:rStyle w:val="Hiperpovezava"/>
            <w:rFonts w:eastAsia="Calibri"/>
            <w:noProof/>
          </w:rPr>
          <w:t>Tabela 8: Celotna vrednost stroškov podprtih naložb v okviru podukrepa M04.2 PRP 2014-2020 (30. 4. 2020) glede na OMD in predmet naložbe v sektorju mleko in goveje meso</w:t>
        </w:r>
        <w:r w:rsidR="00464E53">
          <w:rPr>
            <w:noProof/>
            <w:webHidden/>
          </w:rPr>
          <w:tab/>
        </w:r>
        <w:r w:rsidR="00464E53">
          <w:rPr>
            <w:noProof/>
            <w:webHidden/>
          </w:rPr>
          <w:fldChar w:fldCharType="begin"/>
        </w:r>
        <w:r w:rsidR="00464E53">
          <w:rPr>
            <w:noProof/>
            <w:webHidden/>
          </w:rPr>
          <w:instrText xml:space="preserve"> PAGEREF _Toc86822646 \h </w:instrText>
        </w:r>
        <w:r w:rsidR="00464E53">
          <w:rPr>
            <w:noProof/>
            <w:webHidden/>
          </w:rPr>
        </w:r>
        <w:r w:rsidR="00464E53">
          <w:rPr>
            <w:noProof/>
            <w:webHidden/>
          </w:rPr>
          <w:fldChar w:fldCharType="separate"/>
        </w:r>
        <w:r w:rsidR="0088117A">
          <w:rPr>
            <w:noProof/>
            <w:webHidden/>
          </w:rPr>
          <w:t>60</w:t>
        </w:r>
        <w:r w:rsidR="00464E53">
          <w:rPr>
            <w:noProof/>
            <w:webHidden/>
          </w:rPr>
          <w:fldChar w:fldCharType="end"/>
        </w:r>
      </w:hyperlink>
    </w:p>
    <w:p w14:paraId="1001363F" w14:textId="44FBE9C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7" w:history="1">
        <w:r w:rsidR="00464E53" w:rsidRPr="00FF25EA">
          <w:rPr>
            <w:rStyle w:val="Hiperpovezava"/>
            <w:rFonts w:eastAsia="Calibri"/>
            <w:noProof/>
          </w:rPr>
          <w:t>Tabela 9: Celotna vrednost podprtih naložb v okviru podukrepa M4.2 PRP 2014-2020 (30.4.2020) glede na OMD in vrsto naložbe</w:t>
        </w:r>
        <w:r w:rsidR="00464E53">
          <w:rPr>
            <w:noProof/>
            <w:webHidden/>
          </w:rPr>
          <w:tab/>
        </w:r>
        <w:r w:rsidR="00464E53">
          <w:rPr>
            <w:noProof/>
            <w:webHidden/>
          </w:rPr>
          <w:fldChar w:fldCharType="begin"/>
        </w:r>
        <w:r w:rsidR="00464E53">
          <w:rPr>
            <w:noProof/>
            <w:webHidden/>
          </w:rPr>
          <w:instrText xml:space="preserve"> PAGEREF _Toc86822647 \h </w:instrText>
        </w:r>
        <w:r w:rsidR="00464E53">
          <w:rPr>
            <w:noProof/>
            <w:webHidden/>
          </w:rPr>
        </w:r>
        <w:r w:rsidR="00464E53">
          <w:rPr>
            <w:noProof/>
            <w:webHidden/>
          </w:rPr>
          <w:fldChar w:fldCharType="separate"/>
        </w:r>
        <w:r w:rsidR="0088117A">
          <w:rPr>
            <w:noProof/>
            <w:webHidden/>
          </w:rPr>
          <w:t>61</w:t>
        </w:r>
        <w:r w:rsidR="00464E53">
          <w:rPr>
            <w:noProof/>
            <w:webHidden/>
          </w:rPr>
          <w:fldChar w:fldCharType="end"/>
        </w:r>
      </w:hyperlink>
    </w:p>
    <w:p w14:paraId="198AB939" w14:textId="322CD3E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8" w:history="1">
        <w:r w:rsidR="00464E53" w:rsidRPr="00FF25EA">
          <w:rPr>
            <w:rStyle w:val="Hiperpovezava"/>
            <w:rFonts w:eastAsia="Calibri"/>
            <w:noProof/>
          </w:rPr>
          <w:t>Tabela 10: Stalež goveda v GVŽ</w:t>
        </w:r>
        <w:r w:rsidR="00464E53">
          <w:rPr>
            <w:noProof/>
            <w:webHidden/>
          </w:rPr>
          <w:tab/>
        </w:r>
        <w:r w:rsidR="00464E53">
          <w:rPr>
            <w:noProof/>
            <w:webHidden/>
          </w:rPr>
          <w:fldChar w:fldCharType="begin"/>
        </w:r>
        <w:r w:rsidR="00464E53">
          <w:rPr>
            <w:noProof/>
            <w:webHidden/>
          </w:rPr>
          <w:instrText xml:space="preserve"> PAGEREF _Toc86822648 \h </w:instrText>
        </w:r>
        <w:r w:rsidR="00464E53">
          <w:rPr>
            <w:noProof/>
            <w:webHidden/>
          </w:rPr>
        </w:r>
        <w:r w:rsidR="00464E53">
          <w:rPr>
            <w:noProof/>
            <w:webHidden/>
          </w:rPr>
          <w:fldChar w:fldCharType="separate"/>
        </w:r>
        <w:r w:rsidR="0088117A">
          <w:rPr>
            <w:noProof/>
            <w:webHidden/>
          </w:rPr>
          <w:t>69</w:t>
        </w:r>
        <w:r w:rsidR="00464E53">
          <w:rPr>
            <w:noProof/>
            <w:webHidden/>
          </w:rPr>
          <w:fldChar w:fldCharType="end"/>
        </w:r>
      </w:hyperlink>
    </w:p>
    <w:p w14:paraId="79F08B3B" w14:textId="1735329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49" w:history="1">
        <w:r w:rsidR="00464E53" w:rsidRPr="00FF25EA">
          <w:rPr>
            <w:rStyle w:val="Hiperpovezava"/>
            <w:rFonts w:eastAsia="Calibri"/>
            <w:noProof/>
          </w:rPr>
          <w:t>Tabela 11: Izvajanje ukrepa DŽ-govedo</w:t>
        </w:r>
        <w:r w:rsidR="00464E53">
          <w:rPr>
            <w:noProof/>
            <w:webHidden/>
          </w:rPr>
          <w:tab/>
        </w:r>
        <w:r w:rsidR="00464E53">
          <w:rPr>
            <w:noProof/>
            <w:webHidden/>
          </w:rPr>
          <w:fldChar w:fldCharType="begin"/>
        </w:r>
        <w:r w:rsidR="00464E53">
          <w:rPr>
            <w:noProof/>
            <w:webHidden/>
          </w:rPr>
          <w:instrText xml:space="preserve"> PAGEREF _Toc86822649 \h </w:instrText>
        </w:r>
        <w:r w:rsidR="00464E53">
          <w:rPr>
            <w:noProof/>
            <w:webHidden/>
          </w:rPr>
        </w:r>
        <w:r w:rsidR="00464E53">
          <w:rPr>
            <w:noProof/>
            <w:webHidden/>
          </w:rPr>
          <w:fldChar w:fldCharType="separate"/>
        </w:r>
        <w:r w:rsidR="0088117A">
          <w:rPr>
            <w:noProof/>
            <w:webHidden/>
          </w:rPr>
          <w:t>69</w:t>
        </w:r>
        <w:r w:rsidR="00464E53">
          <w:rPr>
            <w:noProof/>
            <w:webHidden/>
          </w:rPr>
          <w:fldChar w:fldCharType="end"/>
        </w:r>
      </w:hyperlink>
    </w:p>
    <w:p w14:paraId="1C1A5A3C" w14:textId="6A4D2676"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0" w:history="1">
        <w:r w:rsidR="00464E53" w:rsidRPr="00FF25EA">
          <w:rPr>
            <w:rStyle w:val="Hiperpovezava"/>
            <w:rFonts w:eastAsia="Calibri"/>
            <w:noProof/>
          </w:rPr>
          <w:t>Tabela 12: Število perutnine po vrstah in število kmetijskih gospodarstev v letih 2000-2016</w:t>
        </w:r>
        <w:r w:rsidR="00464E53">
          <w:rPr>
            <w:noProof/>
            <w:webHidden/>
          </w:rPr>
          <w:tab/>
        </w:r>
        <w:r w:rsidR="00464E53">
          <w:rPr>
            <w:noProof/>
            <w:webHidden/>
          </w:rPr>
          <w:fldChar w:fldCharType="begin"/>
        </w:r>
        <w:r w:rsidR="00464E53">
          <w:rPr>
            <w:noProof/>
            <w:webHidden/>
          </w:rPr>
          <w:instrText xml:space="preserve"> PAGEREF _Toc86822650 \h </w:instrText>
        </w:r>
        <w:r w:rsidR="00464E53">
          <w:rPr>
            <w:noProof/>
            <w:webHidden/>
          </w:rPr>
        </w:r>
        <w:r w:rsidR="00464E53">
          <w:rPr>
            <w:noProof/>
            <w:webHidden/>
          </w:rPr>
          <w:fldChar w:fldCharType="separate"/>
        </w:r>
        <w:r w:rsidR="0088117A">
          <w:rPr>
            <w:noProof/>
            <w:webHidden/>
          </w:rPr>
          <w:t>76</w:t>
        </w:r>
        <w:r w:rsidR="00464E53">
          <w:rPr>
            <w:noProof/>
            <w:webHidden/>
          </w:rPr>
          <w:fldChar w:fldCharType="end"/>
        </w:r>
      </w:hyperlink>
    </w:p>
    <w:p w14:paraId="3A0476C1" w14:textId="45FB8DC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1" w:history="1">
        <w:r w:rsidR="00464E53" w:rsidRPr="00FF25EA">
          <w:rPr>
            <w:rStyle w:val="Hiperpovezava"/>
            <w:rFonts w:eastAsia="Calibri"/>
            <w:noProof/>
          </w:rPr>
          <w:t>Tabela 13: Število čebelarjev, čebelnjakov in čebeljih družin ter količina pridelanega medu</w:t>
        </w:r>
        <w:r w:rsidR="00464E53">
          <w:rPr>
            <w:noProof/>
            <w:webHidden/>
          </w:rPr>
          <w:tab/>
        </w:r>
        <w:r w:rsidR="00464E53">
          <w:rPr>
            <w:noProof/>
            <w:webHidden/>
          </w:rPr>
          <w:fldChar w:fldCharType="begin"/>
        </w:r>
        <w:r w:rsidR="00464E53">
          <w:rPr>
            <w:noProof/>
            <w:webHidden/>
          </w:rPr>
          <w:instrText xml:space="preserve"> PAGEREF _Toc86822651 \h </w:instrText>
        </w:r>
        <w:r w:rsidR="00464E53">
          <w:rPr>
            <w:noProof/>
            <w:webHidden/>
          </w:rPr>
        </w:r>
        <w:r w:rsidR="00464E53">
          <w:rPr>
            <w:noProof/>
            <w:webHidden/>
          </w:rPr>
          <w:fldChar w:fldCharType="separate"/>
        </w:r>
        <w:r w:rsidR="0088117A">
          <w:rPr>
            <w:noProof/>
            <w:webHidden/>
          </w:rPr>
          <w:t>82</w:t>
        </w:r>
        <w:r w:rsidR="00464E53">
          <w:rPr>
            <w:noProof/>
            <w:webHidden/>
          </w:rPr>
          <w:fldChar w:fldCharType="end"/>
        </w:r>
      </w:hyperlink>
    </w:p>
    <w:p w14:paraId="584CA47A" w14:textId="4E89C9D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2" w:history="1">
        <w:r w:rsidR="00464E53" w:rsidRPr="00FF25EA">
          <w:rPr>
            <w:rStyle w:val="Hiperpovezava"/>
            <w:rFonts w:eastAsia="Calibri"/>
            <w:noProof/>
          </w:rPr>
          <w:t>Tabela 14: Število konj in število kmetijskih gospodarstev v letih 2000-2016</w:t>
        </w:r>
        <w:r w:rsidR="00464E53">
          <w:rPr>
            <w:noProof/>
            <w:webHidden/>
          </w:rPr>
          <w:tab/>
        </w:r>
        <w:r w:rsidR="00464E53">
          <w:rPr>
            <w:noProof/>
            <w:webHidden/>
          </w:rPr>
          <w:fldChar w:fldCharType="begin"/>
        </w:r>
        <w:r w:rsidR="00464E53">
          <w:rPr>
            <w:noProof/>
            <w:webHidden/>
          </w:rPr>
          <w:instrText xml:space="preserve"> PAGEREF _Toc86822652 \h </w:instrText>
        </w:r>
        <w:r w:rsidR="00464E53">
          <w:rPr>
            <w:noProof/>
            <w:webHidden/>
          </w:rPr>
        </w:r>
        <w:r w:rsidR="00464E53">
          <w:rPr>
            <w:noProof/>
            <w:webHidden/>
          </w:rPr>
          <w:fldChar w:fldCharType="separate"/>
        </w:r>
        <w:r w:rsidR="0088117A">
          <w:rPr>
            <w:noProof/>
            <w:webHidden/>
          </w:rPr>
          <w:t>86</w:t>
        </w:r>
        <w:r w:rsidR="00464E53">
          <w:rPr>
            <w:noProof/>
            <w:webHidden/>
          </w:rPr>
          <w:fldChar w:fldCharType="end"/>
        </w:r>
      </w:hyperlink>
    </w:p>
    <w:p w14:paraId="0F4EB869" w14:textId="1B501A4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3" w:history="1">
        <w:r w:rsidR="00464E53" w:rsidRPr="00FF25EA">
          <w:rPr>
            <w:rStyle w:val="Hiperpovezava"/>
            <w:rFonts w:eastAsia="Calibri"/>
            <w:noProof/>
          </w:rPr>
          <w:t>Tabela 15: Bilanca proizvodnje in porabe konjskega mesa (t, klavna masa)</w:t>
        </w:r>
        <w:r w:rsidR="00464E53">
          <w:rPr>
            <w:noProof/>
            <w:webHidden/>
          </w:rPr>
          <w:tab/>
        </w:r>
        <w:r w:rsidR="00464E53">
          <w:rPr>
            <w:noProof/>
            <w:webHidden/>
          </w:rPr>
          <w:fldChar w:fldCharType="begin"/>
        </w:r>
        <w:r w:rsidR="00464E53">
          <w:rPr>
            <w:noProof/>
            <w:webHidden/>
          </w:rPr>
          <w:instrText xml:space="preserve"> PAGEREF _Toc86822653 \h </w:instrText>
        </w:r>
        <w:r w:rsidR="00464E53">
          <w:rPr>
            <w:noProof/>
            <w:webHidden/>
          </w:rPr>
        </w:r>
        <w:r w:rsidR="00464E53">
          <w:rPr>
            <w:noProof/>
            <w:webHidden/>
          </w:rPr>
          <w:fldChar w:fldCharType="separate"/>
        </w:r>
        <w:r w:rsidR="0088117A">
          <w:rPr>
            <w:noProof/>
            <w:webHidden/>
          </w:rPr>
          <w:t>86</w:t>
        </w:r>
        <w:r w:rsidR="00464E53">
          <w:rPr>
            <w:noProof/>
            <w:webHidden/>
          </w:rPr>
          <w:fldChar w:fldCharType="end"/>
        </w:r>
      </w:hyperlink>
    </w:p>
    <w:p w14:paraId="5A0550AF" w14:textId="3BA1C54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4" w:history="1">
        <w:r w:rsidR="00464E53" w:rsidRPr="00FF25EA">
          <w:rPr>
            <w:rStyle w:val="Hiperpovezava"/>
            <w:rFonts w:eastAsia="Calibri"/>
            <w:noProof/>
          </w:rPr>
          <w:t>Tabela 16: Število konj v ekološki reji in prireja ekološkega mesa</w:t>
        </w:r>
        <w:r w:rsidR="00464E53">
          <w:rPr>
            <w:noProof/>
            <w:webHidden/>
          </w:rPr>
          <w:tab/>
        </w:r>
        <w:r w:rsidR="00464E53">
          <w:rPr>
            <w:noProof/>
            <w:webHidden/>
          </w:rPr>
          <w:fldChar w:fldCharType="begin"/>
        </w:r>
        <w:r w:rsidR="00464E53">
          <w:rPr>
            <w:noProof/>
            <w:webHidden/>
          </w:rPr>
          <w:instrText xml:space="preserve"> PAGEREF _Toc86822654 \h </w:instrText>
        </w:r>
        <w:r w:rsidR="00464E53">
          <w:rPr>
            <w:noProof/>
            <w:webHidden/>
          </w:rPr>
        </w:r>
        <w:r w:rsidR="00464E53">
          <w:rPr>
            <w:noProof/>
            <w:webHidden/>
          </w:rPr>
          <w:fldChar w:fldCharType="separate"/>
        </w:r>
        <w:r w:rsidR="0088117A">
          <w:rPr>
            <w:noProof/>
            <w:webHidden/>
          </w:rPr>
          <w:t>87</w:t>
        </w:r>
        <w:r w:rsidR="00464E53">
          <w:rPr>
            <w:noProof/>
            <w:webHidden/>
          </w:rPr>
          <w:fldChar w:fldCharType="end"/>
        </w:r>
      </w:hyperlink>
    </w:p>
    <w:p w14:paraId="18F540CA" w14:textId="11ABCEAA"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5" w:history="1">
        <w:r w:rsidR="00464E53" w:rsidRPr="00FF25EA">
          <w:rPr>
            <w:rStyle w:val="Hiperpovezava"/>
            <w:rFonts w:eastAsia="Calibri"/>
            <w:noProof/>
          </w:rPr>
          <w:t>Tabela 17: Število kmetijskih gospodarstev ter osnovna in pridelovalna površina zelenjadnic pri tržnih pridelovalcih za leta 2010, 2013, 2016 in 2019</w:t>
        </w:r>
        <w:r w:rsidR="00464E53">
          <w:rPr>
            <w:noProof/>
            <w:webHidden/>
          </w:rPr>
          <w:tab/>
        </w:r>
        <w:r w:rsidR="00464E53">
          <w:rPr>
            <w:noProof/>
            <w:webHidden/>
          </w:rPr>
          <w:fldChar w:fldCharType="begin"/>
        </w:r>
        <w:r w:rsidR="00464E53">
          <w:rPr>
            <w:noProof/>
            <w:webHidden/>
          </w:rPr>
          <w:instrText xml:space="preserve"> PAGEREF _Toc86822655 \h </w:instrText>
        </w:r>
        <w:r w:rsidR="00464E53">
          <w:rPr>
            <w:noProof/>
            <w:webHidden/>
          </w:rPr>
        </w:r>
        <w:r w:rsidR="00464E53">
          <w:rPr>
            <w:noProof/>
            <w:webHidden/>
          </w:rPr>
          <w:fldChar w:fldCharType="separate"/>
        </w:r>
        <w:r w:rsidR="0088117A">
          <w:rPr>
            <w:noProof/>
            <w:webHidden/>
          </w:rPr>
          <w:t>89</w:t>
        </w:r>
        <w:r w:rsidR="00464E53">
          <w:rPr>
            <w:noProof/>
            <w:webHidden/>
          </w:rPr>
          <w:fldChar w:fldCharType="end"/>
        </w:r>
      </w:hyperlink>
    </w:p>
    <w:p w14:paraId="13C3387D" w14:textId="0D7A110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6" w:history="1">
        <w:r w:rsidR="00464E53" w:rsidRPr="00FF25EA">
          <w:rPr>
            <w:rStyle w:val="Hiperpovezava"/>
            <w:rFonts w:eastAsia="Calibri"/>
            <w:noProof/>
          </w:rPr>
          <w:t>Tabela 18: Podatek o površinah vinogradov po letih (ha)</w:t>
        </w:r>
        <w:r w:rsidR="00464E53">
          <w:rPr>
            <w:noProof/>
            <w:webHidden/>
          </w:rPr>
          <w:tab/>
        </w:r>
        <w:r w:rsidR="00464E53">
          <w:rPr>
            <w:noProof/>
            <w:webHidden/>
          </w:rPr>
          <w:fldChar w:fldCharType="begin"/>
        </w:r>
        <w:r w:rsidR="00464E53">
          <w:rPr>
            <w:noProof/>
            <w:webHidden/>
          </w:rPr>
          <w:instrText xml:space="preserve"> PAGEREF _Toc86822656 \h </w:instrText>
        </w:r>
        <w:r w:rsidR="00464E53">
          <w:rPr>
            <w:noProof/>
            <w:webHidden/>
          </w:rPr>
        </w:r>
        <w:r w:rsidR="00464E53">
          <w:rPr>
            <w:noProof/>
            <w:webHidden/>
          </w:rPr>
          <w:fldChar w:fldCharType="separate"/>
        </w:r>
        <w:r w:rsidR="0088117A">
          <w:rPr>
            <w:noProof/>
            <w:webHidden/>
          </w:rPr>
          <w:t>102</w:t>
        </w:r>
        <w:r w:rsidR="00464E53">
          <w:rPr>
            <w:noProof/>
            <w:webHidden/>
          </w:rPr>
          <w:fldChar w:fldCharType="end"/>
        </w:r>
      </w:hyperlink>
    </w:p>
    <w:p w14:paraId="435AC23E" w14:textId="3A582D6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7" w:history="1">
        <w:r w:rsidR="00464E53" w:rsidRPr="00FF25EA">
          <w:rPr>
            <w:rStyle w:val="Hiperpovezava"/>
            <w:rFonts w:eastAsia="Calibri"/>
            <w:noProof/>
          </w:rPr>
          <w:t>Tabela 19: Količina pridelka vina po letih, prijavljena v RPGV (v 1000 litrih)</w:t>
        </w:r>
        <w:r w:rsidR="00464E53">
          <w:rPr>
            <w:noProof/>
            <w:webHidden/>
          </w:rPr>
          <w:tab/>
        </w:r>
        <w:r w:rsidR="00464E53">
          <w:rPr>
            <w:noProof/>
            <w:webHidden/>
          </w:rPr>
          <w:fldChar w:fldCharType="begin"/>
        </w:r>
        <w:r w:rsidR="00464E53">
          <w:rPr>
            <w:noProof/>
            <w:webHidden/>
          </w:rPr>
          <w:instrText xml:space="preserve"> PAGEREF _Toc86822657 \h </w:instrText>
        </w:r>
        <w:r w:rsidR="00464E53">
          <w:rPr>
            <w:noProof/>
            <w:webHidden/>
          </w:rPr>
        </w:r>
        <w:r w:rsidR="00464E53">
          <w:rPr>
            <w:noProof/>
            <w:webHidden/>
          </w:rPr>
          <w:fldChar w:fldCharType="separate"/>
        </w:r>
        <w:r w:rsidR="0088117A">
          <w:rPr>
            <w:noProof/>
            <w:webHidden/>
          </w:rPr>
          <w:t>102</w:t>
        </w:r>
        <w:r w:rsidR="00464E53">
          <w:rPr>
            <w:noProof/>
            <w:webHidden/>
          </w:rPr>
          <w:fldChar w:fldCharType="end"/>
        </w:r>
      </w:hyperlink>
    </w:p>
    <w:p w14:paraId="0BDA8C29" w14:textId="4D2A660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8" w:history="1">
        <w:r w:rsidR="00464E53" w:rsidRPr="00FF25EA">
          <w:rPr>
            <w:rStyle w:val="Hiperpovezava"/>
            <w:rFonts w:eastAsia="Calibri"/>
            <w:noProof/>
          </w:rPr>
          <w:t>Tabela 20: Povprečna cena odkupljenega grozdja</w:t>
        </w:r>
        <w:r w:rsidR="00464E53">
          <w:rPr>
            <w:noProof/>
            <w:webHidden/>
          </w:rPr>
          <w:tab/>
        </w:r>
        <w:r w:rsidR="00464E53">
          <w:rPr>
            <w:noProof/>
            <w:webHidden/>
          </w:rPr>
          <w:fldChar w:fldCharType="begin"/>
        </w:r>
        <w:r w:rsidR="00464E53">
          <w:rPr>
            <w:noProof/>
            <w:webHidden/>
          </w:rPr>
          <w:instrText xml:space="preserve"> PAGEREF _Toc86822658 \h </w:instrText>
        </w:r>
        <w:r w:rsidR="00464E53">
          <w:rPr>
            <w:noProof/>
            <w:webHidden/>
          </w:rPr>
        </w:r>
        <w:r w:rsidR="00464E53">
          <w:rPr>
            <w:noProof/>
            <w:webHidden/>
          </w:rPr>
          <w:fldChar w:fldCharType="separate"/>
        </w:r>
        <w:r w:rsidR="0088117A">
          <w:rPr>
            <w:noProof/>
            <w:webHidden/>
          </w:rPr>
          <w:t>103</w:t>
        </w:r>
        <w:r w:rsidR="00464E53">
          <w:rPr>
            <w:noProof/>
            <w:webHidden/>
          </w:rPr>
          <w:fldChar w:fldCharType="end"/>
        </w:r>
      </w:hyperlink>
    </w:p>
    <w:p w14:paraId="5A3FA6E2" w14:textId="730E168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59" w:history="1">
        <w:r w:rsidR="00464E53" w:rsidRPr="00FF25EA">
          <w:rPr>
            <w:rStyle w:val="Hiperpovezava"/>
            <w:rFonts w:eastAsia="Calibri"/>
            <w:noProof/>
          </w:rPr>
          <w:t>Tabela 21: Potrjene površine semenskih posevkov (v ha) od leta 2014 do 2019 po skupinah rastlin v primerjavi s povprečnimi površinami v obdobju 2000–2004 in 2009–2013</w:t>
        </w:r>
        <w:r w:rsidR="00464E53">
          <w:rPr>
            <w:noProof/>
            <w:webHidden/>
          </w:rPr>
          <w:tab/>
        </w:r>
        <w:r w:rsidR="00464E53">
          <w:rPr>
            <w:noProof/>
            <w:webHidden/>
          </w:rPr>
          <w:fldChar w:fldCharType="begin"/>
        </w:r>
        <w:r w:rsidR="00464E53">
          <w:rPr>
            <w:noProof/>
            <w:webHidden/>
          </w:rPr>
          <w:instrText xml:space="preserve"> PAGEREF _Toc86822659 \h </w:instrText>
        </w:r>
        <w:r w:rsidR="00464E53">
          <w:rPr>
            <w:noProof/>
            <w:webHidden/>
          </w:rPr>
        </w:r>
        <w:r w:rsidR="00464E53">
          <w:rPr>
            <w:noProof/>
            <w:webHidden/>
          </w:rPr>
          <w:fldChar w:fldCharType="separate"/>
        </w:r>
        <w:r w:rsidR="0088117A">
          <w:rPr>
            <w:noProof/>
            <w:webHidden/>
          </w:rPr>
          <w:t>114</w:t>
        </w:r>
        <w:r w:rsidR="00464E53">
          <w:rPr>
            <w:noProof/>
            <w:webHidden/>
          </w:rPr>
          <w:fldChar w:fldCharType="end"/>
        </w:r>
      </w:hyperlink>
    </w:p>
    <w:p w14:paraId="56F20976" w14:textId="39BFDFB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0" w:history="1">
        <w:r w:rsidR="00464E53" w:rsidRPr="00FF25EA">
          <w:rPr>
            <w:rStyle w:val="Hiperpovezava"/>
            <w:rFonts w:eastAsia="Calibri"/>
            <w:noProof/>
          </w:rPr>
          <w:t>Tabela 22: Delež uradno pridelanega domačega semena v Sloveniji</w:t>
        </w:r>
        <w:r w:rsidR="00464E53">
          <w:rPr>
            <w:noProof/>
            <w:webHidden/>
          </w:rPr>
          <w:tab/>
        </w:r>
        <w:r w:rsidR="00464E53">
          <w:rPr>
            <w:noProof/>
            <w:webHidden/>
          </w:rPr>
          <w:fldChar w:fldCharType="begin"/>
        </w:r>
        <w:r w:rsidR="00464E53">
          <w:rPr>
            <w:noProof/>
            <w:webHidden/>
          </w:rPr>
          <w:instrText xml:space="preserve"> PAGEREF _Toc86822660 \h </w:instrText>
        </w:r>
        <w:r w:rsidR="00464E53">
          <w:rPr>
            <w:noProof/>
            <w:webHidden/>
          </w:rPr>
        </w:r>
        <w:r w:rsidR="00464E53">
          <w:rPr>
            <w:noProof/>
            <w:webHidden/>
          </w:rPr>
          <w:fldChar w:fldCharType="separate"/>
        </w:r>
        <w:r w:rsidR="0088117A">
          <w:rPr>
            <w:noProof/>
            <w:webHidden/>
          </w:rPr>
          <w:t>116</w:t>
        </w:r>
        <w:r w:rsidR="00464E53">
          <w:rPr>
            <w:noProof/>
            <w:webHidden/>
          </w:rPr>
          <w:fldChar w:fldCharType="end"/>
        </w:r>
      </w:hyperlink>
    </w:p>
    <w:p w14:paraId="1E61DA26" w14:textId="47FF23D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1" w:history="1">
        <w:r w:rsidR="00464E53" w:rsidRPr="00FF25EA">
          <w:rPr>
            <w:rStyle w:val="Hiperpovezava"/>
            <w:rFonts w:eastAsia="Calibri"/>
            <w:noProof/>
          </w:rPr>
          <w:t>Tabela 23: Izvoz in uvoz žita v obliki zrnja (2015–2019)</w:t>
        </w:r>
        <w:r w:rsidR="00464E53">
          <w:rPr>
            <w:noProof/>
            <w:webHidden/>
          </w:rPr>
          <w:tab/>
        </w:r>
        <w:r w:rsidR="00464E53">
          <w:rPr>
            <w:noProof/>
            <w:webHidden/>
          </w:rPr>
          <w:fldChar w:fldCharType="begin"/>
        </w:r>
        <w:r w:rsidR="00464E53">
          <w:rPr>
            <w:noProof/>
            <w:webHidden/>
          </w:rPr>
          <w:instrText xml:space="preserve"> PAGEREF _Toc86822661 \h </w:instrText>
        </w:r>
        <w:r w:rsidR="00464E53">
          <w:rPr>
            <w:noProof/>
            <w:webHidden/>
          </w:rPr>
        </w:r>
        <w:r w:rsidR="00464E53">
          <w:rPr>
            <w:noProof/>
            <w:webHidden/>
          </w:rPr>
          <w:fldChar w:fldCharType="separate"/>
        </w:r>
        <w:r w:rsidR="0088117A">
          <w:rPr>
            <w:noProof/>
            <w:webHidden/>
          </w:rPr>
          <w:t>119</w:t>
        </w:r>
        <w:r w:rsidR="00464E53">
          <w:rPr>
            <w:noProof/>
            <w:webHidden/>
          </w:rPr>
          <w:fldChar w:fldCharType="end"/>
        </w:r>
      </w:hyperlink>
    </w:p>
    <w:p w14:paraId="2AFA94F6" w14:textId="43FC6C3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2" w:history="1">
        <w:r w:rsidR="00464E53" w:rsidRPr="00FF25EA">
          <w:rPr>
            <w:rStyle w:val="Hiperpovezava"/>
            <w:rFonts w:eastAsia="Calibri"/>
            <w:noProof/>
          </w:rPr>
          <w:t>Tabela 24: Gibanje pomembnejših kazalnikov poslovanja živilskopredelovalne industrije; 2014-2019</w:t>
        </w:r>
        <w:r w:rsidR="00464E53">
          <w:rPr>
            <w:noProof/>
            <w:webHidden/>
          </w:rPr>
          <w:tab/>
        </w:r>
        <w:r w:rsidR="00464E53">
          <w:rPr>
            <w:noProof/>
            <w:webHidden/>
          </w:rPr>
          <w:fldChar w:fldCharType="begin"/>
        </w:r>
        <w:r w:rsidR="00464E53">
          <w:rPr>
            <w:noProof/>
            <w:webHidden/>
          </w:rPr>
          <w:instrText xml:space="preserve"> PAGEREF _Toc86822662 \h </w:instrText>
        </w:r>
        <w:r w:rsidR="00464E53">
          <w:rPr>
            <w:noProof/>
            <w:webHidden/>
          </w:rPr>
        </w:r>
        <w:r w:rsidR="00464E53">
          <w:rPr>
            <w:noProof/>
            <w:webHidden/>
          </w:rPr>
          <w:fldChar w:fldCharType="separate"/>
        </w:r>
        <w:r w:rsidR="0088117A">
          <w:rPr>
            <w:noProof/>
            <w:webHidden/>
          </w:rPr>
          <w:t>125</w:t>
        </w:r>
        <w:r w:rsidR="00464E53">
          <w:rPr>
            <w:noProof/>
            <w:webHidden/>
          </w:rPr>
          <w:fldChar w:fldCharType="end"/>
        </w:r>
      </w:hyperlink>
    </w:p>
    <w:p w14:paraId="6A315AD6" w14:textId="411884FA"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3" w:history="1">
        <w:r w:rsidR="00464E53" w:rsidRPr="00FF25EA">
          <w:rPr>
            <w:rStyle w:val="Hiperpovezava"/>
            <w:rFonts w:eastAsia="Calibri"/>
            <w:noProof/>
          </w:rPr>
          <w:t>Tabela 25: Delež proizvodnje hrane in pijač (C10 in C11) v predelovalni dejavnosti (C); 2014–2019</w:t>
        </w:r>
        <w:r w:rsidR="00464E53">
          <w:rPr>
            <w:noProof/>
            <w:webHidden/>
          </w:rPr>
          <w:tab/>
        </w:r>
        <w:r w:rsidR="00464E53">
          <w:rPr>
            <w:noProof/>
            <w:webHidden/>
          </w:rPr>
          <w:fldChar w:fldCharType="begin"/>
        </w:r>
        <w:r w:rsidR="00464E53">
          <w:rPr>
            <w:noProof/>
            <w:webHidden/>
          </w:rPr>
          <w:instrText xml:space="preserve"> PAGEREF _Toc86822663 \h </w:instrText>
        </w:r>
        <w:r w:rsidR="00464E53">
          <w:rPr>
            <w:noProof/>
            <w:webHidden/>
          </w:rPr>
        </w:r>
        <w:r w:rsidR="00464E53">
          <w:rPr>
            <w:noProof/>
            <w:webHidden/>
          </w:rPr>
          <w:fldChar w:fldCharType="separate"/>
        </w:r>
        <w:r w:rsidR="0088117A">
          <w:rPr>
            <w:noProof/>
            <w:webHidden/>
          </w:rPr>
          <w:t>125</w:t>
        </w:r>
        <w:r w:rsidR="00464E53">
          <w:rPr>
            <w:noProof/>
            <w:webHidden/>
          </w:rPr>
          <w:fldChar w:fldCharType="end"/>
        </w:r>
      </w:hyperlink>
    </w:p>
    <w:p w14:paraId="0276A9CC" w14:textId="238E354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4" w:history="1">
        <w:r w:rsidR="00464E53" w:rsidRPr="00FF25EA">
          <w:rPr>
            <w:rStyle w:val="Hiperpovezava"/>
            <w:rFonts w:eastAsia="Calibri"/>
            <w:noProof/>
          </w:rPr>
          <w:t>Tabela 26: Indeksi obsega industrijske proizvodnje (predhodno leto = 100); 2014–2019</w:t>
        </w:r>
        <w:r w:rsidR="00464E53">
          <w:rPr>
            <w:noProof/>
            <w:webHidden/>
          </w:rPr>
          <w:tab/>
        </w:r>
        <w:r w:rsidR="00464E53">
          <w:rPr>
            <w:noProof/>
            <w:webHidden/>
          </w:rPr>
          <w:fldChar w:fldCharType="begin"/>
        </w:r>
        <w:r w:rsidR="00464E53">
          <w:rPr>
            <w:noProof/>
            <w:webHidden/>
          </w:rPr>
          <w:instrText xml:space="preserve"> PAGEREF _Toc86822664 \h </w:instrText>
        </w:r>
        <w:r w:rsidR="00464E53">
          <w:rPr>
            <w:noProof/>
            <w:webHidden/>
          </w:rPr>
        </w:r>
        <w:r w:rsidR="00464E53">
          <w:rPr>
            <w:noProof/>
            <w:webHidden/>
          </w:rPr>
          <w:fldChar w:fldCharType="separate"/>
        </w:r>
        <w:r w:rsidR="0088117A">
          <w:rPr>
            <w:noProof/>
            <w:webHidden/>
          </w:rPr>
          <w:t>127</w:t>
        </w:r>
        <w:r w:rsidR="00464E53">
          <w:rPr>
            <w:noProof/>
            <w:webHidden/>
          </w:rPr>
          <w:fldChar w:fldCharType="end"/>
        </w:r>
      </w:hyperlink>
    </w:p>
    <w:p w14:paraId="1D5CB9B9" w14:textId="479B4EB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5" w:history="1">
        <w:r w:rsidR="00464E53" w:rsidRPr="00FF25EA">
          <w:rPr>
            <w:rStyle w:val="Hiperpovezava"/>
            <w:rFonts w:eastAsia="Calibri"/>
            <w:noProof/>
          </w:rPr>
          <w:t>Tabela 27: Indeksi cen pri proizvajalcih (nominalno, predhodno leto = 100); 2014–2019</w:t>
        </w:r>
        <w:r w:rsidR="00464E53">
          <w:rPr>
            <w:noProof/>
            <w:webHidden/>
          </w:rPr>
          <w:tab/>
        </w:r>
        <w:r w:rsidR="00464E53">
          <w:rPr>
            <w:noProof/>
            <w:webHidden/>
          </w:rPr>
          <w:fldChar w:fldCharType="begin"/>
        </w:r>
        <w:r w:rsidR="00464E53">
          <w:rPr>
            <w:noProof/>
            <w:webHidden/>
          </w:rPr>
          <w:instrText xml:space="preserve"> PAGEREF _Toc86822665 \h </w:instrText>
        </w:r>
        <w:r w:rsidR="00464E53">
          <w:rPr>
            <w:noProof/>
            <w:webHidden/>
          </w:rPr>
        </w:r>
        <w:r w:rsidR="00464E53">
          <w:rPr>
            <w:noProof/>
            <w:webHidden/>
          </w:rPr>
          <w:fldChar w:fldCharType="separate"/>
        </w:r>
        <w:r w:rsidR="0088117A">
          <w:rPr>
            <w:noProof/>
            <w:webHidden/>
          </w:rPr>
          <w:t>128</w:t>
        </w:r>
        <w:r w:rsidR="00464E53">
          <w:rPr>
            <w:noProof/>
            <w:webHidden/>
          </w:rPr>
          <w:fldChar w:fldCharType="end"/>
        </w:r>
      </w:hyperlink>
    </w:p>
    <w:p w14:paraId="094DB40C" w14:textId="6D9AA7D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6" w:history="1">
        <w:r w:rsidR="00464E53" w:rsidRPr="00FF25EA">
          <w:rPr>
            <w:rStyle w:val="Hiperpovezava"/>
            <w:rFonts w:eastAsia="Calibri"/>
            <w:noProof/>
          </w:rPr>
          <w:t>Tabela 28: Število dovoljenj za opravljanje najpogostejših dopolnilnih dejavnosti predelava primarnih kmetijskih pridelkov</w:t>
        </w:r>
        <w:r w:rsidR="00464E53">
          <w:rPr>
            <w:noProof/>
            <w:webHidden/>
          </w:rPr>
          <w:tab/>
        </w:r>
        <w:r w:rsidR="00464E53">
          <w:rPr>
            <w:noProof/>
            <w:webHidden/>
          </w:rPr>
          <w:fldChar w:fldCharType="begin"/>
        </w:r>
        <w:r w:rsidR="00464E53">
          <w:rPr>
            <w:noProof/>
            <w:webHidden/>
          </w:rPr>
          <w:instrText xml:space="preserve"> PAGEREF _Toc86822666 \h </w:instrText>
        </w:r>
        <w:r w:rsidR="00464E53">
          <w:rPr>
            <w:noProof/>
            <w:webHidden/>
          </w:rPr>
        </w:r>
        <w:r w:rsidR="00464E53">
          <w:rPr>
            <w:noProof/>
            <w:webHidden/>
          </w:rPr>
          <w:fldChar w:fldCharType="separate"/>
        </w:r>
        <w:r w:rsidR="0088117A">
          <w:rPr>
            <w:noProof/>
            <w:webHidden/>
          </w:rPr>
          <w:t>135</w:t>
        </w:r>
        <w:r w:rsidR="00464E53">
          <w:rPr>
            <w:noProof/>
            <w:webHidden/>
          </w:rPr>
          <w:fldChar w:fldCharType="end"/>
        </w:r>
      </w:hyperlink>
    </w:p>
    <w:p w14:paraId="0500DF91" w14:textId="19E6B51C"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7" w:history="1">
        <w:r w:rsidR="00464E53" w:rsidRPr="00FF25EA">
          <w:rPr>
            <w:rStyle w:val="Hiperpovezava"/>
            <w:rFonts w:eastAsia="Calibri"/>
            <w:noProof/>
          </w:rPr>
          <w:t>Tabela 29: Skupna vrednost kmetijsko-živilske trgovine, po posameznih letih v obdobju 2010-2020, v mrd EUR</w:t>
        </w:r>
        <w:r w:rsidR="00464E53">
          <w:rPr>
            <w:noProof/>
            <w:webHidden/>
          </w:rPr>
          <w:tab/>
        </w:r>
        <w:r w:rsidR="00464E53">
          <w:rPr>
            <w:noProof/>
            <w:webHidden/>
          </w:rPr>
          <w:fldChar w:fldCharType="begin"/>
        </w:r>
        <w:r w:rsidR="00464E53">
          <w:rPr>
            <w:noProof/>
            <w:webHidden/>
          </w:rPr>
          <w:instrText xml:space="preserve"> PAGEREF _Toc86822667 \h </w:instrText>
        </w:r>
        <w:r w:rsidR="00464E53">
          <w:rPr>
            <w:noProof/>
            <w:webHidden/>
          </w:rPr>
        </w:r>
        <w:r w:rsidR="00464E53">
          <w:rPr>
            <w:noProof/>
            <w:webHidden/>
          </w:rPr>
          <w:fldChar w:fldCharType="separate"/>
        </w:r>
        <w:r w:rsidR="0088117A">
          <w:rPr>
            <w:noProof/>
            <w:webHidden/>
          </w:rPr>
          <w:t>138</w:t>
        </w:r>
        <w:r w:rsidR="00464E53">
          <w:rPr>
            <w:noProof/>
            <w:webHidden/>
          </w:rPr>
          <w:fldChar w:fldCharType="end"/>
        </w:r>
      </w:hyperlink>
    </w:p>
    <w:p w14:paraId="0D8D81CA" w14:textId="2A0B7D7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8" w:history="1">
        <w:r w:rsidR="00464E53" w:rsidRPr="00FF25EA">
          <w:rPr>
            <w:rStyle w:val="Hiperpovezava"/>
            <w:rFonts w:eastAsia="Calibri"/>
            <w:noProof/>
          </w:rPr>
          <w:t>Tabela 30: Blagovna menjava agroživilskih proizvodov; 2015-2019</w:t>
        </w:r>
        <w:r w:rsidR="00464E53">
          <w:rPr>
            <w:noProof/>
            <w:webHidden/>
          </w:rPr>
          <w:tab/>
        </w:r>
        <w:r w:rsidR="00464E53">
          <w:rPr>
            <w:noProof/>
            <w:webHidden/>
          </w:rPr>
          <w:fldChar w:fldCharType="begin"/>
        </w:r>
        <w:r w:rsidR="00464E53">
          <w:rPr>
            <w:noProof/>
            <w:webHidden/>
          </w:rPr>
          <w:instrText xml:space="preserve"> PAGEREF _Toc86822668 \h </w:instrText>
        </w:r>
        <w:r w:rsidR="00464E53">
          <w:rPr>
            <w:noProof/>
            <w:webHidden/>
          </w:rPr>
        </w:r>
        <w:r w:rsidR="00464E53">
          <w:rPr>
            <w:noProof/>
            <w:webHidden/>
          </w:rPr>
          <w:fldChar w:fldCharType="separate"/>
        </w:r>
        <w:r w:rsidR="0088117A">
          <w:rPr>
            <w:noProof/>
            <w:webHidden/>
          </w:rPr>
          <w:t>139</w:t>
        </w:r>
        <w:r w:rsidR="00464E53">
          <w:rPr>
            <w:noProof/>
            <w:webHidden/>
          </w:rPr>
          <w:fldChar w:fldCharType="end"/>
        </w:r>
      </w:hyperlink>
    </w:p>
    <w:p w14:paraId="08B8DA22" w14:textId="2981D2FC"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69" w:history="1">
        <w:r w:rsidR="00464E53" w:rsidRPr="00FF25EA">
          <w:rPr>
            <w:rStyle w:val="Hiperpovezava"/>
            <w:rFonts w:eastAsia="Calibri"/>
            <w:noProof/>
          </w:rPr>
          <w:t>Tabela 31: Gozdni lesni sortimenti, pridobljeni v Sloveniji (000 m</w:t>
        </w:r>
        <w:r w:rsidR="00464E53" w:rsidRPr="00FF25EA">
          <w:rPr>
            <w:rStyle w:val="Hiperpovezava"/>
            <w:rFonts w:eastAsia="Calibri"/>
            <w:noProof/>
            <w:vertAlign w:val="superscript"/>
          </w:rPr>
          <w:t>3</w:t>
        </w:r>
        <w:r w:rsidR="00464E53" w:rsidRPr="00FF25EA">
          <w:rPr>
            <w:rStyle w:val="Hiperpovezava"/>
            <w:rFonts w:eastAsia="Calibri"/>
            <w:noProof/>
          </w:rPr>
          <w:t>): 2009–2020</w:t>
        </w:r>
        <w:r w:rsidR="00464E53">
          <w:rPr>
            <w:noProof/>
            <w:webHidden/>
          </w:rPr>
          <w:tab/>
        </w:r>
        <w:r w:rsidR="00464E53">
          <w:rPr>
            <w:noProof/>
            <w:webHidden/>
          </w:rPr>
          <w:fldChar w:fldCharType="begin"/>
        </w:r>
        <w:r w:rsidR="00464E53">
          <w:rPr>
            <w:noProof/>
            <w:webHidden/>
          </w:rPr>
          <w:instrText xml:space="preserve"> PAGEREF _Toc86822669 \h </w:instrText>
        </w:r>
        <w:r w:rsidR="00464E53">
          <w:rPr>
            <w:noProof/>
            <w:webHidden/>
          </w:rPr>
        </w:r>
        <w:r w:rsidR="00464E53">
          <w:rPr>
            <w:noProof/>
            <w:webHidden/>
          </w:rPr>
          <w:fldChar w:fldCharType="separate"/>
        </w:r>
        <w:r w:rsidR="0088117A">
          <w:rPr>
            <w:noProof/>
            <w:webHidden/>
          </w:rPr>
          <w:t>151</w:t>
        </w:r>
        <w:r w:rsidR="00464E53">
          <w:rPr>
            <w:noProof/>
            <w:webHidden/>
          </w:rPr>
          <w:fldChar w:fldCharType="end"/>
        </w:r>
      </w:hyperlink>
    </w:p>
    <w:p w14:paraId="36950339" w14:textId="17B9ECB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0" w:history="1">
        <w:r w:rsidR="00464E53" w:rsidRPr="00FF25EA">
          <w:rPr>
            <w:rStyle w:val="Hiperpovezava"/>
            <w:rFonts w:eastAsia="Calibri"/>
            <w:noProof/>
          </w:rPr>
          <w:t>Tabela 32: Izvoz gozdnih lesnih sortimentov (000 m</w:t>
        </w:r>
        <w:r w:rsidR="00464E53" w:rsidRPr="00FF25EA">
          <w:rPr>
            <w:rStyle w:val="Hiperpovezava"/>
            <w:rFonts w:eastAsia="Calibri"/>
            <w:noProof/>
            <w:vertAlign w:val="superscript"/>
          </w:rPr>
          <w:t>3</w:t>
        </w:r>
        <w:r w:rsidR="00464E53" w:rsidRPr="00FF25EA">
          <w:rPr>
            <w:rStyle w:val="Hiperpovezava"/>
            <w:rFonts w:eastAsia="Calibri"/>
            <w:noProof/>
          </w:rPr>
          <w:t>); 2013–2020</w:t>
        </w:r>
        <w:r w:rsidR="00464E53">
          <w:rPr>
            <w:noProof/>
            <w:webHidden/>
          </w:rPr>
          <w:tab/>
        </w:r>
        <w:r w:rsidR="00464E53">
          <w:rPr>
            <w:noProof/>
            <w:webHidden/>
          </w:rPr>
          <w:fldChar w:fldCharType="begin"/>
        </w:r>
        <w:r w:rsidR="00464E53">
          <w:rPr>
            <w:noProof/>
            <w:webHidden/>
          </w:rPr>
          <w:instrText xml:space="preserve"> PAGEREF _Toc86822670 \h </w:instrText>
        </w:r>
        <w:r w:rsidR="00464E53">
          <w:rPr>
            <w:noProof/>
            <w:webHidden/>
          </w:rPr>
        </w:r>
        <w:r w:rsidR="00464E53">
          <w:rPr>
            <w:noProof/>
            <w:webHidden/>
          </w:rPr>
          <w:fldChar w:fldCharType="separate"/>
        </w:r>
        <w:r w:rsidR="0088117A">
          <w:rPr>
            <w:noProof/>
            <w:webHidden/>
          </w:rPr>
          <w:t>152</w:t>
        </w:r>
        <w:r w:rsidR="00464E53">
          <w:rPr>
            <w:noProof/>
            <w:webHidden/>
          </w:rPr>
          <w:fldChar w:fldCharType="end"/>
        </w:r>
      </w:hyperlink>
    </w:p>
    <w:p w14:paraId="0DA97661" w14:textId="5B5D4D5C"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1" w:history="1">
        <w:r w:rsidR="00464E53" w:rsidRPr="00FF25EA">
          <w:rPr>
            <w:rStyle w:val="Hiperpovezava"/>
            <w:rFonts w:eastAsia="Calibri"/>
            <w:noProof/>
          </w:rPr>
          <w:t>Tabela 33: Uvoz gozdnih lesnih sortimentov (000 m</w:t>
        </w:r>
        <w:r w:rsidR="00464E53" w:rsidRPr="00FF25EA">
          <w:rPr>
            <w:rStyle w:val="Hiperpovezava"/>
            <w:rFonts w:eastAsia="Calibri"/>
            <w:noProof/>
            <w:vertAlign w:val="superscript"/>
          </w:rPr>
          <w:t>3</w:t>
        </w:r>
        <w:r w:rsidR="00464E53" w:rsidRPr="00FF25EA">
          <w:rPr>
            <w:rStyle w:val="Hiperpovezava"/>
            <w:rFonts w:eastAsia="Calibri"/>
            <w:noProof/>
          </w:rPr>
          <w:t>); 2013–2020</w:t>
        </w:r>
        <w:r w:rsidR="00464E53">
          <w:rPr>
            <w:noProof/>
            <w:webHidden/>
          </w:rPr>
          <w:tab/>
        </w:r>
        <w:r w:rsidR="00464E53">
          <w:rPr>
            <w:noProof/>
            <w:webHidden/>
          </w:rPr>
          <w:fldChar w:fldCharType="begin"/>
        </w:r>
        <w:r w:rsidR="00464E53">
          <w:rPr>
            <w:noProof/>
            <w:webHidden/>
          </w:rPr>
          <w:instrText xml:space="preserve"> PAGEREF _Toc86822671 \h </w:instrText>
        </w:r>
        <w:r w:rsidR="00464E53">
          <w:rPr>
            <w:noProof/>
            <w:webHidden/>
          </w:rPr>
        </w:r>
        <w:r w:rsidR="00464E53">
          <w:rPr>
            <w:noProof/>
            <w:webHidden/>
          </w:rPr>
          <w:fldChar w:fldCharType="separate"/>
        </w:r>
        <w:r w:rsidR="0088117A">
          <w:rPr>
            <w:noProof/>
            <w:webHidden/>
          </w:rPr>
          <w:t>152</w:t>
        </w:r>
        <w:r w:rsidR="00464E53">
          <w:rPr>
            <w:noProof/>
            <w:webHidden/>
          </w:rPr>
          <w:fldChar w:fldCharType="end"/>
        </w:r>
      </w:hyperlink>
    </w:p>
    <w:p w14:paraId="392F2475" w14:textId="7D54D6D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2" w:history="1">
        <w:r w:rsidR="00464E53" w:rsidRPr="00FF25EA">
          <w:rPr>
            <w:rStyle w:val="Hiperpovezava"/>
            <w:rFonts w:eastAsia="Calibri"/>
            <w:noProof/>
          </w:rPr>
          <w:t>Tabela 34: Temeljni agregati ekonomskih računov za gozdarstvo</w:t>
        </w:r>
        <w:r w:rsidR="00464E53">
          <w:rPr>
            <w:noProof/>
            <w:webHidden/>
          </w:rPr>
          <w:tab/>
        </w:r>
        <w:r w:rsidR="00464E53">
          <w:rPr>
            <w:noProof/>
            <w:webHidden/>
          </w:rPr>
          <w:fldChar w:fldCharType="begin"/>
        </w:r>
        <w:r w:rsidR="00464E53">
          <w:rPr>
            <w:noProof/>
            <w:webHidden/>
          </w:rPr>
          <w:instrText xml:space="preserve"> PAGEREF _Toc86822672 \h </w:instrText>
        </w:r>
        <w:r w:rsidR="00464E53">
          <w:rPr>
            <w:noProof/>
            <w:webHidden/>
          </w:rPr>
        </w:r>
        <w:r w:rsidR="00464E53">
          <w:rPr>
            <w:noProof/>
            <w:webHidden/>
          </w:rPr>
          <w:fldChar w:fldCharType="separate"/>
        </w:r>
        <w:r w:rsidR="0088117A">
          <w:rPr>
            <w:noProof/>
            <w:webHidden/>
          </w:rPr>
          <w:t>156</w:t>
        </w:r>
        <w:r w:rsidR="00464E53">
          <w:rPr>
            <w:noProof/>
            <w:webHidden/>
          </w:rPr>
          <w:fldChar w:fldCharType="end"/>
        </w:r>
      </w:hyperlink>
    </w:p>
    <w:p w14:paraId="25F56548" w14:textId="2E054469" w:rsidR="00EA3ECA" w:rsidRDefault="00EA3ECA">
      <w:pPr>
        <w:spacing w:before="0" w:after="200" w:line="276" w:lineRule="auto"/>
        <w:jc w:val="left"/>
        <w:rPr>
          <w:b/>
          <w:sz w:val="20"/>
          <w:szCs w:val="20"/>
          <w:lang w:eastAsia="en-US"/>
        </w:rPr>
      </w:pPr>
      <w:r w:rsidRPr="0047652B">
        <w:rPr>
          <w:sz w:val="20"/>
          <w:szCs w:val="20"/>
          <w:lang w:eastAsia="en-US"/>
        </w:rPr>
        <w:fldChar w:fldCharType="end"/>
      </w:r>
      <w:r>
        <w:rPr>
          <w:b/>
          <w:sz w:val="20"/>
          <w:szCs w:val="20"/>
          <w:lang w:eastAsia="en-US"/>
        </w:rPr>
        <w:br w:type="page"/>
      </w:r>
    </w:p>
    <w:p w14:paraId="523B5239" w14:textId="77777777" w:rsidR="00744809" w:rsidRPr="009F3567" w:rsidRDefault="00EA3ECA" w:rsidP="009F3567">
      <w:pPr>
        <w:spacing w:before="0" w:line="276" w:lineRule="auto"/>
        <w:ind w:left="709" w:right="567" w:hanging="709"/>
        <w:jc w:val="left"/>
        <w:rPr>
          <w:b/>
          <w:sz w:val="24"/>
          <w:szCs w:val="20"/>
          <w:lang w:eastAsia="en-US"/>
        </w:rPr>
      </w:pPr>
      <w:r w:rsidRPr="009F3567">
        <w:rPr>
          <w:b/>
          <w:sz w:val="24"/>
          <w:szCs w:val="20"/>
          <w:lang w:eastAsia="en-US"/>
        </w:rPr>
        <w:lastRenderedPageBreak/>
        <w:t xml:space="preserve">Kazalo </w:t>
      </w:r>
      <w:r w:rsidR="00CD02E0" w:rsidRPr="009F3567">
        <w:rPr>
          <w:b/>
          <w:sz w:val="24"/>
          <w:szCs w:val="20"/>
          <w:lang w:eastAsia="en-US"/>
        </w:rPr>
        <w:t>slik</w:t>
      </w:r>
    </w:p>
    <w:p w14:paraId="3801C4DE" w14:textId="07E5AE0A" w:rsidR="00464E53" w:rsidRDefault="00EA1952">
      <w:pPr>
        <w:pStyle w:val="Kazaloslik"/>
        <w:tabs>
          <w:tab w:val="right" w:leader="dot" w:pos="9062"/>
        </w:tabs>
        <w:rPr>
          <w:rFonts w:asciiTheme="minorHAnsi" w:eastAsiaTheme="minorEastAsia" w:hAnsiTheme="minorHAnsi" w:cstheme="minorBidi"/>
          <w:noProof/>
          <w:szCs w:val="22"/>
          <w:lang w:eastAsia="sl-SI"/>
        </w:rPr>
      </w:pPr>
      <w:r w:rsidRPr="0047652B">
        <w:rPr>
          <w:sz w:val="20"/>
          <w:szCs w:val="20"/>
          <w:lang w:eastAsia="en-US"/>
        </w:rPr>
        <w:fldChar w:fldCharType="begin"/>
      </w:r>
      <w:r w:rsidRPr="0047652B">
        <w:rPr>
          <w:sz w:val="20"/>
          <w:szCs w:val="20"/>
          <w:lang w:eastAsia="en-US"/>
        </w:rPr>
        <w:instrText xml:space="preserve"> TOC \h \z \c "Slika" </w:instrText>
      </w:r>
      <w:r w:rsidRPr="0047652B">
        <w:rPr>
          <w:sz w:val="20"/>
          <w:szCs w:val="20"/>
          <w:lang w:eastAsia="en-US"/>
        </w:rPr>
        <w:fldChar w:fldCharType="separate"/>
      </w:r>
      <w:hyperlink w:anchor="_Toc86822673" w:history="1">
        <w:r w:rsidR="00464E53" w:rsidRPr="0068547E">
          <w:rPr>
            <w:rStyle w:val="Hiperpovezava"/>
            <w:rFonts w:eastAsia="Calibri"/>
            <w:noProof/>
          </w:rPr>
          <w:t>Slika 1: BDP na prebivalca, indeks standarda kupne moči EU-28=100;</w:t>
        </w:r>
        <w:r w:rsidR="00464E53">
          <w:rPr>
            <w:noProof/>
            <w:webHidden/>
          </w:rPr>
          <w:tab/>
        </w:r>
        <w:r w:rsidR="00464E53">
          <w:rPr>
            <w:noProof/>
            <w:webHidden/>
          </w:rPr>
          <w:fldChar w:fldCharType="begin"/>
        </w:r>
        <w:r w:rsidR="00464E53">
          <w:rPr>
            <w:noProof/>
            <w:webHidden/>
          </w:rPr>
          <w:instrText xml:space="preserve"> PAGEREF _Toc86822673 \h </w:instrText>
        </w:r>
        <w:r w:rsidR="00464E53">
          <w:rPr>
            <w:noProof/>
            <w:webHidden/>
          </w:rPr>
        </w:r>
        <w:r w:rsidR="00464E53">
          <w:rPr>
            <w:noProof/>
            <w:webHidden/>
          </w:rPr>
          <w:fldChar w:fldCharType="separate"/>
        </w:r>
        <w:r w:rsidR="0088117A">
          <w:rPr>
            <w:noProof/>
            <w:webHidden/>
          </w:rPr>
          <w:t>17</w:t>
        </w:r>
        <w:r w:rsidR="00464E53">
          <w:rPr>
            <w:noProof/>
            <w:webHidden/>
          </w:rPr>
          <w:fldChar w:fldCharType="end"/>
        </w:r>
      </w:hyperlink>
    </w:p>
    <w:p w14:paraId="36EA4633" w14:textId="21328D5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4" w:history="1">
        <w:r w:rsidR="00464E53" w:rsidRPr="0068547E">
          <w:rPr>
            <w:rStyle w:val="Hiperpovezava"/>
            <w:rFonts w:eastAsia="Calibri"/>
            <w:noProof/>
          </w:rPr>
          <w:t>Slika 2: Delež bruto dodane vrednosti (BDV) kmetijstva, gozdarstva in ribištva v skupni BDV, Slovenija in EU-28 – tekoče cene</w:t>
        </w:r>
        <w:r w:rsidR="00464E53">
          <w:rPr>
            <w:noProof/>
            <w:webHidden/>
          </w:rPr>
          <w:tab/>
        </w:r>
        <w:r w:rsidR="00464E53">
          <w:rPr>
            <w:noProof/>
            <w:webHidden/>
          </w:rPr>
          <w:fldChar w:fldCharType="begin"/>
        </w:r>
        <w:r w:rsidR="00464E53">
          <w:rPr>
            <w:noProof/>
            <w:webHidden/>
          </w:rPr>
          <w:instrText xml:space="preserve"> PAGEREF _Toc86822674 \h </w:instrText>
        </w:r>
        <w:r w:rsidR="00464E53">
          <w:rPr>
            <w:noProof/>
            <w:webHidden/>
          </w:rPr>
        </w:r>
        <w:r w:rsidR="00464E53">
          <w:rPr>
            <w:noProof/>
            <w:webHidden/>
          </w:rPr>
          <w:fldChar w:fldCharType="separate"/>
        </w:r>
        <w:r w:rsidR="0088117A">
          <w:rPr>
            <w:noProof/>
            <w:webHidden/>
          </w:rPr>
          <w:t>19</w:t>
        </w:r>
        <w:r w:rsidR="00464E53">
          <w:rPr>
            <w:noProof/>
            <w:webHidden/>
          </w:rPr>
          <w:fldChar w:fldCharType="end"/>
        </w:r>
      </w:hyperlink>
    </w:p>
    <w:p w14:paraId="5493EC4A" w14:textId="0D8C320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5" w:history="1">
        <w:r w:rsidR="00464E53" w:rsidRPr="0068547E">
          <w:rPr>
            <w:rStyle w:val="Hiperpovezava"/>
            <w:rFonts w:eastAsia="Calibri"/>
            <w:noProof/>
          </w:rPr>
          <w:t>Slika 3: Rast skupne faktorske produktivnosti v EU-28, 2005–2015, indeks, 2005=100</w:t>
        </w:r>
        <w:r w:rsidR="00464E53">
          <w:rPr>
            <w:noProof/>
            <w:webHidden/>
          </w:rPr>
          <w:tab/>
        </w:r>
        <w:r w:rsidR="00464E53">
          <w:rPr>
            <w:noProof/>
            <w:webHidden/>
          </w:rPr>
          <w:fldChar w:fldCharType="begin"/>
        </w:r>
        <w:r w:rsidR="00464E53">
          <w:rPr>
            <w:noProof/>
            <w:webHidden/>
          </w:rPr>
          <w:instrText xml:space="preserve"> PAGEREF _Toc86822675 \h </w:instrText>
        </w:r>
        <w:r w:rsidR="00464E53">
          <w:rPr>
            <w:noProof/>
            <w:webHidden/>
          </w:rPr>
        </w:r>
        <w:r w:rsidR="00464E53">
          <w:rPr>
            <w:noProof/>
            <w:webHidden/>
          </w:rPr>
          <w:fldChar w:fldCharType="separate"/>
        </w:r>
        <w:r w:rsidR="0088117A">
          <w:rPr>
            <w:noProof/>
            <w:webHidden/>
          </w:rPr>
          <w:t>22</w:t>
        </w:r>
        <w:r w:rsidR="00464E53">
          <w:rPr>
            <w:noProof/>
            <w:webHidden/>
          </w:rPr>
          <w:fldChar w:fldCharType="end"/>
        </w:r>
      </w:hyperlink>
    </w:p>
    <w:p w14:paraId="49DCC3F3" w14:textId="12E4AE34"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6" w:history="1">
        <w:r w:rsidR="00464E53" w:rsidRPr="0068547E">
          <w:rPr>
            <w:rStyle w:val="Hiperpovezava"/>
            <w:rFonts w:eastAsia="Calibri"/>
            <w:noProof/>
          </w:rPr>
          <w:t>Slika 4: Povprečna letna rast TFP v državah članicah EU med letoma 2005 in 2015</w:t>
        </w:r>
        <w:r w:rsidR="00464E53">
          <w:rPr>
            <w:noProof/>
            <w:webHidden/>
          </w:rPr>
          <w:tab/>
        </w:r>
        <w:r w:rsidR="00464E53">
          <w:rPr>
            <w:noProof/>
            <w:webHidden/>
          </w:rPr>
          <w:fldChar w:fldCharType="begin"/>
        </w:r>
        <w:r w:rsidR="00464E53">
          <w:rPr>
            <w:noProof/>
            <w:webHidden/>
          </w:rPr>
          <w:instrText xml:space="preserve"> PAGEREF _Toc86822676 \h </w:instrText>
        </w:r>
        <w:r w:rsidR="00464E53">
          <w:rPr>
            <w:noProof/>
            <w:webHidden/>
          </w:rPr>
        </w:r>
        <w:r w:rsidR="00464E53">
          <w:rPr>
            <w:noProof/>
            <w:webHidden/>
          </w:rPr>
          <w:fldChar w:fldCharType="separate"/>
        </w:r>
        <w:r w:rsidR="0088117A">
          <w:rPr>
            <w:noProof/>
            <w:webHidden/>
          </w:rPr>
          <w:t>22</w:t>
        </w:r>
        <w:r w:rsidR="00464E53">
          <w:rPr>
            <w:noProof/>
            <w:webHidden/>
          </w:rPr>
          <w:fldChar w:fldCharType="end"/>
        </w:r>
      </w:hyperlink>
    </w:p>
    <w:p w14:paraId="35561ECA" w14:textId="7AFDCC64"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7" w:history="1">
        <w:r w:rsidR="00464E53" w:rsidRPr="0068547E">
          <w:rPr>
            <w:rStyle w:val="Hiperpovezava"/>
            <w:rFonts w:eastAsia="Calibri"/>
            <w:noProof/>
          </w:rPr>
          <w:t>Slika 5: Povprečna letna rast produktivnosti dela v državah članicah EU med letoma 2005–2015</w:t>
        </w:r>
        <w:r w:rsidR="00464E53">
          <w:rPr>
            <w:noProof/>
            <w:webHidden/>
          </w:rPr>
          <w:tab/>
        </w:r>
        <w:r w:rsidR="00464E53">
          <w:rPr>
            <w:noProof/>
            <w:webHidden/>
          </w:rPr>
          <w:fldChar w:fldCharType="begin"/>
        </w:r>
        <w:r w:rsidR="00464E53">
          <w:rPr>
            <w:noProof/>
            <w:webHidden/>
          </w:rPr>
          <w:instrText xml:space="preserve"> PAGEREF _Toc86822677 \h </w:instrText>
        </w:r>
        <w:r w:rsidR="00464E53">
          <w:rPr>
            <w:noProof/>
            <w:webHidden/>
          </w:rPr>
        </w:r>
        <w:r w:rsidR="00464E53">
          <w:rPr>
            <w:noProof/>
            <w:webHidden/>
          </w:rPr>
          <w:fldChar w:fldCharType="separate"/>
        </w:r>
        <w:r w:rsidR="0088117A">
          <w:rPr>
            <w:noProof/>
            <w:webHidden/>
          </w:rPr>
          <w:t>23</w:t>
        </w:r>
        <w:r w:rsidR="00464E53">
          <w:rPr>
            <w:noProof/>
            <w:webHidden/>
          </w:rPr>
          <w:fldChar w:fldCharType="end"/>
        </w:r>
      </w:hyperlink>
    </w:p>
    <w:p w14:paraId="43E7F93C" w14:textId="3FEB52B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8" w:history="1">
        <w:r w:rsidR="00464E53" w:rsidRPr="0068547E">
          <w:rPr>
            <w:rStyle w:val="Hiperpovezava"/>
            <w:rFonts w:eastAsia="Calibri"/>
            <w:noProof/>
          </w:rPr>
          <w:t>Slika 6: Letna stopnja rasti skupne faktorske produktivnosti v kmetijstvu v Sloveniji in EU-27, 2010–2019, indeks 2005=100 (kazalnik stanja C.28: Skupna faktorska produktivnost v kmetijstvu)</w:t>
        </w:r>
        <w:r w:rsidR="00464E53">
          <w:rPr>
            <w:noProof/>
            <w:webHidden/>
          </w:rPr>
          <w:tab/>
        </w:r>
        <w:r w:rsidR="00464E53">
          <w:rPr>
            <w:noProof/>
            <w:webHidden/>
          </w:rPr>
          <w:fldChar w:fldCharType="begin"/>
        </w:r>
        <w:r w:rsidR="00464E53">
          <w:rPr>
            <w:noProof/>
            <w:webHidden/>
          </w:rPr>
          <w:instrText xml:space="preserve"> PAGEREF _Toc86822678 \h </w:instrText>
        </w:r>
        <w:r w:rsidR="00464E53">
          <w:rPr>
            <w:noProof/>
            <w:webHidden/>
          </w:rPr>
        </w:r>
        <w:r w:rsidR="00464E53">
          <w:rPr>
            <w:noProof/>
            <w:webHidden/>
          </w:rPr>
          <w:fldChar w:fldCharType="separate"/>
        </w:r>
        <w:r w:rsidR="0088117A">
          <w:rPr>
            <w:noProof/>
            <w:webHidden/>
          </w:rPr>
          <w:t>23</w:t>
        </w:r>
        <w:r w:rsidR="00464E53">
          <w:rPr>
            <w:noProof/>
            <w:webHidden/>
          </w:rPr>
          <w:fldChar w:fldCharType="end"/>
        </w:r>
      </w:hyperlink>
    </w:p>
    <w:p w14:paraId="35514212" w14:textId="02CF5A2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79" w:history="1">
        <w:r w:rsidR="00464E53" w:rsidRPr="0068547E">
          <w:rPr>
            <w:rStyle w:val="Hiperpovezava"/>
            <w:rFonts w:eastAsia="Calibri"/>
            <w:noProof/>
          </w:rPr>
          <w:t>Slika 7: Skupna faktorska produktivnost v kmetijstvu v Sloveniji in EU-28, 2010–2016, indeks 2005 EU=100</w:t>
        </w:r>
        <w:r w:rsidR="00464E53">
          <w:rPr>
            <w:noProof/>
            <w:webHidden/>
          </w:rPr>
          <w:tab/>
        </w:r>
        <w:r w:rsidR="00464E53">
          <w:rPr>
            <w:noProof/>
            <w:webHidden/>
          </w:rPr>
          <w:fldChar w:fldCharType="begin"/>
        </w:r>
        <w:r w:rsidR="00464E53">
          <w:rPr>
            <w:noProof/>
            <w:webHidden/>
          </w:rPr>
          <w:instrText xml:space="preserve"> PAGEREF _Toc86822679 \h </w:instrText>
        </w:r>
        <w:r w:rsidR="00464E53">
          <w:rPr>
            <w:noProof/>
            <w:webHidden/>
          </w:rPr>
        </w:r>
        <w:r w:rsidR="00464E53">
          <w:rPr>
            <w:noProof/>
            <w:webHidden/>
          </w:rPr>
          <w:fldChar w:fldCharType="separate"/>
        </w:r>
        <w:r w:rsidR="0088117A">
          <w:rPr>
            <w:noProof/>
            <w:webHidden/>
          </w:rPr>
          <w:t>23</w:t>
        </w:r>
        <w:r w:rsidR="00464E53">
          <w:rPr>
            <w:noProof/>
            <w:webHidden/>
          </w:rPr>
          <w:fldChar w:fldCharType="end"/>
        </w:r>
      </w:hyperlink>
    </w:p>
    <w:p w14:paraId="09608D20" w14:textId="386C6FA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0" w:history="1">
        <w:r w:rsidR="00464E53" w:rsidRPr="0068547E">
          <w:rPr>
            <w:rStyle w:val="Hiperpovezava"/>
            <w:rFonts w:eastAsia="Calibri"/>
            <w:noProof/>
          </w:rPr>
          <w:t>Slika 8: Gibanje delovne sile v Sloveniji, EU-27</w:t>
        </w:r>
        <w:r w:rsidR="00464E53">
          <w:rPr>
            <w:noProof/>
            <w:webHidden/>
          </w:rPr>
          <w:tab/>
        </w:r>
        <w:r w:rsidR="00464E53">
          <w:rPr>
            <w:noProof/>
            <w:webHidden/>
          </w:rPr>
          <w:fldChar w:fldCharType="begin"/>
        </w:r>
        <w:r w:rsidR="00464E53">
          <w:rPr>
            <w:noProof/>
            <w:webHidden/>
          </w:rPr>
          <w:instrText xml:space="preserve"> PAGEREF _Toc86822680 \h </w:instrText>
        </w:r>
        <w:r w:rsidR="00464E53">
          <w:rPr>
            <w:noProof/>
            <w:webHidden/>
          </w:rPr>
        </w:r>
        <w:r w:rsidR="00464E53">
          <w:rPr>
            <w:noProof/>
            <w:webHidden/>
          </w:rPr>
          <w:fldChar w:fldCharType="separate"/>
        </w:r>
        <w:r w:rsidR="0088117A">
          <w:rPr>
            <w:noProof/>
            <w:webHidden/>
          </w:rPr>
          <w:t>24</w:t>
        </w:r>
        <w:r w:rsidR="00464E53">
          <w:rPr>
            <w:noProof/>
            <w:webHidden/>
          </w:rPr>
          <w:fldChar w:fldCharType="end"/>
        </w:r>
      </w:hyperlink>
    </w:p>
    <w:p w14:paraId="5812BD45" w14:textId="2B23094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1" w:history="1">
        <w:r w:rsidR="00464E53" w:rsidRPr="0068547E">
          <w:rPr>
            <w:rStyle w:val="Hiperpovezava"/>
            <w:rFonts w:eastAsia="Calibri"/>
            <w:noProof/>
          </w:rPr>
          <w:t>Slika 9: Gibanje delovne sile v Sloveniji, EU-27 (od 2020), v absolutnih številkah</w:t>
        </w:r>
        <w:r w:rsidR="00464E53">
          <w:rPr>
            <w:noProof/>
            <w:webHidden/>
          </w:rPr>
          <w:tab/>
        </w:r>
        <w:r w:rsidR="00464E53">
          <w:rPr>
            <w:noProof/>
            <w:webHidden/>
          </w:rPr>
          <w:fldChar w:fldCharType="begin"/>
        </w:r>
        <w:r w:rsidR="00464E53">
          <w:rPr>
            <w:noProof/>
            <w:webHidden/>
          </w:rPr>
          <w:instrText xml:space="preserve"> PAGEREF _Toc86822681 \h </w:instrText>
        </w:r>
        <w:r w:rsidR="00464E53">
          <w:rPr>
            <w:noProof/>
            <w:webHidden/>
          </w:rPr>
        </w:r>
        <w:r w:rsidR="00464E53">
          <w:rPr>
            <w:noProof/>
            <w:webHidden/>
          </w:rPr>
          <w:fldChar w:fldCharType="separate"/>
        </w:r>
        <w:r w:rsidR="0088117A">
          <w:rPr>
            <w:noProof/>
            <w:webHidden/>
          </w:rPr>
          <w:t>24</w:t>
        </w:r>
        <w:r w:rsidR="00464E53">
          <w:rPr>
            <w:noProof/>
            <w:webHidden/>
          </w:rPr>
          <w:fldChar w:fldCharType="end"/>
        </w:r>
      </w:hyperlink>
    </w:p>
    <w:p w14:paraId="61F3E631" w14:textId="0739CA36"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2" w:history="1">
        <w:r w:rsidR="00464E53" w:rsidRPr="0068547E">
          <w:rPr>
            <w:rStyle w:val="Hiperpovezava"/>
            <w:rFonts w:eastAsia="Calibri"/>
            <w:noProof/>
          </w:rPr>
          <w:t>Slika 10:  Povprečno število PDM na kmetijsko gospodarstvo, 2016</w:t>
        </w:r>
        <w:r w:rsidR="00464E53">
          <w:rPr>
            <w:noProof/>
            <w:webHidden/>
          </w:rPr>
          <w:tab/>
        </w:r>
        <w:r w:rsidR="00464E53">
          <w:rPr>
            <w:noProof/>
            <w:webHidden/>
          </w:rPr>
          <w:fldChar w:fldCharType="begin"/>
        </w:r>
        <w:r w:rsidR="00464E53">
          <w:rPr>
            <w:noProof/>
            <w:webHidden/>
          </w:rPr>
          <w:instrText xml:space="preserve"> PAGEREF _Toc86822682 \h </w:instrText>
        </w:r>
        <w:r w:rsidR="00464E53">
          <w:rPr>
            <w:noProof/>
            <w:webHidden/>
          </w:rPr>
        </w:r>
        <w:r w:rsidR="00464E53">
          <w:rPr>
            <w:noProof/>
            <w:webHidden/>
          </w:rPr>
          <w:fldChar w:fldCharType="separate"/>
        </w:r>
        <w:r w:rsidR="0088117A">
          <w:rPr>
            <w:noProof/>
            <w:webHidden/>
          </w:rPr>
          <w:t>25</w:t>
        </w:r>
        <w:r w:rsidR="00464E53">
          <w:rPr>
            <w:noProof/>
            <w:webHidden/>
          </w:rPr>
          <w:fldChar w:fldCharType="end"/>
        </w:r>
      </w:hyperlink>
    </w:p>
    <w:p w14:paraId="64D2D5BE" w14:textId="119B61EA"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3" w:history="1">
        <w:r w:rsidR="00464E53" w:rsidRPr="0068547E">
          <w:rPr>
            <w:rStyle w:val="Hiperpovezava"/>
            <w:rFonts w:eastAsia="Calibri"/>
            <w:noProof/>
          </w:rPr>
          <w:t>Slika 11: Povprečna velikost ha/KMG in povprečno število ha KZU v obdelavi na en PDM, 2016</w:t>
        </w:r>
        <w:r w:rsidR="00464E53">
          <w:rPr>
            <w:noProof/>
            <w:webHidden/>
          </w:rPr>
          <w:tab/>
        </w:r>
        <w:r w:rsidR="00464E53">
          <w:rPr>
            <w:noProof/>
            <w:webHidden/>
          </w:rPr>
          <w:fldChar w:fldCharType="begin"/>
        </w:r>
        <w:r w:rsidR="00464E53">
          <w:rPr>
            <w:noProof/>
            <w:webHidden/>
          </w:rPr>
          <w:instrText xml:space="preserve"> PAGEREF _Toc86822683 \h </w:instrText>
        </w:r>
        <w:r w:rsidR="00464E53">
          <w:rPr>
            <w:noProof/>
            <w:webHidden/>
          </w:rPr>
        </w:r>
        <w:r w:rsidR="00464E53">
          <w:rPr>
            <w:noProof/>
            <w:webHidden/>
          </w:rPr>
          <w:fldChar w:fldCharType="separate"/>
        </w:r>
        <w:r w:rsidR="0088117A">
          <w:rPr>
            <w:noProof/>
            <w:webHidden/>
          </w:rPr>
          <w:t>25</w:t>
        </w:r>
        <w:r w:rsidR="00464E53">
          <w:rPr>
            <w:noProof/>
            <w:webHidden/>
          </w:rPr>
          <w:fldChar w:fldCharType="end"/>
        </w:r>
      </w:hyperlink>
    </w:p>
    <w:p w14:paraId="075EC21A" w14:textId="7D21ED36"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4" w:history="1">
        <w:r w:rsidR="00464E53" w:rsidRPr="0068547E">
          <w:rPr>
            <w:rStyle w:val="Hiperpovezava"/>
            <w:rFonts w:eastAsia="Calibri"/>
            <w:noProof/>
          </w:rPr>
          <w:t>Slika 12: Produktivnost dela v kmetijstvu v letu 2020, v EUR/PDM</w:t>
        </w:r>
        <w:r w:rsidR="00464E53">
          <w:rPr>
            <w:noProof/>
            <w:webHidden/>
          </w:rPr>
          <w:tab/>
        </w:r>
        <w:r w:rsidR="00464E53">
          <w:rPr>
            <w:noProof/>
            <w:webHidden/>
          </w:rPr>
          <w:fldChar w:fldCharType="begin"/>
        </w:r>
        <w:r w:rsidR="00464E53">
          <w:rPr>
            <w:noProof/>
            <w:webHidden/>
          </w:rPr>
          <w:instrText xml:space="preserve"> PAGEREF _Toc86822684 \h </w:instrText>
        </w:r>
        <w:r w:rsidR="00464E53">
          <w:rPr>
            <w:noProof/>
            <w:webHidden/>
          </w:rPr>
        </w:r>
        <w:r w:rsidR="00464E53">
          <w:rPr>
            <w:noProof/>
            <w:webHidden/>
          </w:rPr>
          <w:fldChar w:fldCharType="separate"/>
        </w:r>
        <w:r w:rsidR="0088117A">
          <w:rPr>
            <w:noProof/>
            <w:webHidden/>
          </w:rPr>
          <w:t>27</w:t>
        </w:r>
        <w:r w:rsidR="00464E53">
          <w:rPr>
            <w:noProof/>
            <w:webHidden/>
          </w:rPr>
          <w:fldChar w:fldCharType="end"/>
        </w:r>
      </w:hyperlink>
    </w:p>
    <w:p w14:paraId="59491E62" w14:textId="3390A66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5" w:history="1">
        <w:r w:rsidR="00464E53" w:rsidRPr="0068547E">
          <w:rPr>
            <w:rStyle w:val="Hiperpovezava"/>
            <w:rFonts w:eastAsia="Calibri"/>
            <w:noProof/>
          </w:rPr>
          <w:t>Slika 13: Neto dodana vrednost v kmetijstvu, izraženo na enoto vloženega dela (PDM), leto 2019, v EUR, v tekočih cenah</w:t>
        </w:r>
        <w:r w:rsidR="00464E53">
          <w:rPr>
            <w:noProof/>
            <w:webHidden/>
          </w:rPr>
          <w:tab/>
        </w:r>
        <w:r w:rsidR="00464E53">
          <w:rPr>
            <w:noProof/>
            <w:webHidden/>
          </w:rPr>
          <w:fldChar w:fldCharType="begin"/>
        </w:r>
        <w:r w:rsidR="00464E53">
          <w:rPr>
            <w:noProof/>
            <w:webHidden/>
          </w:rPr>
          <w:instrText xml:space="preserve"> PAGEREF _Toc86822685 \h </w:instrText>
        </w:r>
        <w:r w:rsidR="00464E53">
          <w:rPr>
            <w:noProof/>
            <w:webHidden/>
          </w:rPr>
        </w:r>
        <w:r w:rsidR="00464E53">
          <w:rPr>
            <w:noProof/>
            <w:webHidden/>
          </w:rPr>
          <w:fldChar w:fldCharType="separate"/>
        </w:r>
        <w:r w:rsidR="0088117A">
          <w:rPr>
            <w:noProof/>
            <w:webHidden/>
          </w:rPr>
          <w:t>28</w:t>
        </w:r>
        <w:r w:rsidR="00464E53">
          <w:rPr>
            <w:noProof/>
            <w:webHidden/>
          </w:rPr>
          <w:fldChar w:fldCharType="end"/>
        </w:r>
      </w:hyperlink>
    </w:p>
    <w:p w14:paraId="651F859E" w14:textId="24EC486A"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6" w:history="1">
        <w:r w:rsidR="00464E53" w:rsidRPr="0068547E">
          <w:rPr>
            <w:rStyle w:val="Hiperpovezava"/>
            <w:rFonts w:eastAsia="Calibri"/>
            <w:noProof/>
          </w:rPr>
          <w:t>Slika 14: Bruto naložbe v osnovna sredstva v kmetijstvu, izraženo kot % BDV, 2019, EU, v tekočih cenah</w:t>
        </w:r>
        <w:r w:rsidR="00464E53">
          <w:rPr>
            <w:noProof/>
            <w:webHidden/>
          </w:rPr>
          <w:tab/>
        </w:r>
        <w:r w:rsidR="00464E53">
          <w:rPr>
            <w:noProof/>
            <w:webHidden/>
          </w:rPr>
          <w:fldChar w:fldCharType="begin"/>
        </w:r>
        <w:r w:rsidR="00464E53">
          <w:rPr>
            <w:noProof/>
            <w:webHidden/>
          </w:rPr>
          <w:instrText xml:space="preserve"> PAGEREF _Toc86822686 \h </w:instrText>
        </w:r>
        <w:r w:rsidR="00464E53">
          <w:rPr>
            <w:noProof/>
            <w:webHidden/>
          </w:rPr>
        </w:r>
        <w:r w:rsidR="00464E53">
          <w:rPr>
            <w:noProof/>
            <w:webHidden/>
          </w:rPr>
          <w:fldChar w:fldCharType="separate"/>
        </w:r>
        <w:r w:rsidR="0088117A">
          <w:rPr>
            <w:noProof/>
            <w:webHidden/>
          </w:rPr>
          <w:t>30</w:t>
        </w:r>
        <w:r w:rsidR="00464E53">
          <w:rPr>
            <w:noProof/>
            <w:webHidden/>
          </w:rPr>
          <w:fldChar w:fldCharType="end"/>
        </w:r>
      </w:hyperlink>
    </w:p>
    <w:p w14:paraId="0555ED72" w14:textId="5D55F09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7" w:history="1">
        <w:r w:rsidR="00464E53" w:rsidRPr="0068547E">
          <w:rPr>
            <w:rStyle w:val="Hiperpovezava"/>
            <w:rFonts w:eastAsia="Calibri"/>
            <w:noProof/>
          </w:rPr>
          <w:t>Slika 15: Bruto investicije v osnovna sredstva v kmetijstvu, izraženo kot % BDV, leta 2005, 2010, 2018, EU, tekoče cene</w:t>
        </w:r>
        <w:r w:rsidR="00464E53">
          <w:rPr>
            <w:noProof/>
            <w:webHidden/>
          </w:rPr>
          <w:tab/>
        </w:r>
        <w:r w:rsidR="00464E53">
          <w:rPr>
            <w:noProof/>
            <w:webHidden/>
          </w:rPr>
          <w:fldChar w:fldCharType="begin"/>
        </w:r>
        <w:r w:rsidR="00464E53">
          <w:rPr>
            <w:noProof/>
            <w:webHidden/>
          </w:rPr>
          <w:instrText xml:space="preserve"> PAGEREF _Toc86822687 \h </w:instrText>
        </w:r>
        <w:r w:rsidR="00464E53">
          <w:rPr>
            <w:noProof/>
            <w:webHidden/>
          </w:rPr>
        </w:r>
        <w:r w:rsidR="00464E53">
          <w:rPr>
            <w:noProof/>
            <w:webHidden/>
          </w:rPr>
          <w:fldChar w:fldCharType="separate"/>
        </w:r>
        <w:r w:rsidR="0088117A">
          <w:rPr>
            <w:noProof/>
            <w:webHidden/>
          </w:rPr>
          <w:t>31</w:t>
        </w:r>
        <w:r w:rsidR="00464E53">
          <w:rPr>
            <w:noProof/>
            <w:webHidden/>
          </w:rPr>
          <w:fldChar w:fldCharType="end"/>
        </w:r>
      </w:hyperlink>
    </w:p>
    <w:p w14:paraId="4C82E93B" w14:textId="63B66919"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8" w:history="1">
        <w:r w:rsidR="00464E53" w:rsidRPr="0068547E">
          <w:rPr>
            <w:rStyle w:val="Hiperpovezava"/>
            <w:rFonts w:eastAsia="Calibri"/>
            <w:noProof/>
          </w:rPr>
          <w:t>Slika 16: Struktura bruto investicij v osnovna sredstva v kmetijstvu v SIoveniji v obdobju 2005–2018 glede na vrsto investicije</w:t>
        </w:r>
        <w:r w:rsidR="00464E53" w:rsidRPr="0068547E">
          <w:rPr>
            <w:rStyle w:val="Hiperpovezava"/>
            <w:rFonts w:eastAsia="Calibri"/>
            <w:bCs/>
            <w:noProof/>
          </w:rPr>
          <w:t>, v mio EUR</w:t>
        </w:r>
        <w:r w:rsidR="00464E53">
          <w:rPr>
            <w:noProof/>
            <w:webHidden/>
          </w:rPr>
          <w:tab/>
        </w:r>
        <w:r w:rsidR="00464E53">
          <w:rPr>
            <w:noProof/>
            <w:webHidden/>
          </w:rPr>
          <w:fldChar w:fldCharType="begin"/>
        </w:r>
        <w:r w:rsidR="00464E53">
          <w:rPr>
            <w:noProof/>
            <w:webHidden/>
          </w:rPr>
          <w:instrText xml:space="preserve"> PAGEREF _Toc86822688 \h </w:instrText>
        </w:r>
        <w:r w:rsidR="00464E53">
          <w:rPr>
            <w:noProof/>
            <w:webHidden/>
          </w:rPr>
        </w:r>
        <w:r w:rsidR="00464E53">
          <w:rPr>
            <w:noProof/>
            <w:webHidden/>
          </w:rPr>
          <w:fldChar w:fldCharType="separate"/>
        </w:r>
        <w:r w:rsidR="0088117A">
          <w:rPr>
            <w:noProof/>
            <w:webHidden/>
          </w:rPr>
          <w:t>32</w:t>
        </w:r>
        <w:r w:rsidR="00464E53">
          <w:rPr>
            <w:noProof/>
            <w:webHidden/>
          </w:rPr>
          <w:fldChar w:fldCharType="end"/>
        </w:r>
      </w:hyperlink>
    </w:p>
    <w:p w14:paraId="553A6CD3" w14:textId="34D52947"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89" w:history="1">
        <w:r w:rsidR="00464E53" w:rsidRPr="0068547E">
          <w:rPr>
            <w:rStyle w:val="Hiperpovezava"/>
            <w:rFonts w:eastAsia="Calibri"/>
            <w:noProof/>
          </w:rPr>
          <w:t xml:space="preserve">Slika 17: Bruto investicije v osnovna sredstva v kmetijstvu (GFCF) na hektar kmetijskih zemljišč v uporabi (KZU), SIovenija in EU-28, 2013 in 2016, </w:t>
        </w:r>
        <w:r w:rsidR="00464E53" w:rsidRPr="0068547E">
          <w:rPr>
            <w:rStyle w:val="Hiperpovezava"/>
            <w:rFonts w:eastAsia="Calibri"/>
            <w:bCs/>
            <w:noProof/>
            <w:lang w:eastAsia="en-US"/>
          </w:rPr>
          <w:t xml:space="preserve">v </w:t>
        </w:r>
        <w:r w:rsidR="00464E53" w:rsidRPr="0068547E">
          <w:rPr>
            <w:rStyle w:val="Hiperpovezava"/>
            <w:rFonts w:eastAsia="Calibri"/>
            <w:bCs/>
            <w:noProof/>
          </w:rPr>
          <w:t>EUR</w:t>
        </w:r>
        <w:r w:rsidR="00464E53">
          <w:rPr>
            <w:noProof/>
            <w:webHidden/>
          </w:rPr>
          <w:tab/>
        </w:r>
        <w:r w:rsidR="00464E53">
          <w:rPr>
            <w:noProof/>
            <w:webHidden/>
          </w:rPr>
          <w:fldChar w:fldCharType="begin"/>
        </w:r>
        <w:r w:rsidR="00464E53">
          <w:rPr>
            <w:noProof/>
            <w:webHidden/>
          </w:rPr>
          <w:instrText xml:space="preserve"> PAGEREF _Toc86822689 \h </w:instrText>
        </w:r>
        <w:r w:rsidR="00464E53">
          <w:rPr>
            <w:noProof/>
            <w:webHidden/>
          </w:rPr>
        </w:r>
        <w:r w:rsidR="00464E53">
          <w:rPr>
            <w:noProof/>
            <w:webHidden/>
          </w:rPr>
          <w:fldChar w:fldCharType="separate"/>
        </w:r>
        <w:r w:rsidR="0088117A">
          <w:rPr>
            <w:noProof/>
            <w:webHidden/>
          </w:rPr>
          <w:t>33</w:t>
        </w:r>
        <w:r w:rsidR="00464E53">
          <w:rPr>
            <w:noProof/>
            <w:webHidden/>
          </w:rPr>
          <w:fldChar w:fldCharType="end"/>
        </w:r>
      </w:hyperlink>
    </w:p>
    <w:p w14:paraId="3D6DC62D" w14:textId="5D87F8E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0" w:history="1">
        <w:r w:rsidR="00464E53" w:rsidRPr="0068547E">
          <w:rPr>
            <w:rStyle w:val="Hiperpovezava"/>
            <w:rFonts w:eastAsia="Calibri"/>
            <w:noProof/>
          </w:rPr>
          <w:t>Slika 18: Bruto investicije v osnovna sredstva na polnovredno delovno moč v obdobju 2005–2018, Slovenija, EU-28 in EU-27, v tekočih cenah, v EUR</w:t>
        </w:r>
        <w:r w:rsidR="00464E53">
          <w:rPr>
            <w:noProof/>
            <w:webHidden/>
          </w:rPr>
          <w:tab/>
        </w:r>
        <w:r w:rsidR="00464E53">
          <w:rPr>
            <w:noProof/>
            <w:webHidden/>
          </w:rPr>
          <w:fldChar w:fldCharType="begin"/>
        </w:r>
        <w:r w:rsidR="00464E53">
          <w:rPr>
            <w:noProof/>
            <w:webHidden/>
          </w:rPr>
          <w:instrText xml:space="preserve"> PAGEREF _Toc86822690 \h </w:instrText>
        </w:r>
        <w:r w:rsidR="00464E53">
          <w:rPr>
            <w:noProof/>
            <w:webHidden/>
          </w:rPr>
        </w:r>
        <w:r w:rsidR="00464E53">
          <w:rPr>
            <w:noProof/>
            <w:webHidden/>
          </w:rPr>
          <w:fldChar w:fldCharType="separate"/>
        </w:r>
        <w:r w:rsidR="0088117A">
          <w:rPr>
            <w:noProof/>
            <w:webHidden/>
          </w:rPr>
          <w:t>33</w:t>
        </w:r>
        <w:r w:rsidR="00464E53">
          <w:rPr>
            <w:noProof/>
            <w:webHidden/>
          </w:rPr>
          <w:fldChar w:fldCharType="end"/>
        </w:r>
      </w:hyperlink>
    </w:p>
    <w:p w14:paraId="375878ED" w14:textId="0E4E8C6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1" w:history="1">
        <w:r w:rsidR="00464E53" w:rsidRPr="0068547E">
          <w:rPr>
            <w:rStyle w:val="Hiperpovezava"/>
            <w:rFonts w:eastAsia="Calibri"/>
            <w:noProof/>
          </w:rPr>
          <w:t>Slika 19: Število odobrenih vlog in celotna vrednost podprtih naložb v osnovna sredstva (v EUR) v okviru ukrepa 121 PRP 2007-2013</w:t>
        </w:r>
        <w:r w:rsidR="00464E53" w:rsidRPr="0068547E">
          <w:rPr>
            <w:rStyle w:val="Hiperpovezava"/>
            <w:rFonts w:eastAsia="Calibri"/>
            <w:bCs/>
            <w:noProof/>
            <w:lang w:eastAsia="en-US"/>
          </w:rPr>
          <w:t>, stanje 31. 12. 2015</w:t>
        </w:r>
        <w:r w:rsidR="00464E53">
          <w:rPr>
            <w:noProof/>
            <w:webHidden/>
          </w:rPr>
          <w:tab/>
        </w:r>
        <w:r w:rsidR="00464E53">
          <w:rPr>
            <w:noProof/>
            <w:webHidden/>
          </w:rPr>
          <w:fldChar w:fldCharType="begin"/>
        </w:r>
        <w:r w:rsidR="00464E53">
          <w:rPr>
            <w:noProof/>
            <w:webHidden/>
          </w:rPr>
          <w:instrText xml:space="preserve"> PAGEREF _Toc86822691 \h </w:instrText>
        </w:r>
        <w:r w:rsidR="00464E53">
          <w:rPr>
            <w:noProof/>
            <w:webHidden/>
          </w:rPr>
        </w:r>
        <w:r w:rsidR="00464E53">
          <w:rPr>
            <w:noProof/>
            <w:webHidden/>
          </w:rPr>
          <w:fldChar w:fldCharType="separate"/>
        </w:r>
        <w:r w:rsidR="0088117A">
          <w:rPr>
            <w:noProof/>
            <w:webHidden/>
          </w:rPr>
          <w:t>34</w:t>
        </w:r>
        <w:r w:rsidR="00464E53">
          <w:rPr>
            <w:noProof/>
            <w:webHidden/>
          </w:rPr>
          <w:fldChar w:fldCharType="end"/>
        </w:r>
      </w:hyperlink>
    </w:p>
    <w:p w14:paraId="5823E800" w14:textId="6443EDF8"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2" w:history="1">
        <w:r w:rsidR="00464E53" w:rsidRPr="0068547E">
          <w:rPr>
            <w:rStyle w:val="Hiperpovezava"/>
            <w:rFonts w:eastAsia="Calibri"/>
            <w:noProof/>
          </w:rPr>
          <w:t xml:space="preserve">Slika 20: Povprečno število KZU (ha), PDM in GVŽ podprtih KMG v okviru podukrepa </w:t>
        </w:r>
        <w:r w:rsidR="00464E53" w:rsidRPr="0068547E">
          <w:rPr>
            <w:rStyle w:val="Hiperpovezava"/>
            <w:rFonts w:eastAsiaTheme="minorHAnsi"/>
            <w:bCs/>
            <w:noProof/>
          </w:rPr>
          <w:t>M0</w:t>
        </w:r>
        <w:r w:rsidR="00464E53" w:rsidRPr="0068547E">
          <w:rPr>
            <w:rStyle w:val="Hiperpovezava"/>
            <w:rFonts w:eastAsia="Calibri"/>
            <w:noProof/>
          </w:rPr>
          <w:t>4.1 PRP 2014–2020</w:t>
        </w:r>
        <w:r w:rsidR="00464E53" w:rsidRPr="0068547E">
          <w:rPr>
            <w:rStyle w:val="Hiperpovezava"/>
            <w:rFonts w:eastAsia="Calibri"/>
            <w:bCs/>
            <w:noProof/>
            <w:lang w:eastAsia="en-US"/>
          </w:rPr>
          <w:t>, stanje 30. 4. 2020</w:t>
        </w:r>
        <w:r w:rsidR="00464E53">
          <w:rPr>
            <w:noProof/>
            <w:webHidden/>
          </w:rPr>
          <w:tab/>
        </w:r>
        <w:r w:rsidR="00464E53">
          <w:rPr>
            <w:noProof/>
            <w:webHidden/>
          </w:rPr>
          <w:fldChar w:fldCharType="begin"/>
        </w:r>
        <w:r w:rsidR="00464E53">
          <w:rPr>
            <w:noProof/>
            <w:webHidden/>
          </w:rPr>
          <w:instrText xml:space="preserve"> PAGEREF _Toc86822692 \h </w:instrText>
        </w:r>
        <w:r w:rsidR="00464E53">
          <w:rPr>
            <w:noProof/>
            <w:webHidden/>
          </w:rPr>
        </w:r>
        <w:r w:rsidR="00464E53">
          <w:rPr>
            <w:noProof/>
            <w:webHidden/>
          </w:rPr>
          <w:fldChar w:fldCharType="separate"/>
        </w:r>
        <w:r w:rsidR="0088117A">
          <w:rPr>
            <w:noProof/>
            <w:webHidden/>
          </w:rPr>
          <w:t>35</w:t>
        </w:r>
        <w:r w:rsidR="00464E53">
          <w:rPr>
            <w:noProof/>
            <w:webHidden/>
          </w:rPr>
          <w:fldChar w:fldCharType="end"/>
        </w:r>
      </w:hyperlink>
    </w:p>
    <w:p w14:paraId="748821E9" w14:textId="1E85A72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3" w:history="1">
        <w:r w:rsidR="00464E53" w:rsidRPr="0068547E">
          <w:rPr>
            <w:rStyle w:val="Hiperpovezava"/>
            <w:rFonts w:eastAsia="Calibri"/>
            <w:noProof/>
          </w:rPr>
          <w:t xml:space="preserve">Slika 21: Število odobrenih vlog in celotna vrednost podprtih naložb (v EUR) v okviru podukrepa </w:t>
        </w:r>
        <w:r w:rsidR="00464E53" w:rsidRPr="0068547E">
          <w:rPr>
            <w:rStyle w:val="Hiperpovezava"/>
            <w:rFonts w:eastAsiaTheme="minorHAnsi"/>
            <w:noProof/>
          </w:rPr>
          <w:t>M0</w:t>
        </w:r>
        <w:r w:rsidR="00464E53" w:rsidRPr="0068547E">
          <w:rPr>
            <w:rStyle w:val="Hiperpovezava"/>
            <w:rFonts w:eastAsia="Calibri"/>
            <w:noProof/>
          </w:rPr>
          <w:t>4.1 PRP 2014–2020</w:t>
        </w:r>
        <w:r w:rsidR="00464E53" w:rsidRPr="0068547E">
          <w:rPr>
            <w:rStyle w:val="Hiperpovezava"/>
            <w:rFonts w:eastAsia="Calibri"/>
            <w:noProof/>
            <w:lang w:eastAsia="en-US"/>
          </w:rPr>
          <w:t>, stanje 30. 4. 2020</w:t>
        </w:r>
        <w:r w:rsidR="00464E53">
          <w:rPr>
            <w:noProof/>
            <w:webHidden/>
          </w:rPr>
          <w:tab/>
        </w:r>
        <w:r w:rsidR="00464E53">
          <w:rPr>
            <w:noProof/>
            <w:webHidden/>
          </w:rPr>
          <w:fldChar w:fldCharType="begin"/>
        </w:r>
        <w:r w:rsidR="00464E53">
          <w:rPr>
            <w:noProof/>
            <w:webHidden/>
          </w:rPr>
          <w:instrText xml:space="preserve"> PAGEREF _Toc86822693 \h </w:instrText>
        </w:r>
        <w:r w:rsidR="00464E53">
          <w:rPr>
            <w:noProof/>
            <w:webHidden/>
          </w:rPr>
        </w:r>
        <w:r w:rsidR="00464E53">
          <w:rPr>
            <w:noProof/>
            <w:webHidden/>
          </w:rPr>
          <w:fldChar w:fldCharType="separate"/>
        </w:r>
        <w:r w:rsidR="0088117A">
          <w:rPr>
            <w:noProof/>
            <w:webHidden/>
          </w:rPr>
          <w:t>36</w:t>
        </w:r>
        <w:r w:rsidR="00464E53">
          <w:rPr>
            <w:noProof/>
            <w:webHidden/>
          </w:rPr>
          <w:fldChar w:fldCharType="end"/>
        </w:r>
      </w:hyperlink>
    </w:p>
    <w:p w14:paraId="2589E6A6" w14:textId="1DA5C1E9"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4" w:history="1">
        <w:r w:rsidR="00464E53" w:rsidRPr="0068547E">
          <w:rPr>
            <w:rStyle w:val="Hiperpovezava"/>
            <w:rFonts w:eastAsia="Calibri"/>
            <w:noProof/>
          </w:rPr>
          <w:t xml:space="preserve">Slika 22: Število odobrenih vlog in povprečna vrednost podprte naložbe (v EUR) v okviru podukrepa </w:t>
        </w:r>
        <w:r w:rsidR="00464E53" w:rsidRPr="0068547E">
          <w:rPr>
            <w:rStyle w:val="Hiperpovezava"/>
            <w:rFonts w:eastAsiaTheme="minorHAnsi"/>
            <w:noProof/>
          </w:rPr>
          <w:t>M0</w:t>
        </w:r>
        <w:r w:rsidR="00464E53" w:rsidRPr="0068547E">
          <w:rPr>
            <w:rStyle w:val="Hiperpovezava"/>
            <w:rFonts w:eastAsia="Calibri"/>
            <w:noProof/>
          </w:rPr>
          <w:t>4.1 PRP 2014–2020 glede na vključenost v sheme ekološke proizvodnje</w:t>
        </w:r>
        <w:r w:rsidR="00464E53" w:rsidRPr="0068547E">
          <w:rPr>
            <w:rStyle w:val="Hiperpovezava"/>
            <w:rFonts w:eastAsia="Calibri"/>
            <w:noProof/>
            <w:lang w:eastAsia="en-US"/>
          </w:rPr>
          <w:t>, stanje 30. 4. 2020</w:t>
        </w:r>
        <w:r w:rsidR="00464E53">
          <w:rPr>
            <w:noProof/>
            <w:webHidden/>
          </w:rPr>
          <w:tab/>
        </w:r>
        <w:r w:rsidR="00464E53">
          <w:rPr>
            <w:noProof/>
            <w:webHidden/>
          </w:rPr>
          <w:fldChar w:fldCharType="begin"/>
        </w:r>
        <w:r w:rsidR="00464E53">
          <w:rPr>
            <w:noProof/>
            <w:webHidden/>
          </w:rPr>
          <w:instrText xml:space="preserve"> PAGEREF _Toc86822694 \h </w:instrText>
        </w:r>
        <w:r w:rsidR="00464E53">
          <w:rPr>
            <w:noProof/>
            <w:webHidden/>
          </w:rPr>
        </w:r>
        <w:r w:rsidR="00464E53">
          <w:rPr>
            <w:noProof/>
            <w:webHidden/>
          </w:rPr>
          <w:fldChar w:fldCharType="separate"/>
        </w:r>
        <w:r w:rsidR="0088117A">
          <w:rPr>
            <w:noProof/>
            <w:webHidden/>
          </w:rPr>
          <w:t>37</w:t>
        </w:r>
        <w:r w:rsidR="00464E53">
          <w:rPr>
            <w:noProof/>
            <w:webHidden/>
          </w:rPr>
          <w:fldChar w:fldCharType="end"/>
        </w:r>
      </w:hyperlink>
    </w:p>
    <w:p w14:paraId="366243A6" w14:textId="36A0B5D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5" w:history="1">
        <w:r w:rsidR="00464E53" w:rsidRPr="0068547E">
          <w:rPr>
            <w:rStyle w:val="Hiperpovezava"/>
            <w:rFonts w:eastAsia="Calibri"/>
            <w:noProof/>
          </w:rPr>
          <w:t>Slika 23: Delež amortizacije  (</w:t>
        </w:r>
        <w:r w:rsidR="00464E53" w:rsidRPr="0068547E">
          <w:rPr>
            <w:rStyle w:val="Hiperpovezava"/>
            <w:rFonts w:eastAsia="Calibri"/>
            <w:noProof/>
            <w:lang w:val="en-US"/>
          </w:rPr>
          <w:t xml:space="preserve">SE360 - </w:t>
        </w:r>
        <w:r w:rsidR="00464E53" w:rsidRPr="0068547E">
          <w:rPr>
            <w:rStyle w:val="Hiperpovezava"/>
            <w:rFonts w:eastAsia="Calibri"/>
            <w:noProof/>
          </w:rPr>
          <w:t>"</w:t>
        </w:r>
        <w:r w:rsidR="00464E53" w:rsidRPr="0068547E">
          <w:rPr>
            <w:rStyle w:val="Hiperpovezava"/>
            <w:rFonts w:eastAsia="Calibri"/>
            <w:noProof/>
            <w:lang w:val="en-US"/>
          </w:rPr>
          <w:t>depreciation</w:t>
        </w:r>
        <w:r w:rsidR="00464E53" w:rsidRPr="0068547E">
          <w:rPr>
            <w:rStyle w:val="Hiperpovezava"/>
            <w:rFonts w:eastAsia="Calibri"/>
            <w:noProof/>
          </w:rPr>
          <w:t>"</w:t>
        </w:r>
        <w:r w:rsidR="00464E53" w:rsidRPr="0068547E">
          <w:rPr>
            <w:rStyle w:val="Hiperpovezava"/>
            <w:rFonts w:eastAsia="Calibri"/>
            <w:noProof/>
            <w:lang w:val="en-US"/>
          </w:rPr>
          <w:t xml:space="preserve">) kot % bruto dohodka na kmetiji (SE410 - </w:t>
        </w:r>
        <w:r w:rsidR="00464E53" w:rsidRPr="0068547E">
          <w:rPr>
            <w:rStyle w:val="Hiperpovezava"/>
            <w:rFonts w:eastAsia="Calibri"/>
            <w:noProof/>
          </w:rPr>
          <w:t>"g</w:t>
        </w:r>
        <w:r w:rsidR="00464E53" w:rsidRPr="0068547E">
          <w:rPr>
            <w:rStyle w:val="Hiperpovezava"/>
            <w:rFonts w:eastAsia="Calibri"/>
            <w:noProof/>
            <w:lang w:val="en-US"/>
          </w:rPr>
          <w:t>ross farm income</w:t>
        </w:r>
        <w:r w:rsidR="00464E53" w:rsidRPr="0068547E">
          <w:rPr>
            <w:rStyle w:val="Hiperpovezava"/>
            <w:rFonts w:eastAsia="Calibri"/>
            <w:noProof/>
          </w:rPr>
          <w:t>"</w:t>
        </w:r>
        <w:r w:rsidR="00464E53" w:rsidRPr="0068547E">
          <w:rPr>
            <w:rStyle w:val="Hiperpovezava"/>
            <w:rFonts w:eastAsia="Calibri"/>
            <w:noProof/>
            <w:lang w:val="en-US"/>
          </w:rPr>
          <w:t>), za leto 2018</w:t>
        </w:r>
        <w:r w:rsidR="00464E53">
          <w:rPr>
            <w:noProof/>
            <w:webHidden/>
          </w:rPr>
          <w:tab/>
        </w:r>
        <w:r w:rsidR="00464E53">
          <w:rPr>
            <w:noProof/>
            <w:webHidden/>
          </w:rPr>
          <w:fldChar w:fldCharType="begin"/>
        </w:r>
        <w:r w:rsidR="00464E53">
          <w:rPr>
            <w:noProof/>
            <w:webHidden/>
          </w:rPr>
          <w:instrText xml:space="preserve"> PAGEREF _Toc86822695 \h </w:instrText>
        </w:r>
        <w:r w:rsidR="00464E53">
          <w:rPr>
            <w:noProof/>
            <w:webHidden/>
          </w:rPr>
        </w:r>
        <w:r w:rsidR="00464E53">
          <w:rPr>
            <w:noProof/>
            <w:webHidden/>
          </w:rPr>
          <w:fldChar w:fldCharType="separate"/>
        </w:r>
        <w:r w:rsidR="0088117A">
          <w:rPr>
            <w:noProof/>
            <w:webHidden/>
          </w:rPr>
          <w:t>38</w:t>
        </w:r>
        <w:r w:rsidR="00464E53">
          <w:rPr>
            <w:noProof/>
            <w:webHidden/>
          </w:rPr>
          <w:fldChar w:fldCharType="end"/>
        </w:r>
      </w:hyperlink>
    </w:p>
    <w:p w14:paraId="72CA0CDF" w14:textId="2914666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6" w:history="1">
        <w:r w:rsidR="00464E53" w:rsidRPr="0068547E">
          <w:rPr>
            <w:rStyle w:val="Hiperpovezava"/>
            <w:rFonts w:eastAsia="Calibri"/>
            <w:noProof/>
          </w:rPr>
          <w:t>Slika 24: Težave, s katerimi so se soočali anketirani kmetje in kmetijska podjetja v letu 2017, Slovenija in EU-24</w:t>
        </w:r>
        <w:r w:rsidR="00464E53">
          <w:rPr>
            <w:noProof/>
            <w:webHidden/>
          </w:rPr>
          <w:tab/>
        </w:r>
        <w:r w:rsidR="00464E53">
          <w:rPr>
            <w:noProof/>
            <w:webHidden/>
          </w:rPr>
          <w:fldChar w:fldCharType="begin"/>
        </w:r>
        <w:r w:rsidR="00464E53">
          <w:rPr>
            <w:noProof/>
            <w:webHidden/>
          </w:rPr>
          <w:instrText xml:space="preserve"> PAGEREF _Toc86822696 \h </w:instrText>
        </w:r>
        <w:r w:rsidR="00464E53">
          <w:rPr>
            <w:noProof/>
            <w:webHidden/>
          </w:rPr>
        </w:r>
        <w:r w:rsidR="00464E53">
          <w:rPr>
            <w:noProof/>
            <w:webHidden/>
          </w:rPr>
          <w:fldChar w:fldCharType="separate"/>
        </w:r>
        <w:r w:rsidR="0088117A">
          <w:rPr>
            <w:noProof/>
            <w:webHidden/>
          </w:rPr>
          <w:t>39</w:t>
        </w:r>
        <w:r w:rsidR="00464E53">
          <w:rPr>
            <w:noProof/>
            <w:webHidden/>
          </w:rPr>
          <w:fldChar w:fldCharType="end"/>
        </w:r>
      </w:hyperlink>
    </w:p>
    <w:p w14:paraId="4C5CB17C" w14:textId="6AD3CE4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7" w:history="1">
        <w:r w:rsidR="00464E53" w:rsidRPr="0068547E">
          <w:rPr>
            <w:rStyle w:val="Hiperpovezava"/>
            <w:rFonts w:eastAsia="Calibri"/>
            <w:noProof/>
          </w:rPr>
          <w:t>Slika 25: Finančna vrzel v kmetijskem sektorju glede na produkt, v mio EUR in deležu, Slovenija, 2017</w:t>
        </w:r>
        <w:r w:rsidR="00464E53">
          <w:rPr>
            <w:noProof/>
            <w:webHidden/>
          </w:rPr>
          <w:tab/>
        </w:r>
        <w:r w:rsidR="00464E53">
          <w:rPr>
            <w:noProof/>
            <w:webHidden/>
          </w:rPr>
          <w:fldChar w:fldCharType="begin"/>
        </w:r>
        <w:r w:rsidR="00464E53">
          <w:rPr>
            <w:noProof/>
            <w:webHidden/>
          </w:rPr>
          <w:instrText xml:space="preserve"> PAGEREF _Toc86822697 \h </w:instrText>
        </w:r>
        <w:r w:rsidR="00464E53">
          <w:rPr>
            <w:noProof/>
            <w:webHidden/>
          </w:rPr>
        </w:r>
        <w:r w:rsidR="00464E53">
          <w:rPr>
            <w:noProof/>
            <w:webHidden/>
          </w:rPr>
          <w:fldChar w:fldCharType="separate"/>
        </w:r>
        <w:r w:rsidR="0088117A">
          <w:rPr>
            <w:noProof/>
            <w:webHidden/>
          </w:rPr>
          <w:t>40</w:t>
        </w:r>
        <w:r w:rsidR="00464E53">
          <w:rPr>
            <w:noProof/>
            <w:webHidden/>
          </w:rPr>
          <w:fldChar w:fldCharType="end"/>
        </w:r>
      </w:hyperlink>
    </w:p>
    <w:p w14:paraId="1B11C03C" w14:textId="09CDE53C"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8" w:history="1">
        <w:r w:rsidR="00464E53" w:rsidRPr="0068547E">
          <w:rPr>
            <w:rStyle w:val="Hiperpovezava"/>
            <w:rFonts w:eastAsia="Calibri"/>
            <w:noProof/>
          </w:rPr>
          <w:t>Slika 26: Št. GERK-ov na KMG in povprečna velikost GERK-ov glede na velikost KMG za celotno populacijo KMG za leto 2019, za Slovenijo (n= 89.167)</w:t>
        </w:r>
        <w:r w:rsidR="00464E53">
          <w:rPr>
            <w:noProof/>
            <w:webHidden/>
          </w:rPr>
          <w:tab/>
        </w:r>
        <w:r w:rsidR="00464E53">
          <w:rPr>
            <w:noProof/>
            <w:webHidden/>
          </w:rPr>
          <w:fldChar w:fldCharType="begin"/>
        </w:r>
        <w:r w:rsidR="00464E53">
          <w:rPr>
            <w:noProof/>
            <w:webHidden/>
          </w:rPr>
          <w:instrText xml:space="preserve"> PAGEREF _Toc86822698 \h </w:instrText>
        </w:r>
        <w:r w:rsidR="00464E53">
          <w:rPr>
            <w:noProof/>
            <w:webHidden/>
          </w:rPr>
        </w:r>
        <w:r w:rsidR="00464E53">
          <w:rPr>
            <w:noProof/>
            <w:webHidden/>
          </w:rPr>
          <w:fldChar w:fldCharType="separate"/>
        </w:r>
        <w:r w:rsidR="0088117A">
          <w:rPr>
            <w:noProof/>
            <w:webHidden/>
          </w:rPr>
          <w:t>42</w:t>
        </w:r>
        <w:r w:rsidR="00464E53">
          <w:rPr>
            <w:noProof/>
            <w:webHidden/>
          </w:rPr>
          <w:fldChar w:fldCharType="end"/>
        </w:r>
      </w:hyperlink>
    </w:p>
    <w:p w14:paraId="13087DA4" w14:textId="3ACFFF67"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699" w:history="1">
        <w:r w:rsidR="00464E53" w:rsidRPr="0068547E">
          <w:rPr>
            <w:rStyle w:val="Hiperpovezava"/>
            <w:rFonts w:eastAsia="Calibri"/>
            <w:noProof/>
          </w:rPr>
          <w:t>Slika 27: Št. GERK-ov na KMG in povprečna velikost GERK-ov glede na nadmorsko višino sedeža KMG, ki so oddali zbirno vlogo za leto 2019, za Slovenijo (n= 56.652)</w:t>
        </w:r>
        <w:r w:rsidR="00464E53">
          <w:rPr>
            <w:noProof/>
            <w:webHidden/>
          </w:rPr>
          <w:tab/>
        </w:r>
        <w:r w:rsidR="00464E53">
          <w:rPr>
            <w:noProof/>
            <w:webHidden/>
          </w:rPr>
          <w:fldChar w:fldCharType="begin"/>
        </w:r>
        <w:r w:rsidR="00464E53">
          <w:rPr>
            <w:noProof/>
            <w:webHidden/>
          </w:rPr>
          <w:instrText xml:space="preserve"> PAGEREF _Toc86822699 \h </w:instrText>
        </w:r>
        <w:r w:rsidR="00464E53">
          <w:rPr>
            <w:noProof/>
            <w:webHidden/>
          </w:rPr>
        </w:r>
        <w:r w:rsidR="00464E53">
          <w:rPr>
            <w:noProof/>
            <w:webHidden/>
          </w:rPr>
          <w:fldChar w:fldCharType="separate"/>
        </w:r>
        <w:r w:rsidR="0088117A">
          <w:rPr>
            <w:noProof/>
            <w:webHidden/>
          </w:rPr>
          <w:t>43</w:t>
        </w:r>
        <w:r w:rsidR="00464E53">
          <w:rPr>
            <w:noProof/>
            <w:webHidden/>
          </w:rPr>
          <w:fldChar w:fldCharType="end"/>
        </w:r>
      </w:hyperlink>
    </w:p>
    <w:p w14:paraId="47C8A6C3" w14:textId="2460D62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0" w:history="1">
        <w:r w:rsidR="00464E53" w:rsidRPr="0068547E">
          <w:rPr>
            <w:rStyle w:val="Hiperpovezava"/>
            <w:rFonts w:eastAsia="Calibri"/>
            <w:noProof/>
          </w:rPr>
          <w:t>Slika 28: Št. GERK-ov na KMG in povprečna velikost GERK-ov glede na združen tip kmetovanja iz Standardnega prihodka za leto 2014 in površin GERK-ov za leto 2015 (n=87.306)</w:t>
        </w:r>
        <w:r w:rsidR="00464E53">
          <w:rPr>
            <w:noProof/>
            <w:webHidden/>
          </w:rPr>
          <w:tab/>
        </w:r>
        <w:r w:rsidR="00464E53">
          <w:rPr>
            <w:noProof/>
            <w:webHidden/>
          </w:rPr>
          <w:fldChar w:fldCharType="begin"/>
        </w:r>
        <w:r w:rsidR="00464E53">
          <w:rPr>
            <w:noProof/>
            <w:webHidden/>
          </w:rPr>
          <w:instrText xml:space="preserve"> PAGEREF _Toc86822700 \h </w:instrText>
        </w:r>
        <w:r w:rsidR="00464E53">
          <w:rPr>
            <w:noProof/>
            <w:webHidden/>
          </w:rPr>
        </w:r>
        <w:r w:rsidR="00464E53">
          <w:rPr>
            <w:noProof/>
            <w:webHidden/>
          </w:rPr>
          <w:fldChar w:fldCharType="separate"/>
        </w:r>
        <w:r w:rsidR="0088117A">
          <w:rPr>
            <w:noProof/>
            <w:webHidden/>
          </w:rPr>
          <w:t>44</w:t>
        </w:r>
        <w:r w:rsidR="00464E53">
          <w:rPr>
            <w:noProof/>
            <w:webHidden/>
          </w:rPr>
          <w:fldChar w:fldCharType="end"/>
        </w:r>
      </w:hyperlink>
    </w:p>
    <w:p w14:paraId="77B26ACB" w14:textId="105571CC"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1" w:history="1">
        <w:r w:rsidR="00464E53" w:rsidRPr="0068547E">
          <w:rPr>
            <w:rStyle w:val="Hiperpovezava"/>
            <w:rFonts w:eastAsia="Calibri"/>
            <w:noProof/>
            <w:lang w:val="en-GB"/>
          </w:rPr>
          <w:t xml:space="preserve">Slika </w:t>
        </w:r>
        <w:r w:rsidR="00464E53" w:rsidRPr="0068547E">
          <w:rPr>
            <w:rStyle w:val="Hiperpovezava"/>
            <w:rFonts w:eastAsia="Calibri"/>
            <w:noProof/>
          </w:rPr>
          <w:t>29: Prostorska razporeditev izvedenih komasacij v programskem obdobju 2007–2013</w:t>
        </w:r>
        <w:r w:rsidR="00464E53">
          <w:rPr>
            <w:noProof/>
            <w:webHidden/>
          </w:rPr>
          <w:tab/>
        </w:r>
        <w:r w:rsidR="00464E53">
          <w:rPr>
            <w:noProof/>
            <w:webHidden/>
          </w:rPr>
          <w:fldChar w:fldCharType="begin"/>
        </w:r>
        <w:r w:rsidR="00464E53">
          <w:rPr>
            <w:noProof/>
            <w:webHidden/>
          </w:rPr>
          <w:instrText xml:space="preserve"> PAGEREF _Toc86822701 \h </w:instrText>
        </w:r>
        <w:r w:rsidR="00464E53">
          <w:rPr>
            <w:noProof/>
            <w:webHidden/>
          </w:rPr>
        </w:r>
        <w:r w:rsidR="00464E53">
          <w:rPr>
            <w:noProof/>
            <w:webHidden/>
          </w:rPr>
          <w:fldChar w:fldCharType="separate"/>
        </w:r>
        <w:r w:rsidR="0088117A">
          <w:rPr>
            <w:noProof/>
            <w:webHidden/>
          </w:rPr>
          <w:t>44</w:t>
        </w:r>
        <w:r w:rsidR="00464E53">
          <w:rPr>
            <w:noProof/>
            <w:webHidden/>
          </w:rPr>
          <w:fldChar w:fldCharType="end"/>
        </w:r>
      </w:hyperlink>
    </w:p>
    <w:p w14:paraId="12B7D36D" w14:textId="1BB9006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2" w:history="1">
        <w:r w:rsidR="00464E53" w:rsidRPr="0068547E">
          <w:rPr>
            <w:rStyle w:val="Hiperpovezava"/>
            <w:rFonts w:eastAsia="Calibri"/>
            <w:noProof/>
          </w:rPr>
          <w:t>Slika 30: Evidentirano število kupoprodaj in prodane površine za kmetijska in gozdna zemljišča (v hektarih), Slovenija, 2011–2019</w:t>
        </w:r>
        <w:r w:rsidR="00464E53">
          <w:rPr>
            <w:noProof/>
            <w:webHidden/>
          </w:rPr>
          <w:tab/>
        </w:r>
        <w:r w:rsidR="00464E53">
          <w:rPr>
            <w:noProof/>
            <w:webHidden/>
          </w:rPr>
          <w:fldChar w:fldCharType="begin"/>
        </w:r>
        <w:r w:rsidR="00464E53">
          <w:rPr>
            <w:noProof/>
            <w:webHidden/>
          </w:rPr>
          <w:instrText xml:space="preserve"> PAGEREF _Toc86822702 \h </w:instrText>
        </w:r>
        <w:r w:rsidR="00464E53">
          <w:rPr>
            <w:noProof/>
            <w:webHidden/>
          </w:rPr>
        </w:r>
        <w:r w:rsidR="00464E53">
          <w:rPr>
            <w:noProof/>
            <w:webHidden/>
          </w:rPr>
          <w:fldChar w:fldCharType="separate"/>
        </w:r>
        <w:r w:rsidR="0088117A">
          <w:rPr>
            <w:noProof/>
            <w:webHidden/>
          </w:rPr>
          <w:t>46</w:t>
        </w:r>
        <w:r w:rsidR="00464E53">
          <w:rPr>
            <w:noProof/>
            <w:webHidden/>
          </w:rPr>
          <w:fldChar w:fldCharType="end"/>
        </w:r>
      </w:hyperlink>
    </w:p>
    <w:p w14:paraId="3136C2CF" w14:textId="60B0488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3" w:history="1">
        <w:r w:rsidR="00464E53" w:rsidRPr="0068547E">
          <w:rPr>
            <w:rStyle w:val="Hiperpovezava"/>
            <w:rFonts w:eastAsia="Calibri"/>
            <w:noProof/>
          </w:rPr>
          <w:t>Slika 31: Gibanje hektarskih donosov pri nekaterih ključnih kulturah v rastlinski pridelavi 2005–2018</w:t>
        </w:r>
        <w:r w:rsidR="00464E53">
          <w:rPr>
            <w:noProof/>
            <w:webHidden/>
          </w:rPr>
          <w:tab/>
        </w:r>
        <w:r w:rsidR="00464E53">
          <w:rPr>
            <w:noProof/>
            <w:webHidden/>
          </w:rPr>
          <w:fldChar w:fldCharType="begin"/>
        </w:r>
        <w:r w:rsidR="00464E53">
          <w:rPr>
            <w:noProof/>
            <w:webHidden/>
          </w:rPr>
          <w:instrText xml:space="preserve"> PAGEREF _Toc86822703 \h </w:instrText>
        </w:r>
        <w:r w:rsidR="00464E53">
          <w:rPr>
            <w:noProof/>
            <w:webHidden/>
          </w:rPr>
        </w:r>
        <w:r w:rsidR="00464E53">
          <w:rPr>
            <w:noProof/>
            <w:webHidden/>
          </w:rPr>
          <w:fldChar w:fldCharType="separate"/>
        </w:r>
        <w:r w:rsidR="0088117A">
          <w:rPr>
            <w:noProof/>
            <w:webHidden/>
          </w:rPr>
          <w:t>48</w:t>
        </w:r>
        <w:r w:rsidR="00464E53">
          <w:rPr>
            <w:noProof/>
            <w:webHidden/>
          </w:rPr>
          <w:fldChar w:fldCharType="end"/>
        </w:r>
      </w:hyperlink>
    </w:p>
    <w:p w14:paraId="1CDC3A3F" w14:textId="0F12EC44"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4" w:history="1">
        <w:r w:rsidR="00464E53" w:rsidRPr="0068547E">
          <w:rPr>
            <w:rStyle w:val="Hiperpovezava"/>
            <w:rFonts w:eastAsia="Calibri"/>
            <w:noProof/>
          </w:rPr>
          <w:t>Slika 32: Gibanje hektarskih donosov pri nekaterih vrstah sadja, 2005–2018</w:t>
        </w:r>
        <w:r w:rsidR="00464E53">
          <w:rPr>
            <w:noProof/>
            <w:webHidden/>
          </w:rPr>
          <w:tab/>
        </w:r>
        <w:r w:rsidR="00464E53">
          <w:rPr>
            <w:noProof/>
            <w:webHidden/>
          </w:rPr>
          <w:fldChar w:fldCharType="begin"/>
        </w:r>
        <w:r w:rsidR="00464E53">
          <w:rPr>
            <w:noProof/>
            <w:webHidden/>
          </w:rPr>
          <w:instrText xml:space="preserve"> PAGEREF _Toc86822704 \h </w:instrText>
        </w:r>
        <w:r w:rsidR="00464E53">
          <w:rPr>
            <w:noProof/>
            <w:webHidden/>
          </w:rPr>
        </w:r>
        <w:r w:rsidR="00464E53">
          <w:rPr>
            <w:noProof/>
            <w:webHidden/>
          </w:rPr>
          <w:fldChar w:fldCharType="separate"/>
        </w:r>
        <w:r w:rsidR="0088117A">
          <w:rPr>
            <w:noProof/>
            <w:webHidden/>
          </w:rPr>
          <w:t>48</w:t>
        </w:r>
        <w:r w:rsidR="00464E53">
          <w:rPr>
            <w:noProof/>
            <w:webHidden/>
          </w:rPr>
          <w:fldChar w:fldCharType="end"/>
        </w:r>
      </w:hyperlink>
    </w:p>
    <w:p w14:paraId="47B33B75" w14:textId="3C33E0C9"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5" w:history="1">
        <w:r w:rsidR="00464E53" w:rsidRPr="0068547E">
          <w:rPr>
            <w:rStyle w:val="Hiperpovezava"/>
            <w:rFonts w:eastAsia="Calibri"/>
            <w:noProof/>
          </w:rPr>
          <w:t>Slika 33: Bruto dodana vrednost na hektar KZU, v EUR, 2016</w:t>
        </w:r>
        <w:r w:rsidR="00464E53">
          <w:rPr>
            <w:noProof/>
            <w:webHidden/>
          </w:rPr>
          <w:tab/>
        </w:r>
        <w:r w:rsidR="00464E53">
          <w:rPr>
            <w:noProof/>
            <w:webHidden/>
          </w:rPr>
          <w:fldChar w:fldCharType="begin"/>
        </w:r>
        <w:r w:rsidR="00464E53">
          <w:rPr>
            <w:noProof/>
            <w:webHidden/>
          </w:rPr>
          <w:instrText xml:space="preserve"> PAGEREF _Toc86822705 \h </w:instrText>
        </w:r>
        <w:r w:rsidR="00464E53">
          <w:rPr>
            <w:noProof/>
            <w:webHidden/>
          </w:rPr>
        </w:r>
        <w:r w:rsidR="00464E53">
          <w:rPr>
            <w:noProof/>
            <w:webHidden/>
          </w:rPr>
          <w:fldChar w:fldCharType="separate"/>
        </w:r>
        <w:r w:rsidR="0088117A">
          <w:rPr>
            <w:noProof/>
            <w:webHidden/>
          </w:rPr>
          <w:t>48</w:t>
        </w:r>
        <w:r w:rsidR="00464E53">
          <w:rPr>
            <w:noProof/>
            <w:webHidden/>
          </w:rPr>
          <w:fldChar w:fldCharType="end"/>
        </w:r>
      </w:hyperlink>
    </w:p>
    <w:p w14:paraId="41FCD6AA" w14:textId="0BFC9E5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6" w:history="1">
        <w:r w:rsidR="00464E53" w:rsidRPr="0068547E">
          <w:rPr>
            <w:rStyle w:val="Hiperpovezava"/>
            <w:rFonts w:eastAsia="Calibri"/>
            <w:noProof/>
            <w:lang w:eastAsia="sl-SI"/>
          </w:rPr>
          <w:t>Slika 34: Prihodkovno-stroškovna struktura podjetniškega dohodka, 2005</w:t>
        </w:r>
        <w:r w:rsidR="00464E53" w:rsidRPr="0068547E">
          <w:rPr>
            <w:rStyle w:val="Hiperpovezava"/>
            <w:rFonts w:eastAsia="Calibri"/>
            <w:bCs/>
            <w:noProof/>
            <w:lang w:eastAsia="sl-SI"/>
          </w:rPr>
          <w:t>–</w:t>
        </w:r>
        <w:r w:rsidR="00464E53" w:rsidRPr="0068547E">
          <w:rPr>
            <w:rStyle w:val="Hiperpovezava"/>
            <w:rFonts w:eastAsia="Calibri"/>
            <w:noProof/>
            <w:lang w:eastAsia="sl-SI"/>
          </w:rPr>
          <w:t>2018, Slovenija, (realne cene), mio EUR</w:t>
        </w:r>
        <w:r w:rsidR="00464E53">
          <w:rPr>
            <w:noProof/>
            <w:webHidden/>
          </w:rPr>
          <w:tab/>
        </w:r>
        <w:r w:rsidR="00464E53">
          <w:rPr>
            <w:noProof/>
            <w:webHidden/>
          </w:rPr>
          <w:fldChar w:fldCharType="begin"/>
        </w:r>
        <w:r w:rsidR="00464E53">
          <w:rPr>
            <w:noProof/>
            <w:webHidden/>
          </w:rPr>
          <w:instrText xml:space="preserve"> PAGEREF _Toc86822706 \h </w:instrText>
        </w:r>
        <w:r w:rsidR="00464E53">
          <w:rPr>
            <w:noProof/>
            <w:webHidden/>
          </w:rPr>
        </w:r>
        <w:r w:rsidR="00464E53">
          <w:rPr>
            <w:noProof/>
            <w:webHidden/>
          </w:rPr>
          <w:fldChar w:fldCharType="separate"/>
        </w:r>
        <w:r w:rsidR="0088117A">
          <w:rPr>
            <w:noProof/>
            <w:webHidden/>
          </w:rPr>
          <w:t>50</w:t>
        </w:r>
        <w:r w:rsidR="00464E53">
          <w:rPr>
            <w:noProof/>
            <w:webHidden/>
          </w:rPr>
          <w:fldChar w:fldCharType="end"/>
        </w:r>
      </w:hyperlink>
    </w:p>
    <w:p w14:paraId="1BC40576" w14:textId="35B1ACF8"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7" w:history="1">
        <w:r w:rsidR="00464E53" w:rsidRPr="0068547E">
          <w:rPr>
            <w:rStyle w:val="Hiperpovezava"/>
            <w:rFonts w:eastAsia="Calibri"/>
            <w:noProof/>
          </w:rPr>
          <w:t>Slika 35: Delež vmesne potrošnje v celotni kmetijski proizvodnji (v stalnih cenah, 2005=100), Slovenija in EU-28, 2005–2016</w:t>
        </w:r>
        <w:r w:rsidR="00464E53">
          <w:rPr>
            <w:noProof/>
            <w:webHidden/>
          </w:rPr>
          <w:tab/>
        </w:r>
        <w:r w:rsidR="00464E53">
          <w:rPr>
            <w:noProof/>
            <w:webHidden/>
          </w:rPr>
          <w:fldChar w:fldCharType="begin"/>
        </w:r>
        <w:r w:rsidR="00464E53">
          <w:rPr>
            <w:noProof/>
            <w:webHidden/>
          </w:rPr>
          <w:instrText xml:space="preserve"> PAGEREF _Toc86822707 \h </w:instrText>
        </w:r>
        <w:r w:rsidR="00464E53">
          <w:rPr>
            <w:noProof/>
            <w:webHidden/>
          </w:rPr>
        </w:r>
        <w:r w:rsidR="00464E53">
          <w:rPr>
            <w:noProof/>
            <w:webHidden/>
          </w:rPr>
          <w:fldChar w:fldCharType="separate"/>
        </w:r>
        <w:r w:rsidR="0088117A">
          <w:rPr>
            <w:noProof/>
            <w:webHidden/>
          </w:rPr>
          <w:t>50</w:t>
        </w:r>
        <w:r w:rsidR="00464E53">
          <w:rPr>
            <w:noProof/>
            <w:webHidden/>
          </w:rPr>
          <w:fldChar w:fldCharType="end"/>
        </w:r>
      </w:hyperlink>
    </w:p>
    <w:p w14:paraId="4A124134" w14:textId="0D7E3136"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8" w:history="1">
        <w:r w:rsidR="00464E53" w:rsidRPr="0068547E">
          <w:rPr>
            <w:rStyle w:val="Hiperpovezava"/>
            <w:rFonts w:eastAsia="Calibri"/>
            <w:noProof/>
            <w:lang w:eastAsia="en-US"/>
          </w:rPr>
          <w:t>Slika 36: Delež vmesne potrošnje v kmetijski proizvodnji, EU, leto 2019, v tekočih cenah</w:t>
        </w:r>
        <w:r w:rsidR="00464E53">
          <w:rPr>
            <w:noProof/>
            <w:webHidden/>
          </w:rPr>
          <w:tab/>
        </w:r>
        <w:r w:rsidR="00464E53">
          <w:rPr>
            <w:noProof/>
            <w:webHidden/>
          </w:rPr>
          <w:fldChar w:fldCharType="begin"/>
        </w:r>
        <w:r w:rsidR="00464E53">
          <w:rPr>
            <w:noProof/>
            <w:webHidden/>
          </w:rPr>
          <w:instrText xml:space="preserve"> PAGEREF _Toc86822708 \h </w:instrText>
        </w:r>
        <w:r w:rsidR="00464E53">
          <w:rPr>
            <w:noProof/>
            <w:webHidden/>
          </w:rPr>
        </w:r>
        <w:r w:rsidR="00464E53">
          <w:rPr>
            <w:noProof/>
            <w:webHidden/>
          </w:rPr>
          <w:fldChar w:fldCharType="separate"/>
        </w:r>
        <w:r w:rsidR="0088117A">
          <w:rPr>
            <w:noProof/>
            <w:webHidden/>
          </w:rPr>
          <w:t>51</w:t>
        </w:r>
        <w:r w:rsidR="00464E53">
          <w:rPr>
            <w:noProof/>
            <w:webHidden/>
          </w:rPr>
          <w:fldChar w:fldCharType="end"/>
        </w:r>
      </w:hyperlink>
    </w:p>
    <w:p w14:paraId="395C50B7" w14:textId="5AB68EB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09" w:history="1">
        <w:r w:rsidR="00464E53" w:rsidRPr="0068547E">
          <w:rPr>
            <w:rStyle w:val="Hiperpovezava"/>
            <w:rFonts w:eastAsia="Calibri"/>
            <w:noProof/>
            <w:lang w:eastAsia="en-US"/>
          </w:rPr>
          <w:t>Slika 37: Indeks obsega kmetijske proizvodnje in vmesne potrošnje, Slovenija in EU-28, 2005-2019, v stalnih cenah (2005=100)</w:t>
        </w:r>
        <w:r w:rsidR="00464E53">
          <w:rPr>
            <w:noProof/>
            <w:webHidden/>
          </w:rPr>
          <w:tab/>
        </w:r>
        <w:r w:rsidR="00464E53">
          <w:rPr>
            <w:noProof/>
            <w:webHidden/>
          </w:rPr>
          <w:fldChar w:fldCharType="begin"/>
        </w:r>
        <w:r w:rsidR="00464E53">
          <w:rPr>
            <w:noProof/>
            <w:webHidden/>
          </w:rPr>
          <w:instrText xml:space="preserve"> PAGEREF _Toc86822709 \h </w:instrText>
        </w:r>
        <w:r w:rsidR="00464E53">
          <w:rPr>
            <w:noProof/>
            <w:webHidden/>
          </w:rPr>
        </w:r>
        <w:r w:rsidR="00464E53">
          <w:rPr>
            <w:noProof/>
            <w:webHidden/>
          </w:rPr>
          <w:fldChar w:fldCharType="separate"/>
        </w:r>
        <w:r w:rsidR="0088117A">
          <w:rPr>
            <w:noProof/>
            <w:webHidden/>
          </w:rPr>
          <w:t>52</w:t>
        </w:r>
        <w:r w:rsidR="00464E53">
          <w:rPr>
            <w:noProof/>
            <w:webHidden/>
          </w:rPr>
          <w:fldChar w:fldCharType="end"/>
        </w:r>
      </w:hyperlink>
    </w:p>
    <w:p w14:paraId="25915ABE" w14:textId="001492E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0" w:history="1">
        <w:r w:rsidR="00464E53" w:rsidRPr="0068547E">
          <w:rPr>
            <w:rStyle w:val="Hiperpovezava"/>
            <w:rFonts w:eastAsia="Calibri"/>
            <w:noProof/>
          </w:rPr>
          <w:t xml:space="preserve">Slika 38: </w:t>
        </w:r>
        <w:r w:rsidR="00464E53" w:rsidRPr="0068547E">
          <w:rPr>
            <w:rStyle w:val="Hiperpovezava"/>
            <w:rFonts w:eastAsia="Calibri"/>
            <w:noProof/>
            <w:lang w:val="en-US"/>
          </w:rPr>
          <w:t>Razmerje med</w:t>
        </w:r>
        <w:r w:rsidR="00464E53" w:rsidRPr="0068547E">
          <w:rPr>
            <w:rStyle w:val="Hiperpovezava"/>
            <w:rFonts w:eastAsia="Calibri"/>
            <w:noProof/>
          </w:rPr>
          <w:t xml:space="preserve"> bruto dodano vrednostjo in vmesno potrošnjo, 2019, EU, v EUR, v tekočih cenah</w:t>
        </w:r>
        <w:r w:rsidR="00464E53">
          <w:rPr>
            <w:noProof/>
            <w:webHidden/>
          </w:rPr>
          <w:tab/>
        </w:r>
        <w:r w:rsidR="00464E53">
          <w:rPr>
            <w:noProof/>
            <w:webHidden/>
          </w:rPr>
          <w:fldChar w:fldCharType="begin"/>
        </w:r>
        <w:r w:rsidR="00464E53">
          <w:rPr>
            <w:noProof/>
            <w:webHidden/>
          </w:rPr>
          <w:instrText xml:space="preserve"> PAGEREF _Toc86822710 \h </w:instrText>
        </w:r>
        <w:r w:rsidR="00464E53">
          <w:rPr>
            <w:noProof/>
            <w:webHidden/>
          </w:rPr>
        </w:r>
        <w:r w:rsidR="00464E53">
          <w:rPr>
            <w:noProof/>
            <w:webHidden/>
          </w:rPr>
          <w:fldChar w:fldCharType="separate"/>
        </w:r>
        <w:r w:rsidR="0088117A">
          <w:rPr>
            <w:noProof/>
            <w:webHidden/>
          </w:rPr>
          <w:t>53</w:t>
        </w:r>
        <w:r w:rsidR="00464E53">
          <w:rPr>
            <w:noProof/>
            <w:webHidden/>
          </w:rPr>
          <w:fldChar w:fldCharType="end"/>
        </w:r>
      </w:hyperlink>
    </w:p>
    <w:p w14:paraId="5452F1D4" w14:textId="21EC1D0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1" w:history="1">
        <w:r w:rsidR="00464E53" w:rsidRPr="0068547E">
          <w:rPr>
            <w:rStyle w:val="Hiperpovezava"/>
            <w:rFonts w:eastAsia="Calibri"/>
            <w:noProof/>
          </w:rPr>
          <w:t>Slika 39: Število odobrenih vlog in celotna vrednost naložb po točkah OMD v okviru podukrepa M04.1 PRP 2014–2020, stanje 30. 4. 2020</w:t>
        </w:r>
        <w:r w:rsidR="00464E53">
          <w:rPr>
            <w:noProof/>
            <w:webHidden/>
          </w:rPr>
          <w:tab/>
        </w:r>
        <w:r w:rsidR="00464E53">
          <w:rPr>
            <w:noProof/>
            <w:webHidden/>
          </w:rPr>
          <w:fldChar w:fldCharType="begin"/>
        </w:r>
        <w:r w:rsidR="00464E53">
          <w:rPr>
            <w:noProof/>
            <w:webHidden/>
          </w:rPr>
          <w:instrText xml:space="preserve"> PAGEREF _Toc86822711 \h </w:instrText>
        </w:r>
        <w:r w:rsidR="00464E53">
          <w:rPr>
            <w:noProof/>
            <w:webHidden/>
          </w:rPr>
        </w:r>
        <w:r w:rsidR="00464E53">
          <w:rPr>
            <w:noProof/>
            <w:webHidden/>
          </w:rPr>
          <w:fldChar w:fldCharType="separate"/>
        </w:r>
        <w:r w:rsidR="0088117A">
          <w:rPr>
            <w:noProof/>
            <w:webHidden/>
          </w:rPr>
          <w:t>55</w:t>
        </w:r>
        <w:r w:rsidR="00464E53">
          <w:rPr>
            <w:noProof/>
            <w:webHidden/>
          </w:rPr>
          <w:fldChar w:fldCharType="end"/>
        </w:r>
      </w:hyperlink>
    </w:p>
    <w:p w14:paraId="0D1444CF" w14:textId="735FE42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2" w:history="1">
        <w:r w:rsidR="00464E53" w:rsidRPr="0068547E">
          <w:rPr>
            <w:rStyle w:val="Hiperpovezava"/>
            <w:rFonts w:eastAsia="Calibri"/>
            <w:noProof/>
          </w:rPr>
          <w:t>Slika 40: Primerjava povprečnega števila ha KZU, števila GVŽ, PDM in PDM/ha KZU v sektorju govedoreje glede na OMD za podprte naložbe v okviru podukrepa M04.1 PRP 2014–2020 (stanje 30. 4. 2020)</w:t>
        </w:r>
        <w:r w:rsidR="00464E53">
          <w:rPr>
            <w:noProof/>
            <w:webHidden/>
          </w:rPr>
          <w:tab/>
        </w:r>
        <w:r w:rsidR="00464E53">
          <w:rPr>
            <w:noProof/>
            <w:webHidden/>
          </w:rPr>
          <w:fldChar w:fldCharType="begin"/>
        </w:r>
        <w:r w:rsidR="00464E53">
          <w:rPr>
            <w:noProof/>
            <w:webHidden/>
          </w:rPr>
          <w:instrText xml:space="preserve"> PAGEREF _Toc86822712 \h </w:instrText>
        </w:r>
        <w:r w:rsidR="00464E53">
          <w:rPr>
            <w:noProof/>
            <w:webHidden/>
          </w:rPr>
        </w:r>
        <w:r w:rsidR="00464E53">
          <w:rPr>
            <w:noProof/>
            <w:webHidden/>
          </w:rPr>
          <w:fldChar w:fldCharType="separate"/>
        </w:r>
        <w:r w:rsidR="0088117A">
          <w:rPr>
            <w:noProof/>
            <w:webHidden/>
          </w:rPr>
          <w:t>57</w:t>
        </w:r>
        <w:r w:rsidR="00464E53">
          <w:rPr>
            <w:noProof/>
            <w:webHidden/>
          </w:rPr>
          <w:fldChar w:fldCharType="end"/>
        </w:r>
      </w:hyperlink>
    </w:p>
    <w:p w14:paraId="5DA0772A" w14:textId="2FF1056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3" w:history="1">
        <w:r w:rsidR="00464E53" w:rsidRPr="0068547E">
          <w:rPr>
            <w:rStyle w:val="Hiperpovezava"/>
            <w:rFonts w:eastAsia="Calibri"/>
            <w:noProof/>
          </w:rPr>
          <w:t xml:space="preserve">Slika 41: Lokacija naložb na KMG v okviru podukrepa </w:t>
        </w:r>
        <w:r w:rsidR="00464E53" w:rsidRPr="0068547E">
          <w:rPr>
            <w:rStyle w:val="Hiperpovezava"/>
            <w:rFonts w:eastAsia="Calibri"/>
            <w:bCs/>
            <w:noProof/>
          </w:rPr>
          <w:t>M0</w:t>
        </w:r>
        <w:r w:rsidR="00464E53" w:rsidRPr="0068547E">
          <w:rPr>
            <w:rStyle w:val="Hiperpovezava"/>
            <w:rFonts w:eastAsia="Calibri"/>
            <w:noProof/>
          </w:rPr>
          <w:t>4.1 PRP 2014–2020</w:t>
        </w:r>
        <w:r w:rsidR="00464E53">
          <w:rPr>
            <w:noProof/>
            <w:webHidden/>
          </w:rPr>
          <w:tab/>
        </w:r>
        <w:r w:rsidR="00464E53">
          <w:rPr>
            <w:noProof/>
            <w:webHidden/>
          </w:rPr>
          <w:fldChar w:fldCharType="begin"/>
        </w:r>
        <w:r w:rsidR="00464E53">
          <w:rPr>
            <w:noProof/>
            <w:webHidden/>
          </w:rPr>
          <w:instrText xml:space="preserve"> PAGEREF _Toc86822713 \h </w:instrText>
        </w:r>
        <w:r w:rsidR="00464E53">
          <w:rPr>
            <w:noProof/>
            <w:webHidden/>
          </w:rPr>
        </w:r>
        <w:r w:rsidR="00464E53">
          <w:rPr>
            <w:noProof/>
            <w:webHidden/>
          </w:rPr>
          <w:fldChar w:fldCharType="separate"/>
        </w:r>
        <w:r w:rsidR="0088117A">
          <w:rPr>
            <w:noProof/>
            <w:webHidden/>
          </w:rPr>
          <w:t>57</w:t>
        </w:r>
        <w:r w:rsidR="00464E53">
          <w:rPr>
            <w:noProof/>
            <w:webHidden/>
          </w:rPr>
          <w:fldChar w:fldCharType="end"/>
        </w:r>
      </w:hyperlink>
    </w:p>
    <w:p w14:paraId="70086869" w14:textId="5163FA5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4" w:history="1">
        <w:r w:rsidR="00464E53" w:rsidRPr="0068547E">
          <w:rPr>
            <w:rStyle w:val="Hiperpovezava"/>
            <w:rFonts w:eastAsia="Calibri"/>
            <w:noProof/>
          </w:rPr>
          <w:t>Slika 42: Lokacija naložb iz podukrepa M04.1 v skupni višini do 100.000 EUR</w:t>
        </w:r>
        <w:r w:rsidR="00464E53">
          <w:rPr>
            <w:noProof/>
            <w:webHidden/>
          </w:rPr>
          <w:tab/>
        </w:r>
        <w:r w:rsidR="00464E53">
          <w:rPr>
            <w:noProof/>
            <w:webHidden/>
          </w:rPr>
          <w:fldChar w:fldCharType="begin"/>
        </w:r>
        <w:r w:rsidR="00464E53">
          <w:rPr>
            <w:noProof/>
            <w:webHidden/>
          </w:rPr>
          <w:instrText xml:space="preserve"> PAGEREF _Toc86822714 \h </w:instrText>
        </w:r>
        <w:r w:rsidR="00464E53">
          <w:rPr>
            <w:noProof/>
            <w:webHidden/>
          </w:rPr>
        </w:r>
        <w:r w:rsidR="00464E53">
          <w:rPr>
            <w:noProof/>
            <w:webHidden/>
          </w:rPr>
          <w:fldChar w:fldCharType="separate"/>
        </w:r>
        <w:r w:rsidR="0088117A">
          <w:rPr>
            <w:noProof/>
            <w:webHidden/>
          </w:rPr>
          <w:t>58</w:t>
        </w:r>
        <w:r w:rsidR="00464E53">
          <w:rPr>
            <w:noProof/>
            <w:webHidden/>
          </w:rPr>
          <w:fldChar w:fldCharType="end"/>
        </w:r>
      </w:hyperlink>
    </w:p>
    <w:p w14:paraId="0D9A8267" w14:textId="603B5564"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5" w:history="1">
        <w:r w:rsidR="00464E53" w:rsidRPr="0068547E">
          <w:rPr>
            <w:rStyle w:val="Hiperpovezava"/>
            <w:rFonts w:eastAsia="Calibri"/>
            <w:noProof/>
          </w:rPr>
          <w:t>Slika 43: Lokacija naložb iz podukrepa M04.1 v skupni višini  nad 100.000 EUR</w:t>
        </w:r>
        <w:r w:rsidR="00464E53">
          <w:rPr>
            <w:noProof/>
            <w:webHidden/>
          </w:rPr>
          <w:tab/>
        </w:r>
        <w:r w:rsidR="00464E53">
          <w:rPr>
            <w:noProof/>
            <w:webHidden/>
          </w:rPr>
          <w:fldChar w:fldCharType="begin"/>
        </w:r>
        <w:r w:rsidR="00464E53">
          <w:rPr>
            <w:noProof/>
            <w:webHidden/>
          </w:rPr>
          <w:instrText xml:space="preserve"> PAGEREF _Toc86822715 \h </w:instrText>
        </w:r>
        <w:r w:rsidR="00464E53">
          <w:rPr>
            <w:noProof/>
            <w:webHidden/>
          </w:rPr>
        </w:r>
        <w:r w:rsidR="00464E53">
          <w:rPr>
            <w:noProof/>
            <w:webHidden/>
          </w:rPr>
          <w:fldChar w:fldCharType="separate"/>
        </w:r>
        <w:r w:rsidR="0088117A">
          <w:rPr>
            <w:noProof/>
            <w:webHidden/>
          </w:rPr>
          <w:t>58</w:t>
        </w:r>
        <w:r w:rsidR="00464E53">
          <w:rPr>
            <w:noProof/>
            <w:webHidden/>
          </w:rPr>
          <w:fldChar w:fldCharType="end"/>
        </w:r>
      </w:hyperlink>
    </w:p>
    <w:p w14:paraId="7B895F70" w14:textId="5E39538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6" w:history="1">
        <w:r w:rsidR="00464E53" w:rsidRPr="0068547E">
          <w:rPr>
            <w:rStyle w:val="Hiperpovezava"/>
            <w:rFonts w:eastAsia="Calibri"/>
            <w:noProof/>
          </w:rPr>
          <w:t>Slika 44: Prikaz gostote naložb iz podukrepa M04.1 glede na vrednost celotne naložbe (z vključenim DDV)</w:t>
        </w:r>
        <w:r w:rsidR="00464E53">
          <w:rPr>
            <w:noProof/>
            <w:webHidden/>
          </w:rPr>
          <w:tab/>
        </w:r>
        <w:r w:rsidR="00464E53">
          <w:rPr>
            <w:noProof/>
            <w:webHidden/>
          </w:rPr>
          <w:fldChar w:fldCharType="begin"/>
        </w:r>
        <w:r w:rsidR="00464E53">
          <w:rPr>
            <w:noProof/>
            <w:webHidden/>
          </w:rPr>
          <w:instrText xml:space="preserve"> PAGEREF _Toc86822716 \h </w:instrText>
        </w:r>
        <w:r w:rsidR="00464E53">
          <w:rPr>
            <w:noProof/>
            <w:webHidden/>
          </w:rPr>
        </w:r>
        <w:r w:rsidR="00464E53">
          <w:rPr>
            <w:noProof/>
            <w:webHidden/>
          </w:rPr>
          <w:fldChar w:fldCharType="separate"/>
        </w:r>
        <w:r w:rsidR="0088117A">
          <w:rPr>
            <w:noProof/>
            <w:webHidden/>
          </w:rPr>
          <w:t>58</w:t>
        </w:r>
        <w:r w:rsidR="00464E53">
          <w:rPr>
            <w:noProof/>
            <w:webHidden/>
          </w:rPr>
          <w:fldChar w:fldCharType="end"/>
        </w:r>
      </w:hyperlink>
    </w:p>
    <w:p w14:paraId="601F4A77" w14:textId="47DC684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7" w:history="1">
        <w:r w:rsidR="00464E53" w:rsidRPr="0068547E">
          <w:rPr>
            <w:rStyle w:val="Hiperpovezava"/>
            <w:rFonts w:eastAsia="Calibri"/>
            <w:noProof/>
          </w:rPr>
          <w:t xml:space="preserve">Slika 45: </w:t>
        </w:r>
        <w:r w:rsidR="00464E53" w:rsidRPr="0068547E">
          <w:rPr>
            <w:rStyle w:val="Hiperpovezava"/>
            <w:rFonts w:eastAsiaTheme="minorHAnsi"/>
            <w:noProof/>
          </w:rPr>
          <w:t xml:space="preserve">Gostota vseh naložb glede na vrednost celotne naložbe za tip proizvodnje: </w:t>
        </w:r>
        <w:r w:rsidR="00464E53" w:rsidRPr="0068547E">
          <w:rPr>
            <w:rStyle w:val="Hiperpovezava"/>
            <w:rFonts w:eastAsiaTheme="minorHAnsi"/>
            <w:i/>
            <w:noProof/>
          </w:rPr>
          <w:t>Mleko - govedoreja: krave molznice</w:t>
        </w:r>
        <w:r w:rsidR="00464E53">
          <w:rPr>
            <w:noProof/>
            <w:webHidden/>
          </w:rPr>
          <w:tab/>
        </w:r>
        <w:r w:rsidR="00464E53">
          <w:rPr>
            <w:noProof/>
            <w:webHidden/>
          </w:rPr>
          <w:fldChar w:fldCharType="begin"/>
        </w:r>
        <w:r w:rsidR="00464E53">
          <w:rPr>
            <w:noProof/>
            <w:webHidden/>
          </w:rPr>
          <w:instrText xml:space="preserve"> PAGEREF _Toc86822717 \h </w:instrText>
        </w:r>
        <w:r w:rsidR="00464E53">
          <w:rPr>
            <w:noProof/>
            <w:webHidden/>
          </w:rPr>
        </w:r>
        <w:r w:rsidR="00464E53">
          <w:rPr>
            <w:noProof/>
            <w:webHidden/>
          </w:rPr>
          <w:fldChar w:fldCharType="separate"/>
        </w:r>
        <w:r w:rsidR="0088117A">
          <w:rPr>
            <w:noProof/>
            <w:webHidden/>
          </w:rPr>
          <w:t>59</w:t>
        </w:r>
        <w:r w:rsidR="00464E53">
          <w:rPr>
            <w:noProof/>
            <w:webHidden/>
          </w:rPr>
          <w:fldChar w:fldCharType="end"/>
        </w:r>
      </w:hyperlink>
    </w:p>
    <w:p w14:paraId="2B789DF5" w14:textId="20A5CD0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8" w:history="1">
        <w:r w:rsidR="00464E53" w:rsidRPr="0068547E">
          <w:rPr>
            <w:rStyle w:val="Hiperpovezava"/>
            <w:rFonts w:eastAsia="Calibri"/>
            <w:noProof/>
          </w:rPr>
          <w:t xml:space="preserve">Slika 46: </w:t>
        </w:r>
        <w:r w:rsidR="00464E53" w:rsidRPr="0068547E">
          <w:rPr>
            <w:rStyle w:val="Hiperpovezava"/>
            <w:rFonts w:eastAsiaTheme="minorHAnsi"/>
            <w:noProof/>
            <w:lang w:eastAsia="en-US"/>
          </w:rPr>
          <w:t>Gostota oddaje in prodaje mleka v kg za leto 2019</w:t>
        </w:r>
        <w:r w:rsidR="00464E53">
          <w:rPr>
            <w:noProof/>
            <w:webHidden/>
          </w:rPr>
          <w:tab/>
        </w:r>
        <w:r w:rsidR="00464E53">
          <w:rPr>
            <w:noProof/>
            <w:webHidden/>
          </w:rPr>
          <w:fldChar w:fldCharType="begin"/>
        </w:r>
        <w:r w:rsidR="00464E53">
          <w:rPr>
            <w:noProof/>
            <w:webHidden/>
          </w:rPr>
          <w:instrText xml:space="preserve"> PAGEREF _Toc86822718 \h </w:instrText>
        </w:r>
        <w:r w:rsidR="00464E53">
          <w:rPr>
            <w:noProof/>
            <w:webHidden/>
          </w:rPr>
        </w:r>
        <w:r w:rsidR="00464E53">
          <w:rPr>
            <w:noProof/>
            <w:webHidden/>
          </w:rPr>
          <w:fldChar w:fldCharType="separate"/>
        </w:r>
        <w:r w:rsidR="0088117A">
          <w:rPr>
            <w:noProof/>
            <w:webHidden/>
          </w:rPr>
          <w:t>59</w:t>
        </w:r>
        <w:r w:rsidR="00464E53">
          <w:rPr>
            <w:noProof/>
            <w:webHidden/>
          </w:rPr>
          <w:fldChar w:fldCharType="end"/>
        </w:r>
      </w:hyperlink>
    </w:p>
    <w:p w14:paraId="4D509AF7" w14:textId="1AF0696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19" w:history="1">
        <w:r w:rsidR="00464E53" w:rsidRPr="0068547E">
          <w:rPr>
            <w:rStyle w:val="Hiperpovezava"/>
            <w:rFonts w:eastAsia="Calibri"/>
            <w:noProof/>
          </w:rPr>
          <w:t>Slika 47: Primerjava povprečnega števila ha KZU, števila GVŽ, PDM in PDM/ha KZU v sektorju mleko in goveje meso glede na OMD za podprte naložbe v okviru podukrepa M04.2 PRP 2014–2020 (stanje 30. 4. 2020)</w:t>
        </w:r>
        <w:r w:rsidR="00464E53">
          <w:rPr>
            <w:noProof/>
            <w:webHidden/>
          </w:rPr>
          <w:tab/>
        </w:r>
        <w:r w:rsidR="00464E53">
          <w:rPr>
            <w:noProof/>
            <w:webHidden/>
          </w:rPr>
          <w:fldChar w:fldCharType="begin"/>
        </w:r>
        <w:r w:rsidR="00464E53">
          <w:rPr>
            <w:noProof/>
            <w:webHidden/>
          </w:rPr>
          <w:instrText xml:space="preserve"> PAGEREF _Toc86822719 \h </w:instrText>
        </w:r>
        <w:r w:rsidR="00464E53">
          <w:rPr>
            <w:noProof/>
            <w:webHidden/>
          </w:rPr>
        </w:r>
        <w:r w:rsidR="00464E53">
          <w:rPr>
            <w:noProof/>
            <w:webHidden/>
          </w:rPr>
          <w:fldChar w:fldCharType="separate"/>
        </w:r>
        <w:r w:rsidR="0088117A">
          <w:rPr>
            <w:noProof/>
            <w:webHidden/>
          </w:rPr>
          <w:t>60</w:t>
        </w:r>
        <w:r w:rsidR="00464E53">
          <w:rPr>
            <w:noProof/>
            <w:webHidden/>
          </w:rPr>
          <w:fldChar w:fldCharType="end"/>
        </w:r>
      </w:hyperlink>
    </w:p>
    <w:p w14:paraId="2855E334" w14:textId="3E8CE856"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0" w:history="1">
        <w:r w:rsidR="00464E53" w:rsidRPr="0068547E">
          <w:rPr>
            <w:rStyle w:val="Hiperpovezava"/>
            <w:rFonts w:eastAsia="Calibri"/>
            <w:noProof/>
          </w:rPr>
          <w:t>Slika 48: Primerjava ekonomskih kazalnikov: BDV/vlogo, Prihodek/PDM, Skupni prihodek kmetijske dejavnosti in Skupni prihodek nekmetijske dejavnosti glede na OMD za podprte naložbe v okviru podukrepa M04.2 PRP 2014–2020 (stanje 30. 4. 2020) v EUR</w:t>
        </w:r>
        <w:r w:rsidR="00464E53">
          <w:rPr>
            <w:noProof/>
            <w:webHidden/>
          </w:rPr>
          <w:tab/>
        </w:r>
        <w:r w:rsidR="00464E53">
          <w:rPr>
            <w:noProof/>
            <w:webHidden/>
          </w:rPr>
          <w:fldChar w:fldCharType="begin"/>
        </w:r>
        <w:r w:rsidR="00464E53">
          <w:rPr>
            <w:noProof/>
            <w:webHidden/>
          </w:rPr>
          <w:instrText xml:space="preserve"> PAGEREF _Toc86822720 \h </w:instrText>
        </w:r>
        <w:r w:rsidR="00464E53">
          <w:rPr>
            <w:noProof/>
            <w:webHidden/>
          </w:rPr>
        </w:r>
        <w:r w:rsidR="00464E53">
          <w:rPr>
            <w:noProof/>
            <w:webHidden/>
          </w:rPr>
          <w:fldChar w:fldCharType="separate"/>
        </w:r>
        <w:r w:rsidR="0088117A">
          <w:rPr>
            <w:noProof/>
            <w:webHidden/>
          </w:rPr>
          <w:t>61</w:t>
        </w:r>
        <w:r w:rsidR="00464E53">
          <w:rPr>
            <w:noProof/>
            <w:webHidden/>
          </w:rPr>
          <w:fldChar w:fldCharType="end"/>
        </w:r>
      </w:hyperlink>
    </w:p>
    <w:p w14:paraId="01FA03D5" w14:textId="7E202DC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1" w:history="1">
        <w:r w:rsidR="00464E53" w:rsidRPr="0068547E">
          <w:rPr>
            <w:rStyle w:val="Hiperpovezava"/>
            <w:rFonts w:eastAsia="Calibri"/>
            <w:noProof/>
          </w:rPr>
          <w:t>Slika 49</w:t>
        </w:r>
        <w:r w:rsidR="00464E53" w:rsidRPr="0068547E">
          <w:rPr>
            <w:rStyle w:val="Hiperpovezava"/>
            <w:rFonts w:eastAsiaTheme="minorHAnsi"/>
            <w:noProof/>
          </w:rPr>
          <w:t>: Izbrani razvojni cilj majhnih kmetij iz podukrepa M06.3 PRP 2014–2020</w:t>
        </w:r>
        <w:r w:rsidR="00464E53">
          <w:rPr>
            <w:noProof/>
            <w:webHidden/>
          </w:rPr>
          <w:tab/>
        </w:r>
        <w:r w:rsidR="00464E53">
          <w:rPr>
            <w:noProof/>
            <w:webHidden/>
          </w:rPr>
          <w:fldChar w:fldCharType="begin"/>
        </w:r>
        <w:r w:rsidR="00464E53">
          <w:rPr>
            <w:noProof/>
            <w:webHidden/>
          </w:rPr>
          <w:instrText xml:space="preserve"> PAGEREF _Toc86822721 \h </w:instrText>
        </w:r>
        <w:r w:rsidR="00464E53">
          <w:rPr>
            <w:noProof/>
            <w:webHidden/>
          </w:rPr>
        </w:r>
        <w:r w:rsidR="00464E53">
          <w:rPr>
            <w:noProof/>
            <w:webHidden/>
          </w:rPr>
          <w:fldChar w:fldCharType="separate"/>
        </w:r>
        <w:r w:rsidR="0088117A">
          <w:rPr>
            <w:noProof/>
            <w:webHidden/>
          </w:rPr>
          <w:t>62</w:t>
        </w:r>
        <w:r w:rsidR="00464E53">
          <w:rPr>
            <w:noProof/>
            <w:webHidden/>
          </w:rPr>
          <w:fldChar w:fldCharType="end"/>
        </w:r>
      </w:hyperlink>
    </w:p>
    <w:p w14:paraId="6F71AFDC" w14:textId="53A3E248"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2" w:history="1">
        <w:r w:rsidR="00464E53" w:rsidRPr="0068547E">
          <w:rPr>
            <w:rStyle w:val="Hiperpovezava"/>
            <w:rFonts w:eastAsia="Calibri"/>
            <w:noProof/>
          </w:rPr>
          <w:t>Slika 50</w:t>
        </w:r>
        <w:r w:rsidR="00464E53" w:rsidRPr="0068547E">
          <w:rPr>
            <w:rStyle w:val="Hiperpovezava"/>
            <w:rFonts w:ascii="Helv" w:eastAsiaTheme="minorHAnsi" w:hAnsi="Helv" w:cs="Helv"/>
            <w:noProof/>
            <w:lang w:eastAsia="en-US"/>
          </w:rPr>
          <w:t>:</w:t>
        </w:r>
        <w:r w:rsidR="00464E53" w:rsidRPr="0068547E">
          <w:rPr>
            <w:rStyle w:val="Hiperpovezava"/>
            <w:rFonts w:eastAsia="Calibri"/>
            <w:noProof/>
          </w:rPr>
          <w:t xml:space="preserve"> Primerjava povprečne velikosti KZU v ha za KMG, identificirana za DDV glede na vsa KMG, ki oddajajo zbirno vlogo</w:t>
        </w:r>
        <w:r w:rsidR="00464E53">
          <w:rPr>
            <w:noProof/>
            <w:webHidden/>
          </w:rPr>
          <w:tab/>
        </w:r>
        <w:r w:rsidR="00464E53">
          <w:rPr>
            <w:noProof/>
            <w:webHidden/>
          </w:rPr>
          <w:fldChar w:fldCharType="begin"/>
        </w:r>
        <w:r w:rsidR="00464E53">
          <w:rPr>
            <w:noProof/>
            <w:webHidden/>
          </w:rPr>
          <w:instrText xml:space="preserve"> PAGEREF _Toc86822722 \h </w:instrText>
        </w:r>
        <w:r w:rsidR="00464E53">
          <w:rPr>
            <w:noProof/>
            <w:webHidden/>
          </w:rPr>
        </w:r>
        <w:r w:rsidR="00464E53">
          <w:rPr>
            <w:noProof/>
            <w:webHidden/>
          </w:rPr>
          <w:fldChar w:fldCharType="separate"/>
        </w:r>
        <w:r w:rsidR="0088117A">
          <w:rPr>
            <w:noProof/>
            <w:webHidden/>
          </w:rPr>
          <w:t>63</w:t>
        </w:r>
        <w:r w:rsidR="00464E53">
          <w:rPr>
            <w:noProof/>
            <w:webHidden/>
          </w:rPr>
          <w:fldChar w:fldCharType="end"/>
        </w:r>
      </w:hyperlink>
    </w:p>
    <w:p w14:paraId="77746E93" w14:textId="3F02B478"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3" w:history="1">
        <w:r w:rsidR="00464E53" w:rsidRPr="0068547E">
          <w:rPr>
            <w:rStyle w:val="Hiperpovezava"/>
            <w:rFonts w:eastAsia="Calibri"/>
            <w:noProof/>
          </w:rPr>
          <w:t>Slika 51</w:t>
        </w:r>
        <w:r w:rsidR="00464E53" w:rsidRPr="0068547E">
          <w:rPr>
            <w:rStyle w:val="Hiperpovezava"/>
            <w:rFonts w:ascii="Helv" w:eastAsiaTheme="minorHAnsi" w:hAnsi="Helv" w:cs="Helv"/>
            <w:noProof/>
            <w:lang w:eastAsia="en-US"/>
          </w:rPr>
          <w:t>:</w:t>
        </w:r>
        <w:r w:rsidR="00464E53" w:rsidRPr="0068547E">
          <w:rPr>
            <w:rStyle w:val="Hiperpovezava"/>
            <w:rFonts w:eastAsia="Calibri"/>
            <w:noProof/>
          </w:rPr>
          <w:t xml:space="preserve"> Primerjava deleža njiv v KZU za KMG, identificirana za DDV glede na vsa KMG, ki oddajajo zbirno vlogo</w:t>
        </w:r>
        <w:r w:rsidR="00464E53">
          <w:rPr>
            <w:noProof/>
            <w:webHidden/>
          </w:rPr>
          <w:tab/>
        </w:r>
        <w:r w:rsidR="00464E53">
          <w:rPr>
            <w:noProof/>
            <w:webHidden/>
          </w:rPr>
          <w:fldChar w:fldCharType="begin"/>
        </w:r>
        <w:r w:rsidR="00464E53">
          <w:rPr>
            <w:noProof/>
            <w:webHidden/>
          </w:rPr>
          <w:instrText xml:space="preserve"> PAGEREF _Toc86822723 \h </w:instrText>
        </w:r>
        <w:r w:rsidR="00464E53">
          <w:rPr>
            <w:noProof/>
            <w:webHidden/>
          </w:rPr>
        </w:r>
        <w:r w:rsidR="00464E53">
          <w:rPr>
            <w:noProof/>
            <w:webHidden/>
          </w:rPr>
          <w:fldChar w:fldCharType="separate"/>
        </w:r>
        <w:r w:rsidR="0088117A">
          <w:rPr>
            <w:noProof/>
            <w:webHidden/>
          </w:rPr>
          <w:t>63</w:t>
        </w:r>
        <w:r w:rsidR="00464E53">
          <w:rPr>
            <w:noProof/>
            <w:webHidden/>
          </w:rPr>
          <w:fldChar w:fldCharType="end"/>
        </w:r>
      </w:hyperlink>
    </w:p>
    <w:p w14:paraId="48C304A6" w14:textId="4D2306CC"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4" w:history="1">
        <w:r w:rsidR="00464E53" w:rsidRPr="0068547E">
          <w:rPr>
            <w:rStyle w:val="Hiperpovezava"/>
            <w:rFonts w:eastAsia="Calibri"/>
            <w:noProof/>
          </w:rPr>
          <w:t>Slika 52: Primerjava obtežbe z GVŽ/KZU za KMG, identificirana za DDV glede na vsa KMG, ki oddajajo zbirno vlogo</w:t>
        </w:r>
        <w:r w:rsidR="00464E53">
          <w:rPr>
            <w:noProof/>
            <w:webHidden/>
          </w:rPr>
          <w:tab/>
        </w:r>
        <w:r w:rsidR="00464E53">
          <w:rPr>
            <w:noProof/>
            <w:webHidden/>
          </w:rPr>
          <w:fldChar w:fldCharType="begin"/>
        </w:r>
        <w:r w:rsidR="00464E53">
          <w:rPr>
            <w:noProof/>
            <w:webHidden/>
          </w:rPr>
          <w:instrText xml:space="preserve"> PAGEREF _Toc86822724 \h </w:instrText>
        </w:r>
        <w:r w:rsidR="00464E53">
          <w:rPr>
            <w:noProof/>
            <w:webHidden/>
          </w:rPr>
        </w:r>
        <w:r w:rsidR="00464E53">
          <w:rPr>
            <w:noProof/>
            <w:webHidden/>
          </w:rPr>
          <w:fldChar w:fldCharType="separate"/>
        </w:r>
        <w:r w:rsidR="0088117A">
          <w:rPr>
            <w:noProof/>
            <w:webHidden/>
          </w:rPr>
          <w:t>64</w:t>
        </w:r>
        <w:r w:rsidR="00464E53">
          <w:rPr>
            <w:noProof/>
            <w:webHidden/>
          </w:rPr>
          <w:fldChar w:fldCharType="end"/>
        </w:r>
      </w:hyperlink>
    </w:p>
    <w:p w14:paraId="7C9628E5" w14:textId="52B56637"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5" w:history="1">
        <w:r w:rsidR="00464E53" w:rsidRPr="0068547E">
          <w:rPr>
            <w:rStyle w:val="Hiperpovezava"/>
            <w:rFonts w:eastAsia="Calibri"/>
            <w:noProof/>
          </w:rPr>
          <w:t>Slika 53: Primerjava povprečne starosti nosilca za KMG, identificirano za DDV glede na vsa KMG, ki oddajajo zbirno vlogo</w:t>
        </w:r>
        <w:r w:rsidR="00464E53">
          <w:rPr>
            <w:noProof/>
            <w:webHidden/>
          </w:rPr>
          <w:tab/>
        </w:r>
        <w:r w:rsidR="00464E53">
          <w:rPr>
            <w:noProof/>
            <w:webHidden/>
          </w:rPr>
          <w:fldChar w:fldCharType="begin"/>
        </w:r>
        <w:r w:rsidR="00464E53">
          <w:rPr>
            <w:noProof/>
            <w:webHidden/>
          </w:rPr>
          <w:instrText xml:space="preserve"> PAGEREF _Toc86822725 \h </w:instrText>
        </w:r>
        <w:r w:rsidR="00464E53">
          <w:rPr>
            <w:noProof/>
            <w:webHidden/>
          </w:rPr>
        </w:r>
        <w:r w:rsidR="00464E53">
          <w:rPr>
            <w:noProof/>
            <w:webHidden/>
          </w:rPr>
          <w:fldChar w:fldCharType="separate"/>
        </w:r>
        <w:r w:rsidR="0088117A">
          <w:rPr>
            <w:noProof/>
            <w:webHidden/>
          </w:rPr>
          <w:t>64</w:t>
        </w:r>
        <w:r w:rsidR="00464E53">
          <w:rPr>
            <w:noProof/>
            <w:webHidden/>
          </w:rPr>
          <w:fldChar w:fldCharType="end"/>
        </w:r>
      </w:hyperlink>
    </w:p>
    <w:p w14:paraId="27ABDC2B" w14:textId="0A65162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6" w:history="1">
        <w:r w:rsidR="00464E53" w:rsidRPr="0068547E">
          <w:rPr>
            <w:rStyle w:val="Hiperpovezava"/>
            <w:rFonts w:eastAsia="Calibri"/>
            <w:noProof/>
          </w:rPr>
          <w:t>Slika 54</w:t>
        </w:r>
        <w:r w:rsidR="00464E53" w:rsidRPr="0068547E">
          <w:rPr>
            <w:rStyle w:val="Hiperpovezava"/>
            <w:rFonts w:eastAsiaTheme="minorHAnsi"/>
            <w:noProof/>
          </w:rPr>
          <w:t>: Kmetijska gospodarstva, vključena v podukrep M16.4, po velikosti in OMD</w:t>
        </w:r>
        <w:r w:rsidR="00464E53">
          <w:rPr>
            <w:noProof/>
            <w:webHidden/>
          </w:rPr>
          <w:tab/>
        </w:r>
        <w:r w:rsidR="00464E53">
          <w:rPr>
            <w:noProof/>
            <w:webHidden/>
          </w:rPr>
          <w:fldChar w:fldCharType="begin"/>
        </w:r>
        <w:r w:rsidR="00464E53">
          <w:rPr>
            <w:noProof/>
            <w:webHidden/>
          </w:rPr>
          <w:instrText xml:space="preserve"> PAGEREF _Toc86822726 \h </w:instrText>
        </w:r>
        <w:r w:rsidR="00464E53">
          <w:rPr>
            <w:noProof/>
            <w:webHidden/>
          </w:rPr>
        </w:r>
        <w:r w:rsidR="00464E53">
          <w:rPr>
            <w:noProof/>
            <w:webHidden/>
          </w:rPr>
          <w:fldChar w:fldCharType="separate"/>
        </w:r>
        <w:r w:rsidR="0088117A">
          <w:rPr>
            <w:noProof/>
            <w:webHidden/>
          </w:rPr>
          <w:t>66</w:t>
        </w:r>
        <w:r w:rsidR="00464E53">
          <w:rPr>
            <w:noProof/>
            <w:webHidden/>
          </w:rPr>
          <w:fldChar w:fldCharType="end"/>
        </w:r>
      </w:hyperlink>
    </w:p>
    <w:p w14:paraId="072A2495" w14:textId="0E72A03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7" w:history="1">
        <w:r w:rsidR="00464E53" w:rsidRPr="0068547E">
          <w:rPr>
            <w:rStyle w:val="Hiperpovezava"/>
            <w:rFonts w:eastAsia="Calibri"/>
            <w:noProof/>
          </w:rPr>
          <w:t>Slika 55: Število molznih krav in povprečna mlečnost</w:t>
        </w:r>
        <w:r w:rsidR="00464E53">
          <w:rPr>
            <w:noProof/>
            <w:webHidden/>
          </w:rPr>
          <w:tab/>
        </w:r>
        <w:r w:rsidR="00464E53">
          <w:rPr>
            <w:noProof/>
            <w:webHidden/>
          </w:rPr>
          <w:fldChar w:fldCharType="begin"/>
        </w:r>
        <w:r w:rsidR="00464E53">
          <w:rPr>
            <w:noProof/>
            <w:webHidden/>
          </w:rPr>
          <w:instrText xml:space="preserve"> PAGEREF _Toc86822727 \h </w:instrText>
        </w:r>
        <w:r w:rsidR="00464E53">
          <w:rPr>
            <w:noProof/>
            <w:webHidden/>
          </w:rPr>
        </w:r>
        <w:r w:rsidR="00464E53">
          <w:rPr>
            <w:noProof/>
            <w:webHidden/>
          </w:rPr>
          <w:fldChar w:fldCharType="separate"/>
        </w:r>
        <w:r w:rsidR="0088117A">
          <w:rPr>
            <w:noProof/>
            <w:webHidden/>
          </w:rPr>
          <w:t>67</w:t>
        </w:r>
        <w:r w:rsidR="00464E53">
          <w:rPr>
            <w:noProof/>
            <w:webHidden/>
          </w:rPr>
          <w:fldChar w:fldCharType="end"/>
        </w:r>
      </w:hyperlink>
    </w:p>
    <w:p w14:paraId="76CA1C20" w14:textId="5B7BDBF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8" w:history="1">
        <w:r w:rsidR="00464E53" w:rsidRPr="0068547E">
          <w:rPr>
            <w:rStyle w:val="Hiperpovezava"/>
            <w:rFonts w:eastAsia="Calibri"/>
            <w:noProof/>
          </w:rPr>
          <w:t>Slika 56: Število in prirast prašičev (2007–2019)</w:t>
        </w:r>
        <w:r w:rsidR="00464E53">
          <w:rPr>
            <w:noProof/>
            <w:webHidden/>
          </w:rPr>
          <w:tab/>
        </w:r>
        <w:r w:rsidR="00464E53">
          <w:rPr>
            <w:noProof/>
            <w:webHidden/>
          </w:rPr>
          <w:fldChar w:fldCharType="begin"/>
        </w:r>
        <w:r w:rsidR="00464E53">
          <w:rPr>
            <w:noProof/>
            <w:webHidden/>
          </w:rPr>
          <w:instrText xml:space="preserve"> PAGEREF _Toc86822728 \h </w:instrText>
        </w:r>
        <w:r w:rsidR="00464E53">
          <w:rPr>
            <w:noProof/>
            <w:webHidden/>
          </w:rPr>
        </w:r>
        <w:r w:rsidR="00464E53">
          <w:rPr>
            <w:noProof/>
            <w:webHidden/>
          </w:rPr>
          <w:fldChar w:fldCharType="separate"/>
        </w:r>
        <w:r w:rsidR="0088117A">
          <w:rPr>
            <w:noProof/>
            <w:webHidden/>
          </w:rPr>
          <w:t>73</w:t>
        </w:r>
        <w:r w:rsidR="00464E53">
          <w:rPr>
            <w:noProof/>
            <w:webHidden/>
          </w:rPr>
          <w:fldChar w:fldCharType="end"/>
        </w:r>
      </w:hyperlink>
    </w:p>
    <w:p w14:paraId="42A5FA13" w14:textId="016E13C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29" w:history="1">
        <w:r w:rsidR="00464E53" w:rsidRPr="0068547E">
          <w:rPr>
            <w:rStyle w:val="Hiperpovezava"/>
            <w:rFonts w:eastAsia="Calibri"/>
            <w:noProof/>
          </w:rPr>
          <w:t>Slika 57: Osnovni ekonomski kazalniki pri pitanju prašičev (indeks; povprečje 2014–2018 = 100)</w:t>
        </w:r>
        <w:r w:rsidR="00464E53">
          <w:rPr>
            <w:noProof/>
            <w:webHidden/>
          </w:rPr>
          <w:tab/>
        </w:r>
        <w:r w:rsidR="00464E53">
          <w:rPr>
            <w:noProof/>
            <w:webHidden/>
          </w:rPr>
          <w:fldChar w:fldCharType="begin"/>
        </w:r>
        <w:r w:rsidR="00464E53">
          <w:rPr>
            <w:noProof/>
            <w:webHidden/>
          </w:rPr>
          <w:instrText xml:space="preserve"> PAGEREF _Toc86822729 \h </w:instrText>
        </w:r>
        <w:r w:rsidR="00464E53">
          <w:rPr>
            <w:noProof/>
            <w:webHidden/>
          </w:rPr>
        </w:r>
        <w:r w:rsidR="00464E53">
          <w:rPr>
            <w:noProof/>
            <w:webHidden/>
          </w:rPr>
          <w:fldChar w:fldCharType="separate"/>
        </w:r>
        <w:r w:rsidR="0088117A">
          <w:rPr>
            <w:noProof/>
            <w:webHidden/>
          </w:rPr>
          <w:t>73</w:t>
        </w:r>
        <w:r w:rsidR="00464E53">
          <w:rPr>
            <w:noProof/>
            <w:webHidden/>
          </w:rPr>
          <w:fldChar w:fldCharType="end"/>
        </w:r>
      </w:hyperlink>
    </w:p>
    <w:p w14:paraId="74778DE1" w14:textId="6E1309C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0" w:history="1">
        <w:r w:rsidR="00464E53" w:rsidRPr="0068547E">
          <w:rPr>
            <w:rStyle w:val="Hiperpovezava"/>
            <w:rFonts w:eastAsia="Calibri"/>
            <w:noProof/>
          </w:rPr>
          <w:t>Slika 58: Število drobnice in prirast (2007–2019)</w:t>
        </w:r>
        <w:r w:rsidR="00464E53">
          <w:rPr>
            <w:noProof/>
            <w:webHidden/>
          </w:rPr>
          <w:tab/>
        </w:r>
        <w:r w:rsidR="00464E53">
          <w:rPr>
            <w:noProof/>
            <w:webHidden/>
          </w:rPr>
          <w:fldChar w:fldCharType="begin"/>
        </w:r>
        <w:r w:rsidR="00464E53">
          <w:rPr>
            <w:noProof/>
            <w:webHidden/>
          </w:rPr>
          <w:instrText xml:space="preserve"> PAGEREF _Toc86822730 \h </w:instrText>
        </w:r>
        <w:r w:rsidR="00464E53">
          <w:rPr>
            <w:noProof/>
            <w:webHidden/>
          </w:rPr>
        </w:r>
        <w:r w:rsidR="00464E53">
          <w:rPr>
            <w:noProof/>
            <w:webHidden/>
          </w:rPr>
          <w:fldChar w:fldCharType="separate"/>
        </w:r>
        <w:r w:rsidR="0088117A">
          <w:rPr>
            <w:noProof/>
            <w:webHidden/>
          </w:rPr>
          <w:t>79</w:t>
        </w:r>
        <w:r w:rsidR="00464E53">
          <w:rPr>
            <w:noProof/>
            <w:webHidden/>
          </w:rPr>
          <w:fldChar w:fldCharType="end"/>
        </w:r>
      </w:hyperlink>
    </w:p>
    <w:p w14:paraId="298AEEEB" w14:textId="2B344D79"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1" w:history="1">
        <w:r w:rsidR="00464E53" w:rsidRPr="0068547E">
          <w:rPr>
            <w:rStyle w:val="Hiperpovezava"/>
            <w:rFonts w:eastAsia="Calibri"/>
            <w:noProof/>
          </w:rPr>
          <w:t>Slika 59: Osnovni ekonomski kazalniki pri reji jagnjet (indeks; povprečje 2014–2018 = 100)</w:t>
        </w:r>
        <w:r w:rsidR="00464E53">
          <w:rPr>
            <w:noProof/>
            <w:webHidden/>
          </w:rPr>
          <w:tab/>
        </w:r>
        <w:r w:rsidR="00464E53">
          <w:rPr>
            <w:noProof/>
            <w:webHidden/>
          </w:rPr>
          <w:fldChar w:fldCharType="begin"/>
        </w:r>
        <w:r w:rsidR="00464E53">
          <w:rPr>
            <w:noProof/>
            <w:webHidden/>
          </w:rPr>
          <w:instrText xml:space="preserve"> PAGEREF _Toc86822731 \h </w:instrText>
        </w:r>
        <w:r w:rsidR="00464E53">
          <w:rPr>
            <w:noProof/>
            <w:webHidden/>
          </w:rPr>
        </w:r>
        <w:r w:rsidR="00464E53">
          <w:rPr>
            <w:noProof/>
            <w:webHidden/>
          </w:rPr>
          <w:fldChar w:fldCharType="separate"/>
        </w:r>
        <w:r w:rsidR="0088117A">
          <w:rPr>
            <w:noProof/>
            <w:webHidden/>
          </w:rPr>
          <w:t>80</w:t>
        </w:r>
        <w:r w:rsidR="00464E53">
          <w:rPr>
            <w:noProof/>
            <w:webHidden/>
          </w:rPr>
          <w:fldChar w:fldCharType="end"/>
        </w:r>
      </w:hyperlink>
    </w:p>
    <w:p w14:paraId="51FC82B7" w14:textId="078FEAB4"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2" w:history="1">
        <w:r w:rsidR="00464E53" w:rsidRPr="0068547E">
          <w:rPr>
            <w:rStyle w:val="Hiperpovezava"/>
            <w:rFonts w:eastAsia="Calibri"/>
            <w:noProof/>
          </w:rPr>
          <w:t>Slika 60: Površina zelenjadnic (ha) za tržne in netržne pridelovalce (2007-2020)</w:t>
        </w:r>
        <w:r w:rsidR="00464E53">
          <w:rPr>
            <w:noProof/>
            <w:webHidden/>
          </w:rPr>
          <w:tab/>
        </w:r>
        <w:r w:rsidR="00464E53">
          <w:rPr>
            <w:noProof/>
            <w:webHidden/>
          </w:rPr>
          <w:fldChar w:fldCharType="begin"/>
        </w:r>
        <w:r w:rsidR="00464E53">
          <w:rPr>
            <w:noProof/>
            <w:webHidden/>
          </w:rPr>
          <w:instrText xml:space="preserve"> PAGEREF _Toc86822732 \h </w:instrText>
        </w:r>
        <w:r w:rsidR="00464E53">
          <w:rPr>
            <w:noProof/>
            <w:webHidden/>
          </w:rPr>
        </w:r>
        <w:r w:rsidR="00464E53">
          <w:rPr>
            <w:noProof/>
            <w:webHidden/>
          </w:rPr>
          <w:fldChar w:fldCharType="separate"/>
        </w:r>
        <w:r w:rsidR="0088117A">
          <w:rPr>
            <w:noProof/>
            <w:webHidden/>
          </w:rPr>
          <w:t>89</w:t>
        </w:r>
        <w:r w:rsidR="00464E53">
          <w:rPr>
            <w:noProof/>
            <w:webHidden/>
          </w:rPr>
          <w:fldChar w:fldCharType="end"/>
        </w:r>
      </w:hyperlink>
    </w:p>
    <w:p w14:paraId="5F2F7C0C" w14:textId="21D4CCD7"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3" w:history="1">
        <w:r w:rsidR="00464E53" w:rsidRPr="0068547E">
          <w:rPr>
            <w:rStyle w:val="Hiperpovezava"/>
            <w:rFonts w:eastAsia="Calibri"/>
            <w:noProof/>
          </w:rPr>
          <w:t>Slika 61: Pridelek zelenjadnic (t) pri tržnih in netržnih pridelovalcih (2007-2019)</w:t>
        </w:r>
        <w:r w:rsidR="00464E53">
          <w:rPr>
            <w:noProof/>
            <w:webHidden/>
          </w:rPr>
          <w:tab/>
        </w:r>
        <w:r w:rsidR="00464E53">
          <w:rPr>
            <w:noProof/>
            <w:webHidden/>
          </w:rPr>
          <w:fldChar w:fldCharType="begin"/>
        </w:r>
        <w:r w:rsidR="00464E53">
          <w:rPr>
            <w:noProof/>
            <w:webHidden/>
          </w:rPr>
          <w:instrText xml:space="preserve"> PAGEREF _Toc86822733 \h </w:instrText>
        </w:r>
        <w:r w:rsidR="00464E53">
          <w:rPr>
            <w:noProof/>
            <w:webHidden/>
          </w:rPr>
        </w:r>
        <w:r w:rsidR="00464E53">
          <w:rPr>
            <w:noProof/>
            <w:webHidden/>
          </w:rPr>
          <w:fldChar w:fldCharType="separate"/>
        </w:r>
        <w:r w:rsidR="0088117A">
          <w:rPr>
            <w:noProof/>
            <w:webHidden/>
          </w:rPr>
          <w:t>90</w:t>
        </w:r>
        <w:r w:rsidR="00464E53">
          <w:rPr>
            <w:noProof/>
            <w:webHidden/>
          </w:rPr>
          <w:fldChar w:fldCharType="end"/>
        </w:r>
      </w:hyperlink>
    </w:p>
    <w:p w14:paraId="3BB6C2D5" w14:textId="066DD52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4" w:history="1">
        <w:r w:rsidR="00464E53" w:rsidRPr="0068547E">
          <w:rPr>
            <w:rStyle w:val="Hiperpovezava"/>
            <w:rFonts w:eastAsia="Calibri"/>
            <w:noProof/>
          </w:rPr>
          <w:t>Slika 62: Pridelava in poraba zelenjave (v 1000 t, ekvivalent sveže zelenjave)</w:t>
        </w:r>
        <w:r w:rsidR="00464E53">
          <w:rPr>
            <w:noProof/>
            <w:webHidden/>
          </w:rPr>
          <w:tab/>
        </w:r>
        <w:r w:rsidR="00464E53">
          <w:rPr>
            <w:noProof/>
            <w:webHidden/>
          </w:rPr>
          <w:fldChar w:fldCharType="begin"/>
        </w:r>
        <w:r w:rsidR="00464E53">
          <w:rPr>
            <w:noProof/>
            <w:webHidden/>
          </w:rPr>
          <w:instrText xml:space="preserve"> PAGEREF _Toc86822734 \h </w:instrText>
        </w:r>
        <w:r w:rsidR="00464E53">
          <w:rPr>
            <w:noProof/>
            <w:webHidden/>
          </w:rPr>
        </w:r>
        <w:r w:rsidR="00464E53">
          <w:rPr>
            <w:noProof/>
            <w:webHidden/>
          </w:rPr>
          <w:fldChar w:fldCharType="separate"/>
        </w:r>
        <w:r w:rsidR="0088117A">
          <w:rPr>
            <w:noProof/>
            <w:webHidden/>
          </w:rPr>
          <w:t>91</w:t>
        </w:r>
        <w:r w:rsidR="00464E53">
          <w:rPr>
            <w:noProof/>
            <w:webHidden/>
          </w:rPr>
          <w:fldChar w:fldCharType="end"/>
        </w:r>
      </w:hyperlink>
    </w:p>
    <w:p w14:paraId="6D5D437D" w14:textId="1C82D4E8"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5" w:history="1">
        <w:r w:rsidR="00464E53" w:rsidRPr="0068547E">
          <w:rPr>
            <w:rStyle w:val="Hiperpovezava"/>
            <w:rFonts w:eastAsia="Calibri"/>
            <w:noProof/>
          </w:rPr>
          <w:t>Slika 63: Površine (ha) vrtnin na prostem in v zaščitenem prostoru vključene v ekološko pridelavo</w:t>
        </w:r>
        <w:r w:rsidR="00464E53">
          <w:rPr>
            <w:noProof/>
            <w:webHidden/>
          </w:rPr>
          <w:tab/>
        </w:r>
        <w:r w:rsidR="00464E53">
          <w:rPr>
            <w:noProof/>
            <w:webHidden/>
          </w:rPr>
          <w:fldChar w:fldCharType="begin"/>
        </w:r>
        <w:r w:rsidR="00464E53">
          <w:rPr>
            <w:noProof/>
            <w:webHidden/>
          </w:rPr>
          <w:instrText xml:space="preserve"> PAGEREF _Toc86822735 \h </w:instrText>
        </w:r>
        <w:r w:rsidR="00464E53">
          <w:rPr>
            <w:noProof/>
            <w:webHidden/>
          </w:rPr>
        </w:r>
        <w:r w:rsidR="00464E53">
          <w:rPr>
            <w:noProof/>
            <w:webHidden/>
          </w:rPr>
          <w:fldChar w:fldCharType="separate"/>
        </w:r>
        <w:r w:rsidR="0088117A">
          <w:rPr>
            <w:noProof/>
            <w:webHidden/>
          </w:rPr>
          <w:t>91</w:t>
        </w:r>
        <w:r w:rsidR="00464E53">
          <w:rPr>
            <w:noProof/>
            <w:webHidden/>
          </w:rPr>
          <w:fldChar w:fldCharType="end"/>
        </w:r>
      </w:hyperlink>
    </w:p>
    <w:p w14:paraId="2DF2F1A5" w14:textId="2C3D53E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6" w:history="1">
        <w:r w:rsidR="00464E53" w:rsidRPr="0068547E">
          <w:rPr>
            <w:rStyle w:val="Hiperpovezava"/>
            <w:rFonts w:eastAsia="Calibri"/>
            <w:noProof/>
          </w:rPr>
          <w:t>Slika 64: Površine (ha) vključene v integrirano pridelavo zelenjadnic na prostem in v zaščitenem prostoru</w:t>
        </w:r>
        <w:r w:rsidR="00464E53">
          <w:rPr>
            <w:noProof/>
            <w:webHidden/>
          </w:rPr>
          <w:tab/>
        </w:r>
        <w:r w:rsidR="00464E53">
          <w:rPr>
            <w:noProof/>
            <w:webHidden/>
          </w:rPr>
          <w:fldChar w:fldCharType="begin"/>
        </w:r>
        <w:r w:rsidR="00464E53">
          <w:rPr>
            <w:noProof/>
            <w:webHidden/>
          </w:rPr>
          <w:instrText xml:space="preserve"> PAGEREF _Toc86822736 \h </w:instrText>
        </w:r>
        <w:r w:rsidR="00464E53">
          <w:rPr>
            <w:noProof/>
            <w:webHidden/>
          </w:rPr>
        </w:r>
        <w:r w:rsidR="00464E53">
          <w:rPr>
            <w:noProof/>
            <w:webHidden/>
          </w:rPr>
          <w:fldChar w:fldCharType="separate"/>
        </w:r>
        <w:r w:rsidR="0088117A">
          <w:rPr>
            <w:noProof/>
            <w:webHidden/>
          </w:rPr>
          <w:t>91</w:t>
        </w:r>
        <w:r w:rsidR="00464E53">
          <w:rPr>
            <w:noProof/>
            <w:webHidden/>
          </w:rPr>
          <w:fldChar w:fldCharType="end"/>
        </w:r>
      </w:hyperlink>
    </w:p>
    <w:p w14:paraId="5C2D1BAF" w14:textId="16E1552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7" w:history="1">
        <w:r w:rsidR="00464E53" w:rsidRPr="0068547E">
          <w:rPr>
            <w:rStyle w:val="Hiperpovezava"/>
            <w:rFonts w:eastAsia="Calibri"/>
            <w:noProof/>
          </w:rPr>
          <w:t>Slika 65: Pridelovalne površine z zelišči, dišavnicami in zdravilnimi rastlinam (2000-2019)</w:t>
        </w:r>
        <w:r w:rsidR="00464E53">
          <w:rPr>
            <w:noProof/>
            <w:webHidden/>
          </w:rPr>
          <w:tab/>
        </w:r>
        <w:r w:rsidR="00464E53">
          <w:rPr>
            <w:noProof/>
            <w:webHidden/>
          </w:rPr>
          <w:fldChar w:fldCharType="begin"/>
        </w:r>
        <w:r w:rsidR="00464E53">
          <w:rPr>
            <w:noProof/>
            <w:webHidden/>
          </w:rPr>
          <w:instrText xml:space="preserve"> PAGEREF _Toc86822737 \h </w:instrText>
        </w:r>
        <w:r w:rsidR="00464E53">
          <w:rPr>
            <w:noProof/>
            <w:webHidden/>
          </w:rPr>
        </w:r>
        <w:r w:rsidR="00464E53">
          <w:rPr>
            <w:noProof/>
            <w:webHidden/>
          </w:rPr>
          <w:fldChar w:fldCharType="separate"/>
        </w:r>
        <w:r w:rsidR="0088117A">
          <w:rPr>
            <w:noProof/>
            <w:webHidden/>
          </w:rPr>
          <w:t>95</w:t>
        </w:r>
        <w:r w:rsidR="00464E53">
          <w:rPr>
            <w:noProof/>
            <w:webHidden/>
          </w:rPr>
          <w:fldChar w:fldCharType="end"/>
        </w:r>
      </w:hyperlink>
    </w:p>
    <w:p w14:paraId="498BF31F" w14:textId="12BD6E2C"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8" w:history="1">
        <w:r w:rsidR="00464E53" w:rsidRPr="0068547E">
          <w:rPr>
            <w:rStyle w:val="Hiperpovezava"/>
            <w:rFonts w:eastAsia="Calibri"/>
            <w:noProof/>
          </w:rPr>
          <w:t>Slika 66: Število kmetijskih gospodarstev (KMG), ki pridelujejo zelišča, dišavnice in zdravilne rastline</w:t>
        </w:r>
        <w:r w:rsidR="00464E53">
          <w:rPr>
            <w:noProof/>
            <w:webHidden/>
          </w:rPr>
          <w:tab/>
        </w:r>
        <w:r w:rsidR="00464E53">
          <w:rPr>
            <w:noProof/>
            <w:webHidden/>
          </w:rPr>
          <w:fldChar w:fldCharType="begin"/>
        </w:r>
        <w:r w:rsidR="00464E53">
          <w:rPr>
            <w:noProof/>
            <w:webHidden/>
          </w:rPr>
          <w:instrText xml:space="preserve"> PAGEREF _Toc86822738 \h </w:instrText>
        </w:r>
        <w:r w:rsidR="00464E53">
          <w:rPr>
            <w:noProof/>
            <w:webHidden/>
          </w:rPr>
        </w:r>
        <w:r w:rsidR="00464E53">
          <w:rPr>
            <w:noProof/>
            <w:webHidden/>
          </w:rPr>
          <w:fldChar w:fldCharType="separate"/>
        </w:r>
        <w:r w:rsidR="0088117A">
          <w:rPr>
            <w:noProof/>
            <w:webHidden/>
          </w:rPr>
          <w:t>95</w:t>
        </w:r>
        <w:r w:rsidR="00464E53">
          <w:rPr>
            <w:noProof/>
            <w:webHidden/>
          </w:rPr>
          <w:fldChar w:fldCharType="end"/>
        </w:r>
      </w:hyperlink>
    </w:p>
    <w:p w14:paraId="18FAD158" w14:textId="709324C7"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39" w:history="1">
        <w:r w:rsidR="00464E53" w:rsidRPr="0068547E">
          <w:rPr>
            <w:rStyle w:val="Hiperpovezava"/>
            <w:rFonts w:eastAsia="Calibri"/>
            <w:noProof/>
          </w:rPr>
          <w:t>Slika 67: Površina in pridelek sadja (2008–2020)</w:t>
        </w:r>
        <w:r w:rsidR="00464E53">
          <w:rPr>
            <w:noProof/>
            <w:webHidden/>
          </w:rPr>
          <w:tab/>
        </w:r>
        <w:r w:rsidR="00464E53">
          <w:rPr>
            <w:noProof/>
            <w:webHidden/>
          </w:rPr>
          <w:fldChar w:fldCharType="begin"/>
        </w:r>
        <w:r w:rsidR="00464E53">
          <w:rPr>
            <w:noProof/>
            <w:webHidden/>
          </w:rPr>
          <w:instrText xml:space="preserve"> PAGEREF _Toc86822739 \h </w:instrText>
        </w:r>
        <w:r w:rsidR="00464E53">
          <w:rPr>
            <w:noProof/>
            <w:webHidden/>
          </w:rPr>
        </w:r>
        <w:r w:rsidR="00464E53">
          <w:rPr>
            <w:noProof/>
            <w:webHidden/>
          </w:rPr>
          <w:fldChar w:fldCharType="separate"/>
        </w:r>
        <w:r w:rsidR="0088117A">
          <w:rPr>
            <w:noProof/>
            <w:webHidden/>
          </w:rPr>
          <w:t>97</w:t>
        </w:r>
        <w:r w:rsidR="00464E53">
          <w:rPr>
            <w:noProof/>
            <w:webHidden/>
          </w:rPr>
          <w:fldChar w:fldCharType="end"/>
        </w:r>
      </w:hyperlink>
    </w:p>
    <w:p w14:paraId="693DD1B7" w14:textId="35FB27A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0" w:history="1">
        <w:r w:rsidR="00464E53" w:rsidRPr="0068547E">
          <w:rPr>
            <w:rStyle w:val="Hiperpovezava"/>
            <w:rFonts w:eastAsia="Calibri"/>
            <w:noProof/>
          </w:rPr>
          <w:t>Slika 68: Deleži pokritosti sadovnjakov z mrežami proti toči oz. z namakalnimi sistemi (v %)</w:t>
        </w:r>
        <w:r w:rsidR="00464E53">
          <w:rPr>
            <w:noProof/>
            <w:webHidden/>
          </w:rPr>
          <w:tab/>
        </w:r>
        <w:r w:rsidR="00464E53">
          <w:rPr>
            <w:noProof/>
            <w:webHidden/>
          </w:rPr>
          <w:fldChar w:fldCharType="begin"/>
        </w:r>
        <w:r w:rsidR="00464E53">
          <w:rPr>
            <w:noProof/>
            <w:webHidden/>
          </w:rPr>
          <w:instrText xml:space="preserve"> PAGEREF _Toc86822740 \h </w:instrText>
        </w:r>
        <w:r w:rsidR="00464E53">
          <w:rPr>
            <w:noProof/>
            <w:webHidden/>
          </w:rPr>
        </w:r>
        <w:r w:rsidR="00464E53">
          <w:rPr>
            <w:noProof/>
            <w:webHidden/>
          </w:rPr>
          <w:fldChar w:fldCharType="separate"/>
        </w:r>
        <w:r w:rsidR="0088117A">
          <w:rPr>
            <w:noProof/>
            <w:webHidden/>
          </w:rPr>
          <w:t>97</w:t>
        </w:r>
        <w:r w:rsidR="00464E53">
          <w:rPr>
            <w:noProof/>
            <w:webHidden/>
          </w:rPr>
          <w:fldChar w:fldCharType="end"/>
        </w:r>
      </w:hyperlink>
    </w:p>
    <w:p w14:paraId="03A354E4" w14:textId="559EFE6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1" w:history="1">
        <w:r w:rsidR="00464E53" w:rsidRPr="0068547E">
          <w:rPr>
            <w:rStyle w:val="Hiperpovezava"/>
            <w:rFonts w:eastAsia="Calibri"/>
            <w:noProof/>
          </w:rPr>
          <w:t>Slika 69: Starostna struktura sadovnjakov (ha) v letih (jablana, hruška, oreh, češnja)</w:t>
        </w:r>
        <w:r w:rsidR="00464E53">
          <w:rPr>
            <w:noProof/>
            <w:webHidden/>
          </w:rPr>
          <w:tab/>
        </w:r>
        <w:r w:rsidR="00464E53">
          <w:rPr>
            <w:noProof/>
            <w:webHidden/>
          </w:rPr>
          <w:fldChar w:fldCharType="begin"/>
        </w:r>
        <w:r w:rsidR="00464E53">
          <w:rPr>
            <w:noProof/>
            <w:webHidden/>
          </w:rPr>
          <w:instrText xml:space="preserve"> PAGEREF _Toc86822741 \h </w:instrText>
        </w:r>
        <w:r w:rsidR="00464E53">
          <w:rPr>
            <w:noProof/>
            <w:webHidden/>
          </w:rPr>
        </w:r>
        <w:r w:rsidR="00464E53">
          <w:rPr>
            <w:noProof/>
            <w:webHidden/>
          </w:rPr>
          <w:fldChar w:fldCharType="separate"/>
        </w:r>
        <w:r w:rsidR="0088117A">
          <w:rPr>
            <w:noProof/>
            <w:webHidden/>
          </w:rPr>
          <w:t>98</w:t>
        </w:r>
        <w:r w:rsidR="00464E53">
          <w:rPr>
            <w:noProof/>
            <w:webHidden/>
          </w:rPr>
          <w:fldChar w:fldCharType="end"/>
        </w:r>
      </w:hyperlink>
    </w:p>
    <w:p w14:paraId="2BFC6886" w14:textId="1EF6D9A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2" w:history="1">
        <w:r w:rsidR="00464E53" w:rsidRPr="0068547E">
          <w:rPr>
            <w:rStyle w:val="Hiperpovezava"/>
            <w:rFonts w:eastAsia="Calibri"/>
            <w:noProof/>
          </w:rPr>
          <w:t>Slika 70: Osnovni ekonomski kazalci pri pridelavi jabolk (indeks, povprečje 2014–2018 = 100)</w:t>
        </w:r>
        <w:r w:rsidR="00464E53">
          <w:rPr>
            <w:noProof/>
            <w:webHidden/>
          </w:rPr>
          <w:tab/>
        </w:r>
        <w:r w:rsidR="00464E53">
          <w:rPr>
            <w:noProof/>
            <w:webHidden/>
          </w:rPr>
          <w:fldChar w:fldCharType="begin"/>
        </w:r>
        <w:r w:rsidR="00464E53">
          <w:rPr>
            <w:noProof/>
            <w:webHidden/>
          </w:rPr>
          <w:instrText xml:space="preserve"> PAGEREF _Toc86822742 \h </w:instrText>
        </w:r>
        <w:r w:rsidR="00464E53">
          <w:rPr>
            <w:noProof/>
            <w:webHidden/>
          </w:rPr>
        </w:r>
        <w:r w:rsidR="00464E53">
          <w:rPr>
            <w:noProof/>
            <w:webHidden/>
          </w:rPr>
          <w:fldChar w:fldCharType="separate"/>
        </w:r>
        <w:r w:rsidR="0088117A">
          <w:rPr>
            <w:noProof/>
            <w:webHidden/>
          </w:rPr>
          <w:t>99</w:t>
        </w:r>
        <w:r w:rsidR="00464E53">
          <w:rPr>
            <w:noProof/>
            <w:webHidden/>
          </w:rPr>
          <w:fldChar w:fldCharType="end"/>
        </w:r>
      </w:hyperlink>
    </w:p>
    <w:p w14:paraId="0D42B147" w14:textId="6D52B106"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3" w:history="1">
        <w:r w:rsidR="00464E53" w:rsidRPr="0068547E">
          <w:rPr>
            <w:rStyle w:val="Hiperpovezava"/>
            <w:rFonts w:eastAsia="Calibri"/>
            <w:noProof/>
          </w:rPr>
          <w:t>Slika 71: Površina oljčnikov in št. KMG</w:t>
        </w:r>
        <w:r w:rsidR="00464E53">
          <w:rPr>
            <w:noProof/>
            <w:webHidden/>
          </w:rPr>
          <w:tab/>
        </w:r>
        <w:r w:rsidR="00464E53">
          <w:rPr>
            <w:noProof/>
            <w:webHidden/>
          </w:rPr>
          <w:fldChar w:fldCharType="begin"/>
        </w:r>
        <w:r w:rsidR="00464E53">
          <w:rPr>
            <w:noProof/>
            <w:webHidden/>
          </w:rPr>
          <w:instrText xml:space="preserve"> PAGEREF _Toc86822743 \h </w:instrText>
        </w:r>
        <w:r w:rsidR="00464E53">
          <w:rPr>
            <w:noProof/>
            <w:webHidden/>
          </w:rPr>
        </w:r>
        <w:r w:rsidR="00464E53">
          <w:rPr>
            <w:noProof/>
            <w:webHidden/>
          </w:rPr>
          <w:fldChar w:fldCharType="separate"/>
        </w:r>
        <w:r w:rsidR="0088117A">
          <w:rPr>
            <w:noProof/>
            <w:webHidden/>
          </w:rPr>
          <w:t>106</w:t>
        </w:r>
        <w:r w:rsidR="00464E53">
          <w:rPr>
            <w:noProof/>
            <w:webHidden/>
          </w:rPr>
          <w:fldChar w:fldCharType="end"/>
        </w:r>
      </w:hyperlink>
    </w:p>
    <w:p w14:paraId="5297A70A" w14:textId="70B80A6A"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4" w:history="1">
        <w:r w:rsidR="00464E53" w:rsidRPr="0068547E">
          <w:rPr>
            <w:rStyle w:val="Hiperpovezava"/>
            <w:rFonts w:eastAsia="Calibri"/>
            <w:noProof/>
          </w:rPr>
          <w:t>Slika 72: Pridelek oljk</w:t>
        </w:r>
        <w:r w:rsidR="00464E53">
          <w:rPr>
            <w:noProof/>
            <w:webHidden/>
          </w:rPr>
          <w:tab/>
        </w:r>
        <w:r w:rsidR="00464E53">
          <w:rPr>
            <w:noProof/>
            <w:webHidden/>
          </w:rPr>
          <w:fldChar w:fldCharType="begin"/>
        </w:r>
        <w:r w:rsidR="00464E53">
          <w:rPr>
            <w:noProof/>
            <w:webHidden/>
          </w:rPr>
          <w:instrText xml:space="preserve"> PAGEREF _Toc86822744 \h </w:instrText>
        </w:r>
        <w:r w:rsidR="00464E53">
          <w:rPr>
            <w:noProof/>
            <w:webHidden/>
          </w:rPr>
        </w:r>
        <w:r w:rsidR="00464E53">
          <w:rPr>
            <w:noProof/>
            <w:webHidden/>
          </w:rPr>
          <w:fldChar w:fldCharType="separate"/>
        </w:r>
        <w:r w:rsidR="0088117A">
          <w:rPr>
            <w:noProof/>
            <w:webHidden/>
          </w:rPr>
          <w:t>107</w:t>
        </w:r>
        <w:r w:rsidR="00464E53">
          <w:rPr>
            <w:noProof/>
            <w:webHidden/>
          </w:rPr>
          <w:fldChar w:fldCharType="end"/>
        </w:r>
      </w:hyperlink>
    </w:p>
    <w:p w14:paraId="1EF017F5" w14:textId="1370335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5" w:history="1">
        <w:r w:rsidR="00464E53" w:rsidRPr="0068547E">
          <w:rPr>
            <w:rStyle w:val="Hiperpovezava"/>
            <w:rFonts w:eastAsia="Calibri"/>
            <w:noProof/>
          </w:rPr>
          <w:t>Slika 73: Proizvodnja oljčnega olja</w:t>
        </w:r>
        <w:r w:rsidR="00464E53">
          <w:rPr>
            <w:noProof/>
            <w:webHidden/>
          </w:rPr>
          <w:tab/>
        </w:r>
        <w:r w:rsidR="00464E53">
          <w:rPr>
            <w:noProof/>
            <w:webHidden/>
          </w:rPr>
          <w:fldChar w:fldCharType="begin"/>
        </w:r>
        <w:r w:rsidR="00464E53">
          <w:rPr>
            <w:noProof/>
            <w:webHidden/>
          </w:rPr>
          <w:instrText xml:space="preserve"> PAGEREF _Toc86822745 \h </w:instrText>
        </w:r>
        <w:r w:rsidR="00464E53">
          <w:rPr>
            <w:noProof/>
            <w:webHidden/>
          </w:rPr>
        </w:r>
        <w:r w:rsidR="00464E53">
          <w:rPr>
            <w:noProof/>
            <w:webHidden/>
          </w:rPr>
          <w:fldChar w:fldCharType="separate"/>
        </w:r>
        <w:r w:rsidR="0088117A">
          <w:rPr>
            <w:noProof/>
            <w:webHidden/>
          </w:rPr>
          <w:t>107</w:t>
        </w:r>
        <w:r w:rsidR="00464E53">
          <w:rPr>
            <w:noProof/>
            <w:webHidden/>
          </w:rPr>
          <w:fldChar w:fldCharType="end"/>
        </w:r>
      </w:hyperlink>
    </w:p>
    <w:p w14:paraId="7BD3C600" w14:textId="45B2FB6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6" w:history="1">
        <w:r w:rsidR="00464E53" w:rsidRPr="0068547E">
          <w:rPr>
            <w:rStyle w:val="Hiperpovezava"/>
            <w:rFonts w:eastAsia="Calibri"/>
            <w:noProof/>
          </w:rPr>
          <w:t>Slika 74: Površina oljčnikov z ekološko pridelavo (ha)</w:t>
        </w:r>
        <w:r w:rsidR="00464E53">
          <w:rPr>
            <w:noProof/>
            <w:webHidden/>
          </w:rPr>
          <w:tab/>
        </w:r>
        <w:r w:rsidR="00464E53">
          <w:rPr>
            <w:noProof/>
            <w:webHidden/>
          </w:rPr>
          <w:fldChar w:fldCharType="begin"/>
        </w:r>
        <w:r w:rsidR="00464E53">
          <w:rPr>
            <w:noProof/>
            <w:webHidden/>
          </w:rPr>
          <w:instrText xml:space="preserve"> PAGEREF _Toc86822746 \h </w:instrText>
        </w:r>
        <w:r w:rsidR="00464E53">
          <w:rPr>
            <w:noProof/>
            <w:webHidden/>
          </w:rPr>
        </w:r>
        <w:r w:rsidR="00464E53">
          <w:rPr>
            <w:noProof/>
            <w:webHidden/>
          </w:rPr>
          <w:fldChar w:fldCharType="separate"/>
        </w:r>
        <w:r w:rsidR="0088117A">
          <w:rPr>
            <w:noProof/>
            <w:webHidden/>
          </w:rPr>
          <w:t>108</w:t>
        </w:r>
        <w:r w:rsidR="00464E53">
          <w:rPr>
            <w:noProof/>
            <w:webHidden/>
          </w:rPr>
          <w:fldChar w:fldCharType="end"/>
        </w:r>
      </w:hyperlink>
    </w:p>
    <w:p w14:paraId="065FF074" w14:textId="25E1429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7" w:history="1">
        <w:r w:rsidR="00464E53" w:rsidRPr="0068547E">
          <w:rPr>
            <w:rStyle w:val="Hiperpovezava"/>
            <w:rFonts w:eastAsia="Calibri"/>
            <w:noProof/>
          </w:rPr>
          <w:t>Slika 75: Površina in pridelek hmelja (2007–2019)</w:t>
        </w:r>
        <w:r w:rsidR="00464E53">
          <w:rPr>
            <w:noProof/>
            <w:webHidden/>
          </w:rPr>
          <w:tab/>
        </w:r>
        <w:r w:rsidR="00464E53">
          <w:rPr>
            <w:noProof/>
            <w:webHidden/>
          </w:rPr>
          <w:fldChar w:fldCharType="begin"/>
        </w:r>
        <w:r w:rsidR="00464E53">
          <w:rPr>
            <w:noProof/>
            <w:webHidden/>
          </w:rPr>
          <w:instrText xml:space="preserve"> PAGEREF _Toc86822747 \h </w:instrText>
        </w:r>
        <w:r w:rsidR="00464E53">
          <w:rPr>
            <w:noProof/>
            <w:webHidden/>
          </w:rPr>
        </w:r>
        <w:r w:rsidR="00464E53">
          <w:rPr>
            <w:noProof/>
            <w:webHidden/>
          </w:rPr>
          <w:fldChar w:fldCharType="separate"/>
        </w:r>
        <w:r w:rsidR="0088117A">
          <w:rPr>
            <w:noProof/>
            <w:webHidden/>
          </w:rPr>
          <w:t>111</w:t>
        </w:r>
        <w:r w:rsidR="00464E53">
          <w:rPr>
            <w:noProof/>
            <w:webHidden/>
          </w:rPr>
          <w:fldChar w:fldCharType="end"/>
        </w:r>
      </w:hyperlink>
    </w:p>
    <w:p w14:paraId="29984EC2" w14:textId="642219E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8" w:history="1">
        <w:r w:rsidR="00464E53" w:rsidRPr="0068547E">
          <w:rPr>
            <w:rStyle w:val="Hiperpovezava"/>
            <w:rFonts w:eastAsia="Calibri"/>
            <w:noProof/>
          </w:rPr>
          <w:t>Slika 76: Delež površin semenskih posevkov po skupinah rastlin od 2014–2019 v primerjavi z obdobjem 2009–2013</w:t>
        </w:r>
        <w:r w:rsidR="00464E53">
          <w:rPr>
            <w:noProof/>
            <w:webHidden/>
          </w:rPr>
          <w:tab/>
        </w:r>
        <w:r w:rsidR="00464E53">
          <w:rPr>
            <w:noProof/>
            <w:webHidden/>
          </w:rPr>
          <w:fldChar w:fldCharType="begin"/>
        </w:r>
        <w:r w:rsidR="00464E53">
          <w:rPr>
            <w:noProof/>
            <w:webHidden/>
          </w:rPr>
          <w:instrText xml:space="preserve"> PAGEREF _Toc86822748 \h </w:instrText>
        </w:r>
        <w:r w:rsidR="00464E53">
          <w:rPr>
            <w:noProof/>
            <w:webHidden/>
          </w:rPr>
        </w:r>
        <w:r w:rsidR="00464E53">
          <w:rPr>
            <w:noProof/>
            <w:webHidden/>
          </w:rPr>
          <w:fldChar w:fldCharType="separate"/>
        </w:r>
        <w:r w:rsidR="0088117A">
          <w:rPr>
            <w:noProof/>
            <w:webHidden/>
          </w:rPr>
          <w:t>114</w:t>
        </w:r>
        <w:r w:rsidR="00464E53">
          <w:rPr>
            <w:noProof/>
            <w:webHidden/>
          </w:rPr>
          <w:fldChar w:fldCharType="end"/>
        </w:r>
      </w:hyperlink>
    </w:p>
    <w:p w14:paraId="5312404B" w14:textId="7336C63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49" w:history="1">
        <w:r w:rsidR="00464E53" w:rsidRPr="0068547E">
          <w:rPr>
            <w:rStyle w:val="Hiperpovezava"/>
            <w:rFonts w:eastAsia="Calibri"/>
            <w:noProof/>
          </w:rPr>
          <w:t>Slika 77: Obseg pridelave semena žit (2014–2019)</w:t>
        </w:r>
        <w:r w:rsidR="00464E53">
          <w:rPr>
            <w:noProof/>
            <w:webHidden/>
          </w:rPr>
          <w:tab/>
        </w:r>
        <w:r w:rsidR="00464E53">
          <w:rPr>
            <w:noProof/>
            <w:webHidden/>
          </w:rPr>
          <w:fldChar w:fldCharType="begin"/>
        </w:r>
        <w:r w:rsidR="00464E53">
          <w:rPr>
            <w:noProof/>
            <w:webHidden/>
          </w:rPr>
          <w:instrText xml:space="preserve"> PAGEREF _Toc86822749 \h </w:instrText>
        </w:r>
        <w:r w:rsidR="00464E53">
          <w:rPr>
            <w:noProof/>
            <w:webHidden/>
          </w:rPr>
        </w:r>
        <w:r w:rsidR="00464E53">
          <w:rPr>
            <w:noProof/>
            <w:webHidden/>
          </w:rPr>
          <w:fldChar w:fldCharType="separate"/>
        </w:r>
        <w:r w:rsidR="0088117A">
          <w:rPr>
            <w:noProof/>
            <w:webHidden/>
          </w:rPr>
          <w:t>115</w:t>
        </w:r>
        <w:r w:rsidR="00464E53">
          <w:rPr>
            <w:noProof/>
            <w:webHidden/>
          </w:rPr>
          <w:fldChar w:fldCharType="end"/>
        </w:r>
      </w:hyperlink>
    </w:p>
    <w:p w14:paraId="7E395296" w14:textId="5CE3BD9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0" w:history="1">
        <w:r w:rsidR="00464E53" w:rsidRPr="0068547E">
          <w:rPr>
            <w:rStyle w:val="Hiperpovezava"/>
            <w:rFonts w:eastAsia="Calibri"/>
            <w:noProof/>
          </w:rPr>
          <w:t>Slika 78: Potrjeni pridelki semena (v t)</w:t>
        </w:r>
        <w:r w:rsidR="00464E53">
          <w:rPr>
            <w:noProof/>
            <w:webHidden/>
          </w:rPr>
          <w:tab/>
        </w:r>
        <w:r w:rsidR="00464E53">
          <w:rPr>
            <w:noProof/>
            <w:webHidden/>
          </w:rPr>
          <w:fldChar w:fldCharType="begin"/>
        </w:r>
        <w:r w:rsidR="00464E53">
          <w:rPr>
            <w:noProof/>
            <w:webHidden/>
          </w:rPr>
          <w:instrText xml:space="preserve"> PAGEREF _Toc86822750 \h </w:instrText>
        </w:r>
        <w:r w:rsidR="00464E53">
          <w:rPr>
            <w:noProof/>
            <w:webHidden/>
          </w:rPr>
        </w:r>
        <w:r w:rsidR="00464E53">
          <w:rPr>
            <w:noProof/>
            <w:webHidden/>
          </w:rPr>
          <w:fldChar w:fldCharType="separate"/>
        </w:r>
        <w:r w:rsidR="0088117A">
          <w:rPr>
            <w:noProof/>
            <w:webHidden/>
          </w:rPr>
          <w:t>116</w:t>
        </w:r>
        <w:r w:rsidR="00464E53">
          <w:rPr>
            <w:noProof/>
            <w:webHidden/>
          </w:rPr>
          <w:fldChar w:fldCharType="end"/>
        </w:r>
      </w:hyperlink>
    </w:p>
    <w:p w14:paraId="7822406C" w14:textId="2A857F3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1" w:history="1">
        <w:r w:rsidR="00464E53" w:rsidRPr="0068547E">
          <w:rPr>
            <w:rStyle w:val="Hiperpovezava"/>
            <w:rFonts w:eastAsia="Calibri"/>
            <w:noProof/>
          </w:rPr>
          <w:t>Slika 79: Površine in hektarski pridelki žita (2007–2019)</w:t>
        </w:r>
        <w:r w:rsidR="00464E53">
          <w:rPr>
            <w:noProof/>
            <w:webHidden/>
          </w:rPr>
          <w:tab/>
        </w:r>
        <w:r w:rsidR="00464E53">
          <w:rPr>
            <w:noProof/>
            <w:webHidden/>
          </w:rPr>
          <w:fldChar w:fldCharType="begin"/>
        </w:r>
        <w:r w:rsidR="00464E53">
          <w:rPr>
            <w:noProof/>
            <w:webHidden/>
          </w:rPr>
          <w:instrText xml:space="preserve"> PAGEREF _Toc86822751 \h </w:instrText>
        </w:r>
        <w:r w:rsidR="00464E53">
          <w:rPr>
            <w:noProof/>
            <w:webHidden/>
          </w:rPr>
        </w:r>
        <w:r w:rsidR="00464E53">
          <w:rPr>
            <w:noProof/>
            <w:webHidden/>
          </w:rPr>
          <w:fldChar w:fldCharType="separate"/>
        </w:r>
        <w:r w:rsidR="0088117A">
          <w:rPr>
            <w:noProof/>
            <w:webHidden/>
          </w:rPr>
          <w:t>118</w:t>
        </w:r>
        <w:r w:rsidR="00464E53">
          <w:rPr>
            <w:noProof/>
            <w:webHidden/>
          </w:rPr>
          <w:fldChar w:fldCharType="end"/>
        </w:r>
      </w:hyperlink>
    </w:p>
    <w:p w14:paraId="550E59DB" w14:textId="38C4525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2" w:history="1">
        <w:r w:rsidR="00464E53" w:rsidRPr="0068547E">
          <w:rPr>
            <w:rStyle w:val="Hiperpovezava"/>
            <w:rFonts w:eastAsia="Calibri"/>
            <w:noProof/>
          </w:rPr>
          <w:t>Slika 80: Osnovni ekonomski kazalniki pri pridelavi pšenice (indeks; povprečje 2014–2018 = 100)</w:t>
        </w:r>
        <w:r w:rsidR="00464E53">
          <w:rPr>
            <w:noProof/>
            <w:webHidden/>
          </w:rPr>
          <w:tab/>
        </w:r>
        <w:r w:rsidR="00464E53">
          <w:rPr>
            <w:noProof/>
            <w:webHidden/>
          </w:rPr>
          <w:fldChar w:fldCharType="begin"/>
        </w:r>
        <w:r w:rsidR="00464E53">
          <w:rPr>
            <w:noProof/>
            <w:webHidden/>
          </w:rPr>
          <w:instrText xml:space="preserve"> PAGEREF _Toc86822752 \h </w:instrText>
        </w:r>
        <w:r w:rsidR="00464E53">
          <w:rPr>
            <w:noProof/>
            <w:webHidden/>
          </w:rPr>
        </w:r>
        <w:r w:rsidR="00464E53">
          <w:rPr>
            <w:noProof/>
            <w:webHidden/>
          </w:rPr>
          <w:fldChar w:fldCharType="separate"/>
        </w:r>
        <w:r w:rsidR="0088117A">
          <w:rPr>
            <w:noProof/>
            <w:webHidden/>
          </w:rPr>
          <w:t>120</w:t>
        </w:r>
        <w:r w:rsidR="00464E53">
          <w:rPr>
            <w:noProof/>
            <w:webHidden/>
          </w:rPr>
          <w:fldChar w:fldCharType="end"/>
        </w:r>
      </w:hyperlink>
    </w:p>
    <w:p w14:paraId="229A12AF" w14:textId="23AE15E3"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3" w:history="1">
        <w:r w:rsidR="00464E53" w:rsidRPr="0068547E">
          <w:rPr>
            <w:rStyle w:val="Hiperpovezava"/>
            <w:rFonts w:eastAsia="Calibri"/>
            <w:noProof/>
          </w:rPr>
          <w:t>Slika 81: Osnovni ekonomski kazalniki pri pridelavi koruze za zrnje (indeks; povprečje 2014–2018 = 100)</w:t>
        </w:r>
        <w:r w:rsidR="00464E53">
          <w:rPr>
            <w:noProof/>
            <w:webHidden/>
          </w:rPr>
          <w:tab/>
        </w:r>
        <w:r w:rsidR="00464E53">
          <w:rPr>
            <w:noProof/>
            <w:webHidden/>
          </w:rPr>
          <w:fldChar w:fldCharType="begin"/>
        </w:r>
        <w:r w:rsidR="00464E53">
          <w:rPr>
            <w:noProof/>
            <w:webHidden/>
          </w:rPr>
          <w:instrText xml:space="preserve"> PAGEREF _Toc86822753 \h </w:instrText>
        </w:r>
        <w:r w:rsidR="00464E53">
          <w:rPr>
            <w:noProof/>
            <w:webHidden/>
          </w:rPr>
        </w:r>
        <w:r w:rsidR="00464E53">
          <w:rPr>
            <w:noProof/>
            <w:webHidden/>
          </w:rPr>
          <w:fldChar w:fldCharType="separate"/>
        </w:r>
        <w:r w:rsidR="0088117A">
          <w:rPr>
            <w:noProof/>
            <w:webHidden/>
          </w:rPr>
          <w:t>121</w:t>
        </w:r>
        <w:r w:rsidR="00464E53">
          <w:rPr>
            <w:noProof/>
            <w:webHidden/>
          </w:rPr>
          <w:fldChar w:fldCharType="end"/>
        </w:r>
      </w:hyperlink>
    </w:p>
    <w:p w14:paraId="0BCB7B2D" w14:textId="20C4AD3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4" w:history="1">
        <w:r w:rsidR="00464E53" w:rsidRPr="0068547E">
          <w:rPr>
            <w:rStyle w:val="Hiperpovezava"/>
            <w:rFonts w:eastAsia="Calibri"/>
            <w:noProof/>
          </w:rPr>
          <w:t>Slika 82: Osnovni ekonomski kazalniki pri pridelavi krompirja (indeks; povprečje 2014–2018 = 100)</w:t>
        </w:r>
        <w:r w:rsidR="00464E53">
          <w:rPr>
            <w:noProof/>
            <w:webHidden/>
          </w:rPr>
          <w:tab/>
        </w:r>
        <w:r w:rsidR="00464E53">
          <w:rPr>
            <w:noProof/>
            <w:webHidden/>
          </w:rPr>
          <w:fldChar w:fldCharType="begin"/>
        </w:r>
        <w:r w:rsidR="00464E53">
          <w:rPr>
            <w:noProof/>
            <w:webHidden/>
          </w:rPr>
          <w:instrText xml:space="preserve"> PAGEREF _Toc86822754 \h </w:instrText>
        </w:r>
        <w:r w:rsidR="00464E53">
          <w:rPr>
            <w:noProof/>
            <w:webHidden/>
          </w:rPr>
        </w:r>
        <w:r w:rsidR="00464E53">
          <w:rPr>
            <w:noProof/>
            <w:webHidden/>
          </w:rPr>
          <w:fldChar w:fldCharType="separate"/>
        </w:r>
        <w:r w:rsidR="0088117A">
          <w:rPr>
            <w:noProof/>
            <w:webHidden/>
          </w:rPr>
          <w:t>122</w:t>
        </w:r>
        <w:r w:rsidR="00464E53">
          <w:rPr>
            <w:noProof/>
            <w:webHidden/>
          </w:rPr>
          <w:fldChar w:fldCharType="end"/>
        </w:r>
      </w:hyperlink>
    </w:p>
    <w:p w14:paraId="18411849" w14:textId="27EB3911"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5" w:history="1">
        <w:r w:rsidR="00464E53" w:rsidRPr="0068547E">
          <w:rPr>
            <w:rStyle w:val="Hiperpovezava"/>
            <w:rFonts w:eastAsia="Calibri"/>
            <w:noProof/>
          </w:rPr>
          <w:t>Slika 83: Produktivnost in dodana vrednost na zaposlenega v ŽPI v primerjavi s predelovalnimi dejavnostmi (indeks C = 100), 2007–2019</w:t>
        </w:r>
        <w:r w:rsidR="00464E53">
          <w:rPr>
            <w:noProof/>
            <w:webHidden/>
          </w:rPr>
          <w:tab/>
        </w:r>
        <w:r w:rsidR="00464E53">
          <w:rPr>
            <w:noProof/>
            <w:webHidden/>
          </w:rPr>
          <w:fldChar w:fldCharType="begin"/>
        </w:r>
        <w:r w:rsidR="00464E53">
          <w:rPr>
            <w:noProof/>
            <w:webHidden/>
          </w:rPr>
          <w:instrText xml:space="preserve"> PAGEREF _Toc86822755 \h </w:instrText>
        </w:r>
        <w:r w:rsidR="00464E53">
          <w:rPr>
            <w:noProof/>
            <w:webHidden/>
          </w:rPr>
        </w:r>
        <w:r w:rsidR="00464E53">
          <w:rPr>
            <w:noProof/>
            <w:webHidden/>
          </w:rPr>
          <w:fldChar w:fldCharType="separate"/>
        </w:r>
        <w:r w:rsidR="0088117A">
          <w:rPr>
            <w:noProof/>
            <w:webHidden/>
          </w:rPr>
          <w:t>126</w:t>
        </w:r>
        <w:r w:rsidR="00464E53">
          <w:rPr>
            <w:noProof/>
            <w:webHidden/>
          </w:rPr>
          <w:fldChar w:fldCharType="end"/>
        </w:r>
      </w:hyperlink>
    </w:p>
    <w:p w14:paraId="144D5F12" w14:textId="3BD9D05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6" w:history="1">
        <w:r w:rsidR="00464E53" w:rsidRPr="0068547E">
          <w:rPr>
            <w:rStyle w:val="Hiperpovezava"/>
            <w:rFonts w:eastAsia="Calibri"/>
            <w:noProof/>
            <w:lang w:eastAsia="en-US"/>
          </w:rPr>
          <w:t>Slika 84:</w:t>
        </w:r>
        <w:r w:rsidR="00464E53" w:rsidRPr="0068547E">
          <w:rPr>
            <w:rStyle w:val="Hiperpovezava"/>
            <w:rFonts w:eastAsia="Calibri"/>
            <w:i/>
            <w:noProof/>
            <w:lang w:eastAsia="en-US"/>
          </w:rPr>
          <w:t xml:space="preserve"> </w:t>
        </w:r>
        <w:r w:rsidR="00464E53" w:rsidRPr="0068547E">
          <w:rPr>
            <w:rStyle w:val="Hiperpovezava"/>
            <w:rFonts w:eastAsia="Calibri"/>
            <w:noProof/>
            <w:lang w:eastAsia="en-US"/>
          </w:rPr>
          <w:t>Delež proizvodnje živil in pijač k skupni dodani vrednosti in zaposlenosti nacionalnega gospodarstva (%); 2007–2018</w:t>
        </w:r>
        <w:r w:rsidR="00464E53">
          <w:rPr>
            <w:noProof/>
            <w:webHidden/>
          </w:rPr>
          <w:tab/>
        </w:r>
        <w:r w:rsidR="00464E53">
          <w:rPr>
            <w:noProof/>
            <w:webHidden/>
          </w:rPr>
          <w:fldChar w:fldCharType="begin"/>
        </w:r>
        <w:r w:rsidR="00464E53">
          <w:rPr>
            <w:noProof/>
            <w:webHidden/>
          </w:rPr>
          <w:instrText xml:space="preserve"> PAGEREF _Toc86822756 \h </w:instrText>
        </w:r>
        <w:r w:rsidR="00464E53">
          <w:rPr>
            <w:noProof/>
            <w:webHidden/>
          </w:rPr>
        </w:r>
        <w:r w:rsidR="00464E53">
          <w:rPr>
            <w:noProof/>
            <w:webHidden/>
          </w:rPr>
          <w:fldChar w:fldCharType="separate"/>
        </w:r>
        <w:r w:rsidR="0088117A">
          <w:rPr>
            <w:noProof/>
            <w:webHidden/>
          </w:rPr>
          <w:t>126</w:t>
        </w:r>
        <w:r w:rsidR="00464E53">
          <w:rPr>
            <w:noProof/>
            <w:webHidden/>
          </w:rPr>
          <w:fldChar w:fldCharType="end"/>
        </w:r>
      </w:hyperlink>
    </w:p>
    <w:p w14:paraId="7744F201" w14:textId="1F8A9DB9"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7" w:history="1">
        <w:r w:rsidR="00464E53" w:rsidRPr="0068547E">
          <w:rPr>
            <w:rStyle w:val="Hiperpovezava"/>
            <w:rFonts w:eastAsia="Calibri"/>
            <w:noProof/>
            <w:lang w:eastAsia="sl-SI"/>
          </w:rPr>
          <w:t>Slika 85:</w:t>
        </w:r>
        <w:r w:rsidR="00464E53" w:rsidRPr="0068547E">
          <w:rPr>
            <w:rStyle w:val="Hiperpovezava"/>
            <w:rFonts w:eastAsia="Calibri"/>
            <w:i/>
            <w:noProof/>
            <w:lang w:eastAsia="sl-SI"/>
          </w:rPr>
          <w:t xml:space="preserve"> </w:t>
        </w:r>
        <w:r w:rsidR="00464E53" w:rsidRPr="0068547E">
          <w:rPr>
            <w:rStyle w:val="Hiperpovezava"/>
            <w:rFonts w:eastAsia="Calibri"/>
            <w:noProof/>
            <w:lang w:eastAsia="sl-SI"/>
          </w:rPr>
          <w:t>Indeks obsega industrijske proizvodnje (2015 = 100); 2007–2019</w:t>
        </w:r>
        <w:r w:rsidR="00464E53">
          <w:rPr>
            <w:noProof/>
            <w:webHidden/>
          </w:rPr>
          <w:tab/>
        </w:r>
        <w:r w:rsidR="00464E53">
          <w:rPr>
            <w:noProof/>
            <w:webHidden/>
          </w:rPr>
          <w:fldChar w:fldCharType="begin"/>
        </w:r>
        <w:r w:rsidR="00464E53">
          <w:rPr>
            <w:noProof/>
            <w:webHidden/>
          </w:rPr>
          <w:instrText xml:space="preserve"> PAGEREF _Toc86822757 \h </w:instrText>
        </w:r>
        <w:r w:rsidR="00464E53">
          <w:rPr>
            <w:noProof/>
            <w:webHidden/>
          </w:rPr>
        </w:r>
        <w:r w:rsidR="00464E53">
          <w:rPr>
            <w:noProof/>
            <w:webHidden/>
          </w:rPr>
          <w:fldChar w:fldCharType="separate"/>
        </w:r>
        <w:r w:rsidR="0088117A">
          <w:rPr>
            <w:noProof/>
            <w:webHidden/>
          </w:rPr>
          <w:t>127</w:t>
        </w:r>
        <w:r w:rsidR="00464E53">
          <w:rPr>
            <w:noProof/>
            <w:webHidden/>
          </w:rPr>
          <w:fldChar w:fldCharType="end"/>
        </w:r>
      </w:hyperlink>
    </w:p>
    <w:p w14:paraId="2B05009C" w14:textId="362965E9"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8" w:history="1">
        <w:r w:rsidR="00464E53" w:rsidRPr="0068547E">
          <w:rPr>
            <w:rStyle w:val="Hiperpovezava"/>
            <w:rFonts w:eastAsia="Calibri"/>
            <w:noProof/>
            <w:lang w:eastAsia="sl-SI"/>
          </w:rPr>
          <w:t>Slika 86: Indeksi cen živil in pijač ter proizvodov predelovalnih dejavnosti pri proizvajalcih (realno; 2015 = 100); 2007–2019</w:t>
        </w:r>
        <w:r w:rsidR="00464E53">
          <w:rPr>
            <w:noProof/>
            <w:webHidden/>
          </w:rPr>
          <w:tab/>
        </w:r>
        <w:r w:rsidR="00464E53">
          <w:rPr>
            <w:noProof/>
            <w:webHidden/>
          </w:rPr>
          <w:fldChar w:fldCharType="begin"/>
        </w:r>
        <w:r w:rsidR="00464E53">
          <w:rPr>
            <w:noProof/>
            <w:webHidden/>
          </w:rPr>
          <w:instrText xml:space="preserve"> PAGEREF _Toc86822758 \h </w:instrText>
        </w:r>
        <w:r w:rsidR="00464E53">
          <w:rPr>
            <w:noProof/>
            <w:webHidden/>
          </w:rPr>
        </w:r>
        <w:r w:rsidR="00464E53">
          <w:rPr>
            <w:noProof/>
            <w:webHidden/>
          </w:rPr>
          <w:fldChar w:fldCharType="separate"/>
        </w:r>
        <w:r w:rsidR="0088117A">
          <w:rPr>
            <w:noProof/>
            <w:webHidden/>
          </w:rPr>
          <w:t>128</w:t>
        </w:r>
        <w:r w:rsidR="00464E53">
          <w:rPr>
            <w:noProof/>
            <w:webHidden/>
          </w:rPr>
          <w:fldChar w:fldCharType="end"/>
        </w:r>
      </w:hyperlink>
    </w:p>
    <w:p w14:paraId="79F5180A" w14:textId="020D99F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59" w:history="1">
        <w:r w:rsidR="00464E53" w:rsidRPr="0068547E">
          <w:rPr>
            <w:rStyle w:val="Hiperpovezava"/>
            <w:rFonts w:eastAsia="Calibri"/>
            <w:noProof/>
          </w:rPr>
          <w:t>Slika 87:</w:t>
        </w:r>
        <w:r w:rsidR="00464E53" w:rsidRPr="0068547E">
          <w:rPr>
            <w:rStyle w:val="Hiperpovezava"/>
            <w:rFonts w:eastAsia="Calibri"/>
            <w:i/>
            <w:noProof/>
          </w:rPr>
          <w:t xml:space="preserve"> </w:t>
        </w:r>
        <w:r w:rsidR="00464E53" w:rsidRPr="0068547E">
          <w:rPr>
            <w:rStyle w:val="Hiperpovezava"/>
            <w:rFonts w:eastAsia="Calibri"/>
            <w:noProof/>
          </w:rPr>
          <w:t>Indeksi cen živilskih proizvodov pri proizvajalcih v primerjavi z indeksi cen kmetijskih pridelkov, energentov in plač (2015 = 100); 2007-2019</w:t>
        </w:r>
        <w:r w:rsidR="00464E53">
          <w:rPr>
            <w:noProof/>
            <w:webHidden/>
          </w:rPr>
          <w:tab/>
        </w:r>
        <w:r w:rsidR="00464E53">
          <w:rPr>
            <w:noProof/>
            <w:webHidden/>
          </w:rPr>
          <w:fldChar w:fldCharType="begin"/>
        </w:r>
        <w:r w:rsidR="00464E53">
          <w:rPr>
            <w:noProof/>
            <w:webHidden/>
          </w:rPr>
          <w:instrText xml:space="preserve"> PAGEREF _Toc86822759 \h </w:instrText>
        </w:r>
        <w:r w:rsidR="00464E53">
          <w:rPr>
            <w:noProof/>
            <w:webHidden/>
          </w:rPr>
        </w:r>
        <w:r w:rsidR="00464E53">
          <w:rPr>
            <w:noProof/>
            <w:webHidden/>
          </w:rPr>
          <w:fldChar w:fldCharType="separate"/>
        </w:r>
        <w:r w:rsidR="0088117A">
          <w:rPr>
            <w:noProof/>
            <w:webHidden/>
          </w:rPr>
          <w:t>129</w:t>
        </w:r>
        <w:r w:rsidR="00464E53">
          <w:rPr>
            <w:noProof/>
            <w:webHidden/>
          </w:rPr>
          <w:fldChar w:fldCharType="end"/>
        </w:r>
      </w:hyperlink>
    </w:p>
    <w:p w14:paraId="4AA840C0" w14:textId="203A1A4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0" w:history="1">
        <w:r w:rsidR="00464E53" w:rsidRPr="0068547E">
          <w:rPr>
            <w:rStyle w:val="Hiperpovezava"/>
            <w:rFonts w:eastAsia="Calibri"/>
            <w:noProof/>
          </w:rPr>
          <w:t>Slika 88:</w:t>
        </w:r>
        <w:r w:rsidR="00464E53" w:rsidRPr="0068547E">
          <w:rPr>
            <w:rStyle w:val="Hiperpovezava"/>
            <w:rFonts w:eastAsia="Calibri"/>
            <w:i/>
            <w:noProof/>
          </w:rPr>
          <w:t xml:space="preserve"> </w:t>
        </w:r>
        <w:r w:rsidR="00464E53" w:rsidRPr="0068547E">
          <w:rPr>
            <w:rStyle w:val="Hiperpovezava"/>
            <w:rFonts w:eastAsia="Calibri"/>
            <w:noProof/>
          </w:rPr>
          <w:t>Neto dobiček/izguba ŽPI po dejavnostih (mio EUR); 2018 in 2019</w:t>
        </w:r>
        <w:r w:rsidR="00464E53">
          <w:rPr>
            <w:noProof/>
            <w:webHidden/>
          </w:rPr>
          <w:tab/>
        </w:r>
        <w:r w:rsidR="00464E53">
          <w:rPr>
            <w:noProof/>
            <w:webHidden/>
          </w:rPr>
          <w:fldChar w:fldCharType="begin"/>
        </w:r>
        <w:r w:rsidR="00464E53">
          <w:rPr>
            <w:noProof/>
            <w:webHidden/>
          </w:rPr>
          <w:instrText xml:space="preserve"> PAGEREF _Toc86822760 \h </w:instrText>
        </w:r>
        <w:r w:rsidR="00464E53">
          <w:rPr>
            <w:noProof/>
            <w:webHidden/>
          </w:rPr>
        </w:r>
        <w:r w:rsidR="00464E53">
          <w:rPr>
            <w:noProof/>
            <w:webHidden/>
          </w:rPr>
          <w:fldChar w:fldCharType="separate"/>
        </w:r>
        <w:r w:rsidR="0088117A">
          <w:rPr>
            <w:noProof/>
            <w:webHidden/>
          </w:rPr>
          <w:t>130</w:t>
        </w:r>
        <w:r w:rsidR="00464E53">
          <w:rPr>
            <w:noProof/>
            <w:webHidden/>
          </w:rPr>
          <w:fldChar w:fldCharType="end"/>
        </w:r>
      </w:hyperlink>
    </w:p>
    <w:p w14:paraId="33C8EF2D" w14:textId="30AEB77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1" w:history="1">
        <w:r w:rsidR="00464E53" w:rsidRPr="0068547E">
          <w:rPr>
            <w:rStyle w:val="Hiperpovezava"/>
            <w:rFonts w:eastAsia="Calibri"/>
            <w:noProof/>
          </w:rPr>
          <w:t>Slika 89: Finančna vrzel v živilskopredelovalnem sektorju glede na produkt, v mio EUR in deležu, Slovenija, 2018</w:t>
        </w:r>
        <w:r w:rsidR="00464E53">
          <w:rPr>
            <w:noProof/>
            <w:webHidden/>
          </w:rPr>
          <w:tab/>
        </w:r>
        <w:r w:rsidR="00464E53">
          <w:rPr>
            <w:noProof/>
            <w:webHidden/>
          </w:rPr>
          <w:fldChar w:fldCharType="begin"/>
        </w:r>
        <w:r w:rsidR="00464E53">
          <w:rPr>
            <w:noProof/>
            <w:webHidden/>
          </w:rPr>
          <w:instrText xml:space="preserve"> PAGEREF _Toc86822761 \h </w:instrText>
        </w:r>
        <w:r w:rsidR="00464E53">
          <w:rPr>
            <w:noProof/>
            <w:webHidden/>
          </w:rPr>
        </w:r>
        <w:r w:rsidR="00464E53">
          <w:rPr>
            <w:noProof/>
            <w:webHidden/>
          </w:rPr>
          <w:fldChar w:fldCharType="separate"/>
        </w:r>
        <w:r w:rsidR="0088117A">
          <w:rPr>
            <w:noProof/>
            <w:webHidden/>
          </w:rPr>
          <w:t>132</w:t>
        </w:r>
        <w:r w:rsidR="00464E53">
          <w:rPr>
            <w:noProof/>
            <w:webHidden/>
          </w:rPr>
          <w:fldChar w:fldCharType="end"/>
        </w:r>
      </w:hyperlink>
    </w:p>
    <w:p w14:paraId="3E8C5AA1" w14:textId="6C09277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2" w:history="1">
        <w:r w:rsidR="00464E53" w:rsidRPr="0068547E">
          <w:rPr>
            <w:rStyle w:val="Hiperpovezava"/>
            <w:rFonts w:eastAsia="Calibri"/>
            <w:noProof/>
          </w:rPr>
          <w:t xml:space="preserve">Slika 90: </w:t>
        </w:r>
        <w:r w:rsidR="00464E53" w:rsidRPr="0068547E">
          <w:rPr>
            <w:rStyle w:val="Hiperpovezava"/>
            <w:rFonts w:eastAsia="Calibri"/>
            <w:noProof/>
            <w:lang w:val="en-US"/>
          </w:rPr>
          <w:t>Delež odobrenih sredstev</w:t>
        </w:r>
        <w:r w:rsidR="00464E53" w:rsidRPr="0068547E">
          <w:rPr>
            <w:rStyle w:val="Hiperpovezava"/>
            <w:rFonts w:eastAsia="Calibri"/>
            <w:noProof/>
          </w:rPr>
          <w:t xml:space="preserve"> glede na vrsto naložbe v okviru podukrepa M04.2 PRP 2014-2020, stanje 30.4.2020</w:t>
        </w:r>
        <w:r w:rsidR="00464E53">
          <w:rPr>
            <w:noProof/>
            <w:webHidden/>
          </w:rPr>
          <w:tab/>
        </w:r>
        <w:r w:rsidR="00464E53">
          <w:rPr>
            <w:noProof/>
            <w:webHidden/>
          </w:rPr>
          <w:fldChar w:fldCharType="begin"/>
        </w:r>
        <w:r w:rsidR="00464E53">
          <w:rPr>
            <w:noProof/>
            <w:webHidden/>
          </w:rPr>
          <w:instrText xml:space="preserve"> PAGEREF _Toc86822762 \h </w:instrText>
        </w:r>
        <w:r w:rsidR="00464E53">
          <w:rPr>
            <w:noProof/>
            <w:webHidden/>
          </w:rPr>
        </w:r>
        <w:r w:rsidR="00464E53">
          <w:rPr>
            <w:noProof/>
            <w:webHidden/>
          </w:rPr>
          <w:fldChar w:fldCharType="separate"/>
        </w:r>
        <w:r w:rsidR="0088117A">
          <w:rPr>
            <w:noProof/>
            <w:webHidden/>
          </w:rPr>
          <w:t>133</w:t>
        </w:r>
        <w:r w:rsidR="00464E53">
          <w:rPr>
            <w:noProof/>
            <w:webHidden/>
          </w:rPr>
          <w:fldChar w:fldCharType="end"/>
        </w:r>
      </w:hyperlink>
    </w:p>
    <w:p w14:paraId="297D9EB1" w14:textId="1636ECAC"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3" w:history="1">
        <w:r w:rsidR="00464E53" w:rsidRPr="0068547E">
          <w:rPr>
            <w:rStyle w:val="Hiperpovezava"/>
            <w:rFonts w:eastAsia="Calibri"/>
            <w:noProof/>
          </w:rPr>
          <w:t xml:space="preserve">Slika 91: </w:t>
        </w:r>
        <w:r w:rsidR="00464E53" w:rsidRPr="0068547E">
          <w:rPr>
            <w:rStyle w:val="Hiperpovezava"/>
            <w:rFonts w:eastAsia="Calibri"/>
            <w:noProof/>
            <w:lang w:val="en-US"/>
          </w:rPr>
          <w:t>Število odobrenih vlog in povprečna vrednost naložbe na odobreno vlogo</w:t>
        </w:r>
        <w:r w:rsidR="00464E53" w:rsidRPr="0068547E">
          <w:rPr>
            <w:rStyle w:val="Hiperpovezava"/>
            <w:rFonts w:eastAsia="Calibri"/>
            <w:noProof/>
          </w:rPr>
          <w:t xml:space="preserve"> glede na dejavnost naložbe v okviru podukrepa M04.2 PRP 2014-2020, stanje 30.4.2020</w:t>
        </w:r>
        <w:r w:rsidR="00464E53">
          <w:rPr>
            <w:noProof/>
            <w:webHidden/>
          </w:rPr>
          <w:tab/>
        </w:r>
        <w:r w:rsidR="00464E53">
          <w:rPr>
            <w:noProof/>
            <w:webHidden/>
          </w:rPr>
          <w:fldChar w:fldCharType="begin"/>
        </w:r>
        <w:r w:rsidR="00464E53">
          <w:rPr>
            <w:noProof/>
            <w:webHidden/>
          </w:rPr>
          <w:instrText xml:space="preserve"> PAGEREF _Toc86822763 \h </w:instrText>
        </w:r>
        <w:r w:rsidR="00464E53">
          <w:rPr>
            <w:noProof/>
            <w:webHidden/>
          </w:rPr>
        </w:r>
        <w:r w:rsidR="00464E53">
          <w:rPr>
            <w:noProof/>
            <w:webHidden/>
          </w:rPr>
          <w:fldChar w:fldCharType="separate"/>
        </w:r>
        <w:r w:rsidR="0088117A">
          <w:rPr>
            <w:noProof/>
            <w:webHidden/>
          </w:rPr>
          <w:t>134</w:t>
        </w:r>
        <w:r w:rsidR="00464E53">
          <w:rPr>
            <w:noProof/>
            <w:webHidden/>
          </w:rPr>
          <w:fldChar w:fldCharType="end"/>
        </w:r>
      </w:hyperlink>
    </w:p>
    <w:p w14:paraId="533DBBB9" w14:textId="3F631134"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4" w:history="1">
        <w:r w:rsidR="00464E53" w:rsidRPr="0068547E">
          <w:rPr>
            <w:rStyle w:val="Hiperpovezava"/>
            <w:rFonts w:eastAsia="Calibri"/>
            <w:noProof/>
          </w:rPr>
          <w:t>Slika 92:</w:t>
        </w:r>
        <w:r w:rsidR="00464E53" w:rsidRPr="0068547E">
          <w:rPr>
            <w:rStyle w:val="Hiperpovezava"/>
            <w:rFonts w:eastAsia="Calibri"/>
            <w:i/>
            <w:noProof/>
          </w:rPr>
          <w:t xml:space="preserve"> </w:t>
        </w:r>
        <w:r w:rsidR="00464E53" w:rsidRPr="0068547E">
          <w:rPr>
            <w:rStyle w:val="Hiperpovezava"/>
            <w:rFonts w:eastAsia="Calibri"/>
            <w:noProof/>
          </w:rPr>
          <w:t>Zunanjetrgovinska bilanca agroživilstva po tarifnih skupinah v obdobjih 2007–2013 in 2014–2019, v mio EUR (kazalnik stanja C.30)</w:t>
        </w:r>
        <w:r w:rsidR="00464E53">
          <w:rPr>
            <w:noProof/>
            <w:webHidden/>
          </w:rPr>
          <w:tab/>
        </w:r>
        <w:r w:rsidR="00464E53">
          <w:rPr>
            <w:noProof/>
            <w:webHidden/>
          </w:rPr>
          <w:fldChar w:fldCharType="begin"/>
        </w:r>
        <w:r w:rsidR="00464E53">
          <w:rPr>
            <w:noProof/>
            <w:webHidden/>
          </w:rPr>
          <w:instrText xml:space="preserve"> PAGEREF _Toc86822764 \h </w:instrText>
        </w:r>
        <w:r w:rsidR="00464E53">
          <w:rPr>
            <w:noProof/>
            <w:webHidden/>
          </w:rPr>
        </w:r>
        <w:r w:rsidR="00464E53">
          <w:rPr>
            <w:noProof/>
            <w:webHidden/>
          </w:rPr>
          <w:fldChar w:fldCharType="separate"/>
        </w:r>
        <w:r w:rsidR="0088117A">
          <w:rPr>
            <w:noProof/>
            <w:webHidden/>
          </w:rPr>
          <w:t>137</w:t>
        </w:r>
        <w:r w:rsidR="00464E53">
          <w:rPr>
            <w:noProof/>
            <w:webHidden/>
          </w:rPr>
          <w:fldChar w:fldCharType="end"/>
        </w:r>
      </w:hyperlink>
    </w:p>
    <w:p w14:paraId="025796BB" w14:textId="1913A79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5" w:history="1">
        <w:r w:rsidR="00464E53" w:rsidRPr="0068547E">
          <w:rPr>
            <w:rStyle w:val="Hiperpovezava"/>
            <w:rFonts w:eastAsia="Calibri"/>
            <w:noProof/>
          </w:rPr>
          <w:t>Slika 93:</w:t>
        </w:r>
        <w:r w:rsidR="00464E53" w:rsidRPr="0068547E">
          <w:rPr>
            <w:rStyle w:val="Hiperpovezava"/>
            <w:rFonts w:eastAsia="Calibri"/>
            <w:i/>
            <w:noProof/>
          </w:rPr>
          <w:t xml:space="preserve"> </w:t>
        </w:r>
        <w:r w:rsidR="00464E53" w:rsidRPr="0068547E">
          <w:rPr>
            <w:rStyle w:val="Hiperpovezava"/>
            <w:rFonts w:eastAsia="Calibri"/>
            <w:noProof/>
          </w:rPr>
          <w:t>Skupna vrednost kmetijsko-živilske trgovine znotraj/zunaj EU v obdobju 2010-2020, v mrd EUR  (kazalnik stanja C.30)</w:t>
        </w:r>
        <w:r w:rsidR="00464E53">
          <w:rPr>
            <w:noProof/>
            <w:webHidden/>
          </w:rPr>
          <w:tab/>
        </w:r>
        <w:r w:rsidR="00464E53">
          <w:rPr>
            <w:noProof/>
            <w:webHidden/>
          </w:rPr>
          <w:fldChar w:fldCharType="begin"/>
        </w:r>
        <w:r w:rsidR="00464E53">
          <w:rPr>
            <w:noProof/>
            <w:webHidden/>
          </w:rPr>
          <w:instrText xml:space="preserve"> PAGEREF _Toc86822765 \h </w:instrText>
        </w:r>
        <w:r w:rsidR="00464E53">
          <w:rPr>
            <w:noProof/>
            <w:webHidden/>
          </w:rPr>
        </w:r>
        <w:r w:rsidR="00464E53">
          <w:rPr>
            <w:noProof/>
            <w:webHidden/>
          </w:rPr>
          <w:fldChar w:fldCharType="separate"/>
        </w:r>
        <w:r w:rsidR="0088117A">
          <w:rPr>
            <w:noProof/>
            <w:webHidden/>
          </w:rPr>
          <w:t>138</w:t>
        </w:r>
        <w:r w:rsidR="00464E53">
          <w:rPr>
            <w:noProof/>
            <w:webHidden/>
          </w:rPr>
          <w:fldChar w:fldCharType="end"/>
        </w:r>
      </w:hyperlink>
    </w:p>
    <w:p w14:paraId="753E3456" w14:textId="78443796"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6" w:history="1">
        <w:r w:rsidR="00464E53" w:rsidRPr="0068547E">
          <w:rPr>
            <w:rStyle w:val="Hiperpovezava"/>
            <w:rFonts w:eastAsia="Calibri"/>
            <w:noProof/>
          </w:rPr>
          <w:t>Slika 95:</w:t>
        </w:r>
        <w:r w:rsidR="00464E53" w:rsidRPr="0068547E">
          <w:rPr>
            <w:rStyle w:val="Hiperpovezava"/>
            <w:rFonts w:eastAsia="Calibri"/>
            <w:i/>
            <w:noProof/>
          </w:rPr>
          <w:t xml:space="preserve"> </w:t>
        </w:r>
        <w:r w:rsidR="00464E53" w:rsidRPr="0068547E">
          <w:rPr>
            <w:rStyle w:val="Hiperpovezava"/>
            <w:rFonts w:eastAsia="Calibri"/>
            <w:noProof/>
          </w:rPr>
          <w:t>Izvoz in uvoz ter zunanjetrgovinska bilanca agroživilskih proizvodov (mio EUR); 2007–2019</w:t>
        </w:r>
        <w:r w:rsidR="00464E53">
          <w:rPr>
            <w:noProof/>
            <w:webHidden/>
          </w:rPr>
          <w:tab/>
        </w:r>
        <w:r w:rsidR="00464E53">
          <w:rPr>
            <w:noProof/>
            <w:webHidden/>
          </w:rPr>
          <w:fldChar w:fldCharType="begin"/>
        </w:r>
        <w:r w:rsidR="00464E53">
          <w:rPr>
            <w:noProof/>
            <w:webHidden/>
          </w:rPr>
          <w:instrText xml:space="preserve"> PAGEREF _Toc86822766 \h </w:instrText>
        </w:r>
        <w:r w:rsidR="00464E53">
          <w:rPr>
            <w:noProof/>
            <w:webHidden/>
          </w:rPr>
        </w:r>
        <w:r w:rsidR="00464E53">
          <w:rPr>
            <w:noProof/>
            <w:webHidden/>
          </w:rPr>
          <w:fldChar w:fldCharType="separate"/>
        </w:r>
        <w:r w:rsidR="0088117A">
          <w:rPr>
            <w:noProof/>
            <w:webHidden/>
          </w:rPr>
          <w:t>139</w:t>
        </w:r>
        <w:r w:rsidR="00464E53">
          <w:rPr>
            <w:noProof/>
            <w:webHidden/>
          </w:rPr>
          <w:fldChar w:fldCharType="end"/>
        </w:r>
      </w:hyperlink>
    </w:p>
    <w:p w14:paraId="6E6AAE1E" w14:textId="0CD87048"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7" w:history="1">
        <w:r w:rsidR="00464E53" w:rsidRPr="0068547E">
          <w:rPr>
            <w:rStyle w:val="Hiperpovezava"/>
            <w:rFonts w:eastAsia="Calibri"/>
            <w:noProof/>
          </w:rPr>
          <w:t>Slika 96:</w:t>
        </w:r>
        <w:r w:rsidR="00464E53" w:rsidRPr="0068547E">
          <w:rPr>
            <w:rStyle w:val="Hiperpovezava"/>
            <w:rFonts w:eastAsia="Calibri"/>
            <w:i/>
            <w:noProof/>
          </w:rPr>
          <w:t xml:space="preserve"> </w:t>
        </w:r>
        <w:r w:rsidR="00464E53" w:rsidRPr="0068547E">
          <w:rPr>
            <w:rStyle w:val="Hiperpovezava"/>
            <w:rFonts w:eastAsia="Calibri"/>
            <w:noProof/>
          </w:rPr>
          <w:t>Struktura izvoza in uvoza agroživilstva po skupinah držav; 2014-2019</w:t>
        </w:r>
        <w:r w:rsidR="00464E53">
          <w:rPr>
            <w:noProof/>
            <w:webHidden/>
          </w:rPr>
          <w:tab/>
        </w:r>
        <w:r w:rsidR="00464E53">
          <w:rPr>
            <w:noProof/>
            <w:webHidden/>
          </w:rPr>
          <w:fldChar w:fldCharType="begin"/>
        </w:r>
        <w:r w:rsidR="00464E53">
          <w:rPr>
            <w:noProof/>
            <w:webHidden/>
          </w:rPr>
          <w:instrText xml:space="preserve"> PAGEREF _Toc86822767 \h </w:instrText>
        </w:r>
        <w:r w:rsidR="00464E53">
          <w:rPr>
            <w:noProof/>
            <w:webHidden/>
          </w:rPr>
        </w:r>
        <w:r w:rsidR="00464E53">
          <w:rPr>
            <w:noProof/>
            <w:webHidden/>
          </w:rPr>
          <w:fldChar w:fldCharType="separate"/>
        </w:r>
        <w:r w:rsidR="0088117A">
          <w:rPr>
            <w:noProof/>
            <w:webHidden/>
          </w:rPr>
          <w:t>140</w:t>
        </w:r>
        <w:r w:rsidR="00464E53">
          <w:rPr>
            <w:noProof/>
            <w:webHidden/>
          </w:rPr>
          <w:fldChar w:fldCharType="end"/>
        </w:r>
      </w:hyperlink>
    </w:p>
    <w:p w14:paraId="0DA6B4CE" w14:textId="60376D6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8" w:history="1">
        <w:r w:rsidR="00464E53" w:rsidRPr="0068547E">
          <w:rPr>
            <w:rStyle w:val="Hiperpovezava"/>
            <w:rFonts w:eastAsia="Calibri"/>
            <w:noProof/>
          </w:rPr>
          <w:t>Slika 97: Zunanjetrgovinska bilanca agroživilskih proizvodov po državah v letu 2018</w:t>
        </w:r>
        <w:r w:rsidR="00464E53">
          <w:rPr>
            <w:noProof/>
            <w:webHidden/>
          </w:rPr>
          <w:tab/>
        </w:r>
        <w:r w:rsidR="00464E53">
          <w:rPr>
            <w:noProof/>
            <w:webHidden/>
          </w:rPr>
          <w:fldChar w:fldCharType="begin"/>
        </w:r>
        <w:r w:rsidR="00464E53">
          <w:rPr>
            <w:noProof/>
            <w:webHidden/>
          </w:rPr>
          <w:instrText xml:space="preserve"> PAGEREF _Toc86822768 \h </w:instrText>
        </w:r>
        <w:r w:rsidR="00464E53">
          <w:rPr>
            <w:noProof/>
            <w:webHidden/>
          </w:rPr>
        </w:r>
        <w:r w:rsidR="00464E53">
          <w:rPr>
            <w:noProof/>
            <w:webHidden/>
          </w:rPr>
          <w:fldChar w:fldCharType="separate"/>
        </w:r>
        <w:r w:rsidR="0088117A">
          <w:rPr>
            <w:noProof/>
            <w:webHidden/>
          </w:rPr>
          <w:t>141</w:t>
        </w:r>
        <w:r w:rsidR="00464E53">
          <w:rPr>
            <w:noProof/>
            <w:webHidden/>
          </w:rPr>
          <w:fldChar w:fldCharType="end"/>
        </w:r>
      </w:hyperlink>
    </w:p>
    <w:p w14:paraId="4F72F8B5" w14:textId="579CB64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69" w:history="1">
        <w:r w:rsidR="00464E53" w:rsidRPr="0068547E">
          <w:rPr>
            <w:rStyle w:val="Hiperpovezava"/>
            <w:rFonts w:eastAsia="Calibri"/>
            <w:noProof/>
          </w:rPr>
          <w:t>Slika 98: Stopnja samooskrbe s pridelanimi in predelanimi kmetijskimi proizvodi v obdobjih 2007–2013 in 2014–2019, v %</w:t>
        </w:r>
        <w:r w:rsidR="00464E53">
          <w:rPr>
            <w:noProof/>
            <w:webHidden/>
          </w:rPr>
          <w:tab/>
        </w:r>
        <w:r w:rsidR="00464E53">
          <w:rPr>
            <w:noProof/>
            <w:webHidden/>
          </w:rPr>
          <w:fldChar w:fldCharType="begin"/>
        </w:r>
        <w:r w:rsidR="00464E53">
          <w:rPr>
            <w:noProof/>
            <w:webHidden/>
          </w:rPr>
          <w:instrText xml:space="preserve"> PAGEREF _Toc86822769 \h </w:instrText>
        </w:r>
        <w:r w:rsidR="00464E53">
          <w:rPr>
            <w:noProof/>
            <w:webHidden/>
          </w:rPr>
        </w:r>
        <w:r w:rsidR="00464E53">
          <w:rPr>
            <w:noProof/>
            <w:webHidden/>
          </w:rPr>
          <w:fldChar w:fldCharType="separate"/>
        </w:r>
        <w:r w:rsidR="0088117A">
          <w:rPr>
            <w:noProof/>
            <w:webHidden/>
          </w:rPr>
          <w:t>142</w:t>
        </w:r>
        <w:r w:rsidR="00464E53">
          <w:rPr>
            <w:noProof/>
            <w:webHidden/>
          </w:rPr>
          <w:fldChar w:fldCharType="end"/>
        </w:r>
      </w:hyperlink>
    </w:p>
    <w:p w14:paraId="08BC289A" w14:textId="116588F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0" w:history="1">
        <w:r w:rsidR="00464E53" w:rsidRPr="0068547E">
          <w:rPr>
            <w:rStyle w:val="Hiperpovezava"/>
            <w:rFonts w:eastAsia="Calibri"/>
            <w:noProof/>
          </w:rPr>
          <w:t>Slika 99: Domača poraba, pridelava, uvoz in izvoz - sadje, v tisoč t</w:t>
        </w:r>
        <w:r w:rsidR="00464E53">
          <w:rPr>
            <w:noProof/>
            <w:webHidden/>
          </w:rPr>
          <w:tab/>
        </w:r>
        <w:r w:rsidR="00464E53">
          <w:rPr>
            <w:noProof/>
            <w:webHidden/>
          </w:rPr>
          <w:fldChar w:fldCharType="begin"/>
        </w:r>
        <w:r w:rsidR="00464E53">
          <w:rPr>
            <w:noProof/>
            <w:webHidden/>
          </w:rPr>
          <w:instrText xml:space="preserve"> PAGEREF _Toc86822770 \h </w:instrText>
        </w:r>
        <w:r w:rsidR="00464E53">
          <w:rPr>
            <w:noProof/>
            <w:webHidden/>
          </w:rPr>
        </w:r>
        <w:r w:rsidR="00464E53">
          <w:rPr>
            <w:noProof/>
            <w:webHidden/>
          </w:rPr>
          <w:fldChar w:fldCharType="separate"/>
        </w:r>
        <w:r w:rsidR="0088117A">
          <w:rPr>
            <w:noProof/>
            <w:webHidden/>
          </w:rPr>
          <w:t>143</w:t>
        </w:r>
        <w:r w:rsidR="00464E53">
          <w:rPr>
            <w:noProof/>
            <w:webHidden/>
          </w:rPr>
          <w:fldChar w:fldCharType="end"/>
        </w:r>
      </w:hyperlink>
    </w:p>
    <w:p w14:paraId="356E3E30" w14:textId="1A36873D"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1" w:history="1">
        <w:r w:rsidR="00464E53" w:rsidRPr="0068547E">
          <w:rPr>
            <w:rStyle w:val="Hiperpovezava"/>
            <w:rFonts w:eastAsia="Calibri"/>
            <w:noProof/>
          </w:rPr>
          <w:t>Slika 100: Domača poraba, pridelava, uvoz in izvoz - zelenjadnice, v tisoč t</w:t>
        </w:r>
        <w:r w:rsidR="00464E53">
          <w:rPr>
            <w:noProof/>
            <w:webHidden/>
          </w:rPr>
          <w:tab/>
        </w:r>
        <w:r w:rsidR="00464E53">
          <w:rPr>
            <w:noProof/>
            <w:webHidden/>
          </w:rPr>
          <w:fldChar w:fldCharType="begin"/>
        </w:r>
        <w:r w:rsidR="00464E53">
          <w:rPr>
            <w:noProof/>
            <w:webHidden/>
          </w:rPr>
          <w:instrText xml:space="preserve"> PAGEREF _Toc86822771 \h </w:instrText>
        </w:r>
        <w:r w:rsidR="00464E53">
          <w:rPr>
            <w:noProof/>
            <w:webHidden/>
          </w:rPr>
        </w:r>
        <w:r w:rsidR="00464E53">
          <w:rPr>
            <w:noProof/>
            <w:webHidden/>
          </w:rPr>
          <w:fldChar w:fldCharType="separate"/>
        </w:r>
        <w:r w:rsidR="0088117A">
          <w:rPr>
            <w:noProof/>
            <w:webHidden/>
          </w:rPr>
          <w:t>143</w:t>
        </w:r>
        <w:r w:rsidR="00464E53">
          <w:rPr>
            <w:noProof/>
            <w:webHidden/>
          </w:rPr>
          <w:fldChar w:fldCharType="end"/>
        </w:r>
      </w:hyperlink>
    </w:p>
    <w:p w14:paraId="615491A6" w14:textId="3F345BF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2" w:history="1">
        <w:r w:rsidR="00464E53" w:rsidRPr="0068547E">
          <w:rPr>
            <w:rStyle w:val="Hiperpovezava"/>
            <w:rFonts w:eastAsia="Calibri"/>
            <w:noProof/>
          </w:rPr>
          <w:t>Slika 101: Domača poraba, prireja mesa, izvoz in uvoz živih živali ter uvoz in izvoz mesa in izdelkov – govedo, v tisoč t</w:t>
        </w:r>
        <w:r w:rsidR="00464E53">
          <w:rPr>
            <w:noProof/>
            <w:webHidden/>
          </w:rPr>
          <w:tab/>
        </w:r>
        <w:r w:rsidR="00464E53">
          <w:rPr>
            <w:noProof/>
            <w:webHidden/>
          </w:rPr>
          <w:fldChar w:fldCharType="begin"/>
        </w:r>
        <w:r w:rsidR="00464E53">
          <w:rPr>
            <w:noProof/>
            <w:webHidden/>
          </w:rPr>
          <w:instrText xml:space="preserve"> PAGEREF _Toc86822772 \h </w:instrText>
        </w:r>
        <w:r w:rsidR="00464E53">
          <w:rPr>
            <w:noProof/>
            <w:webHidden/>
          </w:rPr>
        </w:r>
        <w:r w:rsidR="00464E53">
          <w:rPr>
            <w:noProof/>
            <w:webHidden/>
          </w:rPr>
          <w:fldChar w:fldCharType="separate"/>
        </w:r>
        <w:r w:rsidR="0088117A">
          <w:rPr>
            <w:noProof/>
            <w:webHidden/>
          </w:rPr>
          <w:t>144</w:t>
        </w:r>
        <w:r w:rsidR="00464E53">
          <w:rPr>
            <w:noProof/>
            <w:webHidden/>
          </w:rPr>
          <w:fldChar w:fldCharType="end"/>
        </w:r>
      </w:hyperlink>
    </w:p>
    <w:p w14:paraId="046481D2" w14:textId="35187BEB"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3" w:history="1">
        <w:r w:rsidR="00464E53" w:rsidRPr="0068547E">
          <w:rPr>
            <w:rStyle w:val="Hiperpovezava"/>
            <w:rFonts w:eastAsia="Calibri"/>
            <w:noProof/>
          </w:rPr>
          <w:t>Slika 102: Domača poraba, prireja, uvoz in izvoz –prašiči, v tisoč t</w:t>
        </w:r>
        <w:r w:rsidR="00464E53">
          <w:rPr>
            <w:noProof/>
            <w:webHidden/>
          </w:rPr>
          <w:tab/>
        </w:r>
        <w:r w:rsidR="00464E53">
          <w:rPr>
            <w:noProof/>
            <w:webHidden/>
          </w:rPr>
          <w:fldChar w:fldCharType="begin"/>
        </w:r>
        <w:r w:rsidR="00464E53">
          <w:rPr>
            <w:noProof/>
            <w:webHidden/>
          </w:rPr>
          <w:instrText xml:space="preserve"> PAGEREF _Toc86822773 \h </w:instrText>
        </w:r>
        <w:r w:rsidR="00464E53">
          <w:rPr>
            <w:noProof/>
            <w:webHidden/>
          </w:rPr>
        </w:r>
        <w:r w:rsidR="00464E53">
          <w:rPr>
            <w:noProof/>
            <w:webHidden/>
          </w:rPr>
          <w:fldChar w:fldCharType="separate"/>
        </w:r>
        <w:r w:rsidR="0088117A">
          <w:rPr>
            <w:noProof/>
            <w:webHidden/>
          </w:rPr>
          <w:t>145</w:t>
        </w:r>
        <w:r w:rsidR="00464E53">
          <w:rPr>
            <w:noProof/>
            <w:webHidden/>
          </w:rPr>
          <w:fldChar w:fldCharType="end"/>
        </w:r>
      </w:hyperlink>
    </w:p>
    <w:p w14:paraId="1ED51A13" w14:textId="25273428"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4" w:history="1">
        <w:r w:rsidR="00464E53" w:rsidRPr="0068547E">
          <w:rPr>
            <w:rStyle w:val="Hiperpovezava"/>
            <w:rFonts w:eastAsia="Calibri"/>
            <w:noProof/>
          </w:rPr>
          <w:t>Slika 103: Domača pridelava, uvoz in izvoz – mleko, v tisoč t</w:t>
        </w:r>
        <w:r w:rsidR="00464E53">
          <w:rPr>
            <w:noProof/>
            <w:webHidden/>
          </w:rPr>
          <w:tab/>
        </w:r>
        <w:r w:rsidR="00464E53">
          <w:rPr>
            <w:noProof/>
            <w:webHidden/>
          </w:rPr>
          <w:fldChar w:fldCharType="begin"/>
        </w:r>
        <w:r w:rsidR="00464E53">
          <w:rPr>
            <w:noProof/>
            <w:webHidden/>
          </w:rPr>
          <w:instrText xml:space="preserve"> PAGEREF _Toc86822774 \h </w:instrText>
        </w:r>
        <w:r w:rsidR="00464E53">
          <w:rPr>
            <w:noProof/>
            <w:webHidden/>
          </w:rPr>
        </w:r>
        <w:r w:rsidR="00464E53">
          <w:rPr>
            <w:noProof/>
            <w:webHidden/>
          </w:rPr>
          <w:fldChar w:fldCharType="separate"/>
        </w:r>
        <w:r w:rsidR="0088117A">
          <w:rPr>
            <w:noProof/>
            <w:webHidden/>
          </w:rPr>
          <w:t>146</w:t>
        </w:r>
        <w:r w:rsidR="00464E53">
          <w:rPr>
            <w:noProof/>
            <w:webHidden/>
          </w:rPr>
          <w:fldChar w:fldCharType="end"/>
        </w:r>
      </w:hyperlink>
    </w:p>
    <w:p w14:paraId="70561B00" w14:textId="2080DBA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5" w:history="1">
        <w:r w:rsidR="00464E53" w:rsidRPr="0068547E">
          <w:rPr>
            <w:rStyle w:val="Hiperpovezava"/>
            <w:rFonts w:eastAsia="Calibri"/>
            <w:noProof/>
          </w:rPr>
          <w:t>Slika 104: Karta zasnove gozdne infrastrukture</w:t>
        </w:r>
        <w:r w:rsidR="00464E53">
          <w:rPr>
            <w:noProof/>
            <w:webHidden/>
          </w:rPr>
          <w:tab/>
        </w:r>
        <w:r w:rsidR="00464E53">
          <w:rPr>
            <w:noProof/>
            <w:webHidden/>
          </w:rPr>
          <w:fldChar w:fldCharType="begin"/>
        </w:r>
        <w:r w:rsidR="00464E53">
          <w:rPr>
            <w:noProof/>
            <w:webHidden/>
          </w:rPr>
          <w:instrText xml:space="preserve"> PAGEREF _Toc86822775 \h </w:instrText>
        </w:r>
        <w:r w:rsidR="00464E53">
          <w:rPr>
            <w:noProof/>
            <w:webHidden/>
          </w:rPr>
        </w:r>
        <w:r w:rsidR="00464E53">
          <w:rPr>
            <w:noProof/>
            <w:webHidden/>
          </w:rPr>
          <w:fldChar w:fldCharType="separate"/>
        </w:r>
        <w:r w:rsidR="0088117A">
          <w:rPr>
            <w:noProof/>
            <w:webHidden/>
          </w:rPr>
          <w:t>149</w:t>
        </w:r>
        <w:r w:rsidR="00464E53">
          <w:rPr>
            <w:noProof/>
            <w:webHidden/>
          </w:rPr>
          <w:fldChar w:fldCharType="end"/>
        </w:r>
      </w:hyperlink>
    </w:p>
    <w:p w14:paraId="3256AF82" w14:textId="76F99ADA"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6" w:history="1">
        <w:r w:rsidR="00464E53" w:rsidRPr="0068547E">
          <w:rPr>
            <w:rStyle w:val="Hiperpovezava"/>
            <w:rFonts w:eastAsia="Calibri"/>
            <w:noProof/>
          </w:rPr>
          <w:t>Slika 105: Število smrtnih nezgod pri delu 1999-2019</w:t>
        </w:r>
        <w:r w:rsidR="00464E53">
          <w:rPr>
            <w:noProof/>
            <w:webHidden/>
          </w:rPr>
          <w:tab/>
        </w:r>
        <w:r w:rsidR="00464E53">
          <w:rPr>
            <w:noProof/>
            <w:webHidden/>
          </w:rPr>
          <w:fldChar w:fldCharType="begin"/>
        </w:r>
        <w:r w:rsidR="00464E53">
          <w:rPr>
            <w:noProof/>
            <w:webHidden/>
          </w:rPr>
          <w:instrText xml:space="preserve"> PAGEREF _Toc86822776 \h </w:instrText>
        </w:r>
        <w:r w:rsidR="00464E53">
          <w:rPr>
            <w:noProof/>
            <w:webHidden/>
          </w:rPr>
        </w:r>
        <w:r w:rsidR="00464E53">
          <w:rPr>
            <w:noProof/>
            <w:webHidden/>
          </w:rPr>
          <w:fldChar w:fldCharType="separate"/>
        </w:r>
        <w:r w:rsidR="0088117A">
          <w:rPr>
            <w:noProof/>
            <w:webHidden/>
          </w:rPr>
          <w:t>150</w:t>
        </w:r>
        <w:r w:rsidR="00464E53">
          <w:rPr>
            <w:noProof/>
            <w:webHidden/>
          </w:rPr>
          <w:fldChar w:fldCharType="end"/>
        </w:r>
      </w:hyperlink>
    </w:p>
    <w:p w14:paraId="4297E644" w14:textId="5939DE5E"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7" w:history="1">
        <w:r w:rsidR="00464E53" w:rsidRPr="0068547E">
          <w:rPr>
            <w:rStyle w:val="Hiperpovezava"/>
            <w:rFonts w:eastAsia="Calibri"/>
            <w:noProof/>
          </w:rPr>
          <w:t>Slika 106:</w:t>
        </w:r>
        <w:r w:rsidR="00464E53" w:rsidRPr="0068547E">
          <w:rPr>
            <w:rStyle w:val="Hiperpovezava"/>
            <w:rFonts w:eastAsia="Calibri"/>
            <w:i/>
            <w:noProof/>
          </w:rPr>
          <w:t xml:space="preserve"> </w:t>
        </w:r>
        <w:r w:rsidR="00464E53" w:rsidRPr="0068547E">
          <w:rPr>
            <w:rStyle w:val="Hiperpovezava"/>
            <w:rFonts w:eastAsia="Calibri"/>
            <w:noProof/>
          </w:rPr>
          <w:t>Izvoz in uvoz okroglega lesa (m</w:t>
        </w:r>
        <w:r w:rsidR="00464E53" w:rsidRPr="0068547E">
          <w:rPr>
            <w:rStyle w:val="Hiperpovezava"/>
            <w:rFonts w:eastAsia="Calibri"/>
            <w:noProof/>
            <w:vertAlign w:val="superscript"/>
          </w:rPr>
          <w:t>3</w:t>
        </w:r>
        <w:r w:rsidR="00464E53" w:rsidRPr="0068547E">
          <w:rPr>
            <w:rStyle w:val="Hiperpovezava"/>
            <w:rFonts w:eastAsia="Calibri"/>
            <w:noProof/>
          </w:rPr>
          <w:t>) po letih</w:t>
        </w:r>
        <w:r w:rsidR="00464E53">
          <w:rPr>
            <w:noProof/>
            <w:webHidden/>
          </w:rPr>
          <w:tab/>
        </w:r>
        <w:r w:rsidR="00464E53">
          <w:rPr>
            <w:noProof/>
            <w:webHidden/>
          </w:rPr>
          <w:fldChar w:fldCharType="begin"/>
        </w:r>
        <w:r w:rsidR="00464E53">
          <w:rPr>
            <w:noProof/>
            <w:webHidden/>
          </w:rPr>
          <w:instrText xml:space="preserve"> PAGEREF _Toc86822777 \h </w:instrText>
        </w:r>
        <w:r w:rsidR="00464E53">
          <w:rPr>
            <w:noProof/>
            <w:webHidden/>
          </w:rPr>
        </w:r>
        <w:r w:rsidR="00464E53">
          <w:rPr>
            <w:noProof/>
            <w:webHidden/>
          </w:rPr>
          <w:fldChar w:fldCharType="separate"/>
        </w:r>
        <w:r w:rsidR="0088117A">
          <w:rPr>
            <w:noProof/>
            <w:webHidden/>
          </w:rPr>
          <w:t>151</w:t>
        </w:r>
        <w:r w:rsidR="00464E53">
          <w:rPr>
            <w:noProof/>
            <w:webHidden/>
          </w:rPr>
          <w:fldChar w:fldCharType="end"/>
        </w:r>
      </w:hyperlink>
    </w:p>
    <w:p w14:paraId="5869A8F3" w14:textId="609390FF"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8" w:history="1">
        <w:r w:rsidR="00464E53" w:rsidRPr="0068547E">
          <w:rPr>
            <w:rStyle w:val="Hiperpovezava"/>
            <w:rFonts w:eastAsia="Calibri"/>
            <w:noProof/>
          </w:rPr>
          <w:t>Slika 107:</w:t>
        </w:r>
        <w:r w:rsidR="00464E53" w:rsidRPr="0068547E">
          <w:rPr>
            <w:rStyle w:val="Hiperpovezava"/>
            <w:rFonts w:eastAsia="Calibri"/>
            <w:i/>
            <w:noProof/>
          </w:rPr>
          <w:t xml:space="preserve"> </w:t>
        </w:r>
        <w:r w:rsidR="00464E53" w:rsidRPr="0068547E">
          <w:rPr>
            <w:rStyle w:val="Hiperpovezava"/>
            <w:rFonts w:eastAsia="Calibri"/>
            <w:noProof/>
          </w:rPr>
          <w:t>Nihanje cen hlodovine po letih</w:t>
        </w:r>
        <w:r w:rsidR="00464E53">
          <w:rPr>
            <w:noProof/>
            <w:webHidden/>
          </w:rPr>
          <w:tab/>
        </w:r>
        <w:r w:rsidR="00464E53">
          <w:rPr>
            <w:noProof/>
            <w:webHidden/>
          </w:rPr>
          <w:fldChar w:fldCharType="begin"/>
        </w:r>
        <w:r w:rsidR="00464E53">
          <w:rPr>
            <w:noProof/>
            <w:webHidden/>
          </w:rPr>
          <w:instrText xml:space="preserve"> PAGEREF _Toc86822778 \h </w:instrText>
        </w:r>
        <w:r w:rsidR="00464E53">
          <w:rPr>
            <w:noProof/>
            <w:webHidden/>
          </w:rPr>
        </w:r>
        <w:r w:rsidR="00464E53">
          <w:rPr>
            <w:noProof/>
            <w:webHidden/>
          </w:rPr>
          <w:fldChar w:fldCharType="separate"/>
        </w:r>
        <w:r w:rsidR="0088117A">
          <w:rPr>
            <w:noProof/>
            <w:webHidden/>
          </w:rPr>
          <w:t>153</w:t>
        </w:r>
        <w:r w:rsidR="00464E53">
          <w:rPr>
            <w:noProof/>
            <w:webHidden/>
          </w:rPr>
          <w:fldChar w:fldCharType="end"/>
        </w:r>
      </w:hyperlink>
    </w:p>
    <w:p w14:paraId="688361D8" w14:textId="4ABE65E0"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79" w:history="1">
        <w:r w:rsidR="00464E53" w:rsidRPr="0068547E">
          <w:rPr>
            <w:rStyle w:val="Hiperpovezava"/>
            <w:rFonts w:eastAsia="Calibri"/>
            <w:noProof/>
          </w:rPr>
          <w:t>Slika 108:</w:t>
        </w:r>
        <w:r w:rsidR="00464E53" w:rsidRPr="0068547E">
          <w:rPr>
            <w:rStyle w:val="Hiperpovezava"/>
            <w:rFonts w:eastAsia="Calibri"/>
            <w:i/>
            <w:noProof/>
          </w:rPr>
          <w:t xml:space="preserve"> </w:t>
        </w:r>
        <w:r w:rsidR="00464E53" w:rsidRPr="0068547E">
          <w:rPr>
            <w:rStyle w:val="Hiperpovezava"/>
            <w:rFonts w:eastAsia="Calibri"/>
            <w:noProof/>
          </w:rPr>
          <w:t>Nihanje cen sečnje in spravila po letih</w:t>
        </w:r>
        <w:r w:rsidR="00464E53">
          <w:rPr>
            <w:noProof/>
            <w:webHidden/>
          </w:rPr>
          <w:tab/>
        </w:r>
        <w:r w:rsidR="00464E53">
          <w:rPr>
            <w:noProof/>
            <w:webHidden/>
          </w:rPr>
          <w:fldChar w:fldCharType="begin"/>
        </w:r>
        <w:r w:rsidR="00464E53">
          <w:rPr>
            <w:noProof/>
            <w:webHidden/>
          </w:rPr>
          <w:instrText xml:space="preserve"> PAGEREF _Toc86822779 \h </w:instrText>
        </w:r>
        <w:r w:rsidR="00464E53">
          <w:rPr>
            <w:noProof/>
            <w:webHidden/>
          </w:rPr>
        </w:r>
        <w:r w:rsidR="00464E53">
          <w:rPr>
            <w:noProof/>
            <w:webHidden/>
          </w:rPr>
          <w:fldChar w:fldCharType="separate"/>
        </w:r>
        <w:r w:rsidR="0088117A">
          <w:rPr>
            <w:noProof/>
            <w:webHidden/>
          </w:rPr>
          <w:t>154</w:t>
        </w:r>
        <w:r w:rsidR="00464E53">
          <w:rPr>
            <w:noProof/>
            <w:webHidden/>
          </w:rPr>
          <w:fldChar w:fldCharType="end"/>
        </w:r>
      </w:hyperlink>
    </w:p>
    <w:p w14:paraId="134D8712" w14:textId="7824AFB2"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80" w:history="1">
        <w:r w:rsidR="00464E53" w:rsidRPr="0068547E">
          <w:rPr>
            <w:rStyle w:val="Hiperpovezava"/>
            <w:rFonts w:eastAsia="Calibri"/>
            <w:noProof/>
          </w:rPr>
          <w:t>Slika 109: Količina poseka iglavcev napadenih z insekti v obdobju 1994 – 2018 (vir: ZGS, obdelava GIS-GTE)</w:t>
        </w:r>
        <w:r w:rsidR="00464E53">
          <w:rPr>
            <w:noProof/>
            <w:webHidden/>
          </w:rPr>
          <w:tab/>
        </w:r>
        <w:r w:rsidR="00464E53">
          <w:rPr>
            <w:noProof/>
            <w:webHidden/>
          </w:rPr>
          <w:fldChar w:fldCharType="begin"/>
        </w:r>
        <w:r w:rsidR="00464E53">
          <w:rPr>
            <w:noProof/>
            <w:webHidden/>
          </w:rPr>
          <w:instrText xml:space="preserve"> PAGEREF _Toc86822780 \h </w:instrText>
        </w:r>
        <w:r w:rsidR="00464E53">
          <w:rPr>
            <w:noProof/>
            <w:webHidden/>
          </w:rPr>
        </w:r>
        <w:r w:rsidR="00464E53">
          <w:rPr>
            <w:noProof/>
            <w:webHidden/>
          </w:rPr>
          <w:fldChar w:fldCharType="separate"/>
        </w:r>
        <w:r w:rsidR="0088117A">
          <w:rPr>
            <w:noProof/>
            <w:webHidden/>
          </w:rPr>
          <w:t>155</w:t>
        </w:r>
        <w:r w:rsidR="00464E53">
          <w:rPr>
            <w:noProof/>
            <w:webHidden/>
          </w:rPr>
          <w:fldChar w:fldCharType="end"/>
        </w:r>
      </w:hyperlink>
    </w:p>
    <w:p w14:paraId="20436AB9" w14:textId="550C3165"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81" w:history="1">
        <w:r w:rsidR="00464E53" w:rsidRPr="0068547E">
          <w:rPr>
            <w:rStyle w:val="Hiperpovezava"/>
            <w:rFonts w:eastAsia="Calibri"/>
            <w:noProof/>
          </w:rPr>
          <w:t>Slika 110: Penetracija fiksnega širokopasovnega dostopa</w:t>
        </w:r>
        <w:r w:rsidR="00464E53">
          <w:rPr>
            <w:noProof/>
            <w:webHidden/>
          </w:rPr>
          <w:tab/>
        </w:r>
        <w:r w:rsidR="00464E53">
          <w:rPr>
            <w:noProof/>
            <w:webHidden/>
          </w:rPr>
          <w:fldChar w:fldCharType="begin"/>
        </w:r>
        <w:r w:rsidR="00464E53">
          <w:rPr>
            <w:noProof/>
            <w:webHidden/>
          </w:rPr>
          <w:instrText xml:space="preserve"> PAGEREF _Toc86822781 \h </w:instrText>
        </w:r>
        <w:r w:rsidR="00464E53">
          <w:rPr>
            <w:noProof/>
            <w:webHidden/>
          </w:rPr>
        </w:r>
        <w:r w:rsidR="00464E53">
          <w:rPr>
            <w:noProof/>
            <w:webHidden/>
          </w:rPr>
          <w:fldChar w:fldCharType="separate"/>
        </w:r>
        <w:r w:rsidR="0088117A">
          <w:rPr>
            <w:noProof/>
            <w:webHidden/>
          </w:rPr>
          <w:t>160</w:t>
        </w:r>
        <w:r w:rsidR="00464E53">
          <w:rPr>
            <w:noProof/>
            <w:webHidden/>
          </w:rPr>
          <w:fldChar w:fldCharType="end"/>
        </w:r>
      </w:hyperlink>
    </w:p>
    <w:p w14:paraId="556202FD" w14:textId="72BDC934" w:rsidR="00464E53" w:rsidRDefault="00701492">
      <w:pPr>
        <w:pStyle w:val="Kazaloslik"/>
        <w:tabs>
          <w:tab w:val="right" w:leader="dot" w:pos="9062"/>
        </w:tabs>
        <w:rPr>
          <w:rFonts w:asciiTheme="minorHAnsi" w:eastAsiaTheme="minorEastAsia" w:hAnsiTheme="minorHAnsi" w:cstheme="minorBidi"/>
          <w:noProof/>
          <w:szCs w:val="22"/>
          <w:lang w:eastAsia="sl-SI"/>
        </w:rPr>
      </w:pPr>
      <w:hyperlink w:anchor="_Toc86822782" w:history="1">
        <w:r w:rsidR="00464E53" w:rsidRPr="0068547E">
          <w:rPr>
            <w:rStyle w:val="Hiperpovezava"/>
            <w:rFonts w:eastAsia="Calibri"/>
            <w:noProof/>
          </w:rPr>
          <w:t>Slika 111:</w:t>
        </w:r>
        <w:r w:rsidR="00464E53" w:rsidRPr="0068547E">
          <w:rPr>
            <w:rStyle w:val="Hiperpovezava"/>
            <w:rFonts w:eastAsia="Calibri"/>
            <w:i/>
            <w:noProof/>
          </w:rPr>
          <w:t xml:space="preserve"> </w:t>
        </w:r>
        <w:r w:rsidR="00464E53" w:rsidRPr="0068547E">
          <w:rPr>
            <w:rStyle w:val="Hiperpovezava"/>
            <w:rFonts w:eastAsia="Calibri"/>
            <w:noProof/>
          </w:rPr>
          <w:t>Hitrost prevzemanja novih tehnologij v kmetijstvu</w:t>
        </w:r>
        <w:r w:rsidR="00464E53">
          <w:rPr>
            <w:noProof/>
            <w:webHidden/>
          </w:rPr>
          <w:tab/>
        </w:r>
        <w:r w:rsidR="00464E53">
          <w:rPr>
            <w:noProof/>
            <w:webHidden/>
          </w:rPr>
          <w:fldChar w:fldCharType="begin"/>
        </w:r>
        <w:r w:rsidR="00464E53">
          <w:rPr>
            <w:noProof/>
            <w:webHidden/>
          </w:rPr>
          <w:instrText xml:space="preserve"> PAGEREF _Toc86822782 \h </w:instrText>
        </w:r>
        <w:r w:rsidR="00464E53">
          <w:rPr>
            <w:noProof/>
            <w:webHidden/>
          </w:rPr>
        </w:r>
        <w:r w:rsidR="00464E53">
          <w:rPr>
            <w:noProof/>
            <w:webHidden/>
          </w:rPr>
          <w:fldChar w:fldCharType="separate"/>
        </w:r>
        <w:r w:rsidR="0088117A">
          <w:rPr>
            <w:noProof/>
            <w:webHidden/>
          </w:rPr>
          <w:t>161</w:t>
        </w:r>
        <w:r w:rsidR="00464E53">
          <w:rPr>
            <w:noProof/>
            <w:webHidden/>
          </w:rPr>
          <w:fldChar w:fldCharType="end"/>
        </w:r>
      </w:hyperlink>
    </w:p>
    <w:p w14:paraId="41671154" w14:textId="7CF10C7A" w:rsidR="00EA1952" w:rsidRDefault="00EA1952" w:rsidP="009F3567">
      <w:pPr>
        <w:spacing w:before="0" w:line="276" w:lineRule="auto"/>
        <w:ind w:left="709" w:right="567" w:hanging="709"/>
        <w:jc w:val="left"/>
        <w:rPr>
          <w:sz w:val="20"/>
          <w:szCs w:val="20"/>
          <w:lang w:eastAsia="en-US"/>
        </w:rPr>
      </w:pPr>
      <w:r w:rsidRPr="0047652B">
        <w:rPr>
          <w:sz w:val="20"/>
          <w:szCs w:val="20"/>
          <w:lang w:eastAsia="en-US"/>
        </w:rPr>
        <w:fldChar w:fldCharType="end"/>
      </w:r>
    </w:p>
    <w:p w14:paraId="2A108C93" w14:textId="77777777" w:rsidR="00EA1952" w:rsidRPr="0047652B" w:rsidRDefault="00EA1952" w:rsidP="009F3567">
      <w:pPr>
        <w:spacing w:before="0" w:line="276" w:lineRule="auto"/>
        <w:jc w:val="left"/>
        <w:rPr>
          <w:sz w:val="20"/>
          <w:szCs w:val="20"/>
          <w:lang w:eastAsia="en-US"/>
        </w:rPr>
      </w:pPr>
    </w:p>
    <w:p w14:paraId="57ED9AB3" w14:textId="77777777" w:rsidR="00E42B73" w:rsidRPr="0047652B" w:rsidRDefault="00E42B73" w:rsidP="009F3567">
      <w:pPr>
        <w:spacing w:before="0" w:line="276" w:lineRule="auto"/>
        <w:jc w:val="left"/>
        <w:rPr>
          <w:sz w:val="20"/>
          <w:szCs w:val="20"/>
          <w:lang w:eastAsia="en-US"/>
        </w:rPr>
      </w:pPr>
    </w:p>
    <w:p w14:paraId="5154A0D0" w14:textId="77777777" w:rsidR="00E42B73" w:rsidRPr="0047652B" w:rsidRDefault="00E42B73" w:rsidP="009F3567">
      <w:pPr>
        <w:spacing w:before="0" w:line="276" w:lineRule="auto"/>
        <w:jc w:val="left"/>
        <w:rPr>
          <w:sz w:val="20"/>
          <w:szCs w:val="20"/>
          <w:lang w:eastAsia="en-US"/>
        </w:rPr>
      </w:pPr>
    </w:p>
    <w:p w14:paraId="36AA38F5" w14:textId="77777777" w:rsidR="00E42B73" w:rsidRPr="0047652B" w:rsidRDefault="00E42B73" w:rsidP="009F3567">
      <w:pPr>
        <w:spacing w:before="0" w:line="276" w:lineRule="auto"/>
        <w:jc w:val="left"/>
        <w:rPr>
          <w:sz w:val="20"/>
          <w:szCs w:val="20"/>
          <w:lang w:eastAsia="en-US"/>
        </w:rPr>
      </w:pPr>
    </w:p>
    <w:p w14:paraId="3B57F056" w14:textId="77777777" w:rsidR="00A45F69" w:rsidRPr="0047652B" w:rsidRDefault="00A45F69" w:rsidP="009F3567">
      <w:pPr>
        <w:spacing w:before="0" w:line="276" w:lineRule="auto"/>
        <w:jc w:val="left"/>
        <w:rPr>
          <w:b/>
          <w:sz w:val="20"/>
          <w:szCs w:val="20"/>
        </w:rPr>
      </w:pPr>
      <w:r w:rsidRPr="0047652B">
        <w:rPr>
          <w:b/>
          <w:sz w:val="20"/>
          <w:szCs w:val="20"/>
        </w:rPr>
        <w:br w:type="page"/>
      </w:r>
    </w:p>
    <w:p w14:paraId="37ABEB35" w14:textId="77777777" w:rsidR="00EA3ECA" w:rsidRDefault="00EA3ECA" w:rsidP="005B2A49">
      <w:pPr>
        <w:pStyle w:val="Naslov1"/>
      </w:pPr>
      <w:bookmarkStart w:id="1" w:name="_Toc86822531"/>
      <w:r>
        <w:lastRenderedPageBreak/>
        <w:t>SEZNAM UPORABLJENIH KRATIC IN SIMBOLOV</w:t>
      </w:r>
      <w:bookmarkEnd w:id="1"/>
    </w:p>
    <w:p w14:paraId="596B3388" w14:textId="77777777" w:rsidR="00EA3ECA" w:rsidRDefault="00EA3ECA">
      <w:pPr>
        <w:spacing w:before="0" w:after="200" w:line="276" w:lineRule="auto"/>
        <w:jc w:val="left"/>
        <w:rPr>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19"/>
        <w:gridCol w:w="10"/>
      </w:tblGrid>
      <w:tr w:rsidR="00ED6A04" w:rsidRPr="009C1DF4" w14:paraId="4AD185CB" w14:textId="77777777" w:rsidTr="00ED6A04">
        <w:tc>
          <w:tcPr>
            <w:tcW w:w="1843" w:type="dxa"/>
          </w:tcPr>
          <w:p w14:paraId="6691DAE2"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BDV</w:t>
            </w:r>
          </w:p>
        </w:tc>
        <w:tc>
          <w:tcPr>
            <w:tcW w:w="7219" w:type="dxa"/>
            <w:gridSpan w:val="2"/>
          </w:tcPr>
          <w:p w14:paraId="048704D8" w14:textId="77777777" w:rsidR="00ED6A04" w:rsidRDefault="00ED6A04" w:rsidP="00ED6A04">
            <w:pPr>
              <w:spacing w:before="0" w:line="360" w:lineRule="auto"/>
              <w:jc w:val="left"/>
              <w:rPr>
                <w:szCs w:val="20"/>
              </w:rPr>
            </w:pPr>
            <w:r>
              <w:rPr>
                <w:szCs w:val="20"/>
              </w:rPr>
              <w:t>bruto dodana vrednost</w:t>
            </w:r>
          </w:p>
        </w:tc>
      </w:tr>
      <w:tr w:rsidR="00ED6A04" w:rsidRPr="009C1DF4" w14:paraId="08CFCE7F" w14:textId="77777777" w:rsidTr="00ED6A04">
        <w:tc>
          <w:tcPr>
            <w:tcW w:w="1843" w:type="dxa"/>
          </w:tcPr>
          <w:p w14:paraId="252035FF"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EK</w:t>
            </w:r>
          </w:p>
        </w:tc>
        <w:tc>
          <w:tcPr>
            <w:tcW w:w="7219" w:type="dxa"/>
            <w:gridSpan w:val="2"/>
          </w:tcPr>
          <w:p w14:paraId="5FC44D21" w14:textId="77777777" w:rsidR="00ED6A04" w:rsidRDefault="00ED6A04" w:rsidP="00ED6A04">
            <w:pPr>
              <w:spacing w:before="0" w:line="360" w:lineRule="auto"/>
              <w:jc w:val="left"/>
              <w:rPr>
                <w:szCs w:val="20"/>
              </w:rPr>
            </w:pPr>
            <w:r>
              <w:rPr>
                <w:szCs w:val="20"/>
              </w:rPr>
              <w:t>Evropska komisija</w:t>
            </w:r>
          </w:p>
        </w:tc>
      </w:tr>
      <w:tr w:rsidR="00AC648D" w:rsidRPr="009C1DF4" w14:paraId="05C9F97A" w14:textId="77777777" w:rsidTr="00ED6A04">
        <w:trPr>
          <w:gridAfter w:val="1"/>
          <w:wAfter w:w="10" w:type="dxa"/>
        </w:trPr>
        <w:tc>
          <w:tcPr>
            <w:tcW w:w="1843" w:type="dxa"/>
          </w:tcPr>
          <w:p w14:paraId="62FC35E8" w14:textId="396C1609" w:rsidR="00AC648D" w:rsidRDefault="00AC648D" w:rsidP="002D497C">
            <w:pPr>
              <w:spacing w:before="0" w:line="360" w:lineRule="auto"/>
              <w:jc w:val="left"/>
              <w:rPr>
                <w:b/>
                <w:color w:val="1F497D" w:themeColor="text2"/>
                <w:szCs w:val="20"/>
              </w:rPr>
            </w:pPr>
            <w:r>
              <w:rPr>
                <w:b/>
                <w:color w:val="1F497D" w:themeColor="text2"/>
                <w:szCs w:val="20"/>
              </w:rPr>
              <w:t>EUR</w:t>
            </w:r>
          </w:p>
        </w:tc>
        <w:tc>
          <w:tcPr>
            <w:tcW w:w="7219" w:type="dxa"/>
          </w:tcPr>
          <w:p w14:paraId="00ACF1EE" w14:textId="3C38D4CB" w:rsidR="00AC648D" w:rsidRDefault="00AC648D" w:rsidP="002D497C">
            <w:pPr>
              <w:spacing w:before="0" w:line="360" w:lineRule="auto"/>
              <w:jc w:val="left"/>
            </w:pPr>
            <w:r>
              <w:t>evr</w:t>
            </w:r>
            <w:r w:rsidR="00687C6E">
              <w:t>o</w:t>
            </w:r>
          </w:p>
        </w:tc>
      </w:tr>
      <w:tr w:rsidR="00782EB2" w:rsidRPr="009C1DF4" w14:paraId="69A913B5" w14:textId="77777777" w:rsidTr="00ED6A04">
        <w:trPr>
          <w:gridAfter w:val="1"/>
          <w:wAfter w:w="10" w:type="dxa"/>
        </w:trPr>
        <w:tc>
          <w:tcPr>
            <w:tcW w:w="1843" w:type="dxa"/>
          </w:tcPr>
          <w:p w14:paraId="646E8206" w14:textId="45CC9CB7" w:rsidR="00782EB2" w:rsidRPr="00ED6A04" w:rsidRDefault="00782EB2" w:rsidP="002D497C">
            <w:pPr>
              <w:spacing w:before="0" w:line="360" w:lineRule="auto"/>
              <w:jc w:val="left"/>
              <w:rPr>
                <w:b/>
                <w:color w:val="1F497D" w:themeColor="text2"/>
                <w:szCs w:val="20"/>
              </w:rPr>
            </w:pPr>
            <w:r>
              <w:rPr>
                <w:b/>
                <w:color w:val="1F497D" w:themeColor="text2"/>
                <w:szCs w:val="20"/>
              </w:rPr>
              <w:t>FADN</w:t>
            </w:r>
          </w:p>
        </w:tc>
        <w:tc>
          <w:tcPr>
            <w:tcW w:w="7219" w:type="dxa"/>
          </w:tcPr>
          <w:p w14:paraId="7E7F0328" w14:textId="63F67387" w:rsidR="00782EB2" w:rsidRDefault="00AC648D" w:rsidP="00E86ECB">
            <w:pPr>
              <w:autoSpaceDE w:val="0"/>
              <w:autoSpaceDN w:val="0"/>
              <w:adjustRightInd w:val="0"/>
              <w:spacing w:before="0" w:line="360" w:lineRule="auto"/>
              <w:jc w:val="left"/>
            </w:pPr>
            <w:r w:rsidRPr="00E86ECB">
              <w:rPr>
                <w:rFonts w:ascii="RobotoCondensed-Regular" w:eastAsiaTheme="minorHAnsi" w:hAnsi="RobotoCondensed-Regular" w:cs="RobotoCondensed-Regular"/>
                <w:sz w:val="19"/>
                <w:szCs w:val="19"/>
                <w:lang w:eastAsia="en-US"/>
              </w:rPr>
              <w:t>ang. “Farm Accountancy Data Network” o</w:t>
            </w:r>
            <w:r w:rsidRPr="00181348">
              <w:rPr>
                <w:rFonts w:ascii="RobotoCondensed-Regular" w:eastAsiaTheme="minorHAnsi" w:hAnsi="RobotoCondensed-Regular" w:cs="RobotoCondensed-Regular"/>
                <w:sz w:val="19"/>
                <w:szCs w:val="19"/>
                <w:lang w:eastAsia="en-US"/>
              </w:rPr>
              <w:t xml:space="preserve">z. </w:t>
            </w:r>
            <w:r w:rsidRPr="00167408">
              <w:rPr>
                <w:rFonts w:ascii="RobotoCondensed-Regular" w:eastAsiaTheme="minorHAnsi" w:hAnsi="RobotoCondensed-Regular" w:cs="RobotoCondensed-Regular"/>
                <w:sz w:val="19"/>
                <w:szCs w:val="19"/>
                <w:lang w:eastAsia="en-US"/>
              </w:rPr>
              <w:t>mrež</w:t>
            </w:r>
            <w:r w:rsidRPr="006E2ECB">
              <w:rPr>
                <w:rFonts w:ascii="RobotoCondensed-Regular" w:eastAsiaTheme="minorHAnsi" w:hAnsi="RobotoCondensed-Regular" w:cs="RobotoCondensed-Regular"/>
                <w:sz w:val="19"/>
                <w:szCs w:val="19"/>
                <w:lang w:eastAsia="en-US"/>
              </w:rPr>
              <w:t>a računovodskih podatkov o poslovanju kmetijskih gospodarstev</w:t>
            </w:r>
          </w:p>
        </w:tc>
      </w:tr>
      <w:tr w:rsidR="009C1DF4" w:rsidRPr="009C1DF4" w14:paraId="3F7F479E" w14:textId="77777777" w:rsidTr="00ED6A04">
        <w:trPr>
          <w:gridAfter w:val="1"/>
          <w:wAfter w:w="10" w:type="dxa"/>
        </w:trPr>
        <w:tc>
          <w:tcPr>
            <w:tcW w:w="1843" w:type="dxa"/>
          </w:tcPr>
          <w:p w14:paraId="00A4DC1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GFCF</w:t>
            </w:r>
          </w:p>
        </w:tc>
        <w:tc>
          <w:tcPr>
            <w:tcW w:w="7219" w:type="dxa"/>
          </w:tcPr>
          <w:p w14:paraId="4F9C6FF1" w14:textId="6C75B07A" w:rsidR="009C1DF4" w:rsidRPr="009F3567" w:rsidRDefault="00687C6E" w:rsidP="002D497C">
            <w:pPr>
              <w:spacing w:before="0" w:line="360" w:lineRule="auto"/>
              <w:jc w:val="left"/>
              <w:rPr>
                <w:szCs w:val="20"/>
              </w:rPr>
            </w:pPr>
            <w:r>
              <w:t xml:space="preserve">ang. </w:t>
            </w:r>
            <w:r w:rsidR="002D497C">
              <w:t>“</w:t>
            </w:r>
            <w:r w:rsidR="009C1DF4" w:rsidRPr="009C1DF4">
              <w:t>gross fixed capital formation</w:t>
            </w:r>
            <w:r w:rsidR="002D497C">
              <w:t>”</w:t>
            </w:r>
            <w:r w:rsidR="009C1DF4" w:rsidRPr="009C1DF4">
              <w:t xml:space="preserve"> oz. </w:t>
            </w:r>
            <w:r w:rsidR="009C1DF4" w:rsidRPr="009C1DF4">
              <w:rPr>
                <w:rFonts w:eastAsiaTheme="minorHAnsi"/>
                <w:szCs w:val="22"/>
                <w:lang w:eastAsia="en-US"/>
              </w:rPr>
              <w:t>bruto investicije v osnovna sredstva</w:t>
            </w:r>
          </w:p>
        </w:tc>
      </w:tr>
      <w:tr w:rsidR="00ED0AAA" w:rsidRPr="009C1DF4" w14:paraId="37EFCB05" w14:textId="77777777" w:rsidTr="00ED6A04">
        <w:trPr>
          <w:gridAfter w:val="1"/>
          <w:wAfter w:w="10" w:type="dxa"/>
        </w:trPr>
        <w:tc>
          <w:tcPr>
            <w:tcW w:w="1843" w:type="dxa"/>
          </w:tcPr>
          <w:p w14:paraId="5133E1B0" w14:textId="32442AC7" w:rsidR="00ED0AAA" w:rsidRPr="00ED6A04" w:rsidRDefault="00ED0AAA" w:rsidP="002D497C">
            <w:pPr>
              <w:spacing w:before="0" w:line="360" w:lineRule="auto"/>
              <w:jc w:val="left"/>
              <w:rPr>
                <w:b/>
                <w:color w:val="1F497D" w:themeColor="text2"/>
                <w:szCs w:val="20"/>
              </w:rPr>
            </w:pPr>
            <w:r>
              <w:rPr>
                <w:b/>
                <w:color w:val="1F497D" w:themeColor="text2"/>
                <w:szCs w:val="20"/>
              </w:rPr>
              <w:t>GVŽ</w:t>
            </w:r>
          </w:p>
        </w:tc>
        <w:tc>
          <w:tcPr>
            <w:tcW w:w="7219" w:type="dxa"/>
          </w:tcPr>
          <w:p w14:paraId="4E65F188" w14:textId="0B04303D" w:rsidR="00ED0AAA" w:rsidRPr="009F3567" w:rsidRDefault="00ED0AAA" w:rsidP="002D497C">
            <w:pPr>
              <w:spacing w:before="0" w:line="360" w:lineRule="auto"/>
              <w:jc w:val="left"/>
              <w:rPr>
                <w:szCs w:val="20"/>
              </w:rPr>
            </w:pPr>
            <w:r>
              <w:rPr>
                <w:szCs w:val="20"/>
              </w:rPr>
              <w:t>glav</w:t>
            </w:r>
            <w:r w:rsidR="00AC648D">
              <w:rPr>
                <w:szCs w:val="20"/>
              </w:rPr>
              <w:t>a</w:t>
            </w:r>
            <w:r>
              <w:rPr>
                <w:szCs w:val="20"/>
              </w:rPr>
              <w:t xml:space="preserve"> velike živine</w:t>
            </w:r>
          </w:p>
        </w:tc>
      </w:tr>
      <w:tr w:rsidR="009C1DF4" w:rsidRPr="009C1DF4" w14:paraId="74418152" w14:textId="77777777" w:rsidTr="00ED6A04">
        <w:trPr>
          <w:gridAfter w:val="1"/>
          <w:wAfter w:w="10" w:type="dxa"/>
        </w:trPr>
        <w:tc>
          <w:tcPr>
            <w:tcW w:w="1843" w:type="dxa"/>
          </w:tcPr>
          <w:p w14:paraId="10EB6041" w14:textId="653D277F" w:rsidR="009C1DF4" w:rsidRPr="00ED6A04" w:rsidRDefault="00755944" w:rsidP="002D497C">
            <w:pPr>
              <w:spacing w:before="0" w:line="360" w:lineRule="auto"/>
              <w:jc w:val="left"/>
              <w:rPr>
                <w:b/>
                <w:color w:val="1F497D" w:themeColor="text2"/>
                <w:szCs w:val="20"/>
                <w:lang w:val="sl-SI"/>
              </w:rPr>
            </w:pPr>
            <w:r w:rsidRPr="00ED6A04">
              <w:rPr>
                <w:b/>
                <w:color w:val="1F497D" w:themeColor="text2"/>
                <w:szCs w:val="20"/>
                <w:lang w:val="sl-SI"/>
              </w:rPr>
              <w:t>ha</w:t>
            </w:r>
          </w:p>
        </w:tc>
        <w:tc>
          <w:tcPr>
            <w:tcW w:w="7219" w:type="dxa"/>
          </w:tcPr>
          <w:p w14:paraId="30D847A6" w14:textId="77777777" w:rsidR="009C1DF4" w:rsidRPr="009F3567" w:rsidRDefault="009C1DF4" w:rsidP="002D497C">
            <w:pPr>
              <w:spacing w:before="0" w:line="360" w:lineRule="auto"/>
              <w:jc w:val="left"/>
              <w:rPr>
                <w:szCs w:val="20"/>
              </w:rPr>
            </w:pPr>
            <w:r w:rsidRPr="009F3567">
              <w:rPr>
                <w:szCs w:val="20"/>
              </w:rPr>
              <w:t>hektar</w:t>
            </w:r>
          </w:p>
        </w:tc>
      </w:tr>
      <w:tr w:rsidR="00755944" w:rsidRPr="009C1DF4" w14:paraId="278906A3" w14:textId="77777777" w:rsidTr="00ED6A04">
        <w:trPr>
          <w:gridAfter w:val="1"/>
          <w:wAfter w:w="10" w:type="dxa"/>
        </w:trPr>
        <w:tc>
          <w:tcPr>
            <w:tcW w:w="1843" w:type="dxa"/>
          </w:tcPr>
          <w:p w14:paraId="03DB3CA4" w14:textId="0DB242E2" w:rsidR="00755944" w:rsidRPr="00ED6A04" w:rsidRDefault="00755944" w:rsidP="002D497C">
            <w:pPr>
              <w:spacing w:before="0" w:line="360" w:lineRule="auto"/>
              <w:jc w:val="left"/>
              <w:rPr>
                <w:b/>
                <w:color w:val="1F497D" w:themeColor="text2"/>
                <w:szCs w:val="20"/>
              </w:rPr>
            </w:pPr>
            <w:r>
              <w:rPr>
                <w:b/>
                <w:color w:val="1F497D" w:themeColor="text2"/>
                <w:szCs w:val="20"/>
              </w:rPr>
              <w:t>kg</w:t>
            </w:r>
          </w:p>
        </w:tc>
        <w:tc>
          <w:tcPr>
            <w:tcW w:w="7219" w:type="dxa"/>
          </w:tcPr>
          <w:p w14:paraId="0CB21980" w14:textId="2787AFEF" w:rsidR="00755944" w:rsidRPr="00157D02" w:rsidRDefault="00755944" w:rsidP="002D497C">
            <w:pPr>
              <w:spacing w:before="0" w:line="360" w:lineRule="auto"/>
              <w:jc w:val="left"/>
              <w:rPr>
                <w:szCs w:val="20"/>
              </w:rPr>
            </w:pPr>
            <w:r>
              <w:rPr>
                <w:szCs w:val="20"/>
              </w:rPr>
              <w:t>kilogram</w:t>
            </w:r>
          </w:p>
        </w:tc>
      </w:tr>
      <w:tr w:rsidR="003C45CB" w:rsidRPr="009C1DF4" w14:paraId="66B55A0D" w14:textId="77777777" w:rsidTr="00ED6A04">
        <w:trPr>
          <w:gridAfter w:val="1"/>
          <w:wAfter w:w="10" w:type="dxa"/>
        </w:trPr>
        <w:tc>
          <w:tcPr>
            <w:tcW w:w="1843" w:type="dxa"/>
          </w:tcPr>
          <w:p w14:paraId="0593E4C4" w14:textId="2BAD2B45" w:rsidR="003C45CB" w:rsidRPr="00ED6A04" w:rsidRDefault="003C45CB" w:rsidP="002D497C">
            <w:pPr>
              <w:spacing w:before="0" w:line="360" w:lineRule="auto"/>
              <w:jc w:val="left"/>
              <w:rPr>
                <w:b/>
                <w:color w:val="1F497D" w:themeColor="text2"/>
                <w:szCs w:val="20"/>
              </w:rPr>
            </w:pPr>
            <w:r>
              <w:rPr>
                <w:b/>
                <w:color w:val="1F497D" w:themeColor="text2"/>
                <w:szCs w:val="20"/>
              </w:rPr>
              <w:t>IKT</w:t>
            </w:r>
          </w:p>
        </w:tc>
        <w:tc>
          <w:tcPr>
            <w:tcW w:w="7219" w:type="dxa"/>
          </w:tcPr>
          <w:p w14:paraId="15BBF511" w14:textId="08221E23" w:rsidR="003C45CB" w:rsidRPr="00157D02" w:rsidRDefault="003C45CB" w:rsidP="002D497C">
            <w:pPr>
              <w:spacing w:before="0" w:line="360" w:lineRule="auto"/>
              <w:jc w:val="left"/>
              <w:rPr>
                <w:szCs w:val="20"/>
              </w:rPr>
            </w:pPr>
            <w:r>
              <w:rPr>
                <w:szCs w:val="20"/>
              </w:rPr>
              <w:t>informacijsko-komunikacijska tehnologija</w:t>
            </w:r>
          </w:p>
        </w:tc>
      </w:tr>
      <w:tr w:rsidR="009C1DF4" w:rsidRPr="009C1DF4" w14:paraId="1CC7A2DB" w14:textId="77777777" w:rsidTr="00ED6A04">
        <w:trPr>
          <w:gridAfter w:val="1"/>
          <w:wAfter w:w="10" w:type="dxa"/>
        </w:trPr>
        <w:tc>
          <w:tcPr>
            <w:tcW w:w="1843" w:type="dxa"/>
          </w:tcPr>
          <w:p w14:paraId="100B14B6"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KMG</w:t>
            </w:r>
          </w:p>
        </w:tc>
        <w:tc>
          <w:tcPr>
            <w:tcW w:w="7219" w:type="dxa"/>
          </w:tcPr>
          <w:p w14:paraId="14264F94" w14:textId="77777777" w:rsidR="009C1DF4" w:rsidRPr="009C1DF4" w:rsidRDefault="009C1DF4" w:rsidP="002D497C">
            <w:pPr>
              <w:spacing w:before="0" w:line="360" w:lineRule="auto"/>
              <w:jc w:val="left"/>
              <w:rPr>
                <w:szCs w:val="20"/>
              </w:rPr>
            </w:pPr>
            <w:r w:rsidRPr="00157D02">
              <w:rPr>
                <w:szCs w:val="20"/>
              </w:rPr>
              <w:t>kmetijsko gospodarstvo</w:t>
            </w:r>
          </w:p>
        </w:tc>
      </w:tr>
      <w:tr w:rsidR="00ED6A04" w:rsidRPr="009C1DF4" w14:paraId="1076519D" w14:textId="77777777" w:rsidTr="00ED6A04">
        <w:tc>
          <w:tcPr>
            <w:tcW w:w="1843" w:type="dxa"/>
          </w:tcPr>
          <w:p w14:paraId="23A36B7C"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KMG-MID</w:t>
            </w:r>
          </w:p>
        </w:tc>
        <w:tc>
          <w:tcPr>
            <w:tcW w:w="7219" w:type="dxa"/>
            <w:gridSpan w:val="2"/>
          </w:tcPr>
          <w:p w14:paraId="4F5F275F" w14:textId="77777777" w:rsidR="00ED6A04" w:rsidRDefault="00ED6A04" w:rsidP="00ED6A04">
            <w:pPr>
              <w:spacing w:before="0" w:line="360" w:lineRule="auto"/>
              <w:jc w:val="left"/>
              <w:rPr>
                <w:szCs w:val="20"/>
              </w:rPr>
            </w:pPr>
            <w:r>
              <w:rPr>
                <w:szCs w:val="20"/>
              </w:rPr>
              <w:t>identifikacijska številka kmetijskega gospodarstva</w:t>
            </w:r>
          </w:p>
        </w:tc>
      </w:tr>
      <w:tr w:rsidR="009C1DF4" w:rsidRPr="009C1DF4" w14:paraId="6C1EA859" w14:textId="77777777" w:rsidTr="00ED6A04">
        <w:trPr>
          <w:gridAfter w:val="1"/>
          <w:wAfter w:w="10" w:type="dxa"/>
        </w:trPr>
        <w:tc>
          <w:tcPr>
            <w:tcW w:w="1843" w:type="dxa"/>
          </w:tcPr>
          <w:p w14:paraId="31BF66F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KZU</w:t>
            </w:r>
          </w:p>
        </w:tc>
        <w:tc>
          <w:tcPr>
            <w:tcW w:w="7219" w:type="dxa"/>
          </w:tcPr>
          <w:p w14:paraId="16DE603C" w14:textId="77777777" w:rsidR="009C1DF4" w:rsidRPr="009F3567" w:rsidRDefault="009C1DF4" w:rsidP="002D497C">
            <w:pPr>
              <w:spacing w:before="0" w:line="360" w:lineRule="auto"/>
              <w:jc w:val="left"/>
              <w:rPr>
                <w:szCs w:val="20"/>
              </w:rPr>
            </w:pPr>
            <w:r>
              <w:rPr>
                <w:szCs w:val="20"/>
              </w:rPr>
              <w:t>kmetijsko zemljišče v uporabi</w:t>
            </w:r>
          </w:p>
        </w:tc>
      </w:tr>
      <w:tr w:rsidR="00782EB2" w:rsidRPr="009C1DF4" w14:paraId="200E3845" w14:textId="77777777" w:rsidTr="00ED6A04">
        <w:trPr>
          <w:gridAfter w:val="1"/>
          <w:wAfter w:w="10" w:type="dxa"/>
        </w:trPr>
        <w:tc>
          <w:tcPr>
            <w:tcW w:w="1843" w:type="dxa"/>
          </w:tcPr>
          <w:p w14:paraId="1E68A55C" w14:textId="160EDB90" w:rsidR="00782EB2" w:rsidRPr="002D497C" w:rsidRDefault="00782EB2" w:rsidP="002D497C">
            <w:pPr>
              <w:spacing w:before="0" w:line="360" w:lineRule="auto"/>
              <w:jc w:val="left"/>
              <w:rPr>
                <w:b/>
                <w:color w:val="1F497D" w:themeColor="text2"/>
                <w:szCs w:val="20"/>
              </w:rPr>
            </w:pPr>
            <w:r>
              <w:rPr>
                <w:b/>
                <w:color w:val="1F497D" w:themeColor="text2"/>
                <w:szCs w:val="20"/>
              </w:rPr>
              <w:t>mio</w:t>
            </w:r>
          </w:p>
        </w:tc>
        <w:tc>
          <w:tcPr>
            <w:tcW w:w="7219" w:type="dxa"/>
          </w:tcPr>
          <w:p w14:paraId="2F9C73AB" w14:textId="1E3E4212" w:rsidR="00782EB2" w:rsidRDefault="00AC648D" w:rsidP="002D497C">
            <w:pPr>
              <w:spacing w:before="0" w:line="360" w:lineRule="auto"/>
              <w:jc w:val="left"/>
              <w:rPr>
                <w:szCs w:val="20"/>
              </w:rPr>
            </w:pPr>
            <w:r>
              <w:rPr>
                <w:szCs w:val="20"/>
              </w:rPr>
              <w:t>milijon</w:t>
            </w:r>
          </w:p>
        </w:tc>
      </w:tr>
      <w:tr w:rsidR="00D53725" w:rsidRPr="009C1DF4" w14:paraId="294CCD18" w14:textId="77777777" w:rsidTr="00ED6A04">
        <w:tc>
          <w:tcPr>
            <w:tcW w:w="1843" w:type="dxa"/>
          </w:tcPr>
          <w:p w14:paraId="02C9ED22" w14:textId="6202D0D5" w:rsidR="00D53725" w:rsidRDefault="00D53725" w:rsidP="002D497C">
            <w:pPr>
              <w:spacing w:before="0" w:line="360" w:lineRule="auto"/>
              <w:jc w:val="left"/>
              <w:rPr>
                <w:b/>
                <w:color w:val="1F497D" w:themeColor="text2"/>
                <w:szCs w:val="20"/>
              </w:rPr>
            </w:pPr>
            <w:r>
              <w:rPr>
                <w:b/>
                <w:color w:val="1F497D" w:themeColor="text2"/>
                <w:szCs w:val="20"/>
              </w:rPr>
              <w:t>mrd</w:t>
            </w:r>
          </w:p>
        </w:tc>
        <w:tc>
          <w:tcPr>
            <w:tcW w:w="7219" w:type="dxa"/>
            <w:gridSpan w:val="2"/>
          </w:tcPr>
          <w:p w14:paraId="179AD0E6" w14:textId="217D7CC6" w:rsidR="00D53725" w:rsidRDefault="00D53725" w:rsidP="002D497C">
            <w:pPr>
              <w:spacing w:before="0" w:line="360" w:lineRule="auto"/>
              <w:jc w:val="left"/>
              <w:rPr>
                <w:szCs w:val="20"/>
              </w:rPr>
            </w:pPr>
            <w:r>
              <w:rPr>
                <w:szCs w:val="20"/>
              </w:rPr>
              <w:t>milijarda</w:t>
            </w:r>
          </w:p>
        </w:tc>
      </w:tr>
      <w:tr w:rsidR="009C1DF4" w:rsidRPr="009C1DF4" w14:paraId="50CD003C" w14:textId="77777777" w:rsidTr="00ED6A04">
        <w:trPr>
          <w:gridAfter w:val="1"/>
          <w:wAfter w:w="10" w:type="dxa"/>
        </w:trPr>
        <w:tc>
          <w:tcPr>
            <w:tcW w:w="1843" w:type="dxa"/>
          </w:tcPr>
          <w:p w14:paraId="6F2D5444" w14:textId="77777777" w:rsidR="009C1DF4" w:rsidRPr="002D497C" w:rsidRDefault="009C1DF4" w:rsidP="002D497C">
            <w:pPr>
              <w:spacing w:before="0" w:line="360" w:lineRule="auto"/>
              <w:jc w:val="left"/>
              <w:rPr>
                <w:b/>
                <w:color w:val="1F497D" w:themeColor="text2"/>
                <w:szCs w:val="20"/>
                <w:lang w:val="sl-SI"/>
              </w:rPr>
            </w:pPr>
            <w:r w:rsidRPr="002D497C">
              <w:rPr>
                <w:b/>
                <w:color w:val="1F497D" w:themeColor="text2"/>
                <w:szCs w:val="20"/>
                <w:lang w:val="sl-SI"/>
              </w:rPr>
              <w:t>OECD</w:t>
            </w:r>
          </w:p>
        </w:tc>
        <w:tc>
          <w:tcPr>
            <w:tcW w:w="7219" w:type="dxa"/>
          </w:tcPr>
          <w:p w14:paraId="3906B14F" w14:textId="77777777" w:rsidR="009C1DF4" w:rsidRPr="009F3567" w:rsidRDefault="009C1DF4" w:rsidP="002D497C">
            <w:pPr>
              <w:spacing w:before="0" w:line="360" w:lineRule="auto"/>
              <w:jc w:val="left"/>
              <w:rPr>
                <w:szCs w:val="20"/>
              </w:rPr>
            </w:pPr>
            <w:r>
              <w:rPr>
                <w:szCs w:val="20"/>
              </w:rPr>
              <w:t>Organizacija za gospodarsko sodelovanje in razvoj</w:t>
            </w:r>
          </w:p>
        </w:tc>
      </w:tr>
      <w:tr w:rsidR="009C1DF4" w:rsidRPr="009C1DF4" w14:paraId="77BB4698" w14:textId="77777777" w:rsidTr="00ED6A04">
        <w:trPr>
          <w:gridAfter w:val="1"/>
          <w:wAfter w:w="10" w:type="dxa"/>
        </w:trPr>
        <w:tc>
          <w:tcPr>
            <w:tcW w:w="1843" w:type="dxa"/>
          </w:tcPr>
          <w:p w14:paraId="638EE426"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OMD</w:t>
            </w:r>
          </w:p>
        </w:tc>
        <w:tc>
          <w:tcPr>
            <w:tcW w:w="7219" w:type="dxa"/>
          </w:tcPr>
          <w:p w14:paraId="7BD36449" w14:textId="77777777" w:rsidR="009C1DF4" w:rsidRPr="009F3567" w:rsidRDefault="009C1DF4" w:rsidP="002D497C">
            <w:pPr>
              <w:spacing w:before="0" w:line="360" w:lineRule="auto"/>
              <w:jc w:val="left"/>
              <w:rPr>
                <w:szCs w:val="20"/>
              </w:rPr>
            </w:pPr>
            <w:r>
              <w:rPr>
                <w:szCs w:val="20"/>
              </w:rPr>
              <w:t>območje z omejenimi možnostmi za kmetijsko dejavnost</w:t>
            </w:r>
          </w:p>
        </w:tc>
      </w:tr>
      <w:tr w:rsidR="00ED0AAA" w:rsidRPr="009C1DF4" w14:paraId="2FC617C2" w14:textId="77777777" w:rsidTr="00ED6A04">
        <w:tc>
          <w:tcPr>
            <w:tcW w:w="1843" w:type="dxa"/>
          </w:tcPr>
          <w:p w14:paraId="73EFE673" w14:textId="60A91DF5" w:rsidR="00ED0AAA" w:rsidRPr="00ED6A04" w:rsidRDefault="00ED0AAA" w:rsidP="00ED6A04">
            <w:pPr>
              <w:spacing w:before="0" w:line="360" w:lineRule="auto"/>
              <w:jc w:val="left"/>
              <w:rPr>
                <w:b/>
                <w:color w:val="1F497D" w:themeColor="text2"/>
                <w:szCs w:val="20"/>
              </w:rPr>
            </w:pPr>
            <w:r>
              <w:rPr>
                <w:b/>
                <w:color w:val="1F497D" w:themeColor="text2"/>
                <w:szCs w:val="20"/>
              </w:rPr>
              <w:t>PDM</w:t>
            </w:r>
          </w:p>
        </w:tc>
        <w:tc>
          <w:tcPr>
            <w:tcW w:w="7219" w:type="dxa"/>
            <w:gridSpan w:val="2"/>
          </w:tcPr>
          <w:p w14:paraId="5568C7CE" w14:textId="68658803" w:rsidR="00ED0AAA" w:rsidRDefault="00ED0AAA" w:rsidP="00ED6A04">
            <w:pPr>
              <w:spacing w:before="0" w:line="360" w:lineRule="auto"/>
              <w:jc w:val="left"/>
              <w:rPr>
                <w:szCs w:val="20"/>
              </w:rPr>
            </w:pPr>
            <w:r>
              <w:rPr>
                <w:szCs w:val="20"/>
              </w:rPr>
              <w:t>polnovredna delovna moč</w:t>
            </w:r>
          </w:p>
        </w:tc>
      </w:tr>
      <w:tr w:rsidR="00CB315D" w:rsidRPr="009C1DF4" w14:paraId="73F6ED0F" w14:textId="77777777" w:rsidTr="00ED6A04">
        <w:tc>
          <w:tcPr>
            <w:tcW w:w="1843" w:type="dxa"/>
          </w:tcPr>
          <w:p w14:paraId="6E1314BA" w14:textId="64439B28" w:rsidR="00CB315D" w:rsidRDefault="00CB315D" w:rsidP="00ED6A04">
            <w:pPr>
              <w:spacing w:before="0" w:line="360" w:lineRule="auto"/>
              <w:jc w:val="left"/>
              <w:rPr>
                <w:b/>
                <w:color w:val="1F497D" w:themeColor="text2"/>
                <w:szCs w:val="20"/>
              </w:rPr>
            </w:pPr>
            <w:r>
              <w:rPr>
                <w:b/>
                <w:color w:val="1F497D" w:themeColor="text2"/>
                <w:szCs w:val="20"/>
              </w:rPr>
              <w:t>PMEF</w:t>
            </w:r>
          </w:p>
        </w:tc>
        <w:tc>
          <w:tcPr>
            <w:tcW w:w="7219" w:type="dxa"/>
            <w:gridSpan w:val="2"/>
          </w:tcPr>
          <w:p w14:paraId="6D0F031A" w14:textId="2AA38CCC" w:rsidR="00CB315D" w:rsidRDefault="00CB315D" w:rsidP="00ED6A04">
            <w:pPr>
              <w:spacing w:before="0" w:line="360" w:lineRule="auto"/>
              <w:jc w:val="left"/>
              <w:rPr>
                <w:szCs w:val="20"/>
              </w:rPr>
            </w:pPr>
            <w:r>
              <w:rPr>
                <w:lang w:val="en-US"/>
              </w:rPr>
              <w:t>CAP Performance Monitoring and Evaluation Framework</w:t>
            </w:r>
          </w:p>
        </w:tc>
      </w:tr>
      <w:tr w:rsidR="00ED6A04" w:rsidRPr="009C1DF4" w14:paraId="273DF2D4" w14:textId="77777777" w:rsidTr="00ED6A04">
        <w:tc>
          <w:tcPr>
            <w:tcW w:w="1843" w:type="dxa"/>
          </w:tcPr>
          <w:p w14:paraId="6D899172" w14:textId="77777777" w:rsidR="00ED6A04" w:rsidRPr="00ED6A04" w:rsidRDefault="00ED6A04" w:rsidP="00ED6A04">
            <w:pPr>
              <w:spacing w:before="0" w:line="360" w:lineRule="auto"/>
              <w:jc w:val="left"/>
              <w:rPr>
                <w:b/>
                <w:color w:val="1F497D" w:themeColor="text2"/>
                <w:szCs w:val="20"/>
                <w:lang w:val="sl-SI"/>
              </w:rPr>
            </w:pPr>
            <w:r w:rsidRPr="00ED6A04">
              <w:rPr>
                <w:b/>
                <w:color w:val="1F497D" w:themeColor="text2"/>
                <w:szCs w:val="20"/>
                <w:lang w:val="sl-SI"/>
              </w:rPr>
              <w:t>PRP 2007-2013</w:t>
            </w:r>
          </w:p>
        </w:tc>
        <w:tc>
          <w:tcPr>
            <w:tcW w:w="7219" w:type="dxa"/>
            <w:gridSpan w:val="2"/>
          </w:tcPr>
          <w:p w14:paraId="519DA133" w14:textId="77777777" w:rsidR="00ED6A04" w:rsidRDefault="00ED6A04" w:rsidP="00ED6A04">
            <w:pPr>
              <w:spacing w:before="0" w:line="360" w:lineRule="auto"/>
              <w:jc w:val="left"/>
              <w:rPr>
                <w:szCs w:val="20"/>
              </w:rPr>
            </w:pPr>
            <w:r>
              <w:rPr>
                <w:szCs w:val="20"/>
              </w:rPr>
              <w:t>Program razvoja podeželja RS za obdobje 2007–2013</w:t>
            </w:r>
          </w:p>
        </w:tc>
      </w:tr>
      <w:tr w:rsidR="006F79E8" w:rsidRPr="009C1DF4" w14:paraId="1D77D028" w14:textId="77777777" w:rsidTr="00ED6A04">
        <w:trPr>
          <w:gridAfter w:val="1"/>
          <w:wAfter w:w="10" w:type="dxa"/>
        </w:trPr>
        <w:tc>
          <w:tcPr>
            <w:tcW w:w="1843" w:type="dxa"/>
          </w:tcPr>
          <w:p w14:paraId="66901BA5" w14:textId="77777777" w:rsidR="006F79E8" w:rsidRPr="00ED6A04" w:rsidRDefault="006F79E8" w:rsidP="002D497C">
            <w:pPr>
              <w:spacing w:before="0" w:line="360" w:lineRule="auto"/>
              <w:jc w:val="left"/>
              <w:rPr>
                <w:b/>
                <w:color w:val="1F497D" w:themeColor="text2"/>
                <w:szCs w:val="20"/>
                <w:lang w:val="sl-SI"/>
              </w:rPr>
            </w:pPr>
            <w:r w:rsidRPr="00ED6A04">
              <w:rPr>
                <w:b/>
                <w:color w:val="1F497D" w:themeColor="text2"/>
                <w:szCs w:val="20"/>
                <w:lang w:val="sl-SI"/>
              </w:rPr>
              <w:t>PRP 2014–2020</w:t>
            </w:r>
          </w:p>
        </w:tc>
        <w:tc>
          <w:tcPr>
            <w:tcW w:w="7219" w:type="dxa"/>
          </w:tcPr>
          <w:p w14:paraId="41816E78" w14:textId="77777777" w:rsidR="006F79E8" w:rsidRDefault="006F79E8" w:rsidP="002D497C">
            <w:pPr>
              <w:spacing w:before="0" w:line="360" w:lineRule="auto"/>
              <w:jc w:val="left"/>
              <w:rPr>
                <w:szCs w:val="20"/>
              </w:rPr>
            </w:pPr>
            <w:r>
              <w:rPr>
                <w:szCs w:val="20"/>
              </w:rPr>
              <w:t>Program razvoja podeželja RS za obdobje 2014–2020</w:t>
            </w:r>
          </w:p>
        </w:tc>
      </w:tr>
      <w:tr w:rsidR="00A571FA" w:rsidRPr="009C1DF4" w14:paraId="41EC5977" w14:textId="77777777" w:rsidTr="00ED6A04">
        <w:tc>
          <w:tcPr>
            <w:tcW w:w="1843" w:type="dxa"/>
          </w:tcPr>
          <w:p w14:paraId="6F94CC7A" w14:textId="1F1B4442" w:rsidR="00A571FA" w:rsidRDefault="00A571FA" w:rsidP="002D497C">
            <w:pPr>
              <w:spacing w:before="0" w:line="360" w:lineRule="auto"/>
              <w:jc w:val="left"/>
              <w:rPr>
                <w:b/>
                <w:color w:val="1F497D" w:themeColor="text2"/>
                <w:szCs w:val="20"/>
              </w:rPr>
            </w:pPr>
            <w:r w:rsidRPr="00E86ECB">
              <w:rPr>
                <w:b/>
                <w:color w:val="1F497D" w:themeColor="text2"/>
                <w:szCs w:val="20"/>
              </w:rPr>
              <w:t>SURS</w:t>
            </w:r>
          </w:p>
        </w:tc>
        <w:tc>
          <w:tcPr>
            <w:tcW w:w="7219" w:type="dxa"/>
            <w:gridSpan w:val="2"/>
          </w:tcPr>
          <w:p w14:paraId="3A75528A" w14:textId="234AC815" w:rsidR="00A571FA" w:rsidRDefault="00A571FA" w:rsidP="002D497C">
            <w:pPr>
              <w:spacing w:before="0" w:line="360" w:lineRule="auto"/>
              <w:jc w:val="left"/>
              <w:rPr>
                <w:szCs w:val="20"/>
              </w:rPr>
            </w:pPr>
            <w:r>
              <w:rPr>
                <w:szCs w:val="20"/>
              </w:rPr>
              <w:t>Statistični urad Republike Slovenije</w:t>
            </w:r>
          </w:p>
        </w:tc>
      </w:tr>
      <w:tr w:rsidR="005B0B0D" w:rsidRPr="009C1DF4" w14:paraId="72D377F5" w14:textId="77777777" w:rsidTr="00ED6A04">
        <w:trPr>
          <w:gridAfter w:val="1"/>
          <w:wAfter w:w="10" w:type="dxa"/>
        </w:trPr>
        <w:tc>
          <w:tcPr>
            <w:tcW w:w="1843" w:type="dxa"/>
          </w:tcPr>
          <w:p w14:paraId="367F4249" w14:textId="52253B4F" w:rsidR="005B0B0D" w:rsidRPr="00ED6A04" w:rsidRDefault="005B0B0D" w:rsidP="002D497C">
            <w:pPr>
              <w:spacing w:before="0" w:line="360" w:lineRule="auto"/>
              <w:jc w:val="left"/>
              <w:rPr>
                <w:b/>
                <w:color w:val="1F497D" w:themeColor="text2"/>
                <w:szCs w:val="20"/>
              </w:rPr>
            </w:pPr>
            <w:r>
              <w:rPr>
                <w:b/>
                <w:color w:val="1F497D" w:themeColor="text2"/>
                <w:szCs w:val="20"/>
              </w:rPr>
              <w:t>t</w:t>
            </w:r>
          </w:p>
        </w:tc>
        <w:tc>
          <w:tcPr>
            <w:tcW w:w="7219" w:type="dxa"/>
          </w:tcPr>
          <w:p w14:paraId="4B1EACAE" w14:textId="0A0EA37F" w:rsidR="005B0B0D" w:rsidRDefault="005B0B0D" w:rsidP="002D497C">
            <w:pPr>
              <w:spacing w:before="0" w:line="360" w:lineRule="auto"/>
              <w:jc w:val="left"/>
              <w:rPr>
                <w:szCs w:val="20"/>
              </w:rPr>
            </w:pPr>
            <w:r>
              <w:rPr>
                <w:szCs w:val="20"/>
              </w:rPr>
              <w:t>tona</w:t>
            </w:r>
          </w:p>
        </w:tc>
      </w:tr>
      <w:tr w:rsidR="009C1DF4" w:rsidRPr="009C1DF4" w14:paraId="30B7A98B" w14:textId="77777777" w:rsidTr="00ED6A04">
        <w:trPr>
          <w:gridAfter w:val="1"/>
          <w:wAfter w:w="10" w:type="dxa"/>
        </w:trPr>
        <w:tc>
          <w:tcPr>
            <w:tcW w:w="1843" w:type="dxa"/>
          </w:tcPr>
          <w:p w14:paraId="18794ADA" w14:textId="77777777" w:rsidR="009C1DF4" w:rsidRPr="00ED6A04" w:rsidRDefault="009C1DF4" w:rsidP="002D497C">
            <w:pPr>
              <w:spacing w:before="0" w:line="360" w:lineRule="auto"/>
              <w:jc w:val="left"/>
              <w:rPr>
                <w:b/>
                <w:color w:val="1F497D" w:themeColor="text2"/>
                <w:szCs w:val="20"/>
                <w:lang w:val="sl-SI"/>
              </w:rPr>
            </w:pPr>
            <w:r w:rsidRPr="00ED6A04">
              <w:rPr>
                <w:b/>
                <w:color w:val="1F497D" w:themeColor="text2"/>
                <w:szCs w:val="20"/>
                <w:lang w:val="sl-SI"/>
              </w:rPr>
              <w:t>TFP</w:t>
            </w:r>
          </w:p>
        </w:tc>
        <w:tc>
          <w:tcPr>
            <w:tcW w:w="7219" w:type="dxa"/>
          </w:tcPr>
          <w:p w14:paraId="00394924" w14:textId="1E20A16D" w:rsidR="00971504" w:rsidRDefault="00AC648D" w:rsidP="002D497C">
            <w:pPr>
              <w:spacing w:before="0" w:line="360" w:lineRule="auto"/>
              <w:jc w:val="left"/>
              <w:rPr>
                <w:szCs w:val="20"/>
              </w:rPr>
            </w:pPr>
            <w:r>
              <w:rPr>
                <w:szCs w:val="20"/>
              </w:rPr>
              <w:t xml:space="preserve">ang. </w:t>
            </w:r>
            <w:r w:rsidR="002D497C">
              <w:rPr>
                <w:szCs w:val="20"/>
              </w:rPr>
              <w:t>“</w:t>
            </w:r>
            <w:r w:rsidR="009C1DF4">
              <w:rPr>
                <w:szCs w:val="20"/>
              </w:rPr>
              <w:t>total factor productivity</w:t>
            </w:r>
            <w:r w:rsidR="002D497C">
              <w:rPr>
                <w:szCs w:val="20"/>
              </w:rPr>
              <w:t>”</w:t>
            </w:r>
            <w:r w:rsidR="009C1DF4">
              <w:rPr>
                <w:szCs w:val="20"/>
              </w:rPr>
              <w:t xml:space="preserve"> oz. skupna faktorska produktivnost</w:t>
            </w:r>
          </w:p>
        </w:tc>
      </w:tr>
      <w:tr w:rsidR="00971504" w:rsidRPr="009C1DF4" w14:paraId="65AA74E7" w14:textId="77777777" w:rsidTr="00ED6A04">
        <w:trPr>
          <w:gridAfter w:val="1"/>
          <w:wAfter w:w="10" w:type="dxa"/>
        </w:trPr>
        <w:tc>
          <w:tcPr>
            <w:tcW w:w="1843" w:type="dxa"/>
          </w:tcPr>
          <w:p w14:paraId="376F66FD" w14:textId="399F20C1" w:rsidR="00971504" w:rsidRPr="00ED6A04" w:rsidRDefault="00971504" w:rsidP="002D497C">
            <w:pPr>
              <w:spacing w:before="0" w:line="360" w:lineRule="auto"/>
              <w:jc w:val="left"/>
              <w:rPr>
                <w:b/>
                <w:color w:val="1F497D" w:themeColor="text2"/>
                <w:szCs w:val="20"/>
                <w:lang w:val="sl-SI"/>
              </w:rPr>
            </w:pPr>
            <w:r w:rsidRPr="00ED6A04">
              <w:rPr>
                <w:b/>
                <w:color w:val="1F497D" w:themeColor="text2"/>
                <w:szCs w:val="20"/>
                <w:lang w:val="sl-SI"/>
              </w:rPr>
              <w:t>ŽPI</w:t>
            </w:r>
          </w:p>
        </w:tc>
        <w:tc>
          <w:tcPr>
            <w:tcW w:w="7219" w:type="dxa"/>
          </w:tcPr>
          <w:p w14:paraId="47CEDABE" w14:textId="3C05B819" w:rsidR="008C4572" w:rsidRDefault="00971504" w:rsidP="002D497C">
            <w:pPr>
              <w:spacing w:before="0" w:line="360" w:lineRule="auto"/>
              <w:jc w:val="left"/>
              <w:rPr>
                <w:szCs w:val="20"/>
              </w:rPr>
            </w:pPr>
            <w:r>
              <w:rPr>
                <w:szCs w:val="20"/>
              </w:rPr>
              <w:t>živilskopredelovalna industrija</w:t>
            </w:r>
          </w:p>
        </w:tc>
      </w:tr>
      <w:tr w:rsidR="006A3441" w:rsidRPr="009C1DF4" w14:paraId="3E76008D" w14:textId="77777777" w:rsidTr="00ED6A04">
        <w:trPr>
          <w:gridAfter w:val="1"/>
          <w:wAfter w:w="10" w:type="dxa"/>
        </w:trPr>
        <w:tc>
          <w:tcPr>
            <w:tcW w:w="1843" w:type="dxa"/>
          </w:tcPr>
          <w:p w14:paraId="12F677BF" w14:textId="6FC6D931" w:rsidR="006A3441" w:rsidRPr="00ED6A04" w:rsidRDefault="006A3441" w:rsidP="002D497C">
            <w:pPr>
              <w:spacing w:before="0" w:line="360" w:lineRule="auto"/>
              <w:jc w:val="left"/>
              <w:rPr>
                <w:b/>
                <w:color w:val="1F497D" w:themeColor="text2"/>
                <w:szCs w:val="20"/>
              </w:rPr>
            </w:pPr>
            <w:r>
              <w:rPr>
                <w:b/>
                <w:color w:val="1F497D" w:themeColor="text2"/>
                <w:szCs w:val="20"/>
              </w:rPr>
              <w:t>%</w:t>
            </w:r>
          </w:p>
        </w:tc>
        <w:tc>
          <w:tcPr>
            <w:tcW w:w="7219" w:type="dxa"/>
          </w:tcPr>
          <w:p w14:paraId="145C92BC" w14:textId="3BCBFAA3" w:rsidR="006A3441" w:rsidRDefault="006A3441" w:rsidP="002D497C">
            <w:pPr>
              <w:spacing w:before="0" w:line="360" w:lineRule="auto"/>
              <w:jc w:val="left"/>
              <w:rPr>
                <w:szCs w:val="20"/>
              </w:rPr>
            </w:pPr>
            <w:r>
              <w:rPr>
                <w:szCs w:val="20"/>
              </w:rPr>
              <w:t>odstotek</w:t>
            </w:r>
          </w:p>
        </w:tc>
      </w:tr>
    </w:tbl>
    <w:p w14:paraId="10F00D92" w14:textId="77777777" w:rsidR="009C1DF4" w:rsidRDefault="009C1DF4">
      <w:pPr>
        <w:spacing w:before="0" w:after="200" w:line="276" w:lineRule="auto"/>
        <w:jc w:val="left"/>
        <w:rPr>
          <w:b/>
          <w:sz w:val="20"/>
          <w:szCs w:val="20"/>
        </w:rPr>
      </w:pPr>
    </w:p>
    <w:p w14:paraId="64455442" w14:textId="77777777" w:rsidR="009C1DF4" w:rsidRDefault="009C1DF4">
      <w:pPr>
        <w:spacing w:before="0" w:after="200" w:line="276" w:lineRule="auto"/>
        <w:jc w:val="left"/>
        <w:rPr>
          <w:b/>
          <w:sz w:val="20"/>
          <w:szCs w:val="20"/>
        </w:rPr>
      </w:pPr>
    </w:p>
    <w:p w14:paraId="52BE46FC" w14:textId="77777777" w:rsidR="00EA3ECA" w:rsidRDefault="00EA3ECA">
      <w:pPr>
        <w:spacing w:before="0" w:after="200" w:line="276" w:lineRule="auto"/>
        <w:jc w:val="left"/>
        <w:rPr>
          <w:b/>
          <w:sz w:val="20"/>
          <w:szCs w:val="20"/>
        </w:rPr>
      </w:pPr>
    </w:p>
    <w:p w14:paraId="68B617AC" w14:textId="77777777" w:rsidR="00EA3ECA" w:rsidRDefault="00EA3ECA">
      <w:pPr>
        <w:spacing w:before="0" w:after="200" w:line="276" w:lineRule="auto"/>
        <w:jc w:val="left"/>
        <w:rPr>
          <w:b/>
          <w:sz w:val="20"/>
          <w:szCs w:val="20"/>
        </w:rPr>
      </w:pPr>
    </w:p>
    <w:p w14:paraId="2CB7116E" w14:textId="77777777" w:rsidR="00EA3ECA" w:rsidRDefault="00EA3ECA">
      <w:pPr>
        <w:spacing w:before="0" w:after="200" w:line="276" w:lineRule="auto"/>
        <w:jc w:val="left"/>
        <w:rPr>
          <w:b/>
          <w:sz w:val="20"/>
          <w:szCs w:val="20"/>
        </w:rPr>
      </w:pPr>
    </w:p>
    <w:p w14:paraId="06246AAD" w14:textId="77777777" w:rsidR="00EA3ECA" w:rsidRDefault="00EA3ECA">
      <w:pPr>
        <w:spacing w:before="0" w:after="200" w:line="276" w:lineRule="auto"/>
        <w:jc w:val="left"/>
        <w:rPr>
          <w:b/>
          <w:sz w:val="20"/>
          <w:szCs w:val="20"/>
        </w:rPr>
      </w:pPr>
      <w:r>
        <w:rPr>
          <w:b/>
          <w:sz w:val="20"/>
          <w:szCs w:val="20"/>
        </w:rPr>
        <w:br w:type="page"/>
      </w:r>
    </w:p>
    <w:p w14:paraId="40ED7C61" w14:textId="78637CCD" w:rsidR="00EA3ECA" w:rsidRPr="005B2A49" w:rsidRDefault="001C1D23" w:rsidP="005B2A49">
      <w:pPr>
        <w:pStyle w:val="Naslov1"/>
      </w:pPr>
      <w:bookmarkStart w:id="2" w:name="_Toc82699970"/>
      <w:bookmarkStart w:id="3" w:name="_Toc82700105"/>
      <w:bookmarkStart w:id="4" w:name="_Toc85104366"/>
      <w:bookmarkStart w:id="5" w:name="_Toc85104473"/>
      <w:bookmarkStart w:id="6" w:name="_Toc85104579"/>
      <w:bookmarkStart w:id="7" w:name="_Toc86822532"/>
      <w:bookmarkEnd w:id="2"/>
      <w:bookmarkEnd w:id="3"/>
      <w:bookmarkEnd w:id="4"/>
      <w:bookmarkEnd w:id="5"/>
      <w:bookmarkEnd w:id="6"/>
      <w:r w:rsidRPr="005B2A49">
        <w:lastRenderedPageBreak/>
        <w:t>Uporabljeni kazalniki stanja</w:t>
      </w:r>
      <w:bookmarkEnd w:id="7"/>
    </w:p>
    <w:p w14:paraId="34B34620" w14:textId="77777777" w:rsidR="00EA3ECA" w:rsidRDefault="00EA3ECA" w:rsidP="00DD616B">
      <w:pPr>
        <w:pStyle w:val="Odstavek1"/>
      </w:pPr>
    </w:p>
    <w:p w14:paraId="5C961197" w14:textId="611C5605" w:rsidR="00EA3ECA" w:rsidRPr="001A447B" w:rsidRDefault="00EA3ECA" w:rsidP="009A311B">
      <w:pPr>
        <w:pStyle w:val="SCPreglednica"/>
      </w:pPr>
      <w:bookmarkStart w:id="8" w:name="_Toc49245361"/>
      <w:bookmarkStart w:id="9" w:name="_Toc86822639"/>
      <w:r w:rsidRPr="001A447B">
        <w:t xml:space="preserve">Tabela </w:t>
      </w:r>
      <w:r w:rsidR="00072AFA">
        <w:rPr>
          <w:noProof/>
        </w:rPr>
        <w:fldChar w:fldCharType="begin"/>
      </w:r>
      <w:r w:rsidR="00072AFA">
        <w:rPr>
          <w:noProof/>
        </w:rPr>
        <w:instrText xml:space="preserve"> SEQ Tabela \* ARABIC </w:instrText>
      </w:r>
      <w:r w:rsidR="00072AFA">
        <w:rPr>
          <w:noProof/>
        </w:rPr>
        <w:fldChar w:fldCharType="separate"/>
      </w:r>
      <w:r w:rsidR="0088117A">
        <w:rPr>
          <w:noProof/>
        </w:rPr>
        <w:t>1</w:t>
      </w:r>
      <w:r w:rsidR="00072AFA">
        <w:rPr>
          <w:noProof/>
        </w:rPr>
        <w:fldChar w:fldCharType="end"/>
      </w:r>
      <w:r w:rsidRPr="001A447B">
        <w:t xml:space="preserve">: Uporabljeni kazalniki stanja v okviru </w:t>
      </w:r>
      <w:bookmarkEnd w:id="8"/>
      <w:r w:rsidRPr="001A447B">
        <w:t xml:space="preserve">specifičnega cilja </w:t>
      </w:r>
      <w:r w:rsidR="001A447B">
        <w:t>2</w:t>
      </w:r>
      <w:bookmarkEnd w:id="9"/>
    </w:p>
    <w:tbl>
      <w:tblPr>
        <w:tblStyle w:val="Tabelamrea"/>
        <w:tblW w:w="9067" w:type="dxa"/>
        <w:tblLook w:val="04A0" w:firstRow="1" w:lastRow="0" w:firstColumn="1" w:lastColumn="0" w:noHBand="0" w:noVBand="1"/>
      </w:tblPr>
      <w:tblGrid>
        <w:gridCol w:w="2486"/>
        <w:gridCol w:w="2329"/>
        <w:gridCol w:w="4252"/>
      </w:tblGrid>
      <w:tr w:rsidR="00EA3ECA" w:rsidRPr="00244441" w14:paraId="455A0BA0" w14:textId="77777777" w:rsidTr="00244441">
        <w:tc>
          <w:tcPr>
            <w:tcW w:w="2486" w:type="dxa"/>
            <w:shd w:val="clear" w:color="auto" w:fill="92D050"/>
          </w:tcPr>
          <w:p w14:paraId="042DB124" w14:textId="77777777" w:rsidR="00EA3ECA" w:rsidRPr="00244441" w:rsidRDefault="00EA3ECA" w:rsidP="009F3567">
            <w:pPr>
              <w:spacing w:before="0" w:line="276" w:lineRule="auto"/>
              <w:rPr>
                <w:b/>
                <w:sz w:val="18"/>
              </w:rPr>
            </w:pPr>
            <w:r w:rsidRPr="00244441">
              <w:rPr>
                <w:b/>
                <w:sz w:val="18"/>
              </w:rPr>
              <w:t>Področje</w:t>
            </w:r>
          </w:p>
        </w:tc>
        <w:tc>
          <w:tcPr>
            <w:tcW w:w="2329" w:type="dxa"/>
            <w:shd w:val="clear" w:color="auto" w:fill="92D050"/>
          </w:tcPr>
          <w:p w14:paraId="67F1590A" w14:textId="77777777" w:rsidR="00EA3ECA" w:rsidRPr="00244441" w:rsidRDefault="00EA3ECA" w:rsidP="009F3567">
            <w:pPr>
              <w:spacing w:before="0" w:line="276" w:lineRule="auto"/>
              <w:rPr>
                <w:b/>
                <w:sz w:val="18"/>
              </w:rPr>
            </w:pPr>
            <w:r w:rsidRPr="00244441">
              <w:rPr>
                <w:b/>
                <w:sz w:val="18"/>
              </w:rPr>
              <w:t>Oznaka kazalnika PMEF</w:t>
            </w:r>
          </w:p>
        </w:tc>
        <w:tc>
          <w:tcPr>
            <w:tcW w:w="4252" w:type="dxa"/>
            <w:shd w:val="clear" w:color="auto" w:fill="92D050"/>
          </w:tcPr>
          <w:p w14:paraId="30F1BFDB" w14:textId="77777777" w:rsidR="00EA3ECA" w:rsidRPr="00244441" w:rsidRDefault="00EA3ECA" w:rsidP="009F3567">
            <w:pPr>
              <w:spacing w:before="0" w:line="276" w:lineRule="auto"/>
              <w:rPr>
                <w:b/>
                <w:sz w:val="18"/>
              </w:rPr>
            </w:pPr>
            <w:r w:rsidRPr="00244441">
              <w:rPr>
                <w:b/>
                <w:sz w:val="18"/>
              </w:rPr>
              <w:t>Kazalnik PMEF</w:t>
            </w:r>
          </w:p>
        </w:tc>
      </w:tr>
      <w:tr w:rsidR="00B0343E" w:rsidRPr="00244441" w14:paraId="348A8B8E" w14:textId="77777777" w:rsidTr="00244441">
        <w:tc>
          <w:tcPr>
            <w:tcW w:w="2486" w:type="dxa"/>
            <w:vMerge w:val="restart"/>
          </w:tcPr>
          <w:p w14:paraId="4A7CFA29" w14:textId="074C017A" w:rsidR="00B0343E" w:rsidRPr="00244441" w:rsidRDefault="00B0343E" w:rsidP="0061009E">
            <w:pPr>
              <w:spacing w:before="0" w:line="276" w:lineRule="auto"/>
              <w:rPr>
                <w:b/>
                <w:sz w:val="18"/>
              </w:rPr>
            </w:pPr>
            <w:r>
              <w:rPr>
                <w:b/>
                <w:sz w:val="18"/>
              </w:rPr>
              <w:t>Gospodarstvo</w:t>
            </w:r>
          </w:p>
        </w:tc>
        <w:tc>
          <w:tcPr>
            <w:tcW w:w="2329" w:type="dxa"/>
          </w:tcPr>
          <w:p w14:paraId="3795E1D1" w14:textId="1146147B" w:rsidR="00B0343E" w:rsidRPr="00244441" w:rsidRDefault="00B0343E" w:rsidP="0061009E">
            <w:pPr>
              <w:spacing w:before="0" w:line="276" w:lineRule="auto"/>
              <w:rPr>
                <w:rFonts w:eastAsia="Arial"/>
                <w:sz w:val="18"/>
                <w:szCs w:val="20"/>
                <w:lang w:eastAsia="en-US"/>
              </w:rPr>
            </w:pPr>
            <w:r>
              <w:rPr>
                <w:rFonts w:eastAsia="Arial"/>
                <w:sz w:val="18"/>
                <w:szCs w:val="20"/>
                <w:lang w:eastAsia="en-US"/>
              </w:rPr>
              <w:t>C.09</w:t>
            </w:r>
          </w:p>
        </w:tc>
        <w:tc>
          <w:tcPr>
            <w:tcW w:w="4252" w:type="dxa"/>
          </w:tcPr>
          <w:p w14:paraId="0C04F07C" w14:textId="7264977F" w:rsidR="00B0343E" w:rsidRPr="00244441" w:rsidRDefault="00B0343E" w:rsidP="0061009E">
            <w:pPr>
              <w:spacing w:before="0" w:line="276" w:lineRule="auto"/>
              <w:rPr>
                <w:rFonts w:eastAsia="Arial"/>
                <w:sz w:val="18"/>
                <w:szCs w:val="20"/>
                <w:lang w:eastAsia="en-US"/>
              </w:rPr>
            </w:pPr>
            <w:r w:rsidRPr="00B0343E">
              <w:rPr>
                <w:rFonts w:eastAsia="Arial"/>
                <w:sz w:val="18"/>
                <w:szCs w:val="20"/>
                <w:lang w:eastAsia="en-US"/>
              </w:rPr>
              <w:t>Bruto domači proizvod na prebivalca</w:t>
            </w:r>
          </w:p>
        </w:tc>
      </w:tr>
      <w:tr w:rsidR="00B0343E" w:rsidRPr="00244441" w14:paraId="71DAA69B" w14:textId="77777777" w:rsidTr="00244441">
        <w:tc>
          <w:tcPr>
            <w:tcW w:w="2486" w:type="dxa"/>
            <w:vMerge/>
          </w:tcPr>
          <w:p w14:paraId="2CF6C4E9" w14:textId="77777777" w:rsidR="00B0343E" w:rsidRDefault="00B0343E" w:rsidP="0061009E">
            <w:pPr>
              <w:spacing w:before="0" w:line="276" w:lineRule="auto"/>
              <w:rPr>
                <w:b/>
                <w:sz w:val="18"/>
              </w:rPr>
            </w:pPr>
          </w:p>
        </w:tc>
        <w:tc>
          <w:tcPr>
            <w:tcW w:w="2329" w:type="dxa"/>
          </w:tcPr>
          <w:p w14:paraId="11ECF57D" w14:textId="258EDE35" w:rsidR="00B0343E" w:rsidRDefault="00B0343E" w:rsidP="0061009E">
            <w:pPr>
              <w:spacing w:before="0" w:line="276" w:lineRule="auto"/>
              <w:rPr>
                <w:rFonts w:eastAsia="Arial"/>
                <w:sz w:val="18"/>
                <w:szCs w:val="20"/>
                <w:lang w:eastAsia="en-US"/>
              </w:rPr>
            </w:pPr>
            <w:r>
              <w:rPr>
                <w:rFonts w:eastAsia="Arial"/>
                <w:sz w:val="18"/>
                <w:szCs w:val="20"/>
                <w:lang w:eastAsia="en-US"/>
              </w:rPr>
              <w:t>C.11</w:t>
            </w:r>
          </w:p>
        </w:tc>
        <w:tc>
          <w:tcPr>
            <w:tcW w:w="4252" w:type="dxa"/>
          </w:tcPr>
          <w:p w14:paraId="4A9283E4" w14:textId="2BD46030" w:rsidR="00B0343E" w:rsidRPr="00B0343E" w:rsidRDefault="00B0343E" w:rsidP="0061009E">
            <w:pPr>
              <w:spacing w:before="0" w:line="276" w:lineRule="auto"/>
              <w:rPr>
                <w:rFonts w:eastAsia="Arial"/>
                <w:sz w:val="18"/>
                <w:szCs w:val="20"/>
                <w:lang w:eastAsia="en-US"/>
              </w:rPr>
            </w:pPr>
            <w:r w:rsidRPr="00B0343E">
              <w:rPr>
                <w:rFonts w:eastAsia="Arial"/>
                <w:sz w:val="18"/>
                <w:szCs w:val="20"/>
                <w:lang w:eastAsia="en-US"/>
              </w:rPr>
              <w:t>Bruto dodana vrednost po sektorjih, po vrstah regij, v kmetijstvu in za primarne proizvajalce</w:t>
            </w:r>
          </w:p>
        </w:tc>
      </w:tr>
      <w:tr w:rsidR="0061009E" w:rsidRPr="00244441" w14:paraId="6F9FCC55" w14:textId="77777777" w:rsidTr="00244441">
        <w:tc>
          <w:tcPr>
            <w:tcW w:w="2486" w:type="dxa"/>
            <w:vMerge w:val="restart"/>
          </w:tcPr>
          <w:p w14:paraId="16622773" w14:textId="77777777" w:rsidR="0061009E" w:rsidRPr="00244441" w:rsidRDefault="0061009E" w:rsidP="0061009E">
            <w:pPr>
              <w:spacing w:before="0" w:line="276" w:lineRule="auto"/>
              <w:rPr>
                <w:b/>
                <w:sz w:val="18"/>
              </w:rPr>
            </w:pPr>
            <w:r w:rsidRPr="00244441">
              <w:rPr>
                <w:b/>
                <w:sz w:val="18"/>
              </w:rPr>
              <w:t>Kmetijska produktivnost</w:t>
            </w:r>
          </w:p>
          <w:p w14:paraId="4E90195A" w14:textId="77777777" w:rsidR="0061009E" w:rsidRPr="00244441" w:rsidRDefault="0061009E" w:rsidP="0061009E">
            <w:pPr>
              <w:spacing w:before="0" w:line="276" w:lineRule="auto"/>
              <w:rPr>
                <w:b/>
                <w:sz w:val="18"/>
              </w:rPr>
            </w:pPr>
          </w:p>
          <w:p w14:paraId="092982D7" w14:textId="77777777" w:rsidR="0061009E" w:rsidRPr="00244441" w:rsidRDefault="0061009E" w:rsidP="0061009E">
            <w:pPr>
              <w:spacing w:before="0" w:line="276" w:lineRule="auto"/>
              <w:rPr>
                <w:b/>
                <w:sz w:val="18"/>
              </w:rPr>
            </w:pPr>
          </w:p>
        </w:tc>
        <w:tc>
          <w:tcPr>
            <w:tcW w:w="2329" w:type="dxa"/>
          </w:tcPr>
          <w:p w14:paraId="188D3039" w14:textId="62074AA8" w:rsidR="0061009E" w:rsidRPr="00244441" w:rsidRDefault="0061009E" w:rsidP="0061009E">
            <w:pPr>
              <w:spacing w:before="0" w:line="276" w:lineRule="auto"/>
              <w:rPr>
                <w:sz w:val="18"/>
              </w:rPr>
            </w:pPr>
            <w:r w:rsidRPr="00244441">
              <w:rPr>
                <w:rFonts w:eastAsia="Arial"/>
                <w:sz w:val="18"/>
                <w:szCs w:val="20"/>
                <w:lang w:eastAsia="en-US"/>
              </w:rPr>
              <w:t>C.</w:t>
            </w:r>
            <w:r>
              <w:rPr>
                <w:rFonts w:eastAsia="Arial"/>
                <w:sz w:val="18"/>
                <w:szCs w:val="20"/>
                <w:lang w:eastAsia="en-US"/>
              </w:rPr>
              <w:t>13</w:t>
            </w:r>
          </w:p>
        </w:tc>
        <w:tc>
          <w:tcPr>
            <w:tcW w:w="4252" w:type="dxa"/>
          </w:tcPr>
          <w:p w14:paraId="7B7FC46F" w14:textId="4CC7ECB1" w:rsidR="0061009E" w:rsidRPr="00244441" w:rsidRDefault="0061009E" w:rsidP="0061009E">
            <w:pPr>
              <w:spacing w:before="0" w:line="276" w:lineRule="auto"/>
              <w:rPr>
                <w:sz w:val="18"/>
              </w:rPr>
            </w:pPr>
            <w:r w:rsidRPr="00244441">
              <w:rPr>
                <w:rFonts w:eastAsia="Arial"/>
                <w:sz w:val="18"/>
                <w:szCs w:val="20"/>
                <w:lang w:eastAsia="en-US"/>
              </w:rPr>
              <w:t>Delovna sila v kmetijstvu</w:t>
            </w:r>
          </w:p>
        </w:tc>
      </w:tr>
      <w:tr w:rsidR="0061009E" w:rsidRPr="00244441" w14:paraId="39A313D3" w14:textId="77777777" w:rsidTr="00244441">
        <w:tc>
          <w:tcPr>
            <w:tcW w:w="2486" w:type="dxa"/>
            <w:vMerge/>
          </w:tcPr>
          <w:p w14:paraId="606EDC60" w14:textId="77777777" w:rsidR="0061009E" w:rsidRPr="00244441" w:rsidRDefault="0061009E" w:rsidP="0061009E">
            <w:pPr>
              <w:spacing w:before="0" w:line="276" w:lineRule="auto"/>
              <w:rPr>
                <w:b/>
                <w:sz w:val="18"/>
              </w:rPr>
            </w:pPr>
          </w:p>
        </w:tc>
        <w:tc>
          <w:tcPr>
            <w:tcW w:w="2329" w:type="dxa"/>
          </w:tcPr>
          <w:p w14:paraId="180946B0" w14:textId="471F1F63"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C.2</w:t>
            </w:r>
            <w:r>
              <w:rPr>
                <w:rFonts w:eastAsia="Arial"/>
                <w:sz w:val="18"/>
                <w:szCs w:val="20"/>
                <w:lang w:eastAsia="en-US"/>
              </w:rPr>
              <w:t>7</w:t>
            </w:r>
          </w:p>
        </w:tc>
        <w:tc>
          <w:tcPr>
            <w:tcW w:w="4252" w:type="dxa"/>
          </w:tcPr>
          <w:p w14:paraId="36E9926C" w14:textId="1003FA4D"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Bruto naložbe v osnovna sredstva v kmetijstvu</w:t>
            </w:r>
          </w:p>
        </w:tc>
      </w:tr>
      <w:tr w:rsidR="0061009E" w:rsidRPr="00244441" w14:paraId="414BEFE6" w14:textId="77777777" w:rsidTr="00244441">
        <w:tc>
          <w:tcPr>
            <w:tcW w:w="2486" w:type="dxa"/>
            <w:vMerge/>
          </w:tcPr>
          <w:p w14:paraId="403C5048" w14:textId="77777777" w:rsidR="0061009E" w:rsidRPr="00244441" w:rsidRDefault="0061009E" w:rsidP="0061009E">
            <w:pPr>
              <w:spacing w:before="0" w:line="276" w:lineRule="auto"/>
              <w:rPr>
                <w:b/>
                <w:sz w:val="18"/>
              </w:rPr>
            </w:pPr>
          </w:p>
        </w:tc>
        <w:tc>
          <w:tcPr>
            <w:tcW w:w="2329" w:type="dxa"/>
          </w:tcPr>
          <w:p w14:paraId="64E0B0B2" w14:textId="03A60D94"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C.2</w:t>
            </w:r>
            <w:r>
              <w:rPr>
                <w:rFonts w:eastAsia="Arial"/>
                <w:sz w:val="18"/>
                <w:szCs w:val="20"/>
                <w:lang w:eastAsia="en-US"/>
              </w:rPr>
              <w:t>8</w:t>
            </w:r>
          </w:p>
        </w:tc>
        <w:tc>
          <w:tcPr>
            <w:tcW w:w="4252" w:type="dxa"/>
          </w:tcPr>
          <w:p w14:paraId="1AE79500"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Skupna faktorska produktivnost v kmetijstvu</w:t>
            </w:r>
          </w:p>
        </w:tc>
      </w:tr>
      <w:tr w:rsidR="0061009E" w:rsidRPr="00244441" w14:paraId="27EDC55B" w14:textId="77777777" w:rsidTr="004C5161">
        <w:trPr>
          <w:trHeight w:val="228"/>
        </w:trPr>
        <w:tc>
          <w:tcPr>
            <w:tcW w:w="2486" w:type="dxa"/>
            <w:vMerge/>
          </w:tcPr>
          <w:p w14:paraId="193F2EA9" w14:textId="77777777" w:rsidR="0061009E" w:rsidRPr="00244441" w:rsidRDefault="0061009E" w:rsidP="0061009E">
            <w:pPr>
              <w:spacing w:before="0" w:line="276" w:lineRule="auto"/>
              <w:rPr>
                <w:b/>
                <w:sz w:val="18"/>
              </w:rPr>
            </w:pPr>
          </w:p>
        </w:tc>
        <w:tc>
          <w:tcPr>
            <w:tcW w:w="2329" w:type="dxa"/>
          </w:tcPr>
          <w:p w14:paraId="27EDD6A6" w14:textId="4D8B3DE6"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w:t>
            </w:r>
            <w:r>
              <w:rPr>
                <w:rFonts w:eastAsia="Arial"/>
                <w:sz w:val="18"/>
                <w:szCs w:val="20"/>
                <w:lang w:eastAsia="en-US"/>
              </w:rPr>
              <w:t>29</w:t>
            </w:r>
          </w:p>
        </w:tc>
        <w:tc>
          <w:tcPr>
            <w:tcW w:w="4252" w:type="dxa"/>
          </w:tcPr>
          <w:p w14:paraId="6A505C31" w14:textId="71D28BC6"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Produktivnost dela v kmetijstvu</w:t>
            </w:r>
          </w:p>
        </w:tc>
      </w:tr>
      <w:tr w:rsidR="0061009E" w:rsidRPr="00244441" w14:paraId="0149DA40" w14:textId="77777777" w:rsidTr="00244441">
        <w:tc>
          <w:tcPr>
            <w:tcW w:w="2486" w:type="dxa"/>
            <w:vMerge w:val="restart"/>
          </w:tcPr>
          <w:p w14:paraId="67B8E9B5" w14:textId="77777777" w:rsidR="0061009E" w:rsidRPr="00244441" w:rsidRDefault="0061009E" w:rsidP="0061009E">
            <w:pPr>
              <w:spacing w:before="0" w:line="240" w:lineRule="auto"/>
              <w:rPr>
                <w:b/>
                <w:bCs/>
                <w:color w:val="000000"/>
                <w:sz w:val="18"/>
                <w:szCs w:val="20"/>
                <w:lang w:eastAsia="sl-SI"/>
              </w:rPr>
            </w:pPr>
            <w:r w:rsidRPr="00244441">
              <w:rPr>
                <w:b/>
                <w:bCs/>
                <w:color w:val="000000"/>
                <w:sz w:val="18"/>
                <w:szCs w:val="20"/>
              </w:rPr>
              <w:t>Kmetijska trgovina</w:t>
            </w:r>
          </w:p>
          <w:p w14:paraId="3BEAA0B1" w14:textId="77777777" w:rsidR="0061009E" w:rsidRPr="00244441" w:rsidRDefault="0061009E" w:rsidP="0061009E">
            <w:pPr>
              <w:spacing w:before="0" w:line="276" w:lineRule="auto"/>
              <w:rPr>
                <w:sz w:val="18"/>
              </w:rPr>
            </w:pPr>
          </w:p>
        </w:tc>
        <w:tc>
          <w:tcPr>
            <w:tcW w:w="2329" w:type="dxa"/>
          </w:tcPr>
          <w:p w14:paraId="33237B45"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C.</w:t>
            </w:r>
            <w:r w:rsidRPr="00ED6A04">
              <w:rPr>
                <w:rFonts w:eastAsia="Arial"/>
                <w:sz w:val="18"/>
                <w:szCs w:val="20"/>
                <w:lang w:eastAsia="en-US"/>
              </w:rPr>
              <w:t>30</w:t>
            </w:r>
          </w:p>
        </w:tc>
        <w:tc>
          <w:tcPr>
            <w:tcW w:w="4252" w:type="dxa"/>
          </w:tcPr>
          <w:p w14:paraId="733CDF27" w14:textId="77777777"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Kmetijski uvoz in izvoz (I.06)</w:t>
            </w:r>
          </w:p>
        </w:tc>
      </w:tr>
      <w:tr w:rsidR="0061009E" w:rsidRPr="00244441" w14:paraId="66A6B261" w14:textId="77777777" w:rsidTr="00244441">
        <w:tc>
          <w:tcPr>
            <w:tcW w:w="2486" w:type="dxa"/>
            <w:vMerge/>
          </w:tcPr>
          <w:p w14:paraId="09467F21" w14:textId="77777777" w:rsidR="0061009E" w:rsidRPr="00244441" w:rsidRDefault="0061009E" w:rsidP="0061009E">
            <w:pPr>
              <w:spacing w:before="0" w:line="240" w:lineRule="auto"/>
              <w:rPr>
                <w:b/>
                <w:bCs/>
                <w:color w:val="000000"/>
                <w:sz w:val="18"/>
                <w:szCs w:val="20"/>
              </w:rPr>
            </w:pPr>
          </w:p>
        </w:tc>
        <w:tc>
          <w:tcPr>
            <w:tcW w:w="2329" w:type="dxa"/>
          </w:tcPr>
          <w:p w14:paraId="7087B91A" w14:textId="77777777" w:rsidR="0061009E" w:rsidRPr="00244441" w:rsidRDefault="0061009E" w:rsidP="0061009E">
            <w:pPr>
              <w:spacing w:before="0" w:line="276" w:lineRule="auto"/>
              <w:rPr>
                <w:rFonts w:eastAsia="Arial"/>
                <w:sz w:val="18"/>
                <w:szCs w:val="20"/>
                <w:lang w:eastAsia="en-US"/>
              </w:rPr>
            </w:pPr>
          </w:p>
        </w:tc>
        <w:tc>
          <w:tcPr>
            <w:tcW w:w="4252" w:type="dxa"/>
          </w:tcPr>
          <w:p w14:paraId="06903DFC" w14:textId="3549285C" w:rsidR="0061009E" w:rsidRPr="00244441" w:rsidRDefault="0061009E" w:rsidP="0061009E">
            <w:pPr>
              <w:spacing w:before="0" w:line="276" w:lineRule="auto"/>
              <w:rPr>
                <w:rFonts w:eastAsia="Arial"/>
                <w:sz w:val="18"/>
                <w:szCs w:val="20"/>
                <w:lang w:eastAsia="en-US"/>
              </w:rPr>
            </w:pPr>
            <w:r w:rsidRPr="00244441">
              <w:rPr>
                <w:rFonts w:eastAsia="Arial"/>
                <w:sz w:val="18"/>
                <w:szCs w:val="20"/>
                <w:lang w:eastAsia="en-US"/>
              </w:rPr>
              <w:t xml:space="preserve">Razmerje med cenami na EU in cenami na svetovnem tržišču za glavne agroživilske produkte </w:t>
            </w:r>
          </w:p>
        </w:tc>
      </w:tr>
    </w:tbl>
    <w:p w14:paraId="2416182B" w14:textId="242F3474" w:rsidR="00244441" w:rsidRDefault="00244441" w:rsidP="00DD135F">
      <w:pPr>
        <w:pStyle w:val="1"/>
      </w:pPr>
    </w:p>
    <w:p w14:paraId="41FBF99E" w14:textId="49AFAC98" w:rsidR="00C940C7" w:rsidRDefault="00C940C7" w:rsidP="00DD135F">
      <w:pPr>
        <w:pStyle w:val="1"/>
      </w:pPr>
    </w:p>
    <w:p w14:paraId="737D2DC4" w14:textId="1C01801F" w:rsidR="001D78A8" w:rsidRDefault="001D78A8">
      <w:pPr>
        <w:spacing w:before="0" w:after="200" w:line="276" w:lineRule="auto"/>
        <w:jc w:val="left"/>
        <w:rPr>
          <w:sz w:val="20"/>
          <w:szCs w:val="20"/>
        </w:rPr>
      </w:pPr>
      <w:r>
        <w:br w:type="page"/>
      </w:r>
    </w:p>
    <w:p w14:paraId="009CF3A4" w14:textId="6EDD02D9" w:rsidR="00C940C7" w:rsidRPr="005B2A49" w:rsidRDefault="001D78A8" w:rsidP="005B2A49">
      <w:pPr>
        <w:pStyle w:val="1"/>
        <w:jc w:val="center"/>
        <w:rPr>
          <w:b/>
          <w:sz w:val="28"/>
        </w:rPr>
      </w:pPr>
      <w:r w:rsidRPr="005B2A49">
        <w:rPr>
          <w:b/>
          <w:sz w:val="28"/>
        </w:rPr>
        <w:lastRenderedPageBreak/>
        <w:t>ANALIZA STANJA</w:t>
      </w:r>
    </w:p>
    <w:p w14:paraId="596DCD65" w14:textId="283224D4" w:rsidR="00141712" w:rsidRPr="00C80370" w:rsidRDefault="00141712" w:rsidP="005B2A49">
      <w:pPr>
        <w:pStyle w:val="Naslov1"/>
      </w:pPr>
      <w:bookmarkStart w:id="10" w:name="_Toc82699972"/>
      <w:bookmarkStart w:id="11" w:name="_Toc82700107"/>
      <w:bookmarkStart w:id="12" w:name="_Toc85104368"/>
      <w:bookmarkStart w:id="13" w:name="_Toc85104475"/>
      <w:bookmarkStart w:id="14" w:name="_Toc85104581"/>
      <w:bookmarkStart w:id="15" w:name="_Toc86822533"/>
      <w:bookmarkEnd w:id="10"/>
      <w:bookmarkEnd w:id="11"/>
      <w:bookmarkEnd w:id="12"/>
      <w:bookmarkEnd w:id="13"/>
      <w:bookmarkEnd w:id="14"/>
      <w:r w:rsidRPr="00C80370">
        <w:t xml:space="preserve">Konkurenčnost in produktivnost </w:t>
      </w:r>
      <w:r w:rsidR="00C80370">
        <w:t xml:space="preserve">gospodarstva in </w:t>
      </w:r>
      <w:r w:rsidRPr="00C80370">
        <w:t>kmetijstva</w:t>
      </w:r>
      <w:r w:rsidR="00717A54" w:rsidRPr="00C80370">
        <w:t xml:space="preserve"> v Sloveniji</w:t>
      </w:r>
      <w:bookmarkEnd w:id="15"/>
    </w:p>
    <w:p w14:paraId="57176A82" w14:textId="77777777" w:rsidR="00141712" w:rsidRDefault="00141712" w:rsidP="00803EB8"/>
    <w:p w14:paraId="47793C09" w14:textId="055337F4" w:rsidR="00274AF8" w:rsidRPr="004C5161" w:rsidRDefault="00CD0826" w:rsidP="00DD616B">
      <w:pPr>
        <w:pStyle w:val="Odstavek1"/>
      </w:pPr>
      <w:r w:rsidRPr="004C5161">
        <w:t>Povečanje konkurenčnosti in tržne usmerjenosti je eden od temeljnih ciljev Skupne kmetijske politike</w:t>
      </w:r>
      <w:r w:rsidR="00154E7B">
        <w:t xml:space="preserve"> (SKP)</w:t>
      </w:r>
      <w:r w:rsidRPr="004C5161">
        <w:t>, ki pa se z Evropskim zelenim dogovorom</w:t>
      </w:r>
      <w:r w:rsidR="006B7C21" w:rsidRPr="006249A0">
        <w:rPr>
          <w:vertAlign w:val="superscript"/>
        </w:rPr>
        <w:footnoteReference w:id="2"/>
      </w:r>
      <w:r w:rsidR="00154E7B">
        <w:t>,</w:t>
      </w:r>
      <w:r w:rsidRPr="004C5161">
        <w:t xml:space="preserve"> Strategijo </w:t>
      </w:r>
      <w:r w:rsidR="006B7C21" w:rsidRPr="004C5161">
        <w:t xml:space="preserve">EU </w:t>
      </w:r>
      <w:r w:rsidRPr="004C5161">
        <w:t xml:space="preserve">»od vil do vilic« </w:t>
      </w:r>
      <w:r w:rsidR="00154E7B">
        <w:t xml:space="preserve">ter Strategijo o biotski raznovrstnosti do 2030 </w:t>
      </w:r>
      <w:r w:rsidRPr="004C5161">
        <w:t>vedno bolj usmerja na pot trajnosti in večje odgovornosti do naravnih virov</w:t>
      </w:r>
      <w:r w:rsidR="001B4B00" w:rsidRPr="004C5161">
        <w:t xml:space="preserve">. </w:t>
      </w:r>
      <w:r w:rsidR="00D9747A" w:rsidRPr="004C5161">
        <w:t xml:space="preserve">Ključne determinante konkurenčnosti se </w:t>
      </w:r>
      <w:r w:rsidR="00D9747A">
        <w:t>ločijo</w:t>
      </w:r>
      <w:r w:rsidR="00D9747A" w:rsidRPr="004C5161">
        <w:t xml:space="preserve"> glede na to, katere lahko obvladujejo </w:t>
      </w:r>
      <w:r w:rsidR="00D9747A">
        <w:t xml:space="preserve">kmetijska gospodarstva </w:t>
      </w:r>
      <w:r w:rsidR="00D9747A" w:rsidRPr="004C5161">
        <w:t>sama (velikost, struktura, socialni kapital: kmetova starost, izobrazbena raven, spol, vložen čas na kmetiji) in katere so izven njihove kontrole ali vpliva (nacionalne faktorske danosti: razpoložljivost delovne sile, zemlje, kapitala, pogoji na strani povpraševanja: okusi, preference prebivalcev, politike, lokacija).</w:t>
      </w:r>
      <w:r w:rsidR="00F16002">
        <w:t xml:space="preserve"> </w:t>
      </w:r>
      <w:r w:rsidR="008C45F1" w:rsidRPr="004C5161">
        <w:t xml:space="preserve">V ospredju </w:t>
      </w:r>
      <w:r w:rsidR="00D9747A">
        <w:t xml:space="preserve">konkurenčnosti je </w:t>
      </w:r>
      <w:r w:rsidR="008C45F1" w:rsidRPr="004C5161">
        <w:t>rast produktivnosti kmetijstva</w:t>
      </w:r>
      <w:r w:rsidR="00D9747A">
        <w:t xml:space="preserve"> ob upoštevanju </w:t>
      </w:r>
      <w:r w:rsidR="00D9747A" w:rsidRPr="004C5161">
        <w:t>učinkovit</w:t>
      </w:r>
      <w:r w:rsidR="00D9747A">
        <w:t>e in odgovornejše</w:t>
      </w:r>
      <w:r w:rsidR="00D9747A" w:rsidRPr="004C5161">
        <w:t xml:space="preserve"> rab</w:t>
      </w:r>
      <w:r w:rsidR="00D9747A">
        <w:t>e</w:t>
      </w:r>
      <w:r w:rsidR="00D9747A" w:rsidRPr="004C5161">
        <w:t xml:space="preserve"> </w:t>
      </w:r>
      <w:r w:rsidR="008C45F1" w:rsidRPr="004C5161">
        <w:t>omejenih naravnih virov</w:t>
      </w:r>
      <w:r w:rsidR="00D9747A">
        <w:t xml:space="preserve"> in izzivov</w:t>
      </w:r>
      <w:r w:rsidR="008C45F1" w:rsidRPr="004C5161">
        <w:t xml:space="preserve"> </w:t>
      </w:r>
      <w:r w:rsidR="00D9747A" w:rsidRPr="004C5161">
        <w:t>podnebn</w:t>
      </w:r>
      <w:r w:rsidR="00D9747A">
        <w:t>ih</w:t>
      </w:r>
      <w:r w:rsidR="00D9747A" w:rsidRPr="004C5161">
        <w:t xml:space="preserve"> </w:t>
      </w:r>
      <w:r w:rsidR="008C45F1" w:rsidRPr="004C5161">
        <w:t xml:space="preserve">sprememb. </w:t>
      </w:r>
      <w:r w:rsidR="00F16002">
        <w:t xml:space="preserve"> </w:t>
      </w:r>
    </w:p>
    <w:p w14:paraId="1100FAFE" w14:textId="77777777" w:rsidR="00274AF8" w:rsidRPr="004C5161" w:rsidRDefault="00274AF8" w:rsidP="00DD616B">
      <w:pPr>
        <w:pStyle w:val="Odstavek1"/>
      </w:pPr>
    </w:p>
    <w:p w14:paraId="4B08999E" w14:textId="77777777" w:rsidR="00574589" w:rsidRDefault="00574589" w:rsidP="009F3567">
      <w:pPr>
        <w:spacing w:before="0" w:line="276" w:lineRule="auto"/>
        <w:rPr>
          <w:sz w:val="20"/>
          <w:szCs w:val="20"/>
        </w:rPr>
      </w:pPr>
    </w:p>
    <w:p w14:paraId="267930CC" w14:textId="0AC6C8EB" w:rsidR="00C80370" w:rsidRDefault="00CE540D" w:rsidP="005B2A49">
      <w:pPr>
        <w:pStyle w:val="Naslov2"/>
      </w:pPr>
      <w:bookmarkStart w:id="16" w:name="_Toc86822534"/>
      <w:r>
        <w:t>Stanje</w:t>
      </w:r>
      <w:r w:rsidR="001B2299">
        <w:t xml:space="preserve"> slovenskega gospodarstva</w:t>
      </w:r>
      <w:bookmarkEnd w:id="16"/>
    </w:p>
    <w:p w14:paraId="5C0D3ECA" w14:textId="77777777" w:rsidR="00C80370" w:rsidRDefault="00C80370" w:rsidP="005B2A49"/>
    <w:p w14:paraId="63E29BDD" w14:textId="697D2C0A" w:rsidR="00C80370" w:rsidRDefault="00C80370" w:rsidP="005B2A49">
      <w:pPr>
        <w:pStyle w:val="Odstavek1"/>
      </w:pPr>
      <w:r w:rsidRPr="00C80370">
        <w:t xml:space="preserve">Gibanja </w:t>
      </w:r>
      <w:r w:rsidR="001B2299">
        <w:t>bruto dodane vrednosti (</w:t>
      </w:r>
      <w:r w:rsidRPr="00C80370">
        <w:t>BDV</w:t>
      </w:r>
      <w:r w:rsidR="001B2299">
        <w:t>)</w:t>
      </w:r>
      <w:r w:rsidRPr="00C80370">
        <w:t xml:space="preserve"> v nekoliko daljšem časovnem obdobju pokažejo na vpliv gospodarsko-finančne krize. BDV slovenskega gospodarstva od leta 2010 do 2019 tako beleži </w:t>
      </w:r>
      <w:r w:rsidR="00275988">
        <w:t xml:space="preserve">najprej </w:t>
      </w:r>
      <w:r w:rsidRPr="00C80370">
        <w:t>stagnacijo</w:t>
      </w:r>
      <w:r w:rsidR="00F16002">
        <w:t>, p</w:t>
      </w:r>
      <w:r w:rsidRPr="00C80370">
        <w:t xml:space="preserve">o koncu krize in povečevanju gospodarske aktivnosti pa se je vrednost BDV leta </w:t>
      </w:r>
      <w:r w:rsidRPr="009755A8">
        <w:t xml:space="preserve">2014 </w:t>
      </w:r>
      <w:r w:rsidR="00F16002">
        <w:t xml:space="preserve">spet </w:t>
      </w:r>
      <w:r w:rsidRPr="009755A8">
        <w:t xml:space="preserve">začela dvigovati in je leta 2019 dosegla vrednost 41.882 mio EUR. </w:t>
      </w:r>
      <w:r w:rsidR="00275988">
        <w:t>BDV</w:t>
      </w:r>
      <w:r w:rsidR="00275988" w:rsidRPr="00DE12FE">
        <w:t xml:space="preserve"> se je od leta 2010 povečala za 32,1 %. Delež podeželskih regij v BDV v letu 2017 je bil 48,73 % in je stabilen (</w:t>
      </w:r>
      <w:r w:rsidR="00275988" w:rsidRPr="00DE12FE">
        <w:fldChar w:fldCharType="begin"/>
      </w:r>
      <w:r w:rsidR="00275988" w:rsidRPr="00DE12FE">
        <w:instrText xml:space="preserve"> REF _Ref29976879 \h  \* MERGEFORMAT </w:instrText>
      </w:r>
      <w:r w:rsidR="00275988" w:rsidRPr="00DE12FE">
        <w:fldChar w:fldCharType="separate"/>
      </w:r>
      <w:r w:rsidR="0088117A">
        <w:t>Tabela</w:t>
      </w:r>
      <w:r w:rsidR="0088117A" w:rsidRPr="003D6FF8">
        <w:t xml:space="preserve"> </w:t>
      </w:r>
      <w:r w:rsidR="00275988" w:rsidRPr="00DE12FE">
        <w:fldChar w:fldCharType="end"/>
      </w:r>
      <w:r w:rsidR="00275988">
        <w:t>10</w:t>
      </w:r>
      <w:r w:rsidR="00275988" w:rsidRPr="00DE12FE">
        <w:t>; Vir: EUROSTAT).</w:t>
      </w:r>
    </w:p>
    <w:p w14:paraId="6FDB8468" w14:textId="77777777" w:rsidR="001B2299" w:rsidRPr="00EC2DD0" w:rsidRDefault="001B2299" w:rsidP="005B2A49">
      <w:pPr>
        <w:pStyle w:val="Odstavek1"/>
      </w:pPr>
    </w:p>
    <w:p w14:paraId="078268C5" w14:textId="730A0E0F" w:rsidR="00C80370" w:rsidRPr="00BF3692" w:rsidRDefault="00C80370" w:rsidP="005B2A49">
      <w:pPr>
        <w:pStyle w:val="Odstavek1"/>
      </w:pPr>
      <w:r w:rsidRPr="00EC2DD0">
        <w:t xml:space="preserve">Gospodarska rast se je v letu 2019 </w:t>
      </w:r>
      <w:r w:rsidR="00F16002">
        <w:t xml:space="preserve">nato </w:t>
      </w:r>
      <w:r w:rsidRPr="00EC2DD0">
        <w:t xml:space="preserve">precej umirila. Bruto domači proizvod </w:t>
      </w:r>
      <w:r w:rsidR="00275988">
        <w:t xml:space="preserve">(BDP) </w:t>
      </w:r>
      <w:r w:rsidRPr="00EC2DD0">
        <w:t>se je povečal za 2,4 %, kar je opazno manj kot v predhodnih dveh letih (2017: 4,8 %; 2018: 4,1 %). Kljub temu je bila rast slovenskega gospodarstva v letu 2019 visoka in nad povprečjem EU (UMAR, 2019; UMAR 2020). H gospodarski rasti je še naprej prispevalo stabilno povečevanje zasebne potrošnje (realno večja za 2,7 %; leta 2018: 2,8 %), kar je predvsem rezultat raz</w:t>
      </w:r>
      <w:r w:rsidRPr="00BF3692">
        <w:t>meroma visoke stopnje zaposlenosti ter rasti plač in socialnih transferjev. Predvsem zaradi upočasnitve gospodarske rasti v trgovinskih partnericah pa se je upočasnila rast izvoza (realno večji za 4,4 %; leta 2018: 6,1 %). Tudi pri investicijah v opremo in stroje ter pri gradbenih investicijah je bila zabeležena upočasnitev rasti. Realna rast bruto investicij v osnovna sredstva je znašala 3,2 % (leta 2018: 9,1 %).</w:t>
      </w:r>
    </w:p>
    <w:p w14:paraId="2CEE2259" w14:textId="49980A14" w:rsidR="00EC2DD0" w:rsidRPr="00871B06" w:rsidRDefault="00EC2DD0" w:rsidP="00871B06">
      <w:pPr>
        <w:pStyle w:val="SCPreglednica0"/>
      </w:pPr>
      <w:bookmarkStart w:id="17" w:name="_Toc55913720"/>
      <w:bookmarkStart w:id="18" w:name="_Toc86822640"/>
      <w:r w:rsidRPr="00871B06">
        <w:lastRenderedPageBreak/>
        <w:t xml:space="preserve">Tabela </w:t>
      </w:r>
      <w:r w:rsidR="003453AC">
        <w:rPr>
          <w:noProof/>
        </w:rPr>
        <w:fldChar w:fldCharType="begin"/>
      </w:r>
      <w:r w:rsidR="003453AC">
        <w:rPr>
          <w:noProof/>
        </w:rPr>
        <w:instrText xml:space="preserve"> SEQ Tabela \* ARABIC </w:instrText>
      </w:r>
      <w:r w:rsidR="003453AC">
        <w:rPr>
          <w:noProof/>
        </w:rPr>
        <w:fldChar w:fldCharType="separate"/>
      </w:r>
      <w:r w:rsidR="0088117A">
        <w:rPr>
          <w:noProof/>
        </w:rPr>
        <w:t>2</w:t>
      </w:r>
      <w:r w:rsidR="003453AC">
        <w:rPr>
          <w:noProof/>
        </w:rPr>
        <w:fldChar w:fldCharType="end"/>
      </w:r>
      <w:r w:rsidRPr="00871B06">
        <w:t>: Pregled gospodarskih gibanj 2014–2019</w:t>
      </w:r>
      <w:bookmarkEnd w:id="17"/>
      <w:bookmarkEnd w:id="18"/>
    </w:p>
    <w:tbl>
      <w:tblPr>
        <w:tblW w:w="9423" w:type="dxa"/>
        <w:tblInd w:w="70" w:type="dxa"/>
        <w:tblCellMar>
          <w:left w:w="70" w:type="dxa"/>
          <w:right w:w="70" w:type="dxa"/>
        </w:tblCellMar>
        <w:tblLook w:val="04A0" w:firstRow="1" w:lastRow="0" w:firstColumn="1" w:lastColumn="0" w:noHBand="0" w:noVBand="1"/>
      </w:tblPr>
      <w:tblGrid>
        <w:gridCol w:w="3327"/>
        <w:gridCol w:w="993"/>
        <w:gridCol w:w="1134"/>
        <w:gridCol w:w="850"/>
        <w:gridCol w:w="992"/>
        <w:gridCol w:w="993"/>
        <w:gridCol w:w="1134"/>
      </w:tblGrid>
      <w:tr w:rsidR="00EC2DD0" w:rsidRPr="00F16002" w14:paraId="7FDC3BFA" w14:textId="77777777" w:rsidTr="006544EB">
        <w:trPr>
          <w:trHeight w:val="450"/>
        </w:trPr>
        <w:tc>
          <w:tcPr>
            <w:tcW w:w="332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6A87F62"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 </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14:paraId="492B9E47"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2014</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2963F52B"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2015</w:t>
            </w:r>
          </w:p>
        </w:tc>
        <w:tc>
          <w:tcPr>
            <w:tcW w:w="850" w:type="dxa"/>
            <w:tcBorders>
              <w:top w:val="single" w:sz="4" w:space="0" w:color="auto"/>
              <w:left w:val="nil"/>
              <w:bottom w:val="single" w:sz="4" w:space="0" w:color="auto"/>
              <w:right w:val="single" w:sz="4" w:space="0" w:color="auto"/>
            </w:tcBorders>
            <w:shd w:val="clear" w:color="000000" w:fill="92D050"/>
            <w:vAlign w:val="center"/>
            <w:hideMark/>
          </w:tcPr>
          <w:p w14:paraId="7AC13142"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2016</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608BAB7C"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2017</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14:paraId="693E8D49"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2018</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1FBF102C" w14:textId="77777777" w:rsidR="00EC2DD0" w:rsidRPr="005B2A49" w:rsidRDefault="00EC2DD0" w:rsidP="006544EB">
            <w:pPr>
              <w:keepNext/>
              <w:keepLines/>
              <w:jc w:val="center"/>
              <w:rPr>
                <w:b/>
                <w:bCs/>
                <w:color w:val="000000"/>
                <w:sz w:val="18"/>
                <w:szCs w:val="18"/>
                <w:lang w:eastAsia="sl-SI"/>
              </w:rPr>
            </w:pPr>
            <w:r w:rsidRPr="005B2A49">
              <w:rPr>
                <w:b/>
                <w:bCs/>
                <w:color w:val="000000"/>
                <w:sz w:val="18"/>
                <w:szCs w:val="18"/>
                <w:lang w:eastAsia="sl-SI"/>
              </w:rPr>
              <w:t>2019</w:t>
            </w:r>
          </w:p>
        </w:tc>
      </w:tr>
      <w:tr w:rsidR="00EC2DD0" w:rsidRPr="00F16002" w14:paraId="3F68DCA2" w14:textId="77777777" w:rsidTr="006544EB">
        <w:trPr>
          <w:trHeight w:val="15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EF5D769"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Realne stopnje rasti BDP (%)</w:t>
            </w:r>
          </w:p>
        </w:tc>
        <w:tc>
          <w:tcPr>
            <w:tcW w:w="993" w:type="dxa"/>
            <w:tcBorders>
              <w:top w:val="nil"/>
              <w:left w:val="nil"/>
              <w:bottom w:val="single" w:sz="4" w:space="0" w:color="auto"/>
              <w:right w:val="single" w:sz="4" w:space="0" w:color="auto"/>
            </w:tcBorders>
            <w:shd w:val="clear" w:color="auto" w:fill="auto"/>
            <w:vAlign w:val="center"/>
            <w:hideMark/>
          </w:tcPr>
          <w:p w14:paraId="7855BF11"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2,8</w:t>
            </w:r>
          </w:p>
        </w:tc>
        <w:tc>
          <w:tcPr>
            <w:tcW w:w="1134" w:type="dxa"/>
            <w:tcBorders>
              <w:top w:val="nil"/>
              <w:left w:val="nil"/>
              <w:bottom w:val="single" w:sz="4" w:space="0" w:color="auto"/>
              <w:right w:val="single" w:sz="4" w:space="0" w:color="auto"/>
            </w:tcBorders>
            <w:shd w:val="clear" w:color="auto" w:fill="auto"/>
            <w:vAlign w:val="center"/>
            <w:hideMark/>
          </w:tcPr>
          <w:p w14:paraId="0C8FECE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2,2</w:t>
            </w:r>
          </w:p>
        </w:tc>
        <w:tc>
          <w:tcPr>
            <w:tcW w:w="850" w:type="dxa"/>
            <w:tcBorders>
              <w:top w:val="nil"/>
              <w:left w:val="nil"/>
              <w:bottom w:val="single" w:sz="4" w:space="0" w:color="auto"/>
              <w:right w:val="single" w:sz="4" w:space="0" w:color="auto"/>
            </w:tcBorders>
            <w:shd w:val="clear" w:color="auto" w:fill="auto"/>
            <w:vAlign w:val="center"/>
            <w:hideMark/>
          </w:tcPr>
          <w:p w14:paraId="0880525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3,1</w:t>
            </w:r>
          </w:p>
        </w:tc>
        <w:tc>
          <w:tcPr>
            <w:tcW w:w="992" w:type="dxa"/>
            <w:tcBorders>
              <w:top w:val="nil"/>
              <w:left w:val="nil"/>
              <w:bottom w:val="single" w:sz="4" w:space="0" w:color="auto"/>
              <w:right w:val="single" w:sz="4" w:space="0" w:color="auto"/>
            </w:tcBorders>
            <w:shd w:val="clear" w:color="auto" w:fill="auto"/>
            <w:vAlign w:val="center"/>
            <w:hideMark/>
          </w:tcPr>
          <w:p w14:paraId="3DE3366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4,8</w:t>
            </w:r>
          </w:p>
        </w:tc>
        <w:tc>
          <w:tcPr>
            <w:tcW w:w="993" w:type="dxa"/>
            <w:tcBorders>
              <w:top w:val="nil"/>
              <w:left w:val="nil"/>
              <w:bottom w:val="single" w:sz="4" w:space="0" w:color="auto"/>
              <w:right w:val="single" w:sz="4" w:space="0" w:color="auto"/>
            </w:tcBorders>
            <w:shd w:val="clear" w:color="auto" w:fill="auto"/>
            <w:vAlign w:val="center"/>
            <w:hideMark/>
          </w:tcPr>
          <w:p w14:paraId="50AA2D9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4,1</w:t>
            </w:r>
          </w:p>
        </w:tc>
        <w:tc>
          <w:tcPr>
            <w:tcW w:w="1134" w:type="dxa"/>
            <w:tcBorders>
              <w:top w:val="nil"/>
              <w:left w:val="nil"/>
              <w:bottom w:val="single" w:sz="4" w:space="0" w:color="auto"/>
              <w:right w:val="single" w:sz="4" w:space="0" w:color="auto"/>
            </w:tcBorders>
            <w:shd w:val="clear" w:color="auto" w:fill="auto"/>
            <w:vAlign w:val="center"/>
            <w:hideMark/>
          </w:tcPr>
          <w:p w14:paraId="2BA3A11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2,4</w:t>
            </w:r>
          </w:p>
        </w:tc>
      </w:tr>
      <w:tr w:rsidR="00EC2DD0" w:rsidRPr="00F16002" w14:paraId="36683DB0" w14:textId="77777777" w:rsidTr="006544EB">
        <w:trPr>
          <w:trHeight w:val="16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4E4F96F"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BDP (mio EUR)</w:t>
            </w:r>
          </w:p>
        </w:tc>
        <w:tc>
          <w:tcPr>
            <w:tcW w:w="993" w:type="dxa"/>
            <w:tcBorders>
              <w:top w:val="nil"/>
              <w:left w:val="nil"/>
              <w:bottom w:val="single" w:sz="4" w:space="0" w:color="auto"/>
              <w:right w:val="single" w:sz="4" w:space="0" w:color="auto"/>
            </w:tcBorders>
            <w:shd w:val="clear" w:color="auto" w:fill="auto"/>
            <w:vAlign w:val="center"/>
            <w:hideMark/>
          </w:tcPr>
          <w:p w14:paraId="4F41F53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37.634</w:t>
            </w:r>
          </w:p>
        </w:tc>
        <w:tc>
          <w:tcPr>
            <w:tcW w:w="1134" w:type="dxa"/>
            <w:tcBorders>
              <w:top w:val="nil"/>
              <w:left w:val="nil"/>
              <w:bottom w:val="single" w:sz="4" w:space="0" w:color="auto"/>
              <w:right w:val="single" w:sz="4" w:space="0" w:color="auto"/>
            </w:tcBorders>
            <w:shd w:val="clear" w:color="auto" w:fill="auto"/>
            <w:vAlign w:val="center"/>
            <w:hideMark/>
          </w:tcPr>
          <w:p w14:paraId="3068E2F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38.853</w:t>
            </w:r>
          </w:p>
        </w:tc>
        <w:tc>
          <w:tcPr>
            <w:tcW w:w="850" w:type="dxa"/>
            <w:tcBorders>
              <w:top w:val="nil"/>
              <w:left w:val="nil"/>
              <w:bottom w:val="single" w:sz="4" w:space="0" w:color="auto"/>
              <w:right w:val="single" w:sz="4" w:space="0" w:color="auto"/>
            </w:tcBorders>
            <w:shd w:val="clear" w:color="auto" w:fill="auto"/>
            <w:vAlign w:val="center"/>
            <w:hideMark/>
          </w:tcPr>
          <w:p w14:paraId="42D73EF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40.367</w:t>
            </w:r>
          </w:p>
        </w:tc>
        <w:tc>
          <w:tcPr>
            <w:tcW w:w="992" w:type="dxa"/>
            <w:tcBorders>
              <w:top w:val="nil"/>
              <w:left w:val="nil"/>
              <w:bottom w:val="single" w:sz="4" w:space="0" w:color="auto"/>
              <w:right w:val="single" w:sz="4" w:space="0" w:color="auto"/>
            </w:tcBorders>
            <w:shd w:val="clear" w:color="auto" w:fill="auto"/>
            <w:vAlign w:val="center"/>
            <w:hideMark/>
          </w:tcPr>
          <w:p w14:paraId="5696AC5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42.987</w:t>
            </w:r>
          </w:p>
        </w:tc>
        <w:tc>
          <w:tcPr>
            <w:tcW w:w="993" w:type="dxa"/>
            <w:tcBorders>
              <w:top w:val="nil"/>
              <w:left w:val="nil"/>
              <w:bottom w:val="single" w:sz="4" w:space="0" w:color="auto"/>
              <w:right w:val="single" w:sz="4" w:space="0" w:color="auto"/>
            </w:tcBorders>
            <w:shd w:val="clear" w:color="auto" w:fill="auto"/>
            <w:vAlign w:val="center"/>
            <w:hideMark/>
          </w:tcPr>
          <w:p w14:paraId="6D5F85E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45.755</w:t>
            </w:r>
          </w:p>
        </w:tc>
        <w:tc>
          <w:tcPr>
            <w:tcW w:w="1134" w:type="dxa"/>
            <w:tcBorders>
              <w:top w:val="nil"/>
              <w:left w:val="nil"/>
              <w:bottom w:val="single" w:sz="4" w:space="0" w:color="auto"/>
              <w:right w:val="single" w:sz="4" w:space="0" w:color="auto"/>
            </w:tcBorders>
            <w:shd w:val="clear" w:color="auto" w:fill="auto"/>
            <w:vAlign w:val="center"/>
            <w:hideMark/>
          </w:tcPr>
          <w:p w14:paraId="04A12DD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48.007</w:t>
            </w:r>
          </w:p>
        </w:tc>
      </w:tr>
      <w:tr w:rsidR="00EC2DD0" w:rsidRPr="00F16002" w14:paraId="1D72DC84" w14:textId="77777777" w:rsidTr="006544EB">
        <w:trPr>
          <w:trHeight w:val="308"/>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581365B3"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Bruto dodana vrednost po dejavnostih (mio EUR)</w:t>
            </w:r>
          </w:p>
        </w:tc>
        <w:tc>
          <w:tcPr>
            <w:tcW w:w="993" w:type="dxa"/>
            <w:tcBorders>
              <w:top w:val="nil"/>
              <w:left w:val="nil"/>
              <w:bottom w:val="single" w:sz="4" w:space="0" w:color="auto"/>
              <w:right w:val="single" w:sz="4" w:space="0" w:color="auto"/>
            </w:tcBorders>
            <w:shd w:val="clear" w:color="auto" w:fill="auto"/>
            <w:vAlign w:val="center"/>
            <w:hideMark/>
          </w:tcPr>
          <w:p w14:paraId="7B3158E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32.532</w:t>
            </w:r>
          </w:p>
        </w:tc>
        <w:tc>
          <w:tcPr>
            <w:tcW w:w="1134" w:type="dxa"/>
            <w:tcBorders>
              <w:top w:val="nil"/>
              <w:left w:val="nil"/>
              <w:bottom w:val="single" w:sz="4" w:space="0" w:color="auto"/>
              <w:right w:val="single" w:sz="4" w:space="0" w:color="auto"/>
            </w:tcBorders>
            <w:shd w:val="clear" w:color="auto" w:fill="auto"/>
            <w:vAlign w:val="center"/>
            <w:hideMark/>
          </w:tcPr>
          <w:p w14:paraId="2F2D27D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33.592</w:t>
            </w:r>
          </w:p>
        </w:tc>
        <w:tc>
          <w:tcPr>
            <w:tcW w:w="850" w:type="dxa"/>
            <w:tcBorders>
              <w:top w:val="nil"/>
              <w:left w:val="nil"/>
              <w:bottom w:val="single" w:sz="4" w:space="0" w:color="auto"/>
              <w:right w:val="single" w:sz="4" w:space="0" w:color="auto"/>
            </w:tcBorders>
            <w:shd w:val="clear" w:color="auto" w:fill="auto"/>
            <w:vAlign w:val="center"/>
            <w:hideMark/>
          </w:tcPr>
          <w:p w14:paraId="725ED96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34.953</w:t>
            </w:r>
          </w:p>
        </w:tc>
        <w:tc>
          <w:tcPr>
            <w:tcW w:w="992" w:type="dxa"/>
            <w:tcBorders>
              <w:top w:val="nil"/>
              <w:left w:val="nil"/>
              <w:bottom w:val="single" w:sz="4" w:space="0" w:color="auto"/>
              <w:right w:val="single" w:sz="4" w:space="0" w:color="auto"/>
            </w:tcBorders>
            <w:shd w:val="clear" w:color="auto" w:fill="auto"/>
            <w:vAlign w:val="center"/>
            <w:hideMark/>
          </w:tcPr>
          <w:p w14:paraId="3BC6D38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37.350</w:t>
            </w:r>
          </w:p>
        </w:tc>
        <w:tc>
          <w:tcPr>
            <w:tcW w:w="993" w:type="dxa"/>
            <w:tcBorders>
              <w:top w:val="nil"/>
              <w:left w:val="nil"/>
              <w:bottom w:val="single" w:sz="4" w:space="0" w:color="auto"/>
              <w:right w:val="single" w:sz="4" w:space="0" w:color="auto"/>
            </w:tcBorders>
            <w:shd w:val="clear" w:color="auto" w:fill="auto"/>
            <w:vAlign w:val="center"/>
            <w:hideMark/>
          </w:tcPr>
          <w:p w14:paraId="55AEBCB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39.839</w:t>
            </w:r>
          </w:p>
        </w:tc>
        <w:tc>
          <w:tcPr>
            <w:tcW w:w="1134" w:type="dxa"/>
            <w:tcBorders>
              <w:top w:val="nil"/>
              <w:left w:val="nil"/>
              <w:bottom w:val="single" w:sz="4" w:space="0" w:color="auto"/>
              <w:right w:val="single" w:sz="4" w:space="0" w:color="auto"/>
            </w:tcBorders>
            <w:shd w:val="clear" w:color="auto" w:fill="auto"/>
            <w:vAlign w:val="center"/>
            <w:hideMark/>
          </w:tcPr>
          <w:p w14:paraId="2B8B637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41.882</w:t>
            </w:r>
          </w:p>
        </w:tc>
      </w:tr>
      <w:tr w:rsidR="00EC2DD0" w:rsidRPr="00F16002" w14:paraId="7200B995" w14:textId="77777777" w:rsidTr="006544EB">
        <w:trPr>
          <w:trHeight w:val="57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5A826E19"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 xml:space="preserve">Struktura dodane vrednosti: </w:t>
            </w:r>
            <w:r w:rsidRPr="005B2A49">
              <w:rPr>
                <w:color w:val="000000"/>
                <w:sz w:val="18"/>
                <w:szCs w:val="18"/>
                <w:lang w:eastAsia="sl-SI"/>
              </w:rPr>
              <w:br/>
              <w:t>– kmetijstvo, gozdarstvo, ribištvo (A) (%)</w:t>
            </w:r>
          </w:p>
        </w:tc>
        <w:tc>
          <w:tcPr>
            <w:tcW w:w="993" w:type="dxa"/>
            <w:tcBorders>
              <w:top w:val="nil"/>
              <w:left w:val="nil"/>
              <w:bottom w:val="single" w:sz="4" w:space="0" w:color="auto"/>
              <w:right w:val="single" w:sz="4" w:space="0" w:color="auto"/>
            </w:tcBorders>
            <w:shd w:val="clear" w:color="auto" w:fill="auto"/>
            <w:vAlign w:val="center"/>
            <w:hideMark/>
          </w:tcPr>
          <w:p w14:paraId="58C68D1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2,3</w:t>
            </w:r>
          </w:p>
        </w:tc>
        <w:tc>
          <w:tcPr>
            <w:tcW w:w="1134" w:type="dxa"/>
            <w:tcBorders>
              <w:top w:val="nil"/>
              <w:left w:val="nil"/>
              <w:bottom w:val="single" w:sz="4" w:space="0" w:color="auto"/>
              <w:right w:val="single" w:sz="4" w:space="0" w:color="auto"/>
            </w:tcBorders>
            <w:shd w:val="clear" w:color="auto" w:fill="auto"/>
            <w:vAlign w:val="center"/>
            <w:hideMark/>
          </w:tcPr>
          <w:p w14:paraId="5420C88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2,4</w:t>
            </w:r>
          </w:p>
        </w:tc>
        <w:tc>
          <w:tcPr>
            <w:tcW w:w="850" w:type="dxa"/>
            <w:tcBorders>
              <w:top w:val="nil"/>
              <w:left w:val="nil"/>
              <w:bottom w:val="single" w:sz="4" w:space="0" w:color="auto"/>
              <w:right w:val="single" w:sz="4" w:space="0" w:color="auto"/>
            </w:tcBorders>
            <w:shd w:val="clear" w:color="auto" w:fill="auto"/>
            <w:vAlign w:val="center"/>
            <w:hideMark/>
          </w:tcPr>
          <w:p w14:paraId="08B912C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2,3</w:t>
            </w:r>
          </w:p>
        </w:tc>
        <w:tc>
          <w:tcPr>
            <w:tcW w:w="992" w:type="dxa"/>
            <w:tcBorders>
              <w:top w:val="nil"/>
              <w:left w:val="nil"/>
              <w:bottom w:val="single" w:sz="4" w:space="0" w:color="auto"/>
              <w:right w:val="single" w:sz="4" w:space="0" w:color="auto"/>
            </w:tcBorders>
            <w:shd w:val="clear" w:color="auto" w:fill="auto"/>
            <w:vAlign w:val="center"/>
            <w:hideMark/>
          </w:tcPr>
          <w:p w14:paraId="3F12E158"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2,1</w:t>
            </w:r>
          </w:p>
        </w:tc>
        <w:tc>
          <w:tcPr>
            <w:tcW w:w="993" w:type="dxa"/>
            <w:tcBorders>
              <w:top w:val="nil"/>
              <w:left w:val="nil"/>
              <w:bottom w:val="single" w:sz="4" w:space="0" w:color="auto"/>
              <w:right w:val="single" w:sz="4" w:space="0" w:color="auto"/>
            </w:tcBorders>
            <w:shd w:val="clear" w:color="auto" w:fill="auto"/>
            <w:vAlign w:val="center"/>
            <w:hideMark/>
          </w:tcPr>
          <w:p w14:paraId="525BC08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2,4</w:t>
            </w:r>
          </w:p>
        </w:tc>
        <w:tc>
          <w:tcPr>
            <w:tcW w:w="1134" w:type="dxa"/>
            <w:tcBorders>
              <w:top w:val="nil"/>
              <w:left w:val="nil"/>
              <w:bottom w:val="single" w:sz="4" w:space="0" w:color="auto"/>
              <w:right w:val="single" w:sz="4" w:space="0" w:color="auto"/>
            </w:tcBorders>
            <w:shd w:val="clear" w:color="auto" w:fill="auto"/>
            <w:vAlign w:val="center"/>
            <w:hideMark/>
          </w:tcPr>
          <w:p w14:paraId="24F54FBD"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2,3</w:t>
            </w:r>
          </w:p>
        </w:tc>
      </w:tr>
      <w:tr w:rsidR="00EC2DD0" w:rsidRPr="00F16002" w14:paraId="6C596E6C"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0DC849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 industrija (B, C, D, E) (%)</w:t>
            </w:r>
          </w:p>
        </w:tc>
        <w:tc>
          <w:tcPr>
            <w:tcW w:w="993" w:type="dxa"/>
            <w:tcBorders>
              <w:top w:val="nil"/>
              <w:left w:val="nil"/>
              <w:bottom w:val="single" w:sz="4" w:space="0" w:color="auto"/>
              <w:right w:val="single" w:sz="4" w:space="0" w:color="auto"/>
            </w:tcBorders>
            <w:shd w:val="clear" w:color="auto" w:fill="auto"/>
            <w:vAlign w:val="center"/>
            <w:hideMark/>
          </w:tcPr>
          <w:p w14:paraId="46D83BB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26,9</w:t>
            </w:r>
          </w:p>
        </w:tc>
        <w:tc>
          <w:tcPr>
            <w:tcW w:w="1134" w:type="dxa"/>
            <w:tcBorders>
              <w:top w:val="nil"/>
              <w:left w:val="nil"/>
              <w:bottom w:val="single" w:sz="4" w:space="0" w:color="auto"/>
              <w:right w:val="single" w:sz="4" w:space="0" w:color="auto"/>
            </w:tcBorders>
            <w:shd w:val="clear" w:color="auto" w:fill="auto"/>
            <w:vAlign w:val="center"/>
            <w:hideMark/>
          </w:tcPr>
          <w:p w14:paraId="7077127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27</w:t>
            </w:r>
          </w:p>
        </w:tc>
        <w:tc>
          <w:tcPr>
            <w:tcW w:w="850" w:type="dxa"/>
            <w:tcBorders>
              <w:top w:val="nil"/>
              <w:left w:val="nil"/>
              <w:bottom w:val="single" w:sz="4" w:space="0" w:color="auto"/>
              <w:right w:val="single" w:sz="4" w:space="0" w:color="auto"/>
            </w:tcBorders>
            <w:shd w:val="clear" w:color="auto" w:fill="auto"/>
            <w:vAlign w:val="center"/>
            <w:hideMark/>
          </w:tcPr>
          <w:p w14:paraId="230D957D"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27,1</w:t>
            </w:r>
          </w:p>
        </w:tc>
        <w:tc>
          <w:tcPr>
            <w:tcW w:w="992" w:type="dxa"/>
            <w:tcBorders>
              <w:top w:val="nil"/>
              <w:left w:val="nil"/>
              <w:bottom w:val="single" w:sz="4" w:space="0" w:color="auto"/>
              <w:right w:val="single" w:sz="4" w:space="0" w:color="auto"/>
            </w:tcBorders>
            <w:shd w:val="clear" w:color="auto" w:fill="auto"/>
            <w:vAlign w:val="center"/>
            <w:hideMark/>
          </w:tcPr>
          <w:p w14:paraId="5B2C9FE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27,3</w:t>
            </w:r>
          </w:p>
        </w:tc>
        <w:tc>
          <w:tcPr>
            <w:tcW w:w="993" w:type="dxa"/>
            <w:tcBorders>
              <w:top w:val="nil"/>
              <w:left w:val="nil"/>
              <w:bottom w:val="single" w:sz="4" w:space="0" w:color="auto"/>
              <w:right w:val="single" w:sz="4" w:space="0" w:color="auto"/>
            </w:tcBorders>
            <w:shd w:val="clear" w:color="auto" w:fill="auto"/>
            <w:vAlign w:val="center"/>
            <w:hideMark/>
          </w:tcPr>
          <w:p w14:paraId="59FFED7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26,9</w:t>
            </w:r>
          </w:p>
        </w:tc>
        <w:tc>
          <w:tcPr>
            <w:tcW w:w="1134" w:type="dxa"/>
            <w:tcBorders>
              <w:top w:val="nil"/>
              <w:left w:val="nil"/>
              <w:bottom w:val="single" w:sz="4" w:space="0" w:color="auto"/>
              <w:right w:val="single" w:sz="4" w:space="0" w:color="auto"/>
            </w:tcBorders>
            <w:shd w:val="clear" w:color="auto" w:fill="auto"/>
            <w:vAlign w:val="center"/>
            <w:hideMark/>
          </w:tcPr>
          <w:p w14:paraId="4A45A1B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26,7</w:t>
            </w:r>
          </w:p>
        </w:tc>
      </w:tr>
      <w:tr w:rsidR="00EC2DD0" w:rsidRPr="00F16002" w14:paraId="4CBD8235"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DEE24F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 gradbeništvo (F) (%)</w:t>
            </w:r>
          </w:p>
        </w:tc>
        <w:tc>
          <w:tcPr>
            <w:tcW w:w="993" w:type="dxa"/>
            <w:tcBorders>
              <w:top w:val="nil"/>
              <w:left w:val="nil"/>
              <w:bottom w:val="single" w:sz="4" w:space="0" w:color="auto"/>
              <w:right w:val="single" w:sz="4" w:space="0" w:color="auto"/>
            </w:tcBorders>
            <w:shd w:val="clear" w:color="auto" w:fill="auto"/>
            <w:vAlign w:val="center"/>
            <w:hideMark/>
          </w:tcPr>
          <w:p w14:paraId="740DCC3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5,7</w:t>
            </w:r>
          </w:p>
        </w:tc>
        <w:tc>
          <w:tcPr>
            <w:tcW w:w="1134" w:type="dxa"/>
            <w:tcBorders>
              <w:top w:val="nil"/>
              <w:left w:val="nil"/>
              <w:bottom w:val="single" w:sz="4" w:space="0" w:color="auto"/>
              <w:right w:val="single" w:sz="4" w:space="0" w:color="auto"/>
            </w:tcBorders>
            <w:shd w:val="clear" w:color="auto" w:fill="auto"/>
            <w:vAlign w:val="center"/>
            <w:hideMark/>
          </w:tcPr>
          <w:p w14:paraId="5060065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5,4</w:t>
            </w:r>
          </w:p>
        </w:tc>
        <w:tc>
          <w:tcPr>
            <w:tcW w:w="850" w:type="dxa"/>
            <w:tcBorders>
              <w:top w:val="nil"/>
              <w:left w:val="nil"/>
              <w:bottom w:val="single" w:sz="4" w:space="0" w:color="auto"/>
              <w:right w:val="single" w:sz="4" w:space="0" w:color="auto"/>
            </w:tcBorders>
            <w:shd w:val="clear" w:color="auto" w:fill="auto"/>
            <w:vAlign w:val="center"/>
            <w:hideMark/>
          </w:tcPr>
          <w:p w14:paraId="0EDFFF7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5,2</w:t>
            </w:r>
          </w:p>
        </w:tc>
        <w:tc>
          <w:tcPr>
            <w:tcW w:w="992" w:type="dxa"/>
            <w:tcBorders>
              <w:top w:val="nil"/>
              <w:left w:val="nil"/>
              <w:bottom w:val="single" w:sz="4" w:space="0" w:color="auto"/>
              <w:right w:val="single" w:sz="4" w:space="0" w:color="auto"/>
            </w:tcBorders>
            <w:shd w:val="clear" w:color="auto" w:fill="auto"/>
            <w:vAlign w:val="center"/>
            <w:hideMark/>
          </w:tcPr>
          <w:p w14:paraId="42583320"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5,4</w:t>
            </w:r>
          </w:p>
        </w:tc>
        <w:tc>
          <w:tcPr>
            <w:tcW w:w="993" w:type="dxa"/>
            <w:tcBorders>
              <w:top w:val="nil"/>
              <w:left w:val="nil"/>
              <w:bottom w:val="single" w:sz="4" w:space="0" w:color="auto"/>
              <w:right w:val="single" w:sz="4" w:space="0" w:color="auto"/>
            </w:tcBorders>
            <w:shd w:val="clear" w:color="auto" w:fill="auto"/>
            <w:vAlign w:val="center"/>
            <w:hideMark/>
          </w:tcPr>
          <w:p w14:paraId="4CAE239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5,7</w:t>
            </w:r>
          </w:p>
        </w:tc>
        <w:tc>
          <w:tcPr>
            <w:tcW w:w="1134" w:type="dxa"/>
            <w:tcBorders>
              <w:top w:val="nil"/>
              <w:left w:val="nil"/>
              <w:bottom w:val="single" w:sz="4" w:space="0" w:color="auto"/>
              <w:right w:val="single" w:sz="4" w:space="0" w:color="auto"/>
            </w:tcBorders>
            <w:shd w:val="clear" w:color="auto" w:fill="auto"/>
            <w:vAlign w:val="center"/>
            <w:hideMark/>
          </w:tcPr>
          <w:p w14:paraId="4F99722A"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5,8</w:t>
            </w:r>
          </w:p>
        </w:tc>
      </w:tr>
      <w:tr w:rsidR="00EC2DD0" w:rsidRPr="00F16002" w14:paraId="0A4575ED"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1D391A00"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 storitve (G do U) (%)</w:t>
            </w:r>
          </w:p>
        </w:tc>
        <w:tc>
          <w:tcPr>
            <w:tcW w:w="993" w:type="dxa"/>
            <w:tcBorders>
              <w:top w:val="nil"/>
              <w:left w:val="nil"/>
              <w:bottom w:val="single" w:sz="4" w:space="0" w:color="auto"/>
              <w:right w:val="single" w:sz="4" w:space="0" w:color="auto"/>
            </w:tcBorders>
            <w:shd w:val="clear" w:color="auto" w:fill="auto"/>
            <w:vAlign w:val="center"/>
            <w:hideMark/>
          </w:tcPr>
          <w:p w14:paraId="32A7374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65,1</w:t>
            </w:r>
          </w:p>
        </w:tc>
        <w:tc>
          <w:tcPr>
            <w:tcW w:w="1134" w:type="dxa"/>
            <w:tcBorders>
              <w:top w:val="nil"/>
              <w:left w:val="nil"/>
              <w:bottom w:val="single" w:sz="4" w:space="0" w:color="auto"/>
              <w:right w:val="single" w:sz="4" w:space="0" w:color="auto"/>
            </w:tcBorders>
            <w:shd w:val="clear" w:color="auto" w:fill="auto"/>
            <w:vAlign w:val="center"/>
            <w:hideMark/>
          </w:tcPr>
          <w:p w14:paraId="5401AC3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65,2</w:t>
            </w:r>
          </w:p>
        </w:tc>
        <w:tc>
          <w:tcPr>
            <w:tcW w:w="850" w:type="dxa"/>
            <w:tcBorders>
              <w:top w:val="nil"/>
              <w:left w:val="nil"/>
              <w:bottom w:val="single" w:sz="4" w:space="0" w:color="auto"/>
              <w:right w:val="single" w:sz="4" w:space="0" w:color="auto"/>
            </w:tcBorders>
            <w:shd w:val="clear" w:color="auto" w:fill="auto"/>
            <w:vAlign w:val="center"/>
            <w:hideMark/>
          </w:tcPr>
          <w:p w14:paraId="5F387DA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65,4</w:t>
            </w:r>
          </w:p>
        </w:tc>
        <w:tc>
          <w:tcPr>
            <w:tcW w:w="992" w:type="dxa"/>
            <w:tcBorders>
              <w:top w:val="nil"/>
              <w:left w:val="nil"/>
              <w:bottom w:val="single" w:sz="4" w:space="0" w:color="auto"/>
              <w:right w:val="single" w:sz="4" w:space="0" w:color="auto"/>
            </w:tcBorders>
            <w:shd w:val="clear" w:color="auto" w:fill="auto"/>
            <w:vAlign w:val="center"/>
            <w:hideMark/>
          </w:tcPr>
          <w:p w14:paraId="1538D73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65,2</w:t>
            </w:r>
          </w:p>
        </w:tc>
        <w:tc>
          <w:tcPr>
            <w:tcW w:w="993" w:type="dxa"/>
            <w:tcBorders>
              <w:top w:val="nil"/>
              <w:left w:val="nil"/>
              <w:bottom w:val="single" w:sz="4" w:space="0" w:color="auto"/>
              <w:right w:val="single" w:sz="4" w:space="0" w:color="auto"/>
            </w:tcBorders>
            <w:shd w:val="clear" w:color="auto" w:fill="auto"/>
            <w:vAlign w:val="center"/>
            <w:hideMark/>
          </w:tcPr>
          <w:p w14:paraId="40A6371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64,9</w:t>
            </w:r>
          </w:p>
        </w:tc>
        <w:tc>
          <w:tcPr>
            <w:tcW w:w="1134" w:type="dxa"/>
            <w:tcBorders>
              <w:top w:val="nil"/>
              <w:left w:val="nil"/>
              <w:bottom w:val="single" w:sz="4" w:space="0" w:color="auto"/>
              <w:right w:val="single" w:sz="4" w:space="0" w:color="auto"/>
            </w:tcBorders>
            <w:shd w:val="clear" w:color="auto" w:fill="auto"/>
            <w:vAlign w:val="center"/>
            <w:hideMark/>
          </w:tcPr>
          <w:p w14:paraId="439D72A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65,2</w:t>
            </w:r>
          </w:p>
        </w:tc>
      </w:tr>
      <w:tr w:rsidR="00EC2DD0" w:rsidRPr="00F16002" w14:paraId="7120504E"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5C9AA1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Zaposlenost (000)</w:t>
            </w:r>
          </w:p>
        </w:tc>
        <w:tc>
          <w:tcPr>
            <w:tcW w:w="993" w:type="dxa"/>
            <w:tcBorders>
              <w:top w:val="nil"/>
              <w:left w:val="nil"/>
              <w:bottom w:val="single" w:sz="4" w:space="0" w:color="auto"/>
              <w:right w:val="single" w:sz="4" w:space="0" w:color="auto"/>
            </w:tcBorders>
            <w:shd w:val="clear" w:color="auto" w:fill="auto"/>
            <w:vAlign w:val="center"/>
            <w:hideMark/>
          </w:tcPr>
          <w:p w14:paraId="448FEA0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932</w:t>
            </w:r>
          </w:p>
        </w:tc>
        <w:tc>
          <w:tcPr>
            <w:tcW w:w="1134" w:type="dxa"/>
            <w:tcBorders>
              <w:top w:val="nil"/>
              <w:left w:val="nil"/>
              <w:bottom w:val="single" w:sz="4" w:space="0" w:color="auto"/>
              <w:right w:val="single" w:sz="4" w:space="0" w:color="auto"/>
            </w:tcBorders>
            <w:shd w:val="clear" w:color="auto" w:fill="auto"/>
            <w:vAlign w:val="center"/>
            <w:hideMark/>
          </w:tcPr>
          <w:p w14:paraId="60122A6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944</w:t>
            </w:r>
          </w:p>
        </w:tc>
        <w:tc>
          <w:tcPr>
            <w:tcW w:w="850" w:type="dxa"/>
            <w:tcBorders>
              <w:top w:val="nil"/>
              <w:left w:val="nil"/>
              <w:bottom w:val="single" w:sz="4" w:space="0" w:color="auto"/>
              <w:right w:val="single" w:sz="4" w:space="0" w:color="auto"/>
            </w:tcBorders>
            <w:shd w:val="clear" w:color="auto" w:fill="auto"/>
            <w:vAlign w:val="center"/>
            <w:hideMark/>
          </w:tcPr>
          <w:p w14:paraId="33F1375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961</w:t>
            </w:r>
          </w:p>
        </w:tc>
        <w:tc>
          <w:tcPr>
            <w:tcW w:w="992" w:type="dxa"/>
            <w:tcBorders>
              <w:top w:val="nil"/>
              <w:left w:val="nil"/>
              <w:bottom w:val="single" w:sz="4" w:space="0" w:color="auto"/>
              <w:right w:val="single" w:sz="4" w:space="0" w:color="auto"/>
            </w:tcBorders>
            <w:shd w:val="clear" w:color="auto" w:fill="auto"/>
            <w:vAlign w:val="center"/>
            <w:hideMark/>
          </w:tcPr>
          <w:p w14:paraId="47E4C57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989</w:t>
            </w:r>
          </w:p>
        </w:tc>
        <w:tc>
          <w:tcPr>
            <w:tcW w:w="993" w:type="dxa"/>
            <w:tcBorders>
              <w:top w:val="nil"/>
              <w:left w:val="nil"/>
              <w:bottom w:val="single" w:sz="4" w:space="0" w:color="auto"/>
              <w:right w:val="single" w:sz="4" w:space="0" w:color="auto"/>
            </w:tcBorders>
            <w:shd w:val="clear" w:color="auto" w:fill="auto"/>
            <w:vAlign w:val="center"/>
            <w:hideMark/>
          </w:tcPr>
          <w:p w14:paraId="2E79582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1.021</w:t>
            </w:r>
          </w:p>
        </w:tc>
        <w:tc>
          <w:tcPr>
            <w:tcW w:w="1134" w:type="dxa"/>
            <w:tcBorders>
              <w:top w:val="nil"/>
              <w:left w:val="nil"/>
              <w:bottom w:val="single" w:sz="4" w:space="0" w:color="auto"/>
              <w:right w:val="single" w:sz="4" w:space="0" w:color="auto"/>
            </w:tcBorders>
            <w:shd w:val="clear" w:color="auto" w:fill="auto"/>
            <w:vAlign w:val="center"/>
            <w:hideMark/>
          </w:tcPr>
          <w:p w14:paraId="0037A0C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1.045</w:t>
            </w:r>
          </w:p>
        </w:tc>
      </w:tr>
      <w:tr w:rsidR="00EC2DD0" w:rsidRPr="00F16002" w14:paraId="6D623B33"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FB5A1E4"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BDP na prebivalca (EUR)</w:t>
            </w:r>
          </w:p>
        </w:tc>
        <w:tc>
          <w:tcPr>
            <w:tcW w:w="993" w:type="dxa"/>
            <w:tcBorders>
              <w:top w:val="nil"/>
              <w:left w:val="nil"/>
              <w:bottom w:val="single" w:sz="4" w:space="0" w:color="auto"/>
              <w:right w:val="single" w:sz="4" w:space="0" w:color="auto"/>
            </w:tcBorders>
            <w:shd w:val="clear" w:color="auto" w:fill="auto"/>
            <w:vAlign w:val="center"/>
            <w:hideMark/>
          </w:tcPr>
          <w:p w14:paraId="7610A31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18.253</w:t>
            </w:r>
          </w:p>
        </w:tc>
        <w:tc>
          <w:tcPr>
            <w:tcW w:w="1134" w:type="dxa"/>
            <w:tcBorders>
              <w:top w:val="nil"/>
              <w:left w:val="nil"/>
              <w:bottom w:val="single" w:sz="4" w:space="0" w:color="auto"/>
              <w:right w:val="single" w:sz="4" w:space="0" w:color="auto"/>
            </w:tcBorders>
            <w:shd w:val="clear" w:color="auto" w:fill="auto"/>
            <w:vAlign w:val="center"/>
            <w:hideMark/>
          </w:tcPr>
          <w:p w14:paraId="774D552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18.830</w:t>
            </w:r>
          </w:p>
        </w:tc>
        <w:tc>
          <w:tcPr>
            <w:tcW w:w="850" w:type="dxa"/>
            <w:tcBorders>
              <w:top w:val="nil"/>
              <w:left w:val="nil"/>
              <w:bottom w:val="single" w:sz="4" w:space="0" w:color="auto"/>
              <w:right w:val="single" w:sz="4" w:space="0" w:color="auto"/>
            </w:tcBorders>
            <w:shd w:val="clear" w:color="auto" w:fill="auto"/>
            <w:vAlign w:val="center"/>
            <w:hideMark/>
          </w:tcPr>
          <w:p w14:paraId="6CC9F651"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19.551</w:t>
            </w:r>
          </w:p>
        </w:tc>
        <w:tc>
          <w:tcPr>
            <w:tcW w:w="992" w:type="dxa"/>
            <w:tcBorders>
              <w:top w:val="nil"/>
              <w:left w:val="nil"/>
              <w:bottom w:val="single" w:sz="4" w:space="0" w:color="auto"/>
              <w:right w:val="single" w:sz="4" w:space="0" w:color="auto"/>
            </w:tcBorders>
            <w:shd w:val="clear" w:color="auto" w:fill="auto"/>
            <w:vAlign w:val="center"/>
            <w:hideMark/>
          </w:tcPr>
          <w:p w14:paraId="1AFB603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20.809</w:t>
            </w:r>
          </w:p>
        </w:tc>
        <w:tc>
          <w:tcPr>
            <w:tcW w:w="993" w:type="dxa"/>
            <w:tcBorders>
              <w:top w:val="nil"/>
              <w:left w:val="nil"/>
              <w:bottom w:val="single" w:sz="4" w:space="0" w:color="auto"/>
              <w:right w:val="single" w:sz="4" w:space="0" w:color="auto"/>
            </w:tcBorders>
            <w:shd w:val="clear" w:color="auto" w:fill="auto"/>
            <w:vAlign w:val="center"/>
            <w:hideMark/>
          </w:tcPr>
          <w:p w14:paraId="38A6C8EA"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22.083</w:t>
            </w:r>
          </w:p>
        </w:tc>
        <w:tc>
          <w:tcPr>
            <w:tcW w:w="1134" w:type="dxa"/>
            <w:tcBorders>
              <w:top w:val="nil"/>
              <w:left w:val="nil"/>
              <w:bottom w:val="single" w:sz="4" w:space="0" w:color="auto"/>
              <w:right w:val="single" w:sz="4" w:space="0" w:color="auto"/>
            </w:tcBorders>
            <w:shd w:val="clear" w:color="auto" w:fill="auto"/>
            <w:vAlign w:val="center"/>
            <w:hideMark/>
          </w:tcPr>
          <w:p w14:paraId="717695E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22.983</w:t>
            </w:r>
          </w:p>
        </w:tc>
      </w:tr>
      <w:tr w:rsidR="00EC2DD0" w:rsidRPr="00F16002" w14:paraId="6F36DB21" w14:textId="77777777" w:rsidTr="006544EB">
        <w:trPr>
          <w:trHeight w:val="38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6C8603D8"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BDP na prebivalca po kupni moči (SKM; EUR)</w:t>
            </w:r>
          </w:p>
        </w:tc>
        <w:tc>
          <w:tcPr>
            <w:tcW w:w="993" w:type="dxa"/>
            <w:tcBorders>
              <w:top w:val="nil"/>
              <w:left w:val="nil"/>
              <w:bottom w:val="single" w:sz="4" w:space="0" w:color="auto"/>
              <w:right w:val="single" w:sz="4" w:space="0" w:color="auto"/>
            </w:tcBorders>
            <w:shd w:val="clear" w:color="auto" w:fill="auto"/>
            <w:vAlign w:val="center"/>
            <w:hideMark/>
          </w:tcPr>
          <w:p w14:paraId="6C4E5A18"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22.800</w:t>
            </w:r>
          </w:p>
        </w:tc>
        <w:tc>
          <w:tcPr>
            <w:tcW w:w="1134" w:type="dxa"/>
            <w:tcBorders>
              <w:top w:val="nil"/>
              <w:left w:val="nil"/>
              <w:bottom w:val="single" w:sz="4" w:space="0" w:color="auto"/>
              <w:right w:val="single" w:sz="4" w:space="0" w:color="auto"/>
            </w:tcBorders>
            <w:shd w:val="clear" w:color="auto" w:fill="auto"/>
            <w:vAlign w:val="center"/>
            <w:hideMark/>
          </w:tcPr>
          <w:p w14:paraId="14E348D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23.800</w:t>
            </w:r>
          </w:p>
        </w:tc>
        <w:tc>
          <w:tcPr>
            <w:tcW w:w="850" w:type="dxa"/>
            <w:tcBorders>
              <w:top w:val="nil"/>
              <w:left w:val="nil"/>
              <w:bottom w:val="single" w:sz="4" w:space="0" w:color="auto"/>
              <w:right w:val="single" w:sz="4" w:space="0" w:color="auto"/>
            </w:tcBorders>
            <w:shd w:val="clear" w:color="auto" w:fill="auto"/>
            <w:vAlign w:val="center"/>
            <w:hideMark/>
          </w:tcPr>
          <w:p w14:paraId="6E6D951A"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24.200</w:t>
            </w:r>
          </w:p>
        </w:tc>
        <w:tc>
          <w:tcPr>
            <w:tcW w:w="992" w:type="dxa"/>
            <w:tcBorders>
              <w:top w:val="nil"/>
              <w:left w:val="nil"/>
              <w:bottom w:val="single" w:sz="4" w:space="0" w:color="auto"/>
              <w:right w:val="single" w:sz="4" w:space="0" w:color="auto"/>
            </w:tcBorders>
            <w:shd w:val="clear" w:color="auto" w:fill="auto"/>
            <w:vAlign w:val="center"/>
            <w:hideMark/>
          </w:tcPr>
          <w:p w14:paraId="7CFDE71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25.500</w:t>
            </w:r>
          </w:p>
        </w:tc>
        <w:tc>
          <w:tcPr>
            <w:tcW w:w="993" w:type="dxa"/>
            <w:tcBorders>
              <w:top w:val="nil"/>
              <w:left w:val="nil"/>
              <w:bottom w:val="single" w:sz="4" w:space="0" w:color="auto"/>
              <w:right w:val="single" w:sz="4" w:space="0" w:color="auto"/>
            </w:tcBorders>
            <w:shd w:val="clear" w:color="auto" w:fill="auto"/>
            <w:vAlign w:val="center"/>
            <w:hideMark/>
          </w:tcPr>
          <w:p w14:paraId="3397B693"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26.900</w:t>
            </w:r>
          </w:p>
        </w:tc>
        <w:tc>
          <w:tcPr>
            <w:tcW w:w="1134" w:type="dxa"/>
            <w:tcBorders>
              <w:top w:val="nil"/>
              <w:left w:val="nil"/>
              <w:bottom w:val="single" w:sz="4" w:space="0" w:color="auto"/>
              <w:right w:val="single" w:sz="4" w:space="0" w:color="auto"/>
            </w:tcBorders>
            <w:shd w:val="clear" w:color="auto" w:fill="auto"/>
            <w:vAlign w:val="center"/>
            <w:hideMark/>
          </w:tcPr>
          <w:p w14:paraId="5E43EF0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27.800</w:t>
            </w:r>
          </w:p>
        </w:tc>
      </w:tr>
      <w:tr w:rsidR="00EC2DD0" w:rsidRPr="00F16002" w14:paraId="02A8FF6B" w14:textId="77777777" w:rsidTr="006544EB">
        <w:trPr>
          <w:trHeight w:val="36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681622C"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BDP na prebivalca po kupni moči (SKM EU–28 = 100; %)</w:t>
            </w:r>
          </w:p>
        </w:tc>
        <w:tc>
          <w:tcPr>
            <w:tcW w:w="993" w:type="dxa"/>
            <w:tcBorders>
              <w:top w:val="nil"/>
              <w:left w:val="nil"/>
              <w:bottom w:val="single" w:sz="4" w:space="0" w:color="auto"/>
              <w:right w:val="single" w:sz="4" w:space="0" w:color="auto"/>
            </w:tcBorders>
            <w:shd w:val="clear" w:color="auto" w:fill="auto"/>
            <w:vAlign w:val="center"/>
            <w:hideMark/>
          </w:tcPr>
          <w:p w14:paraId="4C9FFC1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82</w:t>
            </w:r>
          </w:p>
        </w:tc>
        <w:tc>
          <w:tcPr>
            <w:tcW w:w="1134" w:type="dxa"/>
            <w:tcBorders>
              <w:top w:val="nil"/>
              <w:left w:val="nil"/>
              <w:bottom w:val="single" w:sz="4" w:space="0" w:color="auto"/>
              <w:right w:val="single" w:sz="4" w:space="0" w:color="auto"/>
            </w:tcBorders>
            <w:shd w:val="clear" w:color="auto" w:fill="auto"/>
            <w:vAlign w:val="center"/>
            <w:hideMark/>
          </w:tcPr>
          <w:p w14:paraId="3096CA7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82</w:t>
            </w:r>
          </w:p>
        </w:tc>
        <w:tc>
          <w:tcPr>
            <w:tcW w:w="850" w:type="dxa"/>
            <w:tcBorders>
              <w:top w:val="nil"/>
              <w:left w:val="nil"/>
              <w:bottom w:val="single" w:sz="4" w:space="0" w:color="auto"/>
              <w:right w:val="single" w:sz="4" w:space="0" w:color="auto"/>
            </w:tcBorders>
            <w:shd w:val="clear" w:color="auto" w:fill="auto"/>
            <w:vAlign w:val="center"/>
            <w:hideMark/>
          </w:tcPr>
          <w:p w14:paraId="23E2BF81"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83</w:t>
            </w:r>
          </w:p>
        </w:tc>
        <w:tc>
          <w:tcPr>
            <w:tcW w:w="992" w:type="dxa"/>
            <w:tcBorders>
              <w:top w:val="nil"/>
              <w:left w:val="nil"/>
              <w:bottom w:val="single" w:sz="4" w:space="0" w:color="auto"/>
              <w:right w:val="single" w:sz="4" w:space="0" w:color="auto"/>
            </w:tcBorders>
            <w:shd w:val="clear" w:color="auto" w:fill="auto"/>
            <w:vAlign w:val="center"/>
            <w:hideMark/>
          </w:tcPr>
          <w:p w14:paraId="4CD9842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85</w:t>
            </w:r>
          </w:p>
        </w:tc>
        <w:tc>
          <w:tcPr>
            <w:tcW w:w="993" w:type="dxa"/>
            <w:tcBorders>
              <w:top w:val="nil"/>
              <w:left w:val="nil"/>
              <w:bottom w:val="single" w:sz="4" w:space="0" w:color="auto"/>
              <w:right w:val="single" w:sz="4" w:space="0" w:color="auto"/>
            </w:tcBorders>
            <w:shd w:val="clear" w:color="auto" w:fill="auto"/>
            <w:vAlign w:val="center"/>
            <w:hideMark/>
          </w:tcPr>
          <w:p w14:paraId="4FAF2F78"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87</w:t>
            </w:r>
          </w:p>
        </w:tc>
        <w:tc>
          <w:tcPr>
            <w:tcW w:w="1134" w:type="dxa"/>
            <w:tcBorders>
              <w:top w:val="nil"/>
              <w:left w:val="nil"/>
              <w:bottom w:val="single" w:sz="4" w:space="0" w:color="auto"/>
              <w:right w:val="single" w:sz="4" w:space="0" w:color="auto"/>
            </w:tcBorders>
            <w:shd w:val="clear" w:color="auto" w:fill="auto"/>
            <w:vAlign w:val="center"/>
            <w:hideMark/>
          </w:tcPr>
          <w:p w14:paraId="0EBCF8F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87</w:t>
            </w:r>
          </w:p>
        </w:tc>
      </w:tr>
      <w:tr w:rsidR="00EC2DD0" w:rsidRPr="00F16002" w14:paraId="470AE61C" w14:textId="77777777" w:rsidTr="006544EB">
        <w:trPr>
          <w:trHeight w:val="538"/>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85B68D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Delež izdatkov za hrano, pijačo in tobak v končni porabi gospodinjstev (%)</w:t>
            </w:r>
          </w:p>
        </w:tc>
        <w:tc>
          <w:tcPr>
            <w:tcW w:w="993" w:type="dxa"/>
            <w:tcBorders>
              <w:top w:val="nil"/>
              <w:left w:val="nil"/>
              <w:bottom w:val="single" w:sz="4" w:space="0" w:color="auto"/>
              <w:right w:val="single" w:sz="4" w:space="0" w:color="auto"/>
            </w:tcBorders>
            <w:shd w:val="clear" w:color="auto" w:fill="auto"/>
            <w:vAlign w:val="center"/>
            <w:hideMark/>
          </w:tcPr>
          <w:p w14:paraId="55D2BA9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20,4</w:t>
            </w:r>
          </w:p>
        </w:tc>
        <w:tc>
          <w:tcPr>
            <w:tcW w:w="1134" w:type="dxa"/>
            <w:tcBorders>
              <w:top w:val="nil"/>
              <w:left w:val="nil"/>
              <w:bottom w:val="single" w:sz="4" w:space="0" w:color="auto"/>
              <w:right w:val="single" w:sz="4" w:space="0" w:color="auto"/>
            </w:tcBorders>
            <w:shd w:val="clear" w:color="auto" w:fill="auto"/>
            <w:vAlign w:val="center"/>
            <w:hideMark/>
          </w:tcPr>
          <w:p w14:paraId="104CBDE0"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20,4</w:t>
            </w:r>
          </w:p>
        </w:tc>
        <w:tc>
          <w:tcPr>
            <w:tcW w:w="850" w:type="dxa"/>
            <w:tcBorders>
              <w:top w:val="nil"/>
              <w:left w:val="nil"/>
              <w:bottom w:val="single" w:sz="4" w:space="0" w:color="auto"/>
              <w:right w:val="single" w:sz="4" w:space="0" w:color="auto"/>
            </w:tcBorders>
            <w:shd w:val="clear" w:color="auto" w:fill="auto"/>
            <w:vAlign w:val="center"/>
            <w:hideMark/>
          </w:tcPr>
          <w:p w14:paraId="6B1CE262"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20</w:t>
            </w:r>
          </w:p>
        </w:tc>
        <w:tc>
          <w:tcPr>
            <w:tcW w:w="992" w:type="dxa"/>
            <w:tcBorders>
              <w:top w:val="nil"/>
              <w:left w:val="nil"/>
              <w:bottom w:val="single" w:sz="4" w:space="0" w:color="auto"/>
              <w:right w:val="single" w:sz="4" w:space="0" w:color="auto"/>
            </w:tcBorders>
            <w:shd w:val="clear" w:color="auto" w:fill="auto"/>
            <w:vAlign w:val="center"/>
            <w:hideMark/>
          </w:tcPr>
          <w:p w14:paraId="4E25C9A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19,5</w:t>
            </w:r>
          </w:p>
        </w:tc>
        <w:tc>
          <w:tcPr>
            <w:tcW w:w="993" w:type="dxa"/>
            <w:tcBorders>
              <w:top w:val="nil"/>
              <w:left w:val="nil"/>
              <w:bottom w:val="single" w:sz="4" w:space="0" w:color="auto"/>
              <w:right w:val="single" w:sz="4" w:space="0" w:color="auto"/>
            </w:tcBorders>
            <w:shd w:val="clear" w:color="auto" w:fill="auto"/>
            <w:vAlign w:val="center"/>
            <w:hideMark/>
          </w:tcPr>
          <w:p w14:paraId="1AB5F5D8"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18,8</w:t>
            </w:r>
          </w:p>
        </w:tc>
        <w:tc>
          <w:tcPr>
            <w:tcW w:w="1134" w:type="dxa"/>
            <w:tcBorders>
              <w:top w:val="nil"/>
              <w:left w:val="nil"/>
              <w:bottom w:val="single" w:sz="4" w:space="0" w:color="auto"/>
              <w:right w:val="single" w:sz="4" w:space="0" w:color="auto"/>
            </w:tcBorders>
            <w:shd w:val="clear" w:color="auto" w:fill="auto"/>
            <w:vAlign w:val="center"/>
            <w:hideMark/>
          </w:tcPr>
          <w:p w14:paraId="51A521B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w:t>
            </w:r>
          </w:p>
        </w:tc>
      </w:tr>
      <w:tr w:rsidR="00EC2DD0" w:rsidRPr="00F16002" w14:paraId="0F029E80"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082A9359"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Brezposelnost po anketi (%)</w:t>
            </w:r>
          </w:p>
        </w:tc>
        <w:tc>
          <w:tcPr>
            <w:tcW w:w="993" w:type="dxa"/>
            <w:tcBorders>
              <w:top w:val="nil"/>
              <w:left w:val="nil"/>
              <w:bottom w:val="single" w:sz="4" w:space="0" w:color="auto"/>
              <w:right w:val="single" w:sz="4" w:space="0" w:color="auto"/>
            </w:tcBorders>
            <w:shd w:val="clear" w:color="auto" w:fill="auto"/>
            <w:vAlign w:val="center"/>
            <w:hideMark/>
          </w:tcPr>
          <w:p w14:paraId="6463624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9,7</w:t>
            </w:r>
          </w:p>
        </w:tc>
        <w:tc>
          <w:tcPr>
            <w:tcW w:w="1134" w:type="dxa"/>
            <w:tcBorders>
              <w:top w:val="nil"/>
              <w:left w:val="nil"/>
              <w:bottom w:val="single" w:sz="4" w:space="0" w:color="auto"/>
              <w:right w:val="single" w:sz="4" w:space="0" w:color="auto"/>
            </w:tcBorders>
            <w:shd w:val="clear" w:color="auto" w:fill="auto"/>
            <w:vAlign w:val="center"/>
            <w:hideMark/>
          </w:tcPr>
          <w:p w14:paraId="53BDDFF6"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w:t>
            </w:r>
          </w:p>
        </w:tc>
        <w:tc>
          <w:tcPr>
            <w:tcW w:w="850" w:type="dxa"/>
            <w:tcBorders>
              <w:top w:val="nil"/>
              <w:left w:val="nil"/>
              <w:bottom w:val="single" w:sz="4" w:space="0" w:color="auto"/>
              <w:right w:val="single" w:sz="4" w:space="0" w:color="auto"/>
            </w:tcBorders>
            <w:shd w:val="clear" w:color="auto" w:fill="auto"/>
            <w:vAlign w:val="center"/>
            <w:hideMark/>
          </w:tcPr>
          <w:p w14:paraId="3645B39D"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w:t>
            </w:r>
          </w:p>
        </w:tc>
        <w:tc>
          <w:tcPr>
            <w:tcW w:w="992" w:type="dxa"/>
            <w:tcBorders>
              <w:top w:val="nil"/>
              <w:left w:val="nil"/>
              <w:bottom w:val="single" w:sz="4" w:space="0" w:color="auto"/>
              <w:right w:val="single" w:sz="4" w:space="0" w:color="auto"/>
            </w:tcBorders>
            <w:shd w:val="clear" w:color="auto" w:fill="auto"/>
            <w:vAlign w:val="center"/>
            <w:hideMark/>
          </w:tcPr>
          <w:p w14:paraId="2B08604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6,6</w:t>
            </w:r>
          </w:p>
        </w:tc>
        <w:tc>
          <w:tcPr>
            <w:tcW w:w="993" w:type="dxa"/>
            <w:tcBorders>
              <w:top w:val="nil"/>
              <w:left w:val="nil"/>
              <w:bottom w:val="single" w:sz="4" w:space="0" w:color="auto"/>
              <w:right w:val="single" w:sz="4" w:space="0" w:color="auto"/>
            </w:tcBorders>
            <w:shd w:val="clear" w:color="auto" w:fill="auto"/>
            <w:vAlign w:val="center"/>
            <w:hideMark/>
          </w:tcPr>
          <w:p w14:paraId="7B637B1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5,1</w:t>
            </w:r>
          </w:p>
        </w:tc>
        <w:tc>
          <w:tcPr>
            <w:tcW w:w="1134" w:type="dxa"/>
            <w:tcBorders>
              <w:top w:val="nil"/>
              <w:left w:val="nil"/>
              <w:bottom w:val="single" w:sz="4" w:space="0" w:color="auto"/>
              <w:right w:val="single" w:sz="4" w:space="0" w:color="auto"/>
            </w:tcBorders>
            <w:shd w:val="clear" w:color="auto" w:fill="auto"/>
            <w:vAlign w:val="center"/>
            <w:hideMark/>
          </w:tcPr>
          <w:p w14:paraId="3276B4C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4,5</w:t>
            </w:r>
          </w:p>
        </w:tc>
      </w:tr>
      <w:tr w:rsidR="00EC2DD0" w:rsidRPr="00F16002" w14:paraId="6FA56496"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287444D"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Registrirana brezposelnost (%)</w:t>
            </w:r>
          </w:p>
        </w:tc>
        <w:tc>
          <w:tcPr>
            <w:tcW w:w="993" w:type="dxa"/>
            <w:tcBorders>
              <w:top w:val="nil"/>
              <w:left w:val="nil"/>
              <w:bottom w:val="single" w:sz="4" w:space="0" w:color="auto"/>
              <w:right w:val="single" w:sz="4" w:space="0" w:color="auto"/>
            </w:tcBorders>
            <w:shd w:val="clear" w:color="auto" w:fill="auto"/>
            <w:vAlign w:val="center"/>
            <w:hideMark/>
          </w:tcPr>
          <w:p w14:paraId="4A5439D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13,1</w:t>
            </w:r>
          </w:p>
        </w:tc>
        <w:tc>
          <w:tcPr>
            <w:tcW w:w="1134" w:type="dxa"/>
            <w:tcBorders>
              <w:top w:val="nil"/>
              <w:left w:val="nil"/>
              <w:bottom w:val="single" w:sz="4" w:space="0" w:color="auto"/>
              <w:right w:val="single" w:sz="4" w:space="0" w:color="auto"/>
            </w:tcBorders>
            <w:shd w:val="clear" w:color="auto" w:fill="auto"/>
            <w:vAlign w:val="center"/>
            <w:hideMark/>
          </w:tcPr>
          <w:p w14:paraId="1C3B5D99"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12,3</w:t>
            </w:r>
          </w:p>
        </w:tc>
        <w:tc>
          <w:tcPr>
            <w:tcW w:w="850" w:type="dxa"/>
            <w:tcBorders>
              <w:top w:val="nil"/>
              <w:left w:val="nil"/>
              <w:bottom w:val="single" w:sz="4" w:space="0" w:color="auto"/>
              <w:right w:val="single" w:sz="4" w:space="0" w:color="auto"/>
            </w:tcBorders>
            <w:shd w:val="clear" w:color="auto" w:fill="auto"/>
            <w:vAlign w:val="center"/>
            <w:hideMark/>
          </w:tcPr>
          <w:p w14:paraId="2C82796B"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11,2</w:t>
            </w:r>
          </w:p>
        </w:tc>
        <w:tc>
          <w:tcPr>
            <w:tcW w:w="992" w:type="dxa"/>
            <w:tcBorders>
              <w:top w:val="nil"/>
              <w:left w:val="nil"/>
              <w:bottom w:val="single" w:sz="4" w:space="0" w:color="auto"/>
              <w:right w:val="single" w:sz="4" w:space="0" w:color="auto"/>
            </w:tcBorders>
            <w:shd w:val="clear" w:color="auto" w:fill="auto"/>
            <w:vAlign w:val="center"/>
            <w:hideMark/>
          </w:tcPr>
          <w:p w14:paraId="2478D89C"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9,5</w:t>
            </w:r>
          </w:p>
        </w:tc>
        <w:tc>
          <w:tcPr>
            <w:tcW w:w="993" w:type="dxa"/>
            <w:tcBorders>
              <w:top w:val="nil"/>
              <w:left w:val="nil"/>
              <w:bottom w:val="single" w:sz="4" w:space="0" w:color="auto"/>
              <w:right w:val="single" w:sz="4" w:space="0" w:color="auto"/>
            </w:tcBorders>
            <w:shd w:val="clear" w:color="auto" w:fill="auto"/>
            <w:vAlign w:val="center"/>
            <w:hideMark/>
          </w:tcPr>
          <w:p w14:paraId="4B1AB13D"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8,3</w:t>
            </w:r>
          </w:p>
        </w:tc>
        <w:tc>
          <w:tcPr>
            <w:tcW w:w="1134" w:type="dxa"/>
            <w:tcBorders>
              <w:top w:val="nil"/>
              <w:left w:val="nil"/>
              <w:bottom w:val="single" w:sz="4" w:space="0" w:color="auto"/>
              <w:right w:val="single" w:sz="4" w:space="0" w:color="auto"/>
            </w:tcBorders>
            <w:shd w:val="clear" w:color="auto" w:fill="auto"/>
            <w:vAlign w:val="center"/>
            <w:hideMark/>
          </w:tcPr>
          <w:p w14:paraId="5A0E3F75"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7,7</w:t>
            </w:r>
          </w:p>
        </w:tc>
      </w:tr>
      <w:tr w:rsidR="00EC2DD0" w:rsidRPr="00F16002" w14:paraId="057CB29F" w14:textId="77777777" w:rsidTr="006544EB">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710BCB6" w14:textId="77777777" w:rsidR="00EC2DD0" w:rsidRPr="005B2A49" w:rsidRDefault="00EC2DD0" w:rsidP="006544EB">
            <w:pPr>
              <w:keepNext/>
              <w:keepLines/>
              <w:rPr>
                <w:color w:val="000000"/>
                <w:sz w:val="18"/>
                <w:szCs w:val="18"/>
                <w:lang w:eastAsia="sl-SI"/>
              </w:rPr>
            </w:pPr>
            <w:r w:rsidRPr="005B2A49">
              <w:rPr>
                <w:color w:val="000000"/>
                <w:sz w:val="18"/>
                <w:szCs w:val="18"/>
                <w:lang w:eastAsia="sl-SI"/>
              </w:rPr>
              <w:t>Inflacija v povprečju leta (%)</w:t>
            </w:r>
          </w:p>
        </w:tc>
        <w:tc>
          <w:tcPr>
            <w:tcW w:w="993" w:type="dxa"/>
            <w:tcBorders>
              <w:top w:val="nil"/>
              <w:left w:val="nil"/>
              <w:bottom w:val="single" w:sz="4" w:space="0" w:color="auto"/>
              <w:right w:val="single" w:sz="4" w:space="0" w:color="auto"/>
            </w:tcBorders>
            <w:shd w:val="clear" w:color="auto" w:fill="auto"/>
            <w:vAlign w:val="center"/>
            <w:hideMark/>
          </w:tcPr>
          <w:p w14:paraId="18247374"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0,2</w:t>
            </w:r>
          </w:p>
        </w:tc>
        <w:tc>
          <w:tcPr>
            <w:tcW w:w="1134" w:type="dxa"/>
            <w:tcBorders>
              <w:top w:val="nil"/>
              <w:left w:val="nil"/>
              <w:bottom w:val="single" w:sz="4" w:space="0" w:color="auto"/>
              <w:right w:val="single" w:sz="4" w:space="0" w:color="auto"/>
            </w:tcBorders>
            <w:shd w:val="clear" w:color="auto" w:fill="auto"/>
            <w:vAlign w:val="center"/>
            <w:hideMark/>
          </w:tcPr>
          <w:p w14:paraId="496DDAB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–0,5</w:t>
            </w:r>
          </w:p>
        </w:tc>
        <w:tc>
          <w:tcPr>
            <w:tcW w:w="850" w:type="dxa"/>
            <w:tcBorders>
              <w:top w:val="nil"/>
              <w:left w:val="nil"/>
              <w:bottom w:val="single" w:sz="4" w:space="0" w:color="auto"/>
              <w:right w:val="single" w:sz="4" w:space="0" w:color="auto"/>
            </w:tcBorders>
            <w:shd w:val="clear" w:color="auto" w:fill="auto"/>
            <w:vAlign w:val="center"/>
            <w:hideMark/>
          </w:tcPr>
          <w:p w14:paraId="166D8E4E"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–0,1</w:t>
            </w:r>
          </w:p>
        </w:tc>
        <w:tc>
          <w:tcPr>
            <w:tcW w:w="992" w:type="dxa"/>
            <w:tcBorders>
              <w:top w:val="nil"/>
              <w:left w:val="nil"/>
              <w:bottom w:val="single" w:sz="4" w:space="0" w:color="auto"/>
              <w:right w:val="single" w:sz="4" w:space="0" w:color="auto"/>
            </w:tcBorders>
            <w:shd w:val="clear" w:color="auto" w:fill="auto"/>
            <w:vAlign w:val="center"/>
            <w:hideMark/>
          </w:tcPr>
          <w:p w14:paraId="03F913AA"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1,4</w:t>
            </w:r>
          </w:p>
        </w:tc>
        <w:tc>
          <w:tcPr>
            <w:tcW w:w="993" w:type="dxa"/>
            <w:tcBorders>
              <w:top w:val="nil"/>
              <w:left w:val="nil"/>
              <w:bottom w:val="single" w:sz="4" w:space="0" w:color="auto"/>
              <w:right w:val="single" w:sz="4" w:space="0" w:color="auto"/>
            </w:tcBorders>
            <w:shd w:val="clear" w:color="auto" w:fill="auto"/>
            <w:vAlign w:val="center"/>
            <w:hideMark/>
          </w:tcPr>
          <w:p w14:paraId="0574259F"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1,7</w:t>
            </w:r>
          </w:p>
        </w:tc>
        <w:tc>
          <w:tcPr>
            <w:tcW w:w="1134" w:type="dxa"/>
            <w:tcBorders>
              <w:top w:val="nil"/>
              <w:left w:val="nil"/>
              <w:bottom w:val="single" w:sz="4" w:space="0" w:color="auto"/>
              <w:right w:val="single" w:sz="4" w:space="0" w:color="auto"/>
            </w:tcBorders>
            <w:shd w:val="clear" w:color="auto" w:fill="auto"/>
            <w:vAlign w:val="center"/>
            <w:hideMark/>
          </w:tcPr>
          <w:p w14:paraId="53D3F577" w14:textId="77777777" w:rsidR="00EC2DD0" w:rsidRPr="005B2A49" w:rsidRDefault="00EC2DD0" w:rsidP="006544EB">
            <w:pPr>
              <w:keepNext/>
              <w:keepLines/>
              <w:jc w:val="right"/>
              <w:rPr>
                <w:color w:val="000000"/>
                <w:sz w:val="18"/>
                <w:szCs w:val="18"/>
                <w:lang w:eastAsia="sl-SI"/>
              </w:rPr>
            </w:pPr>
            <w:r w:rsidRPr="005B2A49">
              <w:rPr>
                <w:color w:val="000000"/>
                <w:sz w:val="18"/>
                <w:szCs w:val="18"/>
                <w:lang w:eastAsia="sl-SI"/>
              </w:rPr>
              <w:t>1,6</w:t>
            </w:r>
          </w:p>
        </w:tc>
      </w:tr>
    </w:tbl>
    <w:p w14:paraId="1BDD2FD1" w14:textId="77777777" w:rsidR="00EC2DD0" w:rsidRPr="00924B38" w:rsidRDefault="00EC2DD0" w:rsidP="00EC2DD0">
      <w:pPr>
        <w:keepNext/>
        <w:keepLines/>
        <w:spacing w:after="120"/>
        <w:rPr>
          <w:bCs/>
          <w:i/>
          <w:sz w:val="16"/>
          <w:szCs w:val="16"/>
        </w:rPr>
      </w:pPr>
      <w:r w:rsidRPr="00924B38">
        <w:rPr>
          <w:bCs/>
          <w:i/>
          <w:sz w:val="16"/>
          <w:szCs w:val="16"/>
        </w:rPr>
        <w:t xml:space="preserve">Vir: </w:t>
      </w:r>
      <w:r>
        <w:rPr>
          <w:bCs/>
          <w:i/>
          <w:sz w:val="16"/>
          <w:szCs w:val="16"/>
        </w:rPr>
        <w:t>Ze</w:t>
      </w:r>
      <w:r w:rsidRPr="00924B38">
        <w:rPr>
          <w:bCs/>
          <w:i/>
          <w:sz w:val="16"/>
          <w:szCs w:val="16"/>
        </w:rPr>
        <w:t>leno poročilo 2019</w:t>
      </w:r>
    </w:p>
    <w:p w14:paraId="04FE5B9A" w14:textId="77777777" w:rsidR="00871B06" w:rsidRDefault="00871B06" w:rsidP="00871B06">
      <w:pPr>
        <w:pStyle w:val="Odstavek1"/>
      </w:pPr>
    </w:p>
    <w:p w14:paraId="422362D9" w14:textId="5D10ADF8" w:rsidR="00EC2DD0" w:rsidRDefault="00EC2DD0" w:rsidP="005B2A49">
      <w:pPr>
        <w:pStyle w:val="Odstavek1"/>
      </w:pPr>
      <w:r w:rsidRPr="00DE12FE">
        <w:t xml:space="preserve">Ob ugodnih makroekonomskih razmerah so se </w:t>
      </w:r>
      <w:r w:rsidR="00F16002">
        <w:t xml:space="preserve">v letu 2019 izboljševale tudi </w:t>
      </w:r>
      <w:r w:rsidRPr="00DE12FE">
        <w:t xml:space="preserve">razmere na trgu dela. Po podatkih nacionalnih računov se je rast zaposlenosti nekoliko umirila (+2,4 %), a dosegla najvišjo raven doslej, pri čemer je bilo tudi število zaposlenih oseb najvišje do zdaj. Obe stopnji brezposelnosti sta se v </w:t>
      </w:r>
      <w:r w:rsidRPr="00D454A7">
        <w:t>povprečju leta</w:t>
      </w:r>
      <w:r w:rsidRPr="00DE12FE">
        <w:t xml:space="preserve"> znižali; registrirana na 7,7 % (leta 2018: 8,3 %), anketna pa na 4,5 % (leta 2018: 5,1 %) in sta tako najnižji po letu 2008. Tudi plače so bile v letu 2019 znova nekoliko višje, predvsem zaradi višje rasti plač v javnem sektorju (UMAR, 2020). V primerjavi s predhodnim letom se je povprečna bruto plača na zaposlenega nominalno zvišala za 4,3 %, realno pa za 2,7 % (zasebni sektor realno: +2,2 %, javni sektor realno: +3,7 %).</w:t>
      </w:r>
    </w:p>
    <w:p w14:paraId="2796CE8F" w14:textId="77777777" w:rsidR="001B2299" w:rsidRPr="00DE12FE" w:rsidRDefault="001B2299" w:rsidP="005B2A49">
      <w:pPr>
        <w:pStyle w:val="Odstavek1"/>
      </w:pPr>
    </w:p>
    <w:p w14:paraId="6293E5F0" w14:textId="1E8193E2" w:rsidR="00EC2DD0" w:rsidRDefault="00EC2DD0" w:rsidP="005B2A49">
      <w:pPr>
        <w:pStyle w:val="Odstavek1"/>
      </w:pPr>
      <w:r w:rsidRPr="00DE12FE">
        <w:t xml:space="preserve">Leta 2019 je bila inflacija razmeroma nizka, in sicer na letni ravni 1,9-odstotna (leta 2018: +1,4 %), v povprečju leta pa 1,6-odstotna (leta 2018: +1,7 %); k njej so za skoraj dve tretjini prispevale cene storitev, nekaj pa tudi višje cene hrane in energije. </w:t>
      </w:r>
    </w:p>
    <w:p w14:paraId="6C1304DD" w14:textId="77777777" w:rsidR="00275988" w:rsidRPr="00DE12FE" w:rsidRDefault="00275988" w:rsidP="005B2A49">
      <w:pPr>
        <w:pStyle w:val="Odstavek1"/>
      </w:pPr>
    </w:p>
    <w:p w14:paraId="5EE9107C" w14:textId="63EEF7FB" w:rsidR="00EC2DD0" w:rsidRDefault="00275988" w:rsidP="005B2A49">
      <w:pPr>
        <w:pStyle w:val="Odstavek1"/>
      </w:pPr>
      <w:r>
        <w:t>BDP</w:t>
      </w:r>
      <w:r w:rsidR="00EC2DD0" w:rsidRPr="00DE12FE">
        <w:t xml:space="preserve"> na prebivalca po standardu kupne moči je bil v letu 201</w:t>
      </w:r>
      <w:r w:rsidR="00F44F83">
        <w:t>9</w:t>
      </w:r>
      <w:r w:rsidR="00EC2DD0" w:rsidRPr="00DE12FE">
        <w:t xml:space="preserve"> </w:t>
      </w:r>
      <w:r w:rsidR="00F44F83" w:rsidRPr="00F44F83">
        <w:t>27.658,80</w:t>
      </w:r>
      <w:r w:rsidR="00EC2DD0" w:rsidRPr="00DE12FE">
        <w:t xml:space="preserve"> EUR in se je od leta 2010 povečal za </w:t>
      </w:r>
      <w:r w:rsidR="00F44F83">
        <w:t>30,5</w:t>
      </w:r>
      <w:r w:rsidR="00EC2DD0" w:rsidRPr="00DE12FE">
        <w:t xml:space="preserve"> %, vendar še vedno zaostaja za povprečjem </w:t>
      </w:r>
      <w:r w:rsidR="00EC2DD0" w:rsidRPr="00D454A7">
        <w:t>EU-28</w:t>
      </w:r>
      <w:r w:rsidR="00EC2DD0" w:rsidRPr="00DE12FE">
        <w:t xml:space="preserve"> (indeks PPS na prebivalca skupaj v letu 201</w:t>
      </w:r>
      <w:r w:rsidR="00F44F83">
        <w:t>9</w:t>
      </w:r>
      <w:r w:rsidR="00EC2DD0" w:rsidRPr="00DE12FE">
        <w:t xml:space="preserve"> je bil 8</w:t>
      </w:r>
      <w:r w:rsidR="00F44F83">
        <w:t>8</w:t>
      </w:r>
      <w:r w:rsidR="00EC2DD0" w:rsidRPr="00DE12FE">
        <w:t>,</w:t>
      </w:r>
      <w:r w:rsidR="00F44F83">
        <w:t>7</w:t>
      </w:r>
      <w:r w:rsidR="00EC2DD0" w:rsidRPr="00DE12FE">
        <w:t>0; EU-28=100). BDP na prebivalca po standardu kupne moči v podeželskih regijah je bil v letu 201</w:t>
      </w:r>
      <w:r w:rsidR="00F44F83">
        <w:t>9</w:t>
      </w:r>
      <w:r w:rsidR="00EC2DD0" w:rsidRPr="00DE12FE">
        <w:t xml:space="preserve"> </w:t>
      </w:r>
      <w:r w:rsidR="005177BC">
        <w:t>23.000</w:t>
      </w:r>
      <w:r w:rsidR="00EC2DD0" w:rsidRPr="00DE12FE">
        <w:t xml:space="preserve"> EUR in se je od leta 2013  povečal za </w:t>
      </w:r>
      <w:r w:rsidR="005177BC">
        <w:t>27,1</w:t>
      </w:r>
      <w:r w:rsidR="00EC2DD0" w:rsidRPr="00DE12FE">
        <w:t xml:space="preserve"> %. </w:t>
      </w:r>
    </w:p>
    <w:p w14:paraId="2E2A5F42" w14:textId="55F5B98D" w:rsidR="00EC2DD0" w:rsidRDefault="00EC2DD0" w:rsidP="00871B06">
      <w:pPr>
        <w:pStyle w:val="SCPreglednica"/>
      </w:pPr>
      <w:bookmarkStart w:id="19" w:name="_Toc55913721"/>
      <w:bookmarkStart w:id="20" w:name="_Toc86822641"/>
      <w:r>
        <w:t>Tabela</w:t>
      </w:r>
      <w:r w:rsidRPr="003D6FF8">
        <w:t xml:space="preserve"> </w:t>
      </w:r>
      <w:r>
        <w:rPr>
          <w:noProof/>
        </w:rPr>
        <w:fldChar w:fldCharType="begin"/>
      </w:r>
      <w:r>
        <w:rPr>
          <w:noProof/>
        </w:rPr>
        <w:instrText xml:space="preserve"> SEQ Tabela \* ARABIC </w:instrText>
      </w:r>
      <w:r>
        <w:rPr>
          <w:noProof/>
        </w:rPr>
        <w:fldChar w:fldCharType="separate"/>
      </w:r>
      <w:r w:rsidR="0088117A">
        <w:rPr>
          <w:noProof/>
        </w:rPr>
        <w:t>3</w:t>
      </w:r>
      <w:r>
        <w:rPr>
          <w:noProof/>
        </w:rPr>
        <w:fldChar w:fldCharType="end"/>
      </w:r>
      <w:r w:rsidRPr="003D6FF8">
        <w:t>: BDP na prebivalca</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1"/>
        <w:gridCol w:w="1110"/>
        <w:gridCol w:w="1110"/>
        <w:gridCol w:w="1110"/>
        <w:gridCol w:w="1110"/>
        <w:gridCol w:w="1110"/>
        <w:gridCol w:w="941"/>
      </w:tblGrid>
      <w:tr w:rsidR="00F44F83" w:rsidRPr="00275988" w14:paraId="125AA1DA" w14:textId="3443DC63" w:rsidTr="005B2A49">
        <w:trPr>
          <w:trHeight w:val="315"/>
        </w:trPr>
        <w:tc>
          <w:tcPr>
            <w:tcW w:w="1423" w:type="pct"/>
            <w:shd w:val="clear" w:color="000000" w:fill="92D050"/>
            <w:vAlign w:val="bottom"/>
            <w:hideMark/>
          </w:tcPr>
          <w:p w14:paraId="369D34DF" w14:textId="62792122" w:rsidR="00F44F83" w:rsidRPr="005B2A49" w:rsidRDefault="00F44F83" w:rsidP="006544EB">
            <w:pPr>
              <w:rPr>
                <w:b/>
                <w:bCs/>
                <w:color w:val="000000"/>
                <w:sz w:val="18"/>
                <w:szCs w:val="18"/>
                <w:lang w:eastAsia="sl-SI"/>
              </w:rPr>
            </w:pPr>
            <w:r w:rsidRPr="005B2A49">
              <w:rPr>
                <w:b/>
                <w:bCs/>
                <w:color w:val="000000"/>
                <w:sz w:val="18"/>
                <w:szCs w:val="18"/>
                <w:lang w:eastAsia="sl-SI"/>
              </w:rPr>
              <w:t>C. 09 BDP na prebivalca</w:t>
            </w:r>
          </w:p>
        </w:tc>
        <w:tc>
          <w:tcPr>
            <w:tcW w:w="617" w:type="pct"/>
            <w:shd w:val="clear" w:color="000000" w:fill="92D050"/>
            <w:noWrap/>
            <w:vAlign w:val="center"/>
            <w:hideMark/>
          </w:tcPr>
          <w:p w14:paraId="480225A1"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2010</w:t>
            </w:r>
          </w:p>
        </w:tc>
        <w:tc>
          <w:tcPr>
            <w:tcW w:w="617" w:type="pct"/>
            <w:shd w:val="clear" w:color="000000" w:fill="92D050"/>
            <w:noWrap/>
            <w:vAlign w:val="center"/>
            <w:hideMark/>
          </w:tcPr>
          <w:p w14:paraId="156A6A6E"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2013</w:t>
            </w:r>
          </w:p>
        </w:tc>
        <w:tc>
          <w:tcPr>
            <w:tcW w:w="617" w:type="pct"/>
            <w:shd w:val="clear" w:color="000000" w:fill="92D050"/>
            <w:noWrap/>
            <w:vAlign w:val="center"/>
            <w:hideMark/>
          </w:tcPr>
          <w:p w14:paraId="2E81C8BE"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2016</w:t>
            </w:r>
          </w:p>
        </w:tc>
        <w:tc>
          <w:tcPr>
            <w:tcW w:w="617" w:type="pct"/>
            <w:shd w:val="clear" w:color="000000" w:fill="92D050"/>
            <w:noWrap/>
            <w:vAlign w:val="center"/>
            <w:hideMark/>
          </w:tcPr>
          <w:p w14:paraId="43FEDF24"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2017</w:t>
            </w:r>
          </w:p>
        </w:tc>
        <w:tc>
          <w:tcPr>
            <w:tcW w:w="617" w:type="pct"/>
            <w:shd w:val="clear" w:color="000000" w:fill="92D050"/>
            <w:noWrap/>
            <w:vAlign w:val="center"/>
            <w:hideMark/>
          </w:tcPr>
          <w:p w14:paraId="23C331CF" w14:textId="77777777" w:rsidR="00F44F83" w:rsidRPr="005B2A49" w:rsidRDefault="00F44F83" w:rsidP="006544EB">
            <w:pPr>
              <w:jc w:val="center"/>
              <w:rPr>
                <w:b/>
                <w:bCs/>
                <w:color w:val="000000"/>
                <w:sz w:val="18"/>
                <w:szCs w:val="18"/>
                <w:lang w:eastAsia="sl-SI"/>
              </w:rPr>
            </w:pPr>
            <w:r w:rsidRPr="005B2A49">
              <w:rPr>
                <w:b/>
                <w:bCs/>
                <w:color w:val="000000"/>
                <w:sz w:val="18"/>
                <w:szCs w:val="18"/>
                <w:lang w:eastAsia="sl-SI"/>
              </w:rPr>
              <w:t>2018</w:t>
            </w:r>
          </w:p>
        </w:tc>
        <w:tc>
          <w:tcPr>
            <w:tcW w:w="491" w:type="pct"/>
            <w:shd w:val="clear" w:color="000000" w:fill="92D050"/>
            <w:vAlign w:val="center"/>
          </w:tcPr>
          <w:p w14:paraId="2A6A9117" w14:textId="20878D66" w:rsidR="00F44F83" w:rsidRPr="005B2A49" w:rsidRDefault="00F44F83" w:rsidP="005B2A49">
            <w:pPr>
              <w:jc w:val="right"/>
              <w:rPr>
                <w:b/>
                <w:bCs/>
                <w:color w:val="000000"/>
                <w:sz w:val="18"/>
                <w:szCs w:val="18"/>
                <w:lang w:eastAsia="sl-SI"/>
              </w:rPr>
            </w:pPr>
            <w:r w:rsidRPr="005B2A49">
              <w:rPr>
                <w:b/>
                <w:bCs/>
                <w:color w:val="000000"/>
                <w:sz w:val="18"/>
                <w:szCs w:val="18"/>
                <w:lang w:eastAsia="sl-SI"/>
              </w:rPr>
              <w:t>2019</w:t>
            </w:r>
          </w:p>
        </w:tc>
      </w:tr>
      <w:tr w:rsidR="00F44F83" w:rsidRPr="00275988" w14:paraId="0E5C3215" w14:textId="554CF200" w:rsidTr="005B2A49">
        <w:trPr>
          <w:trHeight w:val="430"/>
        </w:trPr>
        <w:tc>
          <w:tcPr>
            <w:tcW w:w="1423" w:type="pct"/>
            <w:shd w:val="clear" w:color="000000" w:fill="FFFFFF"/>
            <w:vAlign w:val="bottom"/>
            <w:hideMark/>
          </w:tcPr>
          <w:p w14:paraId="2816C199" w14:textId="77777777" w:rsidR="00F44F83" w:rsidRPr="005B2A49" w:rsidRDefault="00F44F83" w:rsidP="00F44F83">
            <w:pPr>
              <w:rPr>
                <w:color w:val="000000"/>
                <w:sz w:val="18"/>
                <w:szCs w:val="18"/>
                <w:lang w:eastAsia="sl-SI"/>
              </w:rPr>
            </w:pPr>
            <w:r w:rsidRPr="005B2A49">
              <w:rPr>
                <w:color w:val="000000"/>
                <w:sz w:val="18"/>
                <w:szCs w:val="18"/>
                <w:lang w:eastAsia="sl-SI"/>
              </w:rPr>
              <w:t>BDP na prebivalca v podeželskih regijah (EUR PPS)</w:t>
            </w:r>
          </w:p>
        </w:tc>
        <w:tc>
          <w:tcPr>
            <w:tcW w:w="617" w:type="pct"/>
            <w:shd w:val="clear" w:color="000000" w:fill="FFFFFF"/>
            <w:vAlign w:val="center"/>
            <w:hideMark/>
          </w:tcPr>
          <w:p w14:paraId="0C0DCC39" w14:textId="77777777" w:rsidR="00F44F83" w:rsidRPr="005B2A49" w:rsidRDefault="00F44F83" w:rsidP="00F44F83">
            <w:pPr>
              <w:jc w:val="right"/>
              <w:rPr>
                <w:b/>
                <w:bCs/>
                <w:color w:val="000000"/>
                <w:sz w:val="18"/>
                <w:szCs w:val="18"/>
                <w:lang w:eastAsia="sl-SI"/>
              </w:rPr>
            </w:pPr>
            <w:r w:rsidRPr="005B2A49">
              <w:rPr>
                <w:b/>
                <w:bCs/>
                <w:color w:val="000000"/>
                <w:sz w:val="18"/>
                <w:szCs w:val="18"/>
                <w:lang w:eastAsia="sl-SI"/>
              </w:rPr>
              <w:t>-</w:t>
            </w:r>
          </w:p>
        </w:tc>
        <w:tc>
          <w:tcPr>
            <w:tcW w:w="617" w:type="pct"/>
            <w:shd w:val="clear" w:color="000000" w:fill="FFFFFF"/>
            <w:vAlign w:val="center"/>
            <w:hideMark/>
          </w:tcPr>
          <w:p w14:paraId="08605EAF" w14:textId="795A5ECC" w:rsidR="00F44F83" w:rsidRPr="005B2A49" w:rsidRDefault="00F44F83" w:rsidP="005177BC">
            <w:pPr>
              <w:jc w:val="right"/>
              <w:rPr>
                <w:color w:val="000000"/>
                <w:sz w:val="18"/>
                <w:szCs w:val="18"/>
                <w:lang w:eastAsia="sl-SI"/>
              </w:rPr>
            </w:pPr>
            <w:r w:rsidRPr="005B2A49">
              <w:rPr>
                <w:color w:val="000000"/>
                <w:sz w:val="18"/>
                <w:szCs w:val="18"/>
                <w:lang w:eastAsia="sl-SI"/>
              </w:rPr>
              <w:t>18.100,00</w:t>
            </w:r>
          </w:p>
        </w:tc>
        <w:tc>
          <w:tcPr>
            <w:tcW w:w="617" w:type="pct"/>
            <w:shd w:val="clear" w:color="000000" w:fill="FFFFFF"/>
            <w:vAlign w:val="center"/>
            <w:hideMark/>
          </w:tcPr>
          <w:p w14:paraId="741D06FC" w14:textId="04AA629B" w:rsidR="00F44F83" w:rsidRPr="005B2A49" w:rsidRDefault="00F44F83" w:rsidP="009F0937">
            <w:pPr>
              <w:jc w:val="right"/>
              <w:rPr>
                <w:color w:val="000000"/>
                <w:sz w:val="18"/>
                <w:szCs w:val="18"/>
                <w:lang w:eastAsia="sl-SI"/>
              </w:rPr>
            </w:pPr>
            <w:r w:rsidRPr="005B2A49">
              <w:rPr>
                <w:sz w:val="18"/>
                <w:szCs w:val="18"/>
              </w:rPr>
              <w:t>19.700,00</w:t>
            </w:r>
          </w:p>
        </w:tc>
        <w:tc>
          <w:tcPr>
            <w:tcW w:w="617" w:type="pct"/>
            <w:shd w:val="clear" w:color="000000" w:fill="FFFFFF"/>
            <w:vAlign w:val="center"/>
            <w:hideMark/>
          </w:tcPr>
          <w:p w14:paraId="18A1E038" w14:textId="48D81938" w:rsidR="00F44F83" w:rsidRPr="005B2A49" w:rsidRDefault="00F44F83">
            <w:pPr>
              <w:jc w:val="right"/>
              <w:rPr>
                <w:color w:val="000000"/>
                <w:sz w:val="18"/>
                <w:szCs w:val="18"/>
                <w:lang w:eastAsia="sl-SI"/>
              </w:rPr>
            </w:pPr>
            <w:r w:rsidRPr="005B2A49">
              <w:rPr>
                <w:sz w:val="18"/>
                <w:szCs w:val="18"/>
              </w:rPr>
              <w:t>20.900,00</w:t>
            </w:r>
          </w:p>
        </w:tc>
        <w:tc>
          <w:tcPr>
            <w:tcW w:w="617" w:type="pct"/>
            <w:shd w:val="clear" w:color="000000" w:fill="FFFFFF"/>
            <w:vAlign w:val="center"/>
            <w:hideMark/>
          </w:tcPr>
          <w:p w14:paraId="152382C3" w14:textId="22DCD807" w:rsidR="00F44F83" w:rsidRPr="005B2A49" w:rsidRDefault="00F44F83">
            <w:pPr>
              <w:jc w:val="right"/>
              <w:rPr>
                <w:color w:val="000000"/>
                <w:sz w:val="18"/>
                <w:szCs w:val="18"/>
                <w:lang w:eastAsia="sl-SI"/>
              </w:rPr>
            </w:pPr>
            <w:r w:rsidRPr="005B2A49">
              <w:rPr>
                <w:sz w:val="18"/>
                <w:szCs w:val="18"/>
              </w:rPr>
              <w:t>21.900,00</w:t>
            </w:r>
          </w:p>
        </w:tc>
        <w:tc>
          <w:tcPr>
            <w:tcW w:w="491" w:type="pct"/>
            <w:shd w:val="clear" w:color="000000" w:fill="FFFFFF"/>
            <w:vAlign w:val="center"/>
          </w:tcPr>
          <w:p w14:paraId="03ECD141" w14:textId="00880C5D" w:rsidR="00F44F83" w:rsidRPr="005B2A49" w:rsidRDefault="00F44F83">
            <w:pPr>
              <w:jc w:val="right"/>
              <w:rPr>
                <w:color w:val="000000"/>
                <w:sz w:val="18"/>
                <w:szCs w:val="18"/>
                <w:lang w:eastAsia="sl-SI"/>
              </w:rPr>
            </w:pPr>
            <w:r w:rsidRPr="005B2A49">
              <w:rPr>
                <w:sz w:val="18"/>
                <w:szCs w:val="18"/>
              </w:rPr>
              <w:t>23.000,00</w:t>
            </w:r>
          </w:p>
        </w:tc>
      </w:tr>
      <w:tr w:rsidR="00F44F83" w:rsidRPr="00275988" w14:paraId="6BFE8526" w14:textId="2F2469A1" w:rsidTr="005B2A49">
        <w:trPr>
          <w:trHeight w:val="367"/>
        </w:trPr>
        <w:tc>
          <w:tcPr>
            <w:tcW w:w="1423" w:type="pct"/>
            <w:shd w:val="clear" w:color="000000" w:fill="FFFFFF"/>
            <w:vAlign w:val="bottom"/>
            <w:hideMark/>
          </w:tcPr>
          <w:p w14:paraId="7116604E" w14:textId="77777777" w:rsidR="00F44F83" w:rsidRPr="005B2A49" w:rsidRDefault="00F44F83" w:rsidP="00F44F83">
            <w:pPr>
              <w:rPr>
                <w:color w:val="000000"/>
                <w:sz w:val="18"/>
                <w:szCs w:val="18"/>
                <w:lang w:eastAsia="sl-SI"/>
              </w:rPr>
            </w:pPr>
            <w:r w:rsidRPr="005B2A49">
              <w:rPr>
                <w:color w:val="000000"/>
                <w:sz w:val="18"/>
                <w:szCs w:val="18"/>
                <w:lang w:eastAsia="sl-SI"/>
              </w:rPr>
              <w:lastRenderedPageBreak/>
              <w:t>BDP na prebivalca v podeželskih regijah (indeks PPS)</w:t>
            </w:r>
          </w:p>
        </w:tc>
        <w:tc>
          <w:tcPr>
            <w:tcW w:w="617" w:type="pct"/>
            <w:shd w:val="clear" w:color="000000" w:fill="FFFFFF"/>
            <w:noWrap/>
            <w:vAlign w:val="center"/>
            <w:hideMark/>
          </w:tcPr>
          <w:p w14:paraId="02797306" w14:textId="449448BD" w:rsidR="00F44F83" w:rsidRPr="005B2A49" w:rsidRDefault="00F44F83" w:rsidP="00F44F83">
            <w:pPr>
              <w:jc w:val="right"/>
              <w:rPr>
                <w:color w:val="000000"/>
                <w:sz w:val="18"/>
                <w:szCs w:val="18"/>
                <w:lang w:eastAsia="sl-SI"/>
              </w:rPr>
            </w:pPr>
            <w:r w:rsidRPr="005B2A49">
              <w:rPr>
                <w:color w:val="000000"/>
                <w:sz w:val="18"/>
                <w:szCs w:val="18"/>
                <w:lang w:eastAsia="sl-SI"/>
              </w:rPr>
              <w:t>70</w:t>
            </w:r>
          </w:p>
        </w:tc>
        <w:tc>
          <w:tcPr>
            <w:tcW w:w="617" w:type="pct"/>
            <w:shd w:val="clear" w:color="000000" w:fill="FFFFFF"/>
            <w:noWrap/>
            <w:vAlign w:val="center"/>
            <w:hideMark/>
          </w:tcPr>
          <w:p w14:paraId="083E59C4" w14:textId="4B957696" w:rsidR="00F44F83" w:rsidRPr="005B2A49" w:rsidRDefault="00F44F83" w:rsidP="005177BC">
            <w:pPr>
              <w:jc w:val="right"/>
              <w:rPr>
                <w:color w:val="000000"/>
                <w:sz w:val="18"/>
                <w:szCs w:val="18"/>
                <w:lang w:eastAsia="sl-SI"/>
              </w:rPr>
            </w:pPr>
            <w:r w:rsidRPr="005B2A49">
              <w:rPr>
                <w:color w:val="000000"/>
                <w:sz w:val="18"/>
                <w:szCs w:val="18"/>
                <w:lang w:eastAsia="sl-SI"/>
              </w:rPr>
              <w:t>70</w:t>
            </w:r>
          </w:p>
        </w:tc>
        <w:tc>
          <w:tcPr>
            <w:tcW w:w="617" w:type="pct"/>
            <w:shd w:val="clear" w:color="000000" w:fill="FFFFFF"/>
            <w:noWrap/>
            <w:vAlign w:val="center"/>
            <w:hideMark/>
          </w:tcPr>
          <w:p w14:paraId="5B066A9A" w14:textId="33D804BA" w:rsidR="00F44F83" w:rsidRPr="005B2A49" w:rsidRDefault="00F44F83" w:rsidP="009F0937">
            <w:pPr>
              <w:jc w:val="right"/>
              <w:rPr>
                <w:color w:val="000000"/>
                <w:sz w:val="18"/>
                <w:szCs w:val="18"/>
                <w:lang w:eastAsia="sl-SI"/>
              </w:rPr>
            </w:pPr>
            <w:r w:rsidRPr="005B2A49">
              <w:rPr>
                <w:sz w:val="18"/>
                <w:szCs w:val="18"/>
              </w:rPr>
              <w:t>70</w:t>
            </w:r>
          </w:p>
        </w:tc>
        <w:tc>
          <w:tcPr>
            <w:tcW w:w="617" w:type="pct"/>
            <w:shd w:val="clear" w:color="auto" w:fill="auto"/>
            <w:noWrap/>
            <w:vAlign w:val="center"/>
            <w:hideMark/>
          </w:tcPr>
          <w:p w14:paraId="203481D6" w14:textId="1E34307E" w:rsidR="00F44F83" w:rsidRPr="005B2A49" w:rsidRDefault="00F44F83">
            <w:pPr>
              <w:jc w:val="right"/>
              <w:rPr>
                <w:color w:val="000000"/>
                <w:sz w:val="18"/>
                <w:szCs w:val="18"/>
                <w:lang w:eastAsia="sl-SI"/>
              </w:rPr>
            </w:pPr>
            <w:r w:rsidRPr="005B2A49">
              <w:rPr>
                <w:sz w:val="18"/>
                <w:szCs w:val="18"/>
              </w:rPr>
              <w:t>71</w:t>
            </w:r>
          </w:p>
        </w:tc>
        <w:tc>
          <w:tcPr>
            <w:tcW w:w="617" w:type="pct"/>
            <w:shd w:val="clear" w:color="000000" w:fill="FFFFFF"/>
            <w:vAlign w:val="center"/>
            <w:hideMark/>
          </w:tcPr>
          <w:p w14:paraId="1965A884" w14:textId="59020C76" w:rsidR="00F44F83" w:rsidRPr="005B2A49" w:rsidRDefault="00F44F83">
            <w:pPr>
              <w:jc w:val="right"/>
              <w:rPr>
                <w:b/>
                <w:bCs/>
                <w:color w:val="000000"/>
                <w:sz w:val="18"/>
                <w:szCs w:val="18"/>
                <w:lang w:eastAsia="sl-SI"/>
              </w:rPr>
            </w:pPr>
            <w:r w:rsidRPr="005B2A49">
              <w:rPr>
                <w:sz w:val="18"/>
                <w:szCs w:val="18"/>
              </w:rPr>
              <w:t>73</w:t>
            </w:r>
          </w:p>
        </w:tc>
        <w:tc>
          <w:tcPr>
            <w:tcW w:w="491" w:type="pct"/>
            <w:shd w:val="clear" w:color="000000" w:fill="FFFFFF"/>
            <w:vAlign w:val="center"/>
          </w:tcPr>
          <w:p w14:paraId="22F5161D" w14:textId="71A1321D" w:rsidR="00F44F83" w:rsidRPr="005B2A49" w:rsidRDefault="00F44F83">
            <w:pPr>
              <w:jc w:val="right"/>
              <w:rPr>
                <w:bCs/>
                <w:color w:val="000000"/>
                <w:sz w:val="18"/>
                <w:szCs w:val="18"/>
                <w:lang w:eastAsia="sl-SI"/>
              </w:rPr>
            </w:pPr>
            <w:r w:rsidRPr="005B2A49">
              <w:rPr>
                <w:sz w:val="18"/>
                <w:szCs w:val="18"/>
              </w:rPr>
              <w:t>74</w:t>
            </w:r>
          </w:p>
        </w:tc>
      </w:tr>
      <w:tr w:rsidR="00F44F83" w:rsidRPr="00275988" w14:paraId="46ABA21C" w14:textId="2F5E1B19" w:rsidTr="005B2A49">
        <w:trPr>
          <w:trHeight w:val="315"/>
        </w:trPr>
        <w:tc>
          <w:tcPr>
            <w:tcW w:w="1423" w:type="pct"/>
            <w:shd w:val="clear" w:color="000000" w:fill="FFFFFF"/>
            <w:vAlign w:val="bottom"/>
            <w:hideMark/>
          </w:tcPr>
          <w:p w14:paraId="251777CE" w14:textId="77777777" w:rsidR="00F44F83" w:rsidRPr="005B2A49" w:rsidRDefault="00F44F83" w:rsidP="00F44F83">
            <w:pPr>
              <w:rPr>
                <w:color w:val="000000"/>
                <w:sz w:val="18"/>
                <w:szCs w:val="18"/>
                <w:lang w:eastAsia="sl-SI"/>
              </w:rPr>
            </w:pPr>
            <w:r w:rsidRPr="005B2A49">
              <w:rPr>
                <w:color w:val="000000"/>
                <w:sz w:val="18"/>
                <w:szCs w:val="18"/>
                <w:lang w:eastAsia="sl-SI"/>
              </w:rPr>
              <w:t>BDP na prebivalca skupaj (EUR PPS)</w:t>
            </w:r>
          </w:p>
        </w:tc>
        <w:tc>
          <w:tcPr>
            <w:tcW w:w="617" w:type="pct"/>
            <w:shd w:val="clear" w:color="000000" w:fill="FFFFFF"/>
            <w:vAlign w:val="center"/>
            <w:hideMark/>
          </w:tcPr>
          <w:p w14:paraId="105BD149" w14:textId="7EB46F04" w:rsidR="00F44F83" w:rsidRPr="005B2A49" w:rsidRDefault="00F44F83" w:rsidP="00F44F83">
            <w:pPr>
              <w:jc w:val="right"/>
              <w:rPr>
                <w:color w:val="000000"/>
                <w:sz w:val="18"/>
                <w:szCs w:val="18"/>
                <w:lang w:eastAsia="sl-SI"/>
              </w:rPr>
            </w:pPr>
            <w:r w:rsidRPr="005B2A49">
              <w:rPr>
                <w:color w:val="000000"/>
                <w:sz w:val="18"/>
                <w:szCs w:val="18"/>
                <w:lang w:eastAsia="sl-SI"/>
              </w:rPr>
              <w:t>21.200</w:t>
            </w:r>
            <w:r w:rsidR="009F0937" w:rsidRPr="005B2A49">
              <w:rPr>
                <w:color w:val="000000"/>
                <w:sz w:val="18"/>
                <w:szCs w:val="18"/>
                <w:lang w:eastAsia="sl-SI"/>
              </w:rPr>
              <w:t>,00</w:t>
            </w:r>
          </w:p>
        </w:tc>
        <w:tc>
          <w:tcPr>
            <w:tcW w:w="617" w:type="pct"/>
            <w:shd w:val="clear" w:color="000000" w:fill="FFFFFF"/>
            <w:vAlign w:val="center"/>
            <w:hideMark/>
          </w:tcPr>
          <w:p w14:paraId="2D78A0E2" w14:textId="0484BAE0" w:rsidR="00F44F83" w:rsidRPr="005B2A49" w:rsidRDefault="00F44F83" w:rsidP="005177BC">
            <w:pPr>
              <w:jc w:val="right"/>
              <w:rPr>
                <w:color w:val="000000"/>
                <w:sz w:val="18"/>
                <w:szCs w:val="18"/>
                <w:lang w:eastAsia="sl-SI"/>
              </w:rPr>
            </w:pPr>
            <w:r w:rsidRPr="005B2A49">
              <w:rPr>
                <w:color w:val="000000"/>
                <w:sz w:val="18"/>
                <w:szCs w:val="18"/>
                <w:lang w:eastAsia="sl-SI"/>
              </w:rPr>
              <w:t>21.900</w:t>
            </w:r>
            <w:r w:rsidR="009F0937" w:rsidRPr="005B2A49">
              <w:rPr>
                <w:color w:val="000000"/>
                <w:sz w:val="18"/>
                <w:szCs w:val="18"/>
                <w:lang w:eastAsia="sl-SI"/>
              </w:rPr>
              <w:t>,00</w:t>
            </w:r>
          </w:p>
        </w:tc>
        <w:tc>
          <w:tcPr>
            <w:tcW w:w="617" w:type="pct"/>
            <w:shd w:val="clear" w:color="000000" w:fill="FFFFFF"/>
            <w:vAlign w:val="center"/>
            <w:hideMark/>
          </w:tcPr>
          <w:p w14:paraId="07C0BCE5" w14:textId="74E3FA5F" w:rsidR="00F44F83" w:rsidRPr="005B2A49" w:rsidRDefault="00F44F83" w:rsidP="009F0937">
            <w:pPr>
              <w:jc w:val="right"/>
              <w:rPr>
                <w:color w:val="000000"/>
                <w:sz w:val="18"/>
                <w:szCs w:val="18"/>
                <w:lang w:eastAsia="sl-SI"/>
              </w:rPr>
            </w:pPr>
            <w:r w:rsidRPr="005B2A49">
              <w:rPr>
                <w:sz w:val="18"/>
                <w:szCs w:val="18"/>
              </w:rPr>
              <w:t>24.100</w:t>
            </w:r>
            <w:r w:rsidR="009F0937" w:rsidRPr="005B2A49">
              <w:rPr>
                <w:sz w:val="18"/>
                <w:szCs w:val="18"/>
              </w:rPr>
              <w:t>,00</w:t>
            </w:r>
          </w:p>
        </w:tc>
        <w:tc>
          <w:tcPr>
            <w:tcW w:w="617" w:type="pct"/>
            <w:shd w:val="clear" w:color="000000" w:fill="FFFFFF"/>
            <w:vAlign w:val="center"/>
            <w:hideMark/>
          </w:tcPr>
          <w:p w14:paraId="081B58EA" w14:textId="30357A77" w:rsidR="00F44F83" w:rsidRPr="005B2A49" w:rsidRDefault="00F44F83" w:rsidP="009F0937">
            <w:pPr>
              <w:jc w:val="right"/>
              <w:rPr>
                <w:color w:val="000000"/>
                <w:sz w:val="18"/>
                <w:szCs w:val="18"/>
                <w:lang w:eastAsia="sl-SI"/>
              </w:rPr>
            </w:pPr>
            <w:r w:rsidRPr="005B2A49">
              <w:rPr>
                <w:sz w:val="18"/>
                <w:szCs w:val="18"/>
              </w:rPr>
              <w:t>25.500</w:t>
            </w:r>
            <w:r w:rsidR="009F0937" w:rsidRPr="005B2A49">
              <w:rPr>
                <w:sz w:val="18"/>
                <w:szCs w:val="18"/>
              </w:rPr>
              <w:t>,00</w:t>
            </w:r>
          </w:p>
        </w:tc>
        <w:tc>
          <w:tcPr>
            <w:tcW w:w="617" w:type="pct"/>
            <w:shd w:val="clear" w:color="000000" w:fill="FFFFFF"/>
            <w:vAlign w:val="center"/>
            <w:hideMark/>
          </w:tcPr>
          <w:p w14:paraId="1C2EB392" w14:textId="0B27A916" w:rsidR="00F44F83" w:rsidRPr="005B2A49" w:rsidRDefault="00F44F83">
            <w:pPr>
              <w:jc w:val="right"/>
              <w:rPr>
                <w:color w:val="000000"/>
                <w:sz w:val="18"/>
                <w:szCs w:val="18"/>
                <w:lang w:eastAsia="sl-SI"/>
              </w:rPr>
            </w:pPr>
            <w:r w:rsidRPr="005B2A49">
              <w:rPr>
                <w:sz w:val="18"/>
                <w:szCs w:val="18"/>
              </w:rPr>
              <w:t>26.387,60</w:t>
            </w:r>
          </w:p>
        </w:tc>
        <w:tc>
          <w:tcPr>
            <w:tcW w:w="491" w:type="pct"/>
            <w:shd w:val="clear" w:color="000000" w:fill="FFFFFF"/>
            <w:vAlign w:val="center"/>
          </w:tcPr>
          <w:p w14:paraId="48424946" w14:textId="0B8E5F14" w:rsidR="00F44F83" w:rsidRPr="005B2A49" w:rsidRDefault="00F44F83">
            <w:pPr>
              <w:jc w:val="right"/>
              <w:rPr>
                <w:color w:val="000000"/>
                <w:sz w:val="18"/>
                <w:szCs w:val="18"/>
                <w:lang w:eastAsia="sl-SI"/>
              </w:rPr>
            </w:pPr>
            <w:r w:rsidRPr="005B2A49">
              <w:rPr>
                <w:sz w:val="18"/>
                <w:szCs w:val="18"/>
              </w:rPr>
              <w:t>27.658,80</w:t>
            </w:r>
          </w:p>
        </w:tc>
      </w:tr>
      <w:tr w:rsidR="00F44F83" w:rsidRPr="00275988" w14:paraId="1804D086" w14:textId="3201EF4D" w:rsidTr="005B2A49">
        <w:trPr>
          <w:trHeight w:val="156"/>
        </w:trPr>
        <w:tc>
          <w:tcPr>
            <w:tcW w:w="1423" w:type="pct"/>
            <w:shd w:val="clear" w:color="000000" w:fill="FFFFFF"/>
            <w:vAlign w:val="center"/>
            <w:hideMark/>
          </w:tcPr>
          <w:p w14:paraId="081281E6" w14:textId="77777777" w:rsidR="00F44F83" w:rsidRPr="005B2A49" w:rsidRDefault="00F44F83" w:rsidP="00F44F83">
            <w:pPr>
              <w:rPr>
                <w:color w:val="000000"/>
                <w:sz w:val="18"/>
                <w:szCs w:val="18"/>
                <w:lang w:eastAsia="sl-SI"/>
              </w:rPr>
            </w:pPr>
            <w:r w:rsidRPr="005B2A49">
              <w:rPr>
                <w:color w:val="000000"/>
                <w:sz w:val="18"/>
                <w:szCs w:val="18"/>
                <w:lang w:eastAsia="sl-SI"/>
              </w:rPr>
              <w:t>BDP na prebivalca skupaj (Indeks PPS)</w:t>
            </w:r>
          </w:p>
        </w:tc>
        <w:tc>
          <w:tcPr>
            <w:tcW w:w="617" w:type="pct"/>
            <w:shd w:val="clear" w:color="000000" w:fill="FFFFFF"/>
            <w:noWrap/>
            <w:vAlign w:val="center"/>
            <w:hideMark/>
          </w:tcPr>
          <w:p w14:paraId="490DF705" w14:textId="77777777" w:rsidR="00F44F83" w:rsidRPr="005B2A49" w:rsidRDefault="00F44F83" w:rsidP="00F44F83">
            <w:pPr>
              <w:jc w:val="right"/>
              <w:rPr>
                <w:color w:val="000000"/>
                <w:sz w:val="18"/>
                <w:szCs w:val="18"/>
                <w:lang w:eastAsia="sl-SI"/>
              </w:rPr>
            </w:pPr>
            <w:r w:rsidRPr="005B2A49">
              <w:rPr>
                <w:color w:val="000000"/>
                <w:sz w:val="18"/>
                <w:szCs w:val="18"/>
                <w:lang w:eastAsia="sl-SI"/>
              </w:rPr>
              <w:t>84,60</w:t>
            </w:r>
          </w:p>
        </w:tc>
        <w:tc>
          <w:tcPr>
            <w:tcW w:w="617" w:type="pct"/>
            <w:shd w:val="clear" w:color="000000" w:fill="FFFFFF"/>
            <w:noWrap/>
            <w:vAlign w:val="center"/>
            <w:hideMark/>
          </w:tcPr>
          <w:p w14:paraId="37CA69F0" w14:textId="77777777" w:rsidR="00F44F83" w:rsidRPr="005B2A49" w:rsidRDefault="00F44F83" w:rsidP="005177BC">
            <w:pPr>
              <w:jc w:val="right"/>
              <w:rPr>
                <w:color w:val="000000"/>
                <w:sz w:val="18"/>
                <w:szCs w:val="18"/>
                <w:lang w:eastAsia="sl-SI"/>
              </w:rPr>
            </w:pPr>
            <w:r w:rsidRPr="005B2A49">
              <w:rPr>
                <w:color w:val="000000"/>
                <w:sz w:val="18"/>
                <w:szCs w:val="18"/>
                <w:lang w:eastAsia="sl-SI"/>
              </w:rPr>
              <w:t>83,20</w:t>
            </w:r>
          </w:p>
        </w:tc>
        <w:tc>
          <w:tcPr>
            <w:tcW w:w="617" w:type="pct"/>
            <w:shd w:val="clear" w:color="000000" w:fill="FFFFFF"/>
            <w:noWrap/>
            <w:vAlign w:val="center"/>
            <w:hideMark/>
          </w:tcPr>
          <w:p w14:paraId="6B4EDDF9" w14:textId="52883EF7" w:rsidR="00F44F83" w:rsidRPr="005B2A49" w:rsidRDefault="00F44F83" w:rsidP="009F0937">
            <w:pPr>
              <w:jc w:val="right"/>
              <w:rPr>
                <w:color w:val="000000"/>
                <w:sz w:val="18"/>
                <w:szCs w:val="18"/>
                <w:lang w:eastAsia="sl-SI"/>
              </w:rPr>
            </w:pPr>
            <w:r w:rsidRPr="005B2A49">
              <w:rPr>
                <w:sz w:val="18"/>
                <w:szCs w:val="18"/>
              </w:rPr>
              <w:t>83,70</w:t>
            </w:r>
          </w:p>
        </w:tc>
        <w:tc>
          <w:tcPr>
            <w:tcW w:w="617" w:type="pct"/>
            <w:shd w:val="clear" w:color="000000" w:fill="FFFFFF"/>
            <w:noWrap/>
            <w:vAlign w:val="center"/>
            <w:hideMark/>
          </w:tcPr>
          <w:p w14:paraId="4BA685BA" w14:textId="07C6E9F9" w:rsidR="00F44F83" w:rsidRPr="005B2A49" w:rsidRDefault="00F44F83">
            <w:pPr>
              <w:jc w:val="right"/>
              <w:rPr>
                <w:color w:val="000000"/>
                <w:sz w:val="18"/>
                <w:szCs w:val="18"/>
                <w:lang w:eastAsia="sl-SI"/>
              </w:rPr>
            </w:pPr>
            <w:r w:rsidRPr="005B2A49">
              <w:rPr>
                <w:sz w:val="18"/>
                <w:szCs w:val="18"/>
              </w:rPr>
              <w:t>85,60</w:t>
            </w:r>
          </w:p>
        </w:tc>
        <w:tc>
          <w:tcPr>
            <w:tcW w:w="617" w:type="pct"/>
            <w:shd w:val="clear" w:color="000000" w:fill="FFFFFF"/>
            <w:noWrap/>
            <w:vAlign w:val="center"/>
            <w:hideMark/>
          </w:tcPr>
          <w:p w14:paraId="4E651C8B" w14:textId="362A9D0C" w:rsidR="00F44F83" w:rsidRPr="005B2A49" w:rsidRDefault="00F44F83">
            <w:pPr>
              <w:jc w:val="right"/>
              <w:rPr>
                <w:color w:val="000000"/>
                <w:sz w:val="18"/>
                <w:szCs w:val="18"/>
                <w:lang w:eastAsia="sl-SI"/>
              </w:rPr>
            </w:pPr>
            <w:r w:rsidRPr="005B2A49">
              <w:rPr>
                <w:sz w:val="18"/>
                <w:szCs w:val="18"/>
              </w:rPr>
              <w:t>87,40</w:t>
            </w:r>
          </w:p>
        </w:tc>
        <w:tc>
          <w:tcPr>
            <w:tcW w:w="491" w:type="pct"/>
            <w:shd w:val="clear" w:color="000000" w:fill="FFFFFF"/>
            <w:vAlign w:val="center"/>
          </w:tcPr>
          <w:p w14:paraId="0F4633E5" w14:textId="3B609519" w:rsidR="00F44F83" w:rsidRPr="005B2A49" w:rsidRDefault="00F44F83">
            <w:pPr>
              <w:jc w:val="right"/>
              <w:rPr>
                <w:color w:val="000000"/>
                <w:sz w:val="18"/>
                <w:szCs w:val="18"/>
                <w:lang w:eastAsia="sl-SI"/>
              </w:rPr>
            </w:pPr>
            <w:r w:rsidRPr="005B2A49">
              <w:rPr>
                <w:sz w:val="18"/>
                <w:szCs w:val="18"/>
              </w:rPr>
              <w:t>88,70</w:t>
            </w:r>
          </w:p>
        </w:tc>
      </w:tr>
    </w:tbl>
    <w:p w14:paraId="0BC057DC" w14:textId="77777777" w:rsidR="00EC2DD0" w:rsidRDefault="00EC2DD0" w:rsidP="005B2A49">
      <w:pPr>
        <w:jc w:val="left"/>
        <w:rPr>
          <w:sz w:val="16"/>
          <w:szCs w:val="16"/>
        </w:rPr>
      </w:pPr>
      <w:r w:rsidRPr="00041B20">
        <w:rPr>
          <w:sz w:val="16"/>
          <w:szCs w:val="16"/>
        </w:rPr>
        <w:t>*PPS – standard kupne moči (»purchase power standard«)</w:t>
      </w:r>
      <w:bookmarkStart w:id="21" w:name="_Ref29976797"/>
    </w:p>
    <w:p w14:paraId="6CF748B8" w14:textId="77777777" w:rsidR="00EC2DD0" w:rsidRDefault="00EC2DD0" w:rsidP="005B2A49">
      <w:pPr>
        <w:spacing w:after="240"/>
        <w:jc w:val="left"/>
        <w:rPr>
          <w:bCs/>
          <w:i/>
          <w:szCs w:val="20"/>
        </w:rPr>
      </w:pPr>
      <w:r>
        <w:rPr>
          <w:rFonts w:eastAsia="Arial"/>
          <w:bCs/>
          <w:sz w:val="16"/>
          <w:szCs w:val="16"/>
        </w:rPr>
        <w:t xml:space="preserve">Vir: C.09 - </w:t>
      </w:r>
      <w:r w:rsidRPr="004629B1">
        <w:rPr>
          <w:rFonts w:eastAsia="Calibri"/>
          <w:sz w:val="16"/>
          <w:szCs w:val="16"/>
        </w:rPr>
        <w:t>Dashboard Indicators</w:t>
      </w:r>
      <w:r w:rsidRPr="004629B1">
        <w:rPr>
          <w:sz w:val="16"/>
          <w:szCs w:val="16"/>
        </w:rPr>
        <w:t xml:space="preserve"> </w:t>
      </w:r>
      <w:r w:rsidRPr="004629B1">
        <w:rPr>
          <w:rFonts w:eastAsia="Arial"/>
          <w:bCs/>
          <w:sz w:val="16"/>
          <w:szCs w:val="16"/>
        </w:rPr>
        <w:t>https://agridata.ec.europa.eu/extensions/DashboardIndicators/DataExplorer.html?select=EU27_FLAG,1)</w:t>
      </w:r>
      <w:r w:rsidRPr="00826383" w:rsidDel="0048003A">
        <w:rPr>
          <w:bCs/>
          <w:i/>
          <w:szCs w:val="20"/>
        </w:rPr>
        <w:t xml:space="preserve"> </w:t>
      </w:r>
    </w:p>
    <w:p w14:paraId="65ADA4B7" w14:textId="614D50AD" w:rsidR="00EC2DD0" w:rsidRPr="00E73231" w:rsidRDefault="00EC2DD0" w:rsidP="00871B06">
      <w:pPr>
        <w:pStyle w:val="SCSlika0"/>
        <w:rPr>
          <w:color w:val="FF0000"/>
          <w:highlight w:val="green"/>
        </w:rPr>
      </w:pPr>
      <w:bookmarkStart w:id="22" w:name="_Toc55913756"/>
      <w:bookmarkStart w:id="23" w:name="_Toc86822673"/>
      <w:r w:rsidRPr="003D6FF8">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w:t>
      </w:r>
      <w:r w:rsidR="009F2591">
        <w:rPr>
          <w:noProof/>
        </w:rPr>
        <w:fldChar w:fldCharType="end"/>
      </w:r>
      <w:bookmarkEnd w:id="21"/>
      <w:r w:rsidRPr="003D6FF8">
        <w:t>: BDP na prebivalca, indeks standarda kupne moči EU-28=100;</w:t>
      </w:r>
      <w:bookmarkEnd w:id="22"/>
      <w:bookmarkEnd w:id="23"/>
    </w:p>
    <w:p w14:paraId="5194F3A5" w14:textId="77777777" w:rsidR="00EC2DD0" w:rsidRPr="00826383" w:rsidRDefault="00EC2DD0" w:rsidP="00EC2DD0">
      <w:pPr>
        <w:keepNext/>
        <w:rPr>
          <w:sz w:val="16"/>
          <w:szCs w:val="16"/>
        </w:rPr>
      </w:pPr>
      <w:r w:rsidRPr="00041B20">
        <w:rPr>
          <w:noProof/>
          <w:lang w:eastAsia="sl-SI"/>
        </w:rPr>
        <w:drawing>
          <wp:inline distT="0" distB="0" distL="0" distR="0" wp14:anchorId="39014987" wp14:editId="016E8C79">
            <wp:extent cx="5760720" cy="2168525"/>
            <wp:effectExtent l="0" t="0" r="0"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47" name="BDP na preb po PPS.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168525"/>
                    </a:xfrm>
                    <a:prstGeom prst="rect">
                      <a:avLst/>
                    </a:prstGeom>
                  </pic:spPr>
                </pic:pic>
              </a:graphicData>
            </a:graphic>
          </wp:inline>
        </w:drawing>
      </w:r>
      <w:r w:rsidRPr="00826383">
        <w:rPr>
          <w:bCs/>
          <w:sz w:val="16"/>
          <w:szCs w:val="16"/>
        </w:rPr>
        <w:t>Vir: Analytical factsheet; EUROSTAT</w:t>
      </w:r>
    </w:p>
    <w:p w14:paraId="5A53E1BF" w14:textId="77777777" w:rsidR="00EC2DD0" w:rsidRPr="00041B20" w:rsidRDefault="00EC2DD0" w:rsidP="00EC2DD0"/>
    <w:p w14:paraId="2B3855EA" w14:textId="6CC46BBF" w:rsidR="001B2299" w:rsidRPr="00DE12FE" w:rsidRDefault="00EC2DD0" w:rsidP="00871B06">
      <w:pPr>
        <w:pStyle w:val="Odstavek1"/>
      </w:pPr>
      <w:r w:rsidRPr="00DE12FE">
        <w:t xml:space="preserve"> </w:t>
      </w:r>
    </w:p>
    <w:p w14:paraId="5CFD73BC" w14:textId="46667500" w:rsidR="00EC2DD0" w:rsidRDefault="00EC2DD0" w:rsidP="005B2A49">
      <w:pPr>
        <w:pStyle w:val="Odstavek1"/>
      </w:pPr>
      <w:r w:rsidRPr="00DE12FE">
        <w:t xml:space="preserve">Po podatkih nacionalnih računov je kmetijstvo skupaj z lovstvom, gozdarstvom in ribištvom leta 2019 k skupni ustvarjeni </w:t>
      </w:r>
      <w:r w:rsidR="00275988">
        <w:t>BDV</w:t>
      </w:r>
      <w:r w:rsidRPr="00DE12FE">
        <w:t xml:space="preserve"> prispevalo 2,3 % (leta 2018: 2,4 %), k skupni zaposlenosti pa 6,9 % (leta 2018: 7,2 %). Delež zaposlenih v kmetijstvu ima trend upadanja in se tako iz leta v leto zmanjšuje.</w:t>
      </w:r>
    </w:p>
    <w:p w14:paraId="7AFDBDCE" w14:textId="36F1B732" w:rsidR="001B2299" w:rsidRDefault="001B2299" w:rsidP="005B2A49">
      <w:pPr>
        <w:pStyle w:val="Odstavek1"/>
      </w:pPr>
    </w:p>
    <w:p w14:paraId="7DDC3636" w14:textId="0402E94D" w:rsidR="00275988" w:rsidRDefault="00275988" w:rsidP="00275988">
      <w:pPr>
        <w:pStyle w:val="Odstavek1"/>
        <w:rPr>
          <w:shd w:val="clear" w:color="auto" w:fill="FCFCFC"/>
        </w:rPr>
      </w:pPr>
      <w:r w:rsidRPr="003344A4">
        <w:rPr>
          <w:shd w:val="clear" w:color="auto" w:fill="FCFCFC"/>
        </w:rPr>
        <w:t>Primerjava BDV kmetijstva v Sloveniji in EU-28 pokaže, da kmetijstvo (skupaj z gozdarstvom in ribištvom) v Sloveniji od leta 2008 do leta 201</w:t>
      </w:r>
      <w:r>
        <w:rPr>
          <w:shd w:val="clear" w:color="auto" w:fill="FCFCFC"/>
        </w:rPr>
        <w:t>9</w:t>
      </w:r>
      <w:r w:rsidRPr="003344A4">
        <w:rPr>
          <w:shd w:val="clear" w:color="auto" w:fill="FCFCFC"/>
        </w:rPr>
        <w:t xml:space="preserve"> ustvarja med 2,1 % do 2,5 % celotne BDV vseh dejavnosti. Do navedenega obdobja je zabeležen padec deleža, kar kaže na razmeroma hitrejši ekonomski</w:t>
      </w:r>
      <w:r>
        <w:rPr>
          <w:shd w:val="clear" w:color="auto" w:fill="FCFCFC"/>
        </w:rPr>
        <w:t xml:space="preserve"> razvoj drugih dejavnosti. </w:t>
      </w:r>
    </w:p>
    <w:p w14:paraId="7EBCEDD6" w14:textId="1E8C7545" w:rsidR="00275988" w:rsidRDefault="00275988" w:rsidP="00275988">
      <w:pPr>
        <w:pStyle w:val="Odstavek1"/>
        <w:rPr>
          <w:shd w:val="clear" w:color="auto" w:fill="FCFCFC"/>
        </w:rPr>
      </w:pPr>
    </w:p>
    <w:p w14:paraId="50326151" w14:textId="77777777" w:rsidR="00275988" w:rsidRDefault="00275988" w:rsidP="00275988">
      <w:pPr>
        <w:pStyle w:val="Odstavek1"/>
        <w:rPr>
          <w:shd w:val="clear" w:color="auto" w:fill="FCFCFC"/>
        </w:rPr>
      </w:pPr>
      <w:r w:rsidRPr="003344A4">
        <w:rPr>
          <w:shd w:val="clear" w:color="auto" w:fill="FCFCFC"/>
        </w:rPr>
        <w:t xml:space="preserve">Dokaj podobne ugotovitve veljajo tudi za EU-28, pri čemer je razvidno, da se je do leta 2008 pomen kmetijstva v Sloveniji hitreje zniževal kot pomen kmetijstva v EU-28, po tem letu pa sledi obdobje, kjer se je zmanjševanje ekonomskega pomena </w:t>
      </w:r>
      <w:r w:rsidRPr="00AD376E">
        <w:rPr>
          <w:shd w:val="clear" w:color="auto" w:fill="FCFCFC"/>
        </w:rPr>
        <w:t>kmetijstva v Sloveniji in v EU-28 ustavilo. Od tega leta naprej ni opaziti približevanja slovenskega deleža kmetijstva v BDV vrednosti EU-28</w:t>
      </w:r>
      <w:r>
        <w:rPr>
          <w:shd w:val="clear" w:color="auto" w:fill="FCFCFC"/>
        </w:rPr>
        <w:t>.</w:t>
      </w:r>
    </w:p>
    <w:p w14:paraId="0D7B986F" w14:textId="77777777" w:rsidR="00275988" w:rsidRDefault="00275988" w:rsidP="00275988">
      <w:pPr>
        <w:pStyle w:val="Odstavek1"/>
        <w:rPr>
          <w:shd w:val="clear" w:color="auto" w:fill="FCFCFC"/>
        </w:rPr>
      </w:pPr>
    </w:p>
    <w:p w14:paraId="720DC66A" w14:textId="77777777" w:rsidR="00275988" w:rsidRPr="00DE12FE" w:rsidRDefault="00275988" w:rsidP="005B2A49">
      <w:pPr>
        <w:pStyle w:val="Odstavek1"/>
      </w:pPr>
    </w:p>
    <w:p w14:paraId="013EA14D" w14:textId="45708476" w:rsidR="00EC2DD0" w:rsidRDefault="00EC2DD0" w:rsidP="005B2A49">
      <w:pPr>
        <w:pStyle w:val="SCPreglednica"/>
      </w:pPr>
      <w:bookmarkStart w:id="24" w:name="_Ref29976879"/>
      <w:bookmarkStart w:id="25" w:name="_Toc55913722"/>
      <w:bookmarkStart w:id="26" w:name="_Toc86822642"/>
      <w:r>
        <w:t>Tabela</w:t>
      </w:r>
      <w:r w:rsidRPr="003D6FF8">
        <w:t xml:space="preserve"> </w:t>
      </w:r>
      <w:bookmarkEnd w:id="24"/>
      <w:r w:rsidRPr="003D6FF8">
        <w:fldChar w:fldCharType="begin"/>
      </w:r>
      <w:r w:rsidRPr="003D6FF8">
        <w:instrText xml:space="preserve"> SEQ Tabela \* ARABIC </w:instrText>
      </w:r>
      <w:r w:rsidRPr="003D6FF8">
        <w:fldChar w:fldCharType="separate"/>
      </w:r>
      <w:r w:rsidR="0088117A">
        <w:rPr>
          <w:noProof/>
        </w:rPr>
        <w:t>4</w:t>
      </w:r>
      <w:r w:rsidRPr="003D6FF8">
        <w:fldChar w:fldCharType="end"/>
      </w:r>
      <w:r w:rsidRPr="003D6FF8">
        <w:t>: Bruto dodana vrednost</w:t>
      </w:r>
      <w:bookmarkEnd w:id="25"/>
      <w:r w:rsidR="006544EB">
        <w:t xml:space="preserve"> 2010-2019</w:t>
      </w:r>
      <w:bookmarkEnd w:id="26"/>
    </w:p>
    <w:tbl>
      <w:tblPr>
        <w:tblW w:w="4700" w:type="pct"/>
        <w:tblInd w:w="5" w:type="dxa"/>
        <w:tblCellMar>
          <w:left w:w="70" w:type="dxa"/>
          <w:right w:w="70" w:type="dxa"/>
        </w:tblCellMar>
        <w:tblLook w:val="04A0" w:firstRow="1" w:lastRow="0" w:firstColumn="1" w:lastColumn="0" w:noHBand="0" w:noVBand="1"/>
      </w:tblPr>
      <w:tblGrid>
        <w:gridCol w:w="2819"/>
        <w:gridCol w:w="1030"/>
        <w:gridCol w:w="1030"/>
        <w:gridCol w:w="1030"/>
        <w:gridCol w:w="1030"/>
        <w:gridCol w:w="1030"/>
        <w:gridCol w:w="1030"/>
      </w:tblGrid>
      <w:tr w:rsidR="006544EB" w:rsidRPr="006544EB" w14:paraId="777E4053" w14:textId="77777777" w:rsidTr="005B2A49">
        <w:trPr>
          <w:trHeight w:val="315"/>
        </w:trPr>
        <w:tc>
          <w:tcPr>
            <w:tcW w:w="1561" w:type="pct"/>
            <w:tcBorders>
              <w:top w:val="single" w:sz="4" w:space="0" w:color="auto"/>
              <w:left w:val="nil"/>
              <w:bottom w:val="single" w:sz="4" w:space="0" w:color="auto"/>
              <w:right w:val="single" w:sz="4" w:space="0" w:color="auto"/>
            </w:tcBorders>
            <w:shd w:val="clear" w:color="000000" w:fill="92D050"/>
            <w:noWrap/>
            <w:vAlign w:val="bottom"/>
            <w:hideMark/>
          </w:tcPr>
          <w:p w14:paraId="4AD8A4DD" w14:textId="6714832E" w:rsidR="006544EB" w:rsidRPr="005B2A49" w:rsidRDefault="006544EB" w:rsidP="006544EB">
            <w:pPr>
              <w:keepNext/>
              <w:keepLines/>
              <w:rPr>
                <w:b/>
                <w:bCs/>
                <w:color w:val="000000"/>
                <w:sz w:val="20"/>
                <w:szCs w:val="20"/>
                <w:lang w:eastAsia="sl-SI"/>
              </w:rPr>
            </w:pPr>
            <w:r w:rsidRPr="005B2A49">
              <w:rPr>
                <w:b/>
                <w:bCs/>
                <w:color w:val="000000"/>
                <w:sz w:val="20"/>
                <w:szCs w:val="20"/>
                <w:lang w:eastAsia="sl-SI"/>
              </w:rPr>
              <w:t>C.11 Bruto dodana vrednost</w:t>
            </w:r>
          </w:p>
        </w:tc>
        <w:tc>
          <w:tcPr>
            <w:tcW w:w="573" w:type="pct"/>
            <w:tcBorders>
              <w:top w:val="single" w:sz="4" w:space="0" w:color="auto"/>
              <w:left w:val="nil"/>
              <w:bottom w:val="single" w:sz="4" w:space="0" w:color="auto"/>
              <w:right w:val="single" w:sz="4" w:space="0" w:color="auto"/>
            </w:tcBorders>
            <w:shd w:val="clear" w:color="000000" w:fill="92D050"/>
            <w:noWrap/>
            <w:vAlign w:val="center"/>
            <w:hideMark/>
          </w:tcPr>
          <w:p w14:paraId="7439A00D" w14:textId="77777777" w:rsidR="006544EB" w:rsidRPr="005B2A49" w:rsidRDefault="006544EB" w:rsidP="006544EB">
            <w:pPr>
              <w:keepNext/>
              <w:keepLines/>
              <w:jc w:val="right"/>
              <w:rPr>
                <w:b/>
                <w:bCs/>
                <w:color w:val="000000"/>
                <w:sz w:val="20"/>
                <w:szCs w:val="20"/>
                <w:lang w:eastAsia="sl-SI"/>
              </w:rPr>
            </w:pPr>
            <w:r w:rsidRPr="005B2A49">
              <w:rPr>
                <w:b/>
                <w:bCs/>
                <w:color w:val="000000"/>
                <w:sz w:val="20"/>
                <w:szCs w:val="20"/>
                <w:lang w:eastAsia="sl-SI"/>
              </w:rPr>
              <w:t>2010</w:t>
            </w:r>
          </w:p>
        </w:tc>
        <w:tc>
          <w:tcPr>
            <w:tcW w:w="573" w:type="pct"/>
            <w:tcBorders>
              <w:top w:val="single" w:sz="4" w:space="0" w:color="auto"/>
              <w:left w:val="nil"/>
              <w:bottom w:val="single" w:sz="4" w:space="0" w:color="auto"/>
              <w:right w:val="single" w:sz="4" w:space="0" w:color="auto"/>
            </w:tcBorders>
            <w:shd w:val="clear" w:color="000000" w:fill="92D050"/>
            <w:noWrap/>
            <w:vAlign w:val="center"/>
            <w:hideMark/>
          </w:tcPr>
          <w:p w14:paraId="61BE16E5" w14:textId="77777777" w:rsidR="006544EB" w:rsidRPr="005B2A49" w:rsidRDefault="006544EB" w:rsidP="006544EB">
            <w:pPr>
              <w:keepNext/>
              <w:keepLines/>
              <w:jc w:val="right"/>
              <w:rPr>
                <w:b/>
                <w:bCs/>
                <w:color w:val="000000"/>
                <w:sz w:val="20"/>
                <w:szCs w:val="20"/>
                <w:lang w:eastAsia="sl-SI"/>
              </w:rPr>
            </w:pPr>
            <w:r w:rsidRPr="005B2A49">
              <w:rPr>
                <w:b/>
                <w:bCs/>
                <w:color w:val="000000"/>
                <w:sz w:val="20"/>
                <w:szCs w:val="20"/>
                <w:lang w:eastAsia="sl-SI"/>
              </w:rPr>
              <w:t>2013</w:t>
            </w:r>
          </w:p>
        </w:tc>
        <w:tc>
          <w:tcPr>
            <w:tcW w:w="573" w:type="pct"/>
            <w:tcBorders>
              <w:top w:val="single" w:sz="4" w:space="0" w:color="auto"/>
              <w:left w:val="nil"/>
              <w:bottom w:val="single" w:sz="4" w:space="0" w:color="auto"/>
              <w:right w:val="single" w:sz="4" w:space="0" w:color="auto"/>
            </w:tcBorders>
            <w:shd w:val="clear" w:color="000000" w:fill="92D050"/>
            <w:noWrap/>
            <w:vAlign w:val="center"/>
            <w:hideMark/>
          </w:tcPr>
          <w:p w14:paraId="548138EA" w14:textId="77777777" w:rsidR="006544EB" w:rsidRPr="005B2A49" w:rsidRDefault="006544EB" w:rsidP="006544EB">
            <w:pPr>
              <w:keepNext/>
              <w:keepLines/>
              <w:jc w:val="right"/>
              <w:rPr>
                <w:b/>
                <w:bCs/>
                <w:color w:val="000000"/>
                <w:sz w:val="20"/>
                <w:szCs w:val="20"/>
                <w:lang w:eastAsia="sl-SI"/>
              </w:rPr>
            </w:pPr>
            <w:r w:rsidRPr="005B2A49">
              <w:rPr>
                <w:b/>
                <w:bCs/>
                <w:color w:val="000000"/>
                <w:sz w:val="20"/>
                <w:szCs w:val="20"/>
                <w:lang w:eastAsia="sl-SI"/>
              </w:rPr>
              <w:t>2016</w:t>
            </w:r>
          </w:p>
        </w:tc>
        <w:tc>
          <w:tcPr>
            <w:tcW w:w="573" w:type="pct"/>
            <w:tcBorders>
              <w:top w:val="single" w:sz="4" w:space="0" w:color="auto"/>
              <w:left w:val="nil"/>
              <w:bottom w:val="single" w:sz="4" w:space="0" w:color="auto"/>
              <w:right w:val="single" w:sz="4" w:space="0" w:color="auto"/>
            </w:tcBorders>
            <w:shd w:val="clear" w:color="000000" w:fill="92D050"/>
            <w:noWrap/>
            <w:vAlign w:val="center"/>
            <w:hideMark/>
          </w:tcPr>
          <w:p w14:paraId="7C714E28" w14:textId="77777777" w:rsidR="006544EB" w:rsidRPr="005B2A49" w:rsidRDefault="006544EB" w:rsidP="006544EB">
            <w:pPr>
              <w:keepNext/>
              <w:keepLines/>
              <w:jc w:val="right"/>
              <w:rPr>
                <w:b/>
                <w:bCs/>
                <w:color w:val="000000"/>
                <w:sz w:val="20"/>
                <w:szCs w:val="20"/>
                <w:lang w:eastAsia="sl-SI"/>
              </w:rPr>
            </w:pPr>
            <w:r w:rsidRPr="005B2A49">
              <w:rPr>
                <w:b/>
                <w:bCs/>
                <w:color w:val="000000"/>
                <w:sz w:val="20"/>
                <w:szCs w:val="20"/>
                <w:lang w:eastAsia="sl-SI"/>
              </w:rPr>
              <w:t>2017</w:t>
            </w:r>
          </w:p>
        </w:tc>
        <w:tc>
          <w:tcPr>
            <w:tcW w:w="573" w:type="pct"/>
            <w:tcBorders>
              <w:top w:val="single" w:sz="4" w:space="0" w:color="auto"/>
              <w:left w:val="nil"/>
              <w:bottom w:val="single" w:sz="4" w:space="0" w:color="auto"/>
              <w:right w:val="single" w:sz="4" w:space="0" w:color="auto"/>
            </w:tcBorders>
            <w:shd w:val="clear" w:color="000000" w:fill="92D050"/>
            <w:noWrap/>
            <w:vAlign w:val="center"/>
            <w:hideMark/>
          </w:tcPr>
          <w:p w14:paraId="21D05CFA" w14:textId="77777777" w:rsidR="006544EB" w:rsidRPr="005B2A49" w:rsidRDefault="006544EB" w:rsidP="006544EB">
            <w:pPr>
              <w:keepNext/>
              <w:keepLines/>
              <w:jc w:val="right"/>
              <w:rPr>
                <w:b/>
                <w:bCs/>
                <w:color w:val="000000"/>
                <w:sz w:val="20"/>
                <w:szCs w:val="20"/>
                <w:lang w:eastAsia="sl-SI"/>
              </w:rPr>
            </w:pPr>
            <w:r w:rsidRPr="005B2A49">
              <w:rPr>
                <w:b/>
                <w:bCs/>
                <w:color w:val="000000"/>
                <w:sz w:val="20"/>
                <w:szCs w:val="20"/>
                <w:lang w:eastAsia="sl-SI"/>
              </w:rPr>
              <w:t>2018</w:t>
            </w:r>
          </w:p>
        </w:tc>
        <w:tc>
          <w:tcPr>
            <w:tcW w:w="573" w:type="pct"/>
            <w:tcBorders>
              <w:top w:val="single" w:sz="4" w:space="0" w:color="auto"/>
              <w:left w:val="nil"/>
              <w:bottom w:val="single" w:sz="4" w:space="0" w:color="auto"/>
              <w:right w:val="single" w:sz="4" w:space="0" w:color="auto"/>
            </w:tcBorders>
            <w:shd w:val="clear" w:color="000000" w:fill="92D050"/>
            <w:noWrap/>
            <w:vAlign w:val="center"/>
            <w:hideMark/>
          </w:tcPr>
          <w:p w14:paraId="518BB3D1" w14:textId="77777777" w:rsidR="006544EB" w:rsidRPr="005B2A49" w:rsidRDefault="006544EB" w:rsidP="006544EB">
            <w:pPr>
              <w:keepNext/>
              <w:keepLines/>
              <w:jc w:val="right"/>
              <w:rPr>
                <w:b/>
                <w:bCs/>
                <w:color w:val="000000"/>
                <w:sz w:val="20"/>
                <w:szCs w:val="20"/>
                <w:lang w:eastAsia="sl-SI"/>
              </w:rPr>
            </w:pPr>
            <w:r w:rsidRPr="005B2A49">
              <w:rPr>
                <w:b/>
                <w:bCs/>
                <w:color w:val="000000"/>
                <w:sz w:val="20"/>
                <w:szCs w:val="20"/>
                <w:lang w:eastAsia="sl-SI"/>
              </w:rPr>
              <w:t>2019</w:t>
            </w:r>
          </w:p>
        </w:tc>
      </w:tr>
      <w:tr w:rsidR="006544EB" w:rsidRPr="006544EB" w14:paraId="1091432B" w14:textId="77777777" w:rsidTr="005B2A49">
        <w:trPr>
          <w:trHeight w:val="315"/>
        </w:trPr>
        <w:tc>
          <w:tcPr>
            <w:tcW w:w="1561" w:type="pct"/>
            <w:tcBorders>
              <w:top w:val="nil"/>
              <w:left w:val="nil"/>
              <w:bottom w:val="single" w:sz="4" w:space="0" w:color="auto"/>
              <w:right w:val="single" w:sz="4" w:space="0" w:color="auto"/>
            </w:tcBorders>
            <w:shd w:val="clear" w:color="auto" w:fill="auto"/>
            <w:vAlign w:val="bottom"/>
            <w:hideMark/>
          </w:tcPr>
          <w:p w14:paraId="7F69FB0C"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BDV skupaj (mio EUR)</w:t>
            </w:r>
          </w:p>
        </w:tc>
        <w:tc>
          <w:tcPr>
            <w:tcW w:w="573" w:type="pct"/>
            <w:tcBorders>
              <w:top w:val="nil"/>
              <w:left w:val="nil"/>
              <w:bottom w:val="single" w:sz="4" w:space="0" w:color="auto"/>
              <w:right w:val="single" w:sz="4" w:space="0" w:color="auto"/>
            </w:tcBorders>
            <w:shd w:val="clear" w:color="auto" w:fill="auto"/>
            <w:noWrap/>
            <w:vAlign w:val="center"/>
            <w:hideMark/>
          </w:tcPr>
          <w:p w14:paraId="1FD0EE01"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31.693,50</w:t>
            </w:r>
          </w:p>
        </w:tc>
        <w:tc>
          <w:tcPr>
            <w:tcW w:w="573" w:type="pct"/>
            <w:tcBorders>
              <w:top w:val="nil"/>
              <w:left w:val="nil"/>
              <w:bottom w:val="single" w:sz="4" w:space="0" w:color="auto"/>
              <w:right w:val="single" w:sz="4" w:space="0" w:color="auto"/>
            </w:tcBorders>
            <w:shd w:val="clear" w:color="auto" w:fill="auto"/>
            <w:noWrap/>
            <w:vAlign w:val="center"/>
            <w:hideMark/>
          </w:tcPr>
          <w:p w14:paraId="2D474C8B"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31.508,80</w:t>
            </w:r>
          </w:p>
        </w:tc>
        <w:tc>
          <w:tcPr>
            <w:tcW w:w="573" w:type="pct"/>
            <w:tcBorders>
              <w:top w:val="nil"/>
              <w:left w:val="nil"/>
              <w:bottom w:val="single" w:sz="4" w:space="0" w:color="auto"/>
              <w:right w:val="single" w:sz="4" w:space="0" w:color="auto"/>
            </w:tcBorders>
            <w:shd w:val="clear" w:color="auto" w:fill="auto"/>
            <w:noWrap/>
            <w:vAlign w:val="center"/>
            <w:hideMark/>
          </w:tcPr>
          <w:p w14:paraId="2350427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34.952,80</w:t>
            </w:r>
          </w:p>
        </w:tc>
        <w:tc>
          <w:tcPr>
            <w:tcW w:w="573" w:type="pct"/>
            <w:tcBorders>
              <w:top w:val="nil"/>
              <w:left w:val="nil"/>
              <w:bottom w:val="single" w:sz="4" w:space="0" w:color="auto"/>
              <w:right w:val="single" w:sz="4" w:space="0" w:color="auto"/>
            </w:tcBorders>
            <w:shd w:val="clear" w:color="auto" w:fill="auto"/>
            <w:noWrap/>
            <w:vAlign w:val="center"/>
            <w:hideMark/>
          </w:tcPr>
          <w:p w14:paraId="5912C47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37.350,20</w:t>
            </w:r>
          </w:p>
        </w:tc>
        <w:tc>
          <w:tcPr>
            <w:tcW w:w="573" w:type="pct"/>
            <w:tcBorders>
              <w:top w:val="nil"/>
              <w:left w:val="nil"/>
              <w:bottom w:val="single" w:sz="4" w:space="0" w:color="auto"/>
              <w:right w:val="single" w:sz="4" w:space="0" w:color="auto"/>
            </w:tcBorders>
            <w:shd w:val="clear" w:color="auto" w:fill="auto"/>
            <w:noWrap/>
            <w:vAlign w:val="center"/>
            <w:hideMark/>
          </w:tcPr>
          <w:p w14:paraId="4008F9E1"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39.838,50</w:t>
            </w:r>
          </w:p>
        </w:tc>
        <w:tc>
          <w:tcPr>
            <w:tcW w:w="573" w:type="pct"/>
            <w:tcBorders>
              <w:top w:val="nil"/>
              <w:left w:val="nil"/>
              <w:bottom w:val="single" w:sz="4" w:space="0" w:color="auto"/>
              <w:right w:val="single" w:sz="4" w:space="0" w:color="auto"/>
            </w:tcBorders>
            <w:shd w:val="clear" w:color="auto" w:fill="auto"/>
            <w:vAlign w:val="center"/>
            <w:hideMark/>
          </w:tcPr>
          <w:p w14:paraId="3366F9F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41.882,30</w:t>
            </w:r>
          </w:p>
        </w:tc>
      </w:tr>
      <w:tr w:rsidR="006544EB" w:rsidRPr="006544EB" w14:paraId="37511082" w14:textId="77777777" w:rsidTr="005B2A49">
        <w:trPr>
          <w:trHeight w:val="315"/>
        </w:trPr>
        <w:tc>
          <w:tcPr>
            <w:tcW w:w="1561" w:type="pct"/>
            <w:tcBorders>
              <w:top w:val="nil"/>
              <w:left w:val="nil"/>
              <w:bottom w:val="single" w:sz="4" w:space="0" w:color="auto"/>
              <w:right w:val="single" w:sz="4" w:space="0" w:color="auto"/>
            </w:tcBorders>
            <w:shd w:val="clear" w:color="000000" w:fill="FFFFFF"/>
            <w:vAlign w:val="bottom"/>
            <w:hideMark/>
          </w:tcPr>
          <w:p w14:paraId="063B5A6E"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lastRenderedPageBreak/>
              <w:t>Porazdelitev BDV po gospodarskih sektorjih - primarni sektor (%)</w:t>
            </w:r>
          </w:p>
        </w:tc>
        <w:tc>
          <w:tcPr>
            <w:tcW w:w="573" w:type="pct"/>
            <w:tcBorders>
              <w:top w:val="nil"/>
              <w:left w:val="nil"/>
              <w:bottom w:val="single" w:sz="4" w:space="0" w:color="auto"/>
              <w:right w:val="single" w:sz="4" w:space="0" w:color="auto"/>
            </w:tcBorders>
            <w:shd w:val="clear" w:color="auto" w:fill="auto"/>
            <w:noWrap/>
            <w:vAlign w:val="center"/>
            <w:hideMark/>
          </w:tcPr>
          <w:p w14:paraId="2E08E389"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2,17</w:t>
            </w:r>
          </w:p>
        </w:tc>
        <w:tc>
          <w:tcPr>
            <w:tcW w:w="573" w:type="pct"/>
            <w:tcBorders>
              <w:top w:val="nil"/>
              <w:left w:val="nil"/>
              <w:bottom w:val="single" w:sz="4" w:space="0" w:color="auto"/>
              <w:right w:val="single" w:sz="4" w:space="0" w:color="auto"/>
            </w:tcBorders>
            <w:shd w:val="clear" w:color="auto" w:fill="auto"/>
            <w:noWrap/>
            <w:vAlign w:val="center"/>
            <w:hideMark/>
          </w:tcPr>
          <w:p w14:paraId="260DD3BD"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2,28</w:t>
            </w:r>
          </w:p>
        </w:tc>
        <w:tc>
          <w:tcPr>
            <w:tcW w:w="573" w:type="pct"/>
            <w:tcBorders>
              <w:top w:val="nil"/>
              <w:left w:val="nil"/>
              <w:bottom w:val="single" w:sz="4" w:space="0" w:color="auto"/>
              <w:right w:val="single" w:sz="4" w:space="0" w:color="auto"/>
            </w:tcBorders>
            <w:shd w:val="clear" w:color="auto" w:fill="auto"/>
            <w:noWrap/>
            <w:vAlign w:val="center"/>
            <w:hideMark/>
          </w:tcPr>
          <w:p w14:paraId="7B80D2BF"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2,31</w:t>
            </w:r>
          </w:p>
        </w:tc>
        <w:tc>
          <w:tcPr>
            <w:tcW w:w="573" w:type="pct"/>
            <w:tcBorders>
              <w:top w:val="nil"/>
              <w:left w:val="nil"/>
              <w:bottom w:val="single" w:sz="4" w:space="0" w:color="auto"/>
              <w:right w:val="single" w:sz="4" w:space="0" w:color="auto"/>
            </w:tcBorders>
            <w:shd w:val="clear" w:color="auto" w:fill="auto"/>
            <w:noWrap/>
            <w:vAlign w:val="center"/>
            <w:hideMark/>
          </w:tcPr>
          <w:p w14:paraId="1821E87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2,13</w:t>
            </w:r>
          </w:p>
        </w:tc>
        <w:tc>
          <w:tcPr>
            <w:tcW w:w="573" w:type="pct"/>
            <w:tcBorders>
              <w:top w:val="nil"/>
              <w:left w:val="nil"/>
              <w:bottom w:val="single" w:sz="4" w:space="0" w:color="auto"/>
              <w:right w:val="single" w:sz="4" w:space="0" w:color="auto"/>
            </w:tcBorders>
            <w:shd w:val="clear" w:color="auto" w:fill="auto"/>
            <w:noWrap/>
            <w:vAlign w:val="center"/>
            <w:hideMark/>
          </w:tcPr>
          <w:p w14:paraId="67DFF977"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2,42</w:t>
            </w:r>
          </w:p>
        </w:tc>
        <w:tc>
          <w:tcPr>
            <w:tcW w:w="573" w:type="pct"/>
            <w:tcBorders>
              <w:top w:val="nil"/>
              <w:left w:val="nil"/>
              <w:bottom w:val="single" w:sz="4" w:space="0" w:color="auto"/>
              <w:right w:val="single" w:sz="4" w:space="0" w:color="auto"/>
            </w:tcBorders>
            <w:shd w:val="clear" w:color="auto" w:fill="auto"/>
            <w:vAlign w:val="center"/>
            <w:hideMark/>
          </w:tcPr>
          <w:p w14:paraId="16723B13"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2,26</w:t>
            </w:r>
          </w:p>
        </w:tc>
      </w:tr>
      <w:tr w:rsidR="006544EB" w:rsidRPr="006544EB" w14:paraId="45C16EEB" w14:textId="77777777" w:rsidTr="005B2A49">
        <w:trPr>
          <w:trHeight w:val="585"/>
        </w:trPr>
        <w:tc>
          <w:tcPr>
            <w:tcW w:w="1561" w:type="pct"/>
            <w:tcBorders>
              <w:top w:val="nil"/>
              <w:left w:val="nil"/>
              <w:bottom w:val="single" w:sz="4" w:space="0" w:color="auto"/>
              <w:right w:val="single" w:sz="4" w:space="0" w:color="auto"/>
            </w:tcBorders>
            <w:shd w:val="clear" w:color="000000" w:fill="FFFFFF"/>
            <w:vAlign w:val="bottom"/>
            <w:hideMark/>
          </w:tcPr>
          <w:p w14:paraId="79F02E33"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Porazdelitev BDV po gospodarskih sektorjih - sekundarni sektor (%)</w:t>
            </w:r>
          </w:p>
        </w:tc>
        <w:tc>
          <w:tcPr>
            <w:tcW w:w="573" w:type="pct"/>
            <w:tcBorders>
              <w:top w:val="nil"/>
              <w:left w:val="nil"/>
              <w:bottom w:val="single" w:sz="4" w:space="0" w:color="auto"/>
              <w:right w:val="single" w:sz="4" w:space="0" w:color="auto"/>
            </w:tcBorders>
            <w:shd w:val="clear" w:color="auto" w:fill="auto"/>
            <w:noWrap/>
            <w:vAlign w:val="center"/>
            <w:hideMark/>
          </w:tcPr>
          <w:p w14:paraId="0E2945A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30,41</w:t>
            </w:r>
          </w:p>
        </w:tc>
        <w:tc>
          <w:tcPr>
            <w:tcW w:w="573" w:type="pct"/>
            <w:tcBorders>
              <w:top w:val="nil"/>
              <w:left w:val="nil"/>
              <w:bottom w:val="single" w:sz="4" w:space="0" w:color="auto"/>
              <w:right w:val="single" w:sz="4" w:space="0" w:color="auto"/>
            </w:tcBorders>
            <w:shd w:val="clear" w:color="auto" w:fill="auto"/>
            <w:noWrap/>
            <w:vAlign w:val="center"/>
            <w:hideMark/>
          </w:tcPr>
          <w:p w14:paraId="6062CE1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31,80</w:t>
            </w:r>
          </w:p>
        </w:tc>
        <w:tc>
          <w:tcPr>
            <w:tcW w:w="573" w:type="pct"/>
            <w:tcBorders>
              <w:top w:val="nil"/>
              <w:left w:val="nil"/>
              <w:bottom w:val="single" w:sz="4" w:space="0" w:color="auto"/>
              <w:right w:val="single" w:sz="4" w:space="0" w:color="auto"/>
            </w:tcBorders>
            <w:shd w:val="clear" w:color="auto" w:fill="auto"/>
            <w:noWrap/>
            <w:vAlign w:val="center"/>
            <w:hideMark/>
          </w:tcPr>
          <w:p w14:paraId="49895D2A"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32,32</w:t>
            </w:r>
          </w:p>
        </w:tc>
        <w:tc>
          <w:tcPr>
            <w:tcW w:w="573" w:type="pct"/>
            <w:tcBorders>
              <w:top w:val="nil"/>
              <w:left w:val="nil"/>
              <w:bottom w:val="single" w:sz="4" w:space="0" w:color="auto"/>
              <w:right w:val="single" w:sz="4" w:space="0" w:color="auto"/>
            </w:tcBorders>
            <w:shd w:val="clear" w:color="auto" w:fill="auto"/>
            <w:noWrap/>
            <w:vAlign w:val="center"/>
            <w:hideMark/>
          </w:tcPr>
          <w:p w14:paraId="35C7E40F"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32,71</w:t>
            </w:r>
          </w:p>
        </w:tc>
        <w:tc>
          <w:tcPr>
            <w:tcW w:w="573" w:type="pct"/>
            <w:tcBorders>
              <w:top w:val="nil"/>
              <w:left w:val="nil"/>
              <w:bottom w:val="single" w:sz="4" w:space="0" w:color="auto"/>
              <w:right w:val="single" w:sz="4" w:space="0" w:color="auto"/>
            </w:tcBorders>
            <w:shd w:val="clear" w:color="auto" w:fill="auto"/>
            <w:noWrap/>
            <w:vAlign w:val="center"/>
            <w:hideMark/>
          </w:tcPr>
          <w:p w14:paraId="5084D815"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32,66</w:t>
            </w:r>
          </w:p>
        </w:tc>
        <w:tc>
          <w:tcPr>
            <w:tcW w:w="573" w:type="pct"/>
            <w:tcBorders>
              <w:top w:val="nil"/>
              <w:left w:val="nil"/>
              <w:bottom w:val="single" w:sz="4" w:space="0" w:color="auto"/>
              <w:right w:val="single" w:sz="4" w:space="0" w:color="auto"/>
            </w:tcBorders>
            <w:shd w:val="clear" w:color="auto" w:fill="auto"/>
            <w:vAlign w:val="center"/>
            <w:hideMark/>
          </w:tcPr>
          <w:p w14:paraId="1362862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32,55</w:t>
            </w:r>
          </w:p>
        </w:tc>
      </w:tr>
      <w:tr w:rsidR="006544EB" w:rsidRPr="006544EB" w14:paraId="01FD586A" w14:textId="77777777" w:rsidTr="005B2A49">
        <w:trPr>
          <w:trHeight w:val="315"/>
        </w:trPr>
        <w:tc>
          <w:tcPr>
            <w:tcW w:w="1561" w:type="pct"/>
            <w:tcBorders>
              <w:top w:val="nil"/>
              <w:left w:val="nil"/>
              <w:bottom w:val="single" w:sz="4" w:space="0" w:color="auto"/>
              <w:right w:val="single" w:sz="4" w:space="0" w:color="auto"/>
            </w:tcBorders>
            <w:shd w:val="clear" w:color="000000" w:fill="FFFFFF"/>
            <w:vAlign w:val="bottom"/>
            <w:hideMark/>
          </w:tcPr>
          <w:p w14:paraId="42C4B8B0"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Porazdelitev BDV po gospodarskih sektorjih - terciarni sektor (%)</w:t>
            </w:r>
          </w:p>
        </w:tc>
        <w:tc>
          <w:tcPr>
            <w:tcW w:w="573" w:type="pct"/>
            <w:tcBorders>
              <w:top w:val="nil"/>
              <w:left w:val="nil"/>
              <w:bottom w:val="single" w:sz="4" w:space="0" w:color="auto"/>
              <w:right w:val="single" w:sz="4" w:space="0" w:color="auto"/>
            </w:tcBorders>
            <w:shd w:val="clear" w:color="auto" w:fill="auto"/>
            <w:noWrap/>
            <w:vAlign w:val="center"/>
            <w:hideMark/>
          </w:tcPr>
          <w:p w14:paraId="0FEE03F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67,42</w:t>
            </w:r>
          </w:p>
        </w:tc>
        <w:tc>
          <w:tcPr>
            <w:tcW w:w="573" w:type="pct"/>
            <w:tcBorders>
              <w:top w:val="nil"/>
              <w:left w:val="nil"/>
              <w:bottom w:val="single" w:sz="4" w:space="0" w:color="auto"/>
              <w:right w:val="single" w:sz="4" w:space="0" w:color="auto"/>
            </w:tcBorders>
            <w:shd w:val="clear" w:color="auto" w:fill="auto"/>
            <w:noWrap/>
            <w:vAlign w:val="center"/>
            <w:hideMark/>
          </w:tcPr>
          <w:p w14:paraId="391BE8C3"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65,92</w:t>
            </w:r>
          </w:p>
        </w:tc>
        <w:tc>
          <w:tcPr>
            <w:tcW w:w="573" w:type="pct"/>
            <w:tcBorders>
              <w:top w:val="nil"/>
              <w:left w:val="nil"/>
              <w:bottom w:val="single" w:sz="4" w:space="0" w:color="auto"/>
              <w:right w:val="single" w:sz="4" w:space="0" w:color="auto"/>
            </w:tcBorders>
            <w:shd w:val="clear" w:color="auto" w:fill="auto"/>
            <w:noWrap/>
            <w:vAlign w:val="center"/>
            <w:hideMark/>
          </w:tcPr>
          <w:p w14:paraId="7EBD513C"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65,37</w:t>
            </w:r>
          </w:p>
        </w:tc>
        <w:tc>
          <w:tcPr>
            <w:tcW w:w="573" w:type="pct"/>
            <w:tcBorders>
              <w:top w:val="nil"/>
              <w:left w:val="nil"/>
              <w:bottom w:val="single" w:sz="4" w:space="0" w:color="auto"/>
              <w:right w:val="single" w:sz="4" w:space="0" w:color="auto"/>
            </w:tcBorders>
            <w:shd w:val="clear" w:color="auto" w:fill="auto"/>
            <w:noWrap/>
            <w:vAlign w:val="center"/>
            <w:hideMark/>
          </w:tcPr>
          <w:p w14:paraId="3FE2672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65,16</w:t>
            </w:r>
          </w:p>
        </w:tc>
        <w:tc>
          <w:tcPr>
            <w:tcW w:w="573" w:type="pct"/>
            <w:tcBorders>
              <w:top w:val="nil"/>
              <w:left w:val="nil"/>
              <w:bottom w:val="single" w:sz="4" w:space="0" w:color="auto"/>
              <w:right w:val="single" w:sz="4" w:space="0" w:color="auto"/>
            </w:tcBorders>
            <w:shd w:val="clear" w:color="auto" w:fill="auto"/>
            <w:noWrap/>
            <w:vAlign w:val="center"/>
            <w:hideMark/>
          </w:tcPr>
          <w:p w14:paraId="6B9D1744"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64,93</w:t>
            </w:r>
          </w:p>
        </w:tc>
        <w:tc>
          <w:tcPr>
            <w:tcW w:w="573" w:type="pct"/>
            <w:tcBorders>
              <w:top w:val="nil"/>
              <w:left w:val="nil"/>
              <w:bottom w:val="single" w:sz="4" w:space="0" w:color="auto"/>
              <w:right w:val="single" w:sz="4" w:space="0" w:color="auto"/>
            </w:tcBorders>
            <w:shd w:val="clear" w:color="auto" w:fill="auto"/>
            <w:vAlign w:val="center"/>
            <w:hideMark/>
          </w:tcPr>
          <w:p w14:paraId="04927774"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65,19</w:t>
            </w:r>
          </w:p>
        </w:tc>
      </w:tr>
      <w:tr w:rsidR="006544EB" w:rsidRPr="006544EB" w14:paraId="242B1CF6" w14:textId="77777777" w:rsidTr="005B2A49">
        <w:trPr>
          <w:trHeight w:val="315"/>
        </w:trPr>
        <w:tc>
          <w:tcPr>
            <w:tcW w:w="1561" w:type="pct"/>
            <w:tcBorders>
              <w:top w:val="nil"/>
              <w:left w:val="nil"/>
              <w:bottom w:val="single" w:sz="4" w:space="0" w:color="auto"/>
              <w:right w:val="single" w:sz="4" w:space="0" w:color="auto"/>
            </w:tcBorders>
            <w:shd w:val="clear" w:color="000000" w:fill="FFFFFF"/>
            <w:vAlign w:val="bottom"/>
            <w:hideMark/>
          </w:tcPr>
          <w:p w14:paraId="72BA838F"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Porazdelitev BDV po vrstah regij - vmesne regije (%)</w:t>
            </w:r>
          </w:p>
        </w:tc>
        <w:tc>
          <w:tcPr>
            <w:tcW w:w="573" w:type="pct"/>
            <w:tcBorders>
              <w:top w:val="nil"/>
              <w:left w:val="nil"/>
              <w:bottom w:val="single" w:sz="4" w:space="0" w:color="auto"/>
              <w:right w:val="single" w:sz="4" w:space="0" w:color="auto"/>
            </w:tcBorders>
            <w:shd w:val="clear" w:color="000000" w:fill="FFFFFF"/>
            <w:noWrap/>
            <w:vAlign w:val="center"/>
            <w:hideMark/>
          </w:tcPr>
          <w:p w14:paraId="7855EAC6"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50,56</w:t>
            </w:r>
          </w:p>
        </w:tc>
        <w:tc>
          <w:tcPr>
            <w:tcW w:w="573" w:type="pct"/>
            <w:tcBorders>
              <w:top w:val="nil"/>
              <w:left w:val="nil"/>
              <w:bottom w:val="single" w:sz="4" w:space="0" w:color="auto"/>
              <w:right w:val="single" w:sz="4" w:space="0" w:color="auto"/>
            </w:tcBorders>
            <w:shd w:val="clear" w:color="000000" w:fill="FFFFFF"/>
            <w:noWrap/>
            <w:vAlign w:val="center"/>
            <w:hideMark/>
          </w:tcPr>
          <w:p w14:paraId="131CA871"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50,24</w:t>
            </w:r>
          </w:p>
        </w:tc>
        <w:tc>
          <w:tcPr>
            <w:tcW w:w="573" w:type="pct"/>
            <w:tcBorders>
              <w:top w:val="nil"/>
              <w:left w:val="nil"/>
              <w:bottom w:val="single" w:sz="4" w:space="0" w:color="auto"/>
              <w:right w:val="single" w:sz="4" w:space="0" w:color="auto"/>
            </w:tcBorders>
            <w:shd w:val="clear" w:color="000000" w:fill="FFFFFF"/>
            <w:noWrap/>
            <w:vAlign w:val="center"/>
            <w:hideMark/>
          </w:tcPr>
          <w:p w14:paraId="4D76A9ED"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51,04</w:t>
            </w:r>
          </w:p>
        </w:tc>
        <w:tc>
          <w:tcPr>
            <w:tcW w:w="573" w:type="pct"/>
            <w:tcBorders>
              <w:top w:val="nil"/>
              <w:left w:val="nil"/>
              <w:bottom w:val="single" w:sz="4" w:space="0" w:color="auto"/>
              <w:right w:val="single" w:sz="4" w:space="0" w:color="auto"/>
            </w:tcBorders>
            <w:shd w:val="clear" w:color="auto" w:fill="auto"/>
            <w:noWrap/>
            <w:vAlign w:val="center"/>
            <w:hideMark/>
          </w:tcPr>
          <w:p w14:paraId="5C61CFBF"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51,31</w:t>
            </w:r>
          </w:p>
        </w:tc>
        <w:tc>
          <w:tcPr>
            <w:tcW w:w="573" w:type="pct"/>
            <w:tcBorders>
              <w:top w:val="nil"/>
              <w:left w:val="nil"/>
              <w:bottom w:val="single" w:sz="4" w:space="0" w:color="auto"/>
              <w:right w:val="single" w:sz="4" w:space="0" w:color="auto"/>
            </w:tcBorders>
            <w:shd w:val="clear" w:color="auto" w:fill="auto"/>
            <w:noWrap/>
            <w:vAlign w:val="center"/>
            <w:hideMark/>
          </w:tcPr>
          <w:p w14:paraId="2F6BCCBF"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c>
          <w:tcPr>
            <w:tcW w:w="573" w:type="pct"/>
            <w:tcBorders>
              <w:top w:val="nil"/>
              <w:left w:val="nil"/>
              <w:bottom w:val="single" w:sz="4" w:space="0" w:color="auto"/>
              <w:right w:val="single" w:sz="4" w:space="0" w:color="auto"/>
            </w:tcBorders>
            <w:shd w:val="clear" w:color="auto" w:fill="auto"/>
            <w:vAlign w:val="center"/>
            <w:hideMark/>
          </w:tcPr>
          <w:p w14:paraId="559A869D"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r>
      <w:tr w:rsidR="006544EB" w:rsidRPr="006544EB" w14:paraId="6903C16D" w14:textId="77777777" w:rsidTr="005B2A49">
        <w:trPr>
          <w:trHeight w:val="366"/>
        </w:trPr>
        <w:tc>
          <w:tcPr>
            <w:tcW w:w="1561" w:type="pct"/>
            <w:tcBorders>
              <w:top w:val="nil"/>
              <w:left w:val="nil"/>
              <w:bottom w:val="single" w:sz="4" w:space="0" w:color="auto"/>
              <w:right w:val="single" w:sz="4" w:space="0" w:color="auto"/>
            </w:tcBorders>
            <w:shd w:val="clear" w:color="auto" w:fill="auto"/>
            <w:vAlign w:val="bottom"/>
            <w:hideMark/>
          </w:tcPr>
          <w:p w14:paraId="7A745E31"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Porazdelitev BDV po vrstah regij - podeželske regije (%)</w:t>
            </w:r>
          </w:p>
        </w:tc>
        <w:tc>
          <w:tcPr>
            <w:tcW w:w="573" w:type="pct"/>
            <w:tcBorders>
              <w:top w:val="nil"/>
              <w:left w:val="nil"/>
              <w:bottom w:val="single" w:sz="4" w:space="0" w:color="auto"/>
              <w:right w:val="single" w:sz="4" w:space="0" w:color="auto"/>
            </w:tcBorders>
            <w:shd w:val="clear" w:color="000000" w:fill="FFFFFF"/>
            <w:noWrap/>
            <w:vAlign w:val="center"/>
            <w:hideMark/>
          </w:tcPr>
          <w:p w14:paraId="5D4E6C1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49,10</w:t>
            </w:r>
          </w:p>
        </w:tc>
        <w:tc>
          <w:tcPr>
            <w:tcW w:w="573" w:type="pct"/>
            <w:tcBorders>
              <w:top w:val="nil"/>
              <w:left w:val="nil"/>
              <w:bottom w:val="single" w:sz="4" w:space="0" w:color="auto"/>
              <w:right w:val="single" w:sz="4" w:space="0" w:color="auto"/>
            </w:tcBorders>
            <w:shd w:val="clear" w:color="000000" w:fill="FFFFFF"/>
            <w:noWrap/>
            <w:vAlign w:val="center"/>
            <w:hideMark/>
          </w:tcPr>
          <w:p w14:paraId="2495BCF2"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49,08</w:t>
            </w:r>
          </w:p>
        </w:tc>
        <w:tc>
          <w:tcPr>
            <w:tcW w:w="573" w:type="pct"/>
            <w:tcBorders>
              <w:top w:val="nil"/>
              <w:left w:val="nil"/>
              <w:bottom w:val="single" w:sz="4" w:space="0" w:color="auto"/>
              <w:right w:val="single" w:sz="4" w:space="0" w:color="auto"/>
            </w:tcBorders>
            <w:shd w:val="clear" w:color="000000" w:fill="FFFFFF"/>
            <w:noWrap/>
            <w:vAlign w:val="center"/>
            <w:hideMark/>
          </w:tcPr>
          <w:p w14:paraId="1F7E5CCB"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48,94</w:t>
            </w:r>
          </w:p>
        </w:tc>
        <w:tc>
          <w:tcPr>
            <w:tcW w:w="573" w:type="pct"/>
            <w:tcBorders>
              <w:top w:val="nil"/>
              <w:left w:val="nil"/>
              <w:bottom w:val="single" w:sz="4" w:space="0" w:color="auto"/>
              <w:right w:val="single" w:sz="4" w:space="0" w:color="auto"/>
            </w:tcBorders>
            <w:shd w:val="clear" w:color="auto" w:fill="auto"/>
            <w:noWrap/>
            <w:vAlign w:val="center"/>
            <w:hideMark/>
          </w:tcPr>
          <w:p w14:paraId="4DBA992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48,73</w:t>
            </w:r>
          </w:p>
        </w:tc>
        <w:tc>
          <w:tcPr>
            <w:tcW w:w="573" w:type="pct"/>
            <w:tcBorders>
              <w:top w:val="nil"/>
              <w:left w:val="nil"/>
              <w:bottom w:val="single" w:sz="4" w:space="0" w:color="auto"/>
              <w:right w:val="single" w:sz="4" w:space="0" w:color="auto"/>
            </w:tcBorders>
            <w:shd w:val="clear" w:color="auto" w:fill="auto"/>
            <w:noWrap/>
            <w:vAlign w:val="center"/>
            <w:hideMark/>
          </w:tcPr>
          <w:p w14:paraId="0A928354"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c>
          <w:tcPr>
            <w:tcW w:w="573" w:type="pct"/>
            <w:tcBorders>
              <w:top w:val="nil"/>
              <w:left w:val="nil"/>
              <w:bottom w:val="single" w:sz="4" w:space="0" w:color="auto"/>
              <w:right w:val="single" w:sz="4" w:space="0" w:color="auto"/>
            </w:tcBorders>
            <w:shd w:val="clear" w:color="auto" w:fill="auto"/>
            <w:vAlign w:val="center"/>
            <w:hideMark/>
          </w:tcPr>
          <w:p w14:paraId="31C4E14B"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r>
      <w:tr w:rsidR="006544EB" w:rsidRPr="006544EB" w14:paraId="62163F4A" w14:textId="77777777" w:rsidTr="005B2A49">
        <w:trPr>
          <w:trHeight w:val="729"/>
        </w:trPr>
        <w:tc>
          <w:tcPr>
            <w:tcW w:w="1561" w:type="pct"/>
            <w:tcBorders>
              <w:top w:val="nil"/>
              <w:left w:val="nil"/>
              <w:bottom w:val="single" w:sz="4" w:space="0" w:color="auto"/>
              <w:right w:val="single" w:sz="4" w:space="0" w:color="auto"/>
            </w:tcBorders>
            <w:shd w:val="clear" w:color="000000" w:fill="FFFFFF"/>
            <w:vAlign w:val="bottom"/>
            <w:hideMark/>
          </w:tcPr>
          <w:p w14:paraId="05575160"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 xml:space="preserve">BDV za primarne proizvajalce v prehranski verigi </w:t>
            </w:r>
            <w:r w:rsidRPr="005B2A49">
              <w:rPr>
                <w:color w:val="000000"/>
                <w:sz w:val="20"/>
                <w:szCs w:val="20"/>
                <w:lang w:eastAsia="sl-SI"/>
              </w:rPr>
              <w:br/>
              <w:t>delež kmetijstva v skupni dodani vrednosti (%)</w:t>
            </w:r>
          </w:p>
        </w:tc>
        <w:tc>
          <w:tcPr>
            <w:tcW w:w="573" w:type="pct"/>
            <w:tcBorders>
              <w:top w:val="nil"/>
              <w:left w:val="nil"/>
              <w:bottom w:val="single" w:sz="4" w:space="0" w:color="auto"/>
              <w:right w:val="single" w:sz="4" w:space="0" w:color="auto"/>
            </w:tcBorders>
            <w:shd w:val="clear" w:color="auto" w:fill="auto"/>
            <w:noWrap/>
            <w:vAlign w:val="center"/>
            <w:hideMark/>
          </w:tcPr>
          <w:p w14:paraId="01D98D8C"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29,18</w:t>
            </w:r>
          </w:p>
        </w:tc>
        <w:tc>
          <w:tcPr>
            <w:tcW w:w="573" w:type="pct"/>
            <w:tcBorders>
              <w:top w:val="nil"/>
              <w:left w:val="nil"/>
              <w:bottom w:val="single" w:sz="4" w:space="0" w:color="auto"/>
              <w:right w:val="single" w:sz="4" w:space="0" w:color="auto"/>
            </w:tcBorders>
            <w:shd w:val="clear" w:color="auto" w:fill="auto"/>
            <w:noWrap/>
            <w:vAlign w:val="center"/>
            <w:hideMark/>
          </w:tcPr>
          <w:p w14:paraId="1217D3C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30,41</w:t>
            </w:r>
          </w:p>
        </w:tc>
        <w:tc>
          <w:tcPr>
            <w:tcW w:w="573" w:type="pct"/>
            <w:tcBorders>
              <w:top w:val="nil"/>
              <w:left w:val="nil"/>
              <w:bottom w:val="single" w:sz="4" w:space="0" w:color="auto"/>
              <w:right w:val="single" w:sz="4" w:space="0" w:color="auto"/>
            </w:tcBorders>
            <w:shd w:val="clear" w:color="auto" w:fill="auto"/>
            <w:noWrap/>
            <w:vAlign w:val="center"/>
            <w:hideMark/>
          </w:tcPr>
          <w:p w14:paraId="372461AC"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30,01</w:t>
            </w:r>
          </w:p>
        </w:tc>
        <w:tc>
          <w:tcPr>
            <w:tcW w:w="573" w:type="pct"/>
            <w:tcBorders>
              <w:top w:val="nil"/>
              <w:left w:val="nil"/>
              <w:bottom w:val="single" w:sz="4" w:space="0" w:color="auto"/>
              <w:right w:val="single" w:sz="4" w:space="0" w:color="auto"/>
            </w:tcBorders>
            <w:shd w:val="clear" w:color="auto" w:fill="auto"/>
            <w:noWrap/>
            <w:vAlign w:val="center"/>
            <w:hideMark/>
          </w:tcPr>
          <w:p w14:paraId="09C3CEF1"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27,88</w:t>
            </w:r>
          </w:p>
        </w:tc>
        <w:tc>
          <w:tcPr>
            <w:tcW w:w="573" w:type="pct"/>
            <w:tcBorders>
              <w:top w:val="nil"/>
              <w:left w:val="nil"/>
              <w:bottom w:val="single" w:sz="4" w:space="0" w:color="auto"/>
              <w:right w:val="single" w:sz="4" w:space="0" w:color="auto"/>
            </w:tcBorders>
            <w:shd w:val="clear" w:color="auto" w:fill="auto"/>
            <w:noWrap/>
            <w:vAlign w:val="center"/>
            <w:hideMark/>
          </w:tcPr>
          <w:p w14:paraId="37E6A3A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c>
          <w:tcPr>
            <w:tcW w:w="573" w:type="pct"/>
            <w:tcBorders>
              <w:top w:val="nil"/>
              <w:left w:val="nil"/>
              <w:bottom w:val="single" w:sz="4" w:space="0" w:color="auto"/>
              <w:right w:val="single" w:sz="4" w:space="0" w:color="auto"/>
            </w:tcBorders>
            <w:shd w:val="clear" w:color="auto" w:fill="auto"/>
            <w:noWrap/>
            <w:vAlign w:val="center"/>
            <w:hideMark/>
          </w:tcPr>
          <w:p w14:paraId="26212F09"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r>
      <w:tr w:rsidR="006544EB" w:rsidRPr="006544EB" w14:paraId="2A17C3FE" w14:textId="77777777" w:rsidTr="005B2A49">
        <w:trPr>
          <w:trHeight w:val="315"/>
        </w:trPr>
        <w:tc>
          <w:tcPr>
            <w:tcW w:w="1561" w:type="pct"/>
            <w:tcBorders>
              <w:top w:val="nil"/>
              <w:left w:val="nil"/>
              <w:bottom w:val="single" w:sz="4" w:space="0" w:color="auto"/>
              <w:right w:val="single" w:sz="4" w:space="0" w:color="auto"/>
            </w:tcBorders>
            <w:shd w:val="clear" w:color="auto" w:fill="auto"/>
            <w:vAlign w:val="bottom"/>
            <w:hideMark/>
          </w:tcPr>
          <w:p w14:paraId="72F0A0CE"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dodana vrednost - storitve oskrbe s hrano in pijačami  (mio EUR)</w:t>
            </w:r>
          </w:p>
        </w:tc>
        <w:tc>
          <w:tcPr>
            <w:tcW w:w="573" w:type="pct"/>
            <w:tcBorders>
              <w:top w:val="nil"/>
              <w:left w:val="nil"/>
              <w:bottom w:val="single" w:sz="4" w:space="0" w:color="auto"/>
              <w:right w:val="single" w:sz="4" w:space="0" w:color="auto"/>
            </w:tcBorders>
            <w:shd w:val="clear" w:color="auto" w:fill="auto"/>
            <w:noWrap/>
            <w:vAlign w:val="center"/>
            <w:hideMark/>
          </w:tcPr>
          <w:p w14:paraId="1455F7B3"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308,30</w:t>
            </w:r>
          </w:p>
        </w:tc>
        <w:tc>
          <w:tcPr>
            <w:tcW w:w="573" w:type="pct"/>
            <w:tcBorders>
              <w:top w:val="nil"/>
              <w:left w:val="nil"/>
              <w:bottom w:val="single" w:sz="4" w:space="0" w:color="auto"/>
              <w:right w:val="single" w:sz="4" w:space="0" w:color="auto"/>
            </w:tcBorders>
            <w:shd w:val="clear" w:color="auto" w:fill="auto"/>
            <w:noWrap/>
            <w:vAlign w:val="center"/>
            <w:hideMark/>
          </w:tcPr>
          <w:p w14:paraId="410C410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306,60</w:t>
            </w:r>
          </w:p>
        </w:tc>
        <w:tc>
          <w:tcPr>
            <w:tcW w:w="573" w:type="pct"/>
            <w:tcBorders>
              <w:top w:val="nil"/>
              <w:left w:val="nil"/>
              <w:bottom w:val="single" w:sz="4" w:space="0" w:color="auto"/>
              <w:right w:val="single" w:sz="4" w:space="0" w:color="auto"/>
            </w:tcBorders>
            <w:shd w:val="clear" w:color="auto" w:fill="auto"/>
            <w:noWrap/>
            <w:vAlign w:val="center"/>
            <w:hideMark/>
          </w:tcPr>
          <w:p w14:paraId="0E288450"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408,60</w:t>
            </w:r>
          </w:p>
        </w:tc>
        <w:tc>
          <w:tcPr>
            <w:tcW w:w="573" w:type="pct"/>
            <w:tcBorders>
              <w:top w:val="nil"/>
              <w:left w:val="nil"/>
              <w:bottom w:val="single" w:sz="4" w:space="0" w:color="auto"/>
              <w:right w:val="single" w:sz="4" w:space="0" w:color="auto"/>
            </w:tcBorders>
            <w:shd w:val="clear" w:color="auto" w:fill="auto"/>
            <w:noWrap/>
            <w:vAlign w:val="center"/>
            <w:hideMark/>
          </w:tcPr>
          <w:p w14:paraId="4368BCD1"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442,10</w:t>
            </w:r>
          </w:p>
        </w:tc>
        <w:tc>
          <w:tcPr>
            <w:tcW w:w="573" w:type="pct"/>
            <w:tcBorders>
              <w:top w:val="nil"/>
              <w:left w:val="nil"/>
              <w:bottom w:val="single" w:sz="4" w:space="0" w:color="auto"/>
              <w:right w:val="single" w:sz="4" w:space="0" w:color="auto"/>
            </w:tcBorders>
            <w:shd w:val="clear" w:color="auto" w:fill="auto"/>
            <w:noWrap/>
            <w:vAlign w:val="center"/>
            <w:hideMark/>
          </w:tcPr>
          <w:p w14:paraId="242069E8"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c>
          <w:tcPr>
            <w:tcW w:w="573" w:type="pct"/>
            <w:tcBorders>
              <w:top w:val="nil"/>
              <w:left w:val="nil"/>
              <w:bottom w:val="single" w:sz="4" w:space="0" w:color="auto"/>
              <w:right w:val="single" w:sz="4" w:space="0" w:color="auto"/>
            </w:tcBorders>
            <w:shd w:val="clear" w:color="auto" w:fill="auto"/>
            <w:noWrap/>
            <w:vAlign w:val="center"/>
            <w:hideMark/>
          </w:tcPr>
          <w:p w14:paraId="0A8BA3C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r>
      <w:tr w:rsidR="006544EB" w:rsidRPr="006544EB" w14:paraId="5505CD79" w14:textId="77777777" w:rsidTr="005B2A49">
        <w:trPr>
          <w:trHeight w:val="315"/>
        </w:trPr>
        <w:tc>
          <w:tcPr>
            <w:tcW w:w="1561" w:type="pct"/>
            <w:tcBorders>
              <w:top w:val="nil"/>
              <w:left w:val="nil"/>
              <w:bottom w:val="single" w:sz="4" w:space="0" w:color="auto"/>
              <w:right w:val="single" w:sz="4" w:space="0" w:color="auto"/>
            </w:tcBorders>
            <w:shd w:val="clear" w:color="auto" w:fill="auto"/>
            <w:vAlign w:val="bottom"/>
            <w:hideMark/>
          </w:tcPr>
          <w:p w14:paraId="1F4A4E74"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dodana vrednost - distribucija hrane in pijač  (mio EUR)</w:t>
            </w:r>
          </w:p>
        </w:tc>
        <w:tc>
          <w:tcPr>
            <w:tcW w:w="573" w:type="pct"/>
            <w:tcBorders>
              <w:top w:val="nil"/>
              <w:left w:val="nil"/>
              <w:bottom w:val="single" w:sz="4" w:space="0" w:color="auto"/>
              <w:right w:val="single" w:sz="4" w:space="0" w:color="auto"/>
            </w:tcBorders>
            <w:shd w:val="clear" w:color="auto" w:fill="auto"/>
            <w:noWrap/>
            <w:vAlign w:val="center"/>
            <w:hideMark/>
          </w:tcPr>
          <w:p w14:paraId="00B06BEC"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770,80</w:t>
            </w:r>
          </w:p>
        </w:tc>
        <w:tc>
          <w:tcPr>
            <w:tcW w:w="573" w:type="pct"/>
            <w:tcBorders>
              <w:top w:val="nil"/>
              <w:left w:val="nil"/>
              <w:bottom w:val="single" w:sz="4" w:space="0" w:color="auto"/>
              <w:right w:val="single" w:sz="4" w:space="0" w:color="auto"/>
            </w:tcBorders>
            <w:shd w:val="clear" w:color="auto" w:fill="auto"/>
            <w:noWrap/>
            <w:vAlign w:val="center"/>
            <w:hideMark/>
          </w:tcPr>
          <w:p w14:paraId="0B28DD8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755,40</w:t>
            </w:r>
          </w:p>
        </w:tc>
        <w:tc>
          <w:tcPr>
            <w:tcW w:w="573" w:type="pct"/>
            <w:tcBorders>
              <w:top w:val="nil"/>
              <w:left w:val="nil"/>
              <w:bottom w:val="single" w:sz="4" w:space="0" w:color="auto"/>
              <w:right w:val="single" w:sz="4" w:space="0" w:color="auto"/>
            </w:tcBorders>
            <w:shd w:val="clear" w:color="auto" w:fill="auto"/>
            <w:noWrap/>
            <w:vAlign w:val="center"/>
            <w:hideMark/>
          </w:tcPr>
          <w:p w14:paraId="39C8597E"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758,10</w:t>
            </w:r>
          </w:p>
        </w:tc>
        <w:tc>
          <w:tcPr>
            <w:tcW w:w="573" w:type="pct"/>
            <w:tcBorders>
              <w:top w:val="nil"/>
              <w:left w:val="nil"/>
              <w:bottom w:val="single" w:sz="4" w:space="0" w:color="auto"/>
              <w:right w:val="single" w:sz="4" w:space="0" w:color="auto"/>
            </w:tcBorders>
            <w:shd w:val="clear" w:color="auto" w:fill="auto"/>
            <w:noWrap/>
            <w:vAlign w:val="center"/>
            <w:hideMark/>
          </w:tcPr>
          <w:p w14:paraId="561E11FF"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812,10</w:t>
            </w:r>
          </w:p>
        </w:tc>
        <w:tc>
          <w:tcPr>
            <w:tcW w:w="573" w:type="pct"/>
            <w:tcBorders>
              <w:top w:val="nil"/>
              <w:left w:val="nil"/>
              <w:bottom w:val="single" w:sz="4" w:space="0" w:color="auto"/>
              <w:right w:val="single" w:sz="4" w:space="0" w:color="auto"/>
            </w:tcBorders>
            <w:shd w:val="clear" w:color="auto" w:fill="auto"/>
            <w:noWrap/>
            <w:vAlign w:val="center"/>
            <w:hideMark/>
          </w:tcPr>
          <w:p w14:paraId="5AA55647"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c>
          <w:tcPr>
            <w:tcW w:w="573" w:type="pct"/>
            <w:tcBorders>
              <w:top w:val="nil"/>
              <w:left w:val="nil"/>
              <w:bottom w:val="single" w:sz="4" w:space="0" w:color="auto"/>
              <w:right w:val="single" w:sz="4" w:space="0" w:color="auto"/>
            </w:tcBorders>
            <w:shd w:val="clear" w:color="auto" w:fill="auto"/>
            <w:noWrap/>
            <w:vAlign w:val="center"/>
            <w:hideMark/>
          </w:tcPr>
          <w:p w14:paraId="13EBB830"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r>
      <w:tr w:rsidR="006544EB" w:rsidRPr="006544EB" w14:paraId="30A62AA0" w14:textId="77777777" w:rsidTr="005B2A49">
        <w:trPr>
          <w:trHeight w:val="315"/>
        </w:trPr>
        <w:tc>
          <w:tcPr>
            <w:tcW w:w="1561" w:type="pct"/>
            <w:tcBorders>
              <w:top w:val="nil"/>
              <w:left w:val="nil"/>
              <w:bottom w:val="single" w:sz="4" w:space="0" w:color="auto"/>
              <w:right w:val="single" w:sz="4" w:space="0" w:color="auto"/>
            </w:tcBorders>
            <w:shd w:val="clear" w:color="auto" w:fill="auto"/>
            <w:vAlign w:val="bottom"/>
            <w:hideMark/>
          </w:tcPr>
          <w:p w14:paraId="0B2E0C71"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dodana vrednost - proizvodnja hrane in pijač  (mio EUR)</w:t>
            </w:r>
          </w:p>
        </w:tc>
        <w:tc>
          <w:tcPr>
            <w:tcW w:w="573" w:type="pct"/>
            <w:tcBorders>
              <w:top w:val="nil"/>
              <w:left w:val="nil"/>
              <w:bottom w:val="single" w:sz="4" w:space="0" w:color="auto"/>
              <w:right w:val="single" w:sz="4" w:space="0" w:color="auto"/>
            </w:tcBorders>
            <w:shd w:val="clear" w:color="auto" w:fill="auto"/>
            <w:noWrap/>
            <w:vAlign w:val="center"/>
            <w:hideMark/>
          </w:tcPr>
          <w:p w14:paraId="009FF8FC"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470,60</w:t>
            </w:r>
          </w:p>
        </w:tc>
        <w:tc>
          <w:tcPr>
            <w:tcW w:w="573" w:type="pct"/>
            <w:tcBorders>
              <w:top w:val="nil"/>
              <w:left w:val="nil"/>
              <w:bottom w:val="single" w:sz="4" w:space="0" w:color="auto"/>
              <w:right w:val="single" w:sz="4" w:space="0" w:color="auto"/>
            </w:tcBorders>
            <w:shd w:val="clear" w:color="auto" w:fill="auto"/>
            <w:noWrap/>
            <w:vAlign w:val="center"/>
            <w:hideMark/>
          </w:tcPr>
          <w:p w14:paraId="141F9C4A"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439,70</w:t>
            </w:r>
          </w:p>
        </w:tc>
        <w:tc>
          <w:tcPr>
            <w:tcW w:w="573" w:type="pct"/>
            <w:tcBorders>
              <w:top w:val="nil"/>
              <w:left w:val="nil"/>
              <w:bottom w:val="single" w:sz="4" w:space="0" w:color="auto"/>
              <w:right w:val="single" w:sz="4" w:space="0" w:color="auto"/>
            </w:tcBorders>
            <w:shd w:val="clear" w:color="auto" w:fill="auto"/>
            <w:noWrap/>
            <w:vAlign w:val="center"/>
            <w:hideMark/>
          </w:tcPr>
          <w:p w14:paraId="1BBB73F7"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523,40</w:t>
            </w:r>
          </w:p>
        </w:tc>
        <w:tc>
          <w:tcPr>
            <w:tcW w:w="573" w:type="pct"/>
            <w:tcBorders>
              <w:top w:val="nil"/>
              <w:left w:val="nil"/>
              <w:bottom w:val="single" w:sz="4" w:space="0" w:color="auto"/>
              <w:right w:val="single" w:sz="4" w:space="0" w:color="auto"/>
            </w:tcBorders>
            <w:shd w:val="clear" w:color="auto" w:fill="auto"/>
            <w:noWrap/>
            <w:vAlign w:val="center"/>
            <w:hideMark/>
          </w:tcPr>
          <w:p w14:paraId="015C88BD"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543,30</w:t>
            </w:r>
          </w:p>
        </w:tc>
        <w:tc>
          <w:tcPr>
            <w:tcW w:w="573" w:type="pct"/>
            <w:tcBorders>
              <w:top w:val="nil"/>
              <w:left w:val="nil"/>
              <w:bottom w:val="single" w:sz="4" w:space="0" w:color="auto"/>
              <w:right w:val="single" w:sz="4" w:space="0" w:color="auto"/>
            </w:tcBorders>
            <w:shd w:val="clear" w:color="auto" w:fill="auto"/>
            <w:noWrap/>
            <w:vAlign w:val="center"/>
            <w:hideMark/>
          </w:tcPr>
          <w:p w14:paraId="55F666C1"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c>
          <w:tcPr>
            <w:tcW w:w="573" w:type="pct"/>
            <w:tcBorders>
              <w:top w:val="nil"/>
              <w:left w:val="nil"/>
              <w:bottom w:val="single" w:sz="4" w:space="0" w:color="auto"/>
              <w:right w:val="single" w:sz="4" w:space="0" w:color="auto"/>
            </w:tcBorders>
            <w:shd w:val="clear" w:color="auto" w:fill="auto"/>
            <w:noWrap/>
            <w:vAlign w:val="center"/>
            <w:hideMark/>
          </w:tcPr>
          <w:p w14:paraId="68D0E320"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r>
      <w:tr w:rsidR="006544EB" w:rsidRPr="006544EB" w14:paraId="10ED58F2" w14:textId="77777777" w:rsidTr="005B2A49">
        <w:trPr>
          <w:trHeight w:val="315"/>
        </w:trPr>
        <w:tc>
          <w:tcPr>
            <w:tcW w:w="1561" w:type="pct"/>
            <w:tcBorders>
              <w:top w:val="nil"/>
              <w:left w:val="nil"/>
              <w:bottom w:val="single" w:sz="4" w:space="0" w:color="auto"/>
              <w:right w:val="single" w:sz="4" w:space="0" w:color="auto"/>
            </w:tcBorders>
            <w:shd w:val="clear" w:color="auto" w:fill="auto"/>
            <w:vAlign w:val="bottom"/>
            <w:hideMark/>
          </w:tcPr>
          <w:p w14:paraId="2509EEA5" w14:textId="77777777" w:rsidR="006544EB" w:rsidRPr="005B2A49" w:rsidRDefault="006544EB" w:rsidP="006544EB">
            <w:pPr>
              <w:keepNext/>
              <w:keepLines/>
              <w:rPr>
                <w:color w:val="000000"/>
                <w:sz w:val="20"/>
                <w:szCs w:val="20"/>
                <w:lang w:eastAsia="sl-SI"/>
              </w:rPr>
            </w:pPr>
            <w:r w:rsidRPr="005B2A49">
              <w:rPr>
                <w:color w:val="000000"/>
                <w:sz w:val="20"/>
                <w:szCs w:val="20"/>
                <w:lang w:eastAsia="sl-SI"/>
              </w:rPr>
              <w:t>dodana vrednost - primarna proizvodnja (mio EUR)</w:t>
            </w:r>
          </w:p>
        </w:tc>
        <w:tc>
          <w:tcPr>
            <w:tcW w:w="573" w:type="pct"/>
            <w:tcBorders>
              <w:top w:val="nil"/>
              <w:left w:val="nil"/>
              <w:bottom w:val="single" w:sz="4" w:space="0" w:color="auto"/>
              <w:right w:val="single" w:sz="4" w:space="0" w:color="auto"/>
            </w:tcBorders>
            <w:shd w:val="clear" w:color="auto" w:fill="auto"/>
            <w:noWrap/>
            <w:vAlign w:val="center"/>
            <w:hideMark/>
          </w:tcPr>
          <w:p w14:paraId="0914F867"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638,50</w:t>
            </w:r>
          </w:p>
        </w:tc>
        <w:tc>
          <w:tcPr>
            <w:tcW w:w="573" w:type="pct"/>
            <w:tcBorders>
              <w:top w:val="nil"/>
              <w:left w:val="nil"/>
              <w:bottom w:val="single" w:sz="4" w:space="0" w:color="auto"/>
              <w:right w:val="single" w:sz="4" w:space="0" w:color="auto"/>
            </w:tcBorders>
            <w:shd w:val="clear" w:color="auto" w:fill="auto"/>
            <w:noWrap/>
            <w:vAlign w:val="center"/>
            <w:hideMark/>
          </w:tcPr>
          <w:p w14:paraId="048A2D56"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656,11</w:t>
            </w:r>
          </w:p>
        </w:tc>
        <w:tc>
          <w:tcPr>
            <w:tcW w:w="573" w:type="pct"/>
            <w:tcBorders>
              <w:top w:val="nil"/>
              <w:left w:val="nil"/>
              <w:bottom w:val="single" w:sz="4" w:space="0" w:color="auto"/>
              <w:right w:val="single" w:sz="4" w:space="0" w:color="auto"/>
            </w:tcBorders>
            <w:shd w:val="clear" w:color="auto" w:fill="auto"/>
            <w:noWrap/>
            <w:vAlign w:val="center"/>
            <w:hideMark/>
          </w:tcPr>
          <w:p w14:paraId="43F9EC45"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724,63</w:t>
            </w:r>
          </w:p>
        </w:tc>
        <w:tc>
          <w:tcPr>
            <w:tcW w:w="573" w:type="pct"/>
            <w:tcBorders>
              <w:top w:val="nil"/>
              <w:left w:val="nil"/>
              <w:bottom w:val="single" w:sz="4" w:space="0" w:color="auto"/>
              <w:right w:val="single" w:sz="4" w:space="0" w:color="auto"/>
            </w:tcBorders>
            <w:shd w:val="clear" w:color="auto" w:fill="auto"/>
            <w:noWrap/>
            <w:vAlign w:val="center"/>
            <w:hideMark/>
          </w:tcPr>
          <w:p w14:paraId="65E9FD76"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694,93</w:t>
            </w:r>
          </w:p>
        </w:tc>
        <w:tc>
          <w:tcPr>
            <w:tcW w:w="573" w:type="pct"/>
            <w:tcBorders>
              <w:top w:val="nil"/>
              <w:left w:val="nil"/>
              <w:bottom w:val="single" w:sz="4" w:space="0" w:color="auto"/>
              <w:right w:val="single" w:sz="4" w:space="0" w:color="auto"/>
            </w:tcBorders>
            <w:shd w:val="clear" w:color="auto" w:fill="auto"/>
            <w:noWrap/>
            <w:vAlign w:val="center"/>
            <w:hideMark/>
          </w:tcPr>
          <w:p w14:paraId="5CAD955F"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c>
          <w:tcPr>
            <w:tcW w:w="573" w:type="pct"/>
            <w:tcBorders>
              <w:top w:val="nil"/>
              <w:left w:val="nil"/>
              <w:bottom w:val="single" w:sz="4" w:space="0" w:color="auto"/>
              <w:right w:val="single" w:sz="4" w:space="0" w:color="auto"/>
            </w:tcBorders>
            <w:shd w:val="clear" w:color="auto" w:fill="auto"/>
            <w:noWrap/>
            <w:vAlign w:val="center"/>
            <w:hideMark/>
          </w:tcPr>
          <w:p w14:paraId="0A4840DF" w14:textId="77777777" w:rsidR="006544EB" w:rsidRPr="005B2A49" w:rsidRDefault="006544EB" w:rsidP="006544EB">
            <w:pPr>
              <w:keepNext/>
              <w:keepLines/>
              <w:jc w:val="right"/>
              <w:rPr>
                <w:color w:val="000000"/>
                <w:sz w:val="20"/>
                <w:szCs w:val="20"/>
                <w:lang w:eastAsia="sl-SI"/>
              </w:rPr>
            </w:pPr>
            <w:r w:rsidRPr="005B2A49">
              <w:rPr>
                <w:color w:val="000000"/>
                <w:sz w:val="20"/>
                <w:szCs w:val="20"/>
                <w:lang w:eastAsia="sl-SI"/>
              </w:rPr>
              <w:t>-</w:t>
            </w:r>
          </w:p>
        </w:tc>
      </w:tr>
    </w:tbl>
    <w:p w14:paraId="2104C2BF" w14:textId="77777777" w:rsidR="00EC2DD0" w:rsidRPr="00E73231" w:rsidRDefault="00EC2DD0" w:rsidP="00EC2DD0">
      <w:pPr>
        <w:keepNext/>
        <w:keepLines/>
        <w:autoSpaceDE w:val="0"/>
        <w:autoSpaceDN w:val="0"/>
        <w:adjustRightInd w:val="0"/>
        <w:rPr>
          <w:sz w:val="16"/>
          <w:szCs w:val="16"/>
        </w:rPr>
      </w:pPr>
      <w:r w:rsidRPr="00E73231">
        <w:rPr>
          <w:sz w:val="16"/>
          <w:szCs w:val="16"/>
        </w:rPr>
        <w:t>Vir: EUROSTAT</w:t>
      </w:r>
    </w:p>
    <w:p w14:paraId="5C0176CE" w14:textId="77777777" w:rsidR="006544EB" w:rsidRDefault="006544EB" w:rsidP="005B2A49">
      <w:pPr>
        <w:pStyle w:val="Odstavek1"/>
      </w:pPr>
    </w:p>
    <w:p w14:paraId="7C55E1B5" w14:textId="63A34927" w:rsidR="00E55E9C" w:rsidRPr="003344A4" w:rsidRDefault="00E55E9C" w:rsidP="005B2A49">
      <w:pPr>
        <w:pStyle w:val="Odstavek1"/>
        <w:rPr>
          <w:shd w:val="clear" w:color="auto" w:fill="FCFCFC"/>
        </w:rPr>
      </w:pPr>
    </w:p>
    <w:p w14:paraId="119E1142" w14:textId="4FDAE26B" w:rsidR="006544EB" w:rsidRDefault="006544EB" w:rsidP="005B2A49">
      <w:pPr>
        <w:pStyle w:val="Odstavek1"/>
      </w:pPr>
      <w:r w:rsidRPr="003344A4">
        <w:t xml:space="preserve">Delež kmetijstva v skupni dodani vrednosti BDV za primarne proizvajalce v prehranski verigi se giblje okoli 30 %. Kljub izrazito majhnemu ekonomskemu deležu kmetijstva v celotni BDV slovenskega gospodarstva pa je ta gospodarski sektor strateško pomemben z vidika varnosti preskrbe s kakovostno, zdravo hrano ter upravljanja z naravnimi viri in zagotavljanja družbeni-ekonomskih funkcij, kot je obdelanost in poseljenost podeželja. </w:t>
      </w:r>
    </w:p>
    <w:p w14:paraId="1B2CFDE9" w14:textId="77777777" w:rsidR="00A5430C" w:rsidRPr="003344A4" w:rsidRDefault="00A5430C" w:rsidP="006544EB">
      <w:pPr>
        <w:spacing w:line="360" w:lineRule="auto"/>
      </w:pPr>
    </w:p>
    <w:p w14:paraId="7808C174" w14:textId="296C6D87" w:rsidR="006544EB" w:rsidRPr="003344A4" w:rsidRDefault="006544EB" w:rsidP="002E5901">
      <w:pPr>
        <w:pStyle w:val="SCSlika0"/>
        <w:rPr>
          <w:shd w:val="clear" w:color="auto" w:fill="FCFCFC"/>
        </w:rPr>
      </w:pPr>
      <w:bookmarkStart w:id="27" w:name="_Toc40959324"/>
      <w:bookmarkStart w:id="28" w:name="_Toc55913762"/>
      <w:bookmarkStart w:id="29" w:name="_Toc86822674"/>
      <w:r w:rsidRPr="00226CFA">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2</w:t>
      </w:r>
      <w:r w:rsidR="009F2591">
        <w:rPr>
          <w:noProof/>
        </w:rPr>
        <w:fldChar w:fldCharType="end"/>
      </w:r>
      <w:r w:rsidRPr="00226CFA">
        <w:t>: Delež bruto dodane vrednosti (BDV) kmetijstva, gozdarstva in ribištva v skupni BDV,</w:t>
      </w:r>
      <w:r w:rsidR="002E5901">
        <w:t xml:space="preserve"> </w:t>
      </w:r>
      <w:r w:rsidRPr="00226CFA">
        <w:t>Slovenija in EU-28 – tekoče cene</w:t>
      </w:r>
      <w:bookmarkEnd w:id="27"/>
      <w:bookmarkEnd w:id="28"/>
      <w:bookmarkEnd w:id="29"/>
    </w:p>
    <w:p w14:paraId="02F26CFD" w14:textId="77777777" w:rsidR="006544EB" w:rsidRPr="003344A4" w:rsidRDefault="006544EB" w:rsidP="006544EB">
      <w:pPr>
        <w:jc w:val="center"/>
        <w:rPr>
          <w:rFonts w:eastAsia="Calibri"/>
          <w:szCs w:val="20"/>
        </w:rPr>
      </w:pPr>
      <w:r w:rsidRPr="003344A4">
        <w:rPr>
          <w:noProof/>
          <w:lang w:eastAsia="sl-SI"/>
        </w:rPr>
        <w:drawing>
          <wp:inline distT="0" distB="0" distL="0" distR="0" wp14:anchorId="5F88E97F" wp14:editId="2272A16D">
            <wp:extent cx="5200650" cy="2295525"/>
            <wp:effectExtent l="0" t="0" r="0" b="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4BE47A" w14:textId="77777777" w:rsidR="006544EB" w:rsidRPr="0022611B" w:rsidRDefault="006544EB" w:rsidP="006544EB">
      <w:pPr>
        <w:rPr>
          <w:sz w:val="16"/>
          <w:szCs w:val="16"/>
        </w:rPr>
      </w:pPr>
      <w:r w:rsidRPr="0022611B">
        <w:rPr>
          <w:sz w:val="16"/>
          <w:szCs w:val="16"/>
        </w:rPr>
        <w:t>Vir: EUROSTAT [nama_10_a10]</w:t>
      </w:r>
    </w:p>
    <w:p w14:paraId="70396CE5" w14:textId="77777777" w:rsidR="006544EB" w:rsidRDefault="006544EB" w:rsidP="005B2A49">
      <w:pPr>
        <w:pStyle w:val="Odstavek1"/>
      </w:pPr>
    </w:p>
    <w:p w14:paraId="4EAFDBD9" w14:textId="70749E62" w:rsidR="00EC2DD0" w:rsidRDefault="00EC2DD0" w:rsidP="005B2A49">
      <w:pPr>
        <w:pStyle w:val="Odstavek1"/>
      </w:pPr>
      <w:r w:rsidRPr="00DE12FE">
        <w:t>V letu 2019 je delovalo 67.178 gospodarskih družb in zadrug. Samostojnih podjetnikov je bilo 52.713. Po podatkih Poslovnega registra Slovenije je bilo v letu 2019 ustanovljenih 3.988 družb. Družbe, ki so poslovale v letu 2019, so zaposlovale 519.505 zaposlenih, kar je za 5 % več zaposlenih kot v predhodnem letu. Največji delež predstavljajo mikro družbe (85,1 %), ki so imele 18,3 % vseh zaposlenih, sledi delež majhnih (12,6 %), ki so imele 27,2 % vseh zaposlenih, in srednjih družb (1,6 %), ki so imele 20,2 % vseh zaposlenih. Najmanj je velikih družb (0,6 %), vendar zaposlujejo največ zaposlenih (34,3 % vseh) in so v letu 2019 tudi najbolj odločilno vplivale na izboljšanje rezultatov poslovanja družb.</w:t>
      </w:r>
    </w:p>
    <w:p w14:paraId="61F0D73F" w14:textId="77777777" w:rsidR="00AF3297" w:rsidRPr="00DE12FE" w:rsidRDefault="00AF3297" w:rsidP="005B2A49">
      <w:pPr>
        <w:pStyle w:val="Odstavek1"/>
      </w:pPr>
    </w:p>
    <w:p w14:paraId="4B91F217" w14:textId="77777777" w:rsidR="00EC2DD0" w:rsidRDefault="00EC2DD0" w:rsidP="005B2A49">
      <w:pPr>
        <w:pStyle w:val="Odstavek1"/>
      </w:pPr>
      <w:r w:rsidRPr="00DE12FE">
        <w:t>V letu 2018 je v Sloveniji poslovalo 200.174 podjetij. Zaposlovala so 914.224 oseb in ustvarila 117.041 milijonov EUR prihodka. Vrednosti vseh navedenih podatkov so bile višje kot v prejšnjem letu, tj. v letu 2017: število podjetij je bilo višje za 2,3 %, število oseb, ki delajo, za 3,7 %, ustvarjeni prihodek pa za 7,5 %. Z vidika velikosti podjetij (glede na število oseb, ki delajo) se je v letu 2018 največ podjetij, ki so poslovala v 2018, uvrščalo med mikropodjetja (94,9 %); to so podjetja, ki zaposlujejo manj kot 10 oseb. Kljub temu so največji del prihodka ustvarila sicer manj številna srednje velika in velika podjetja, tj. podjetja, ki zaposlujejo najmanj</w:t>
      </w:r>
      <w:r w:rsidRPr="00146602">
        <w:t xml:space="preserve"> 50 oseb. Srednje velika podjetja so ustvarila 23,7 % prihodka, velika pa 35,5 % prihodka; zaposlovala pa so skupaj več kot polovico vseh oseb, ki so delale v podjetjih (54,3 %).</w:t>
      </w:r>
    </w:p>
    <w:p w14:paraId="4F607A40" w14:textId="77777777" w:rsidR="00C80370" w:rsidRDefault="00C80370" w:rsidP="005B2A49"/>
    <w:p w14:paraId="01ACD664" w14:textId="5340B110" w:rsidR="00C80370" w:rsidRPr="00F20823" w:rsidRDefault="00CE540D" w:rsidP="005B2A49">
      <w:pPr>
        <w:pStyle w:val="Naslov2"/>
      </w:pPr>
      <w:bookmarkStart w:id="30" w:name="_Toc86822535"/>
      <w:r w:rsidRPr="00F20823">
        <w:t>Stanje kmetijstva v Sloveniji</w:t>
      </w:r>
      <w:bookmarkEnd w:id="30"/>
    </w:p>
    <w:p w14:paraId="22CDC36B" w14:textId="77777777" w:rsidR="00275988" w:rsidRDefault="00275988" w:rsidP="005B2A49"/>
    <w:p w14:paraId="2B3BCF31" w14:textId="0FB8C3BC" w:rsidR="00FD2278" w:rsidRDefault="00275988" w:rsidP="005B2A49">
      <w:r w:rsidRPr="005B2A49">
        <w:rPr>
          <w:lang w:eastAsia="en-US"/>
        </w:rPr>
        <w:t>Za slovensko kmetijstvo je značilna izrazito neugodna agrarna struktura in težji pogoji kmetovanja</w:t>
      </w:r>
      <w:r w:rsidR="00C034D4">
        <w:rPr>
          <w:lang w:eastAsia="en-US"/>
        </w:rPr>
        <w:t xml:space="preserve"> glede na ostale države članice EU-27. </w:t>
      </w:r>
      <w:r w:rsidR="00FD2278">
        <w:rPr>
          <w:lang w:eastAsia="en-US"/>
        </w:rPr>
        <w:t xml:space="preserve">Povzemajoč iz analize stanja za cilj 1, 4 in 7 </w:t>
      </w:r>
      <w:r w:rsidR="00C034D4">
        <w:rPr>
          <w:lang w:eastAsia="en-US"/>
        </w:rPr>
        <w:t xml:space="preserve">so v nadaljevanju predstavljena nekatera ključna dejstva, ki vplivajo na konkurenčnost slovenskega kmetijstva:  </w:t>
      </w:r>
    </w:p>
    <w:p w14:paraId="33217BBF" w14:textId="619EFC24" w:rsidR="00275988" w:rsidRDefault="00275988" w:rsidP="005B2A49">
      <w:r w:rsidRPr="005B2A49">
        <w:rPr>
          <w:lang w:eastAsia="en-US"/>
        </w:rPr>
        <w:t xml:space="preserve"> </w:t>
      </w:r>
    </w:p>
    <w:p w14:paraId="51741B7A" w14:textId="1436A6EA" w:rsidR="00275988" w:rsidRPr="00C04886" w:rsidRDefault="00C034D4" w:rsidP="005B2A49">
      <w:pPr>
        <w:pStyle w:val="Odstavek1"/>
        <w:numPr>
          <w:ilvl w:val="0"/>
          <w:numId w:val="200"/>
        </w:numPr>
      </w:pPr>
      <w:r>
        <w:t>Majhna fizična v</w:t>
      </w:r>
      <w:r w:rsidR="00275988" w:rsidRPr="00C04886">
        <w:t>elikost slovenskega KMG</w:t>
      </w:r>
      <w:r>
        <w:t>: Velikost slovenskega KMG</w:t>
      </w:r>
      <w:r w:rsidR="00275988" w:rsidRPr="00C04886">
        <w:t xml:space="preserve"> je bistveno manjša od povprečja </w:t>
      </w:r>
      <w:r>
        <w:t xml:space="preserve">EU </w:t>
      </w:r>
      <w:r w:rsidR="00275988" w:rsidRPr="00C04886">
        <w:t xml:space="preserve">(Slovenija: 6,9 ha, EU: 15,2 ha) - Eurostat (2016). </w:t>
      </w:r>
    </w:p>
    <w:p w14:paraId="6E4EFF65" w14:textId="5CD6205D" w:rsidR="00275988" w:rsidRPr="00C04886" w:rsidRDefault="00275988" w:rsidP="005B2A49">
      <w:pPr>
        <w:pStyle w:val="Odstavek1"/>
        <w:numPr>
          <w:ilvl w:val="0"/>
          <w:numId w:val="200"/>
        </w:numPr>
      </w:pPr>
      <w:r>
        <w:t xml:space="preserve">Majhna povprečna ekonomska velikost slovenskega KMG: </w:t>
      </w:r>
      <w:r w:rsidRPr="00C04886">
        <w:t xml:space="preserve">Slovenija z nekaj več kot 16.500 EUR na </w:t>
      </w:r>
      <w:r w:rsidR="00C034D4">
        <w:t xml:space="preserve">kmetijsko </w:t>
      </w:r>
      <w:r w:rsidRPr="00C04886">
        <w:t>gospodarstvo spada v krog držav, ki močno zaostajajo za povprečjem EU–28</w:t>
      </w:r>
      <w:r>
        <w:t xml:space="preserve"> (</w:t>
      </w:r>
      <w:r w:rsidRPr="00C04886">
        <w:t>34.784 EUR</w:t>
      </w:r>
      <w:r>
        <w:t>)</w:t>
      </w:r>
      <w:r w:rsidRPr="00C04886">
        <w:t>.</w:t>
      </w:r>
      <w:r>
        <w:t xml:space="preserve">  </w:t>
      </w:r>
      <w:r w:rsidRPr="00C04886">
        <w:t xml:space="preserve"> </w:t>
      </w:r>
    </w:p>
    <w:p w14:paraId="67A8AAFE" w14:textId="77777777" w:rsidR="00275988" w:rsidRPr="00B27024" w:rsidRDefault="00275988" w:rsidP="005B2A49">
      <w:pPr>
        <w:pStyle w:val="Odstavek1"/>
        <w:numPr>
          <w:ilvl w:val="0"/>
          <w:numId w:val="200"/>
        </w:numPr>
      </w:pPr>
      <w:r>
        <w:t>Velika</w:t>
      </w:r>
      <w:r w:rsidRPr="00B27024">
        <w:t xml:space="preserve"> reliefn</w:t>
      </w:r>
      <w:r>
        <w:t>a</w:t>
      </w:r>
      <w:r w:rsidRPr="00B27024">
        <w:t xml:space="preserve"> razg</w:t>
      </w:r>
      <w:r>
        <w:t>ibanost</w:t>
      </w:r>
      <w:r w:rsidRPr="00B27024">
        <w:t xml:space="preserve"> slovenskega prostora, kjer ravninska območja v obliki sklenjenih dolin in kotlin predstavljajo le slabih 20 % vsega ozemlja. V teh ravninskih območjih se </w:t>
      </w:r>
      <w:r>
        <w:t xml:space="preserve">pretežno </w:t>
      </w:r>
      <w:r w:rsidRPr="00B27024">
        <w:t>nahajajo njivske površine.</w:t>
      </w:r>
    </w:p>
    <w:p w14:paraId="4CB4C24A" w14:textId="77777777" w:rsidR="00275988" w:rsidRDefault="00275988" w:rsidP="005B2A49">
      <w:pPr>
        <w:pStyle w:val="Odstavek1"/>
        <w:numPr>
          <w:ilvl w:val="0"/>
          <w:numId w:val="200"/>
        </w:numPr>
      </w:pPr>
      <w:r w:rsidRPr="00B27024">
        <w:t xml:space="preserve">Velika večina kmetijskih površin v Sloveniji </w:t>
      </w:r>
      <w:r>
        <w:t xml:space="preserve">se posledično </w:t>
      </w:r>
      <w:r w:rsidRPr="00B27024">
        <w:t xml:space="preserve">uporablja kot trajni travnik ali pašnik. </w:t>
      </w:r>
      <w:r w:rsidRPr="00C04886">
        <w:t xml:space="preserve">Delež trajnega travinja Slovenije je drugi največji v EU (Slovenija: 58 %, EU: 31 %) - Kazalnik stanja C.17 (2018). </w:t>
      </w:r>
    </w:p>
    <w:p w14:paraId="4D8E7FED" w14:textId="77777777" w:rsidR="00275988" w:rsidRDefault="00275988" w:rsidP="005B2A49">
      <w:pPr>
        <w:pStyle w:val="Odstavek1"/>
        <w:numPr>
          <w:ilvl w:val="0"/>
          <w:numId w:val="200"/>
        </w:numPr>
      </w:pPr>
      <w:r w:rsidRPr="00C04886">
        <w:t xml:space="preserve">Velik delež kmetijskih zemljišč se nahaja na OMD (Slovenija: 76 %, EU: 58 %) - Kazalnik stanja C.20 (2019). </w:t>
      </w:r>
    </w:p>
    <w:p w14:paraId="6ECE8847" w14:textId="77777777" w:rsidR="00275988" w:rsidRPr="005B2A49" w:rsidRDefault="00275988" w:rsidP="005B2A49">
      <w:pPr>
        <w:pStyle w:val="Odstavek1"/>
        <w:numPr>
          <w:ilvl w:val="0"/>
          <w:numId w:val="200"/>
        </w:numPr>
      </w:pPr>
      <w:r w:rsidRPr="005B2A49">
        <w:lastRenderedPageBreak/>
        <w:t>Intenzivnost kmetovanja v Sloveniji je nižja od EU povprečja, saj je delež KZU, ki jih upravljajo kmetije z nizko vhodno intenzivnostjo na ha (35,8 % KZU v letu 2019) višji od povprečja EU (26,8 % KZU v letu 2019). Navedeno je posledica velikega deleža KZU na OMD.</w:t>
      </w:r>
    </w:p>
    <w:p w14:paraId="044EFC30" w14:textId="77777777" w:rsidR="00275988" w:rsidRPr="005B2A49" w:rsidRDefault="00275988" w:rsidP="005B2A49">
      <w:pPr>
        <w:pStyle w:val="Odstavek1"/>
        <w:numPr>
          <w:ilvl w:val="0"/>
          <w:numId w:val="200"/>
        </w:numPr>
      </w:pPr>
      <w:r w:rsidRPr="005B2A49">
        <w:t>V slovenskem kmetijstvu prevladujejo KMG, ki sama porabijo več kot 50 % svojih proizvodov (Slovenija: 57 %, EU: 42 %) - Eurostat (2016).</w:t>
      </w:r>
    </w:p>
    <w:p w14:paraId="652D8298" w14:textId="77777777" w:rsidR="00275988" w:rsidRPr="005B2A49" w:rsidRDefault="00275988" w:rsidP="005B2A49">
      <w:pPr>
        <w:pStyle w:val="Odstavek1"/>
        <w:numPr>
          <w:ilvl w:val="0"/>
          <w:numId w:val="200"/>
        </w:numPr>
      </w:pPr>
      <w:r w:rsidRPr="005B2A49">
        <w:t xml:space="preserve">V slovenskem kmetijstvu prevladujejo ne specializirana KMG, ki so manj produktivna in ustvarjajo nižje dohodke (Slovenija: 56 %, EU: 51 %) – Eurostat (2016). </w:t>
      </w:r>
    </w:p>
    <w:p w14:paraId="1DF7F429" w14:textId="77777777" w:rsidR="00275988" w:rsidRPr="005B2A49" w:rsidRDefault="00275988" w:rsidP="005B2A49">
      <w:pPr>
        <w:pStyle w:val="Odstavek1"/>
        <w:numPr>
          <w:ilvl w:val="0"/>
          <w:numId w:val="200"/>
        </w:numPr>
      </w:pPr>
      <w:r w:rsidRPr="005B2A49">
        <w:t>Dohodek v slovenskem kmetijstvu je tudi kot posledica neugodne agrarne strukture med najnižjimi v EU in predstavlja samo okoli 20 % primerljivega dohodka v celotnem gospodarstvu. Od leta 2015 do leta 2019 je v povprečju znašal 5.977 EUR, kar je 38 % povprečja EU.</w:t>
      </w:r>
    </w:p>
    <w:p w14:paraId="4C5E94CC" w14:textId="77777777" w:rsidR="00275988" w:rsidRPr="005B2A49" w:rsidRDefault="00275988" w:rsidP="005B2A49">
      <w:pPr>
        <w:pStyle w:val="Odstavek1"/>
        <w:numPr>
          <w:ilvl w:val="0"/>
          <w:numId w:val="200"/>
        </w:numPr>
      </w:pPr>
      <w:r w:rsidRPr="005B2A49">
        <w:t>Subvencije (neposredna plačila in OMD plačila) so zelo pomemben dejavnik, ki vsaj delno izravnavajo slabši dohodkovni položaj ter zaradi svoje stabilnosti zmanjšujejo dohodkovna nihanja.</w:t>
      </w:r>
    </w:p>
    <w:p w14:paraId="4EAB038F" w14:textId="77777777" w:rsidR="00275988" w:rsidRPr="009D3CC2" w:rsidRDefault="00275988" w:rsidP="005B2A49">
      <w:pPr>
        <w:pStyle w:val="Odstavek1"/>
        <w:numPr>
          <w:ilvl w:val="0"/>
          <w:numId w:val="200"/>
        </w:numPr>
      </w:pPr>
      <w:r>
        <w:t xml:space="preserve">Razdrobljenost kmetijskih zemljišč: </w:t>
      </w:r>
      <w:r w:rsidRPr="009D3CC2">
        <w:t>V letu 2019 je bilo v Sloveniji 861.493 grafičnih enot rabe kmetijskih zemljišč (GERK). V povprečju je KMG obdeloval 9,7 GERK-a, povprečna velikost GERK-a pa znaša</w:t>
      </w:r>
      <w:r>
        <w:t xml:space="preserve"> le</w:t>
      </w:r>
      <w:r w:rsidRPr="009D3CC2">
        <w:t xml:space="preserve"> 0,56 ha.</w:t>
      </w:r>
      <w:r>
        <w:t xml:space="preserve"> </w:t>
      </w:r>
      <w:r w:rsidRPr="009D3CC2">
        <w:t>Tako majhna povprečna velikost vpisanega GERK-a je posledica dejstva, da je kar 86,29 % vseh GERK-ov po površini, manjših od 1 ha.</w:t>
      </w:r>
    </w:p>
    <w:p w14:paraId="72E41DA4" w14:textId="23109EC3" w:rsidR="00FD2278" w:rsidRPr="00FD2278" w:rsidRDefault="00C034D4" w:rsidP="005B2A49">
      <w:pPr>
        <w:pStyle w:val="Odstavek1"/>
        <w:numPr>
          <w:ilvl w:val="0"/>
          <w:numId w:val="200"/>
        </w:numPr>
      </w:pPr>
      <w:r w:rsidRPr="00F20823">
        <w:t xml:space="preserve">Slovensko kmetijstvo se </w:t>
      </w:r>
      <w:r w:rsidRPr="00F679A2">
        <w:t>pod vplivom podnebnih sprememb vedno pogosteje sooča z ekstremnimi vremenski razmerami</w:t>
      </w:r>
      <w:r w:rsidRPr="00B97309">
        <w:t xml:space="preserve"> </w:t>
      </w:r>
      <w:r w:rsidRPr="00C25531">
        <w:t xml:space="preserve">(suša, toča, </w:t>
      </w:r>
      <w:r w:rsidRPr="00BF3857">
        <w:t>pozebe</w:t>
      </w:r>
      <w:r w:rsidR="00FD2278">
        <w:t>…)</w:t>
      </w:r>
      <w:r w:rsidRPr="00F20823">
        <w:t>.</w:t>
      </w:r>
      <w:r w:rsidR="00FD2278">
        <w:t xml:space="preserve"> </w:t>
      </w:r>
      <w:r w:rsidR="00FD2278" w:rsidRPr="00FD2278">
        <w:t xml:space="preserve">Strokovnjaki ugotavljajo,  da se negativni vplivi podnebnih sprememb </w:t>
      </w:r>
      <w:r w:rsidR="00FD2278">
        <w:t>kažejo</w:t>
      </w:r>
      <w:r w:rsidR="00FD2278" w:rsidRPr="00FD2278">
        <w:t xml:space="preserve"> v sušnem stresu rastlin zaradi višjih temperature in povečane evapotranspiracije, skrajšanju življenjskega cikla rastlin (pospešen fenološki razvoj rastlin), premiku rastlinskih pasov, povečani pogostnosti ekstremnih vremenskih dogodkov (neurja z močnim vetrom in/ali točo, pozebe, suše, poplave, erozija), spremenjeni pogostnosti in intenziteti napadov škodljivcev in povzročiteljev bolezni, pojavu novih škodljivcev, plevelov, bolezni. Podrobnejši opis sledi v analizi stanja za cilj 4. </w:t>
      </w:r>
    </w:p>
    <w:p w14:paraId="11B4538D" w14:textId="04E3ECD6" w:rsidR="00275988" w:rsidRDefault="00275988" w:rsidP="005B2A49">
      <w:pPr>
        <w:pStyle w:val="Odstavek1"/>
        <w:numPr>
          <w:ilvl w:val="0"/>
          <w:numId w:val="200"/>
        </w:numPr>
      </w:pPr>
      <w:r>
        <w:t xml:space="preserve">Majhen delež namakanih površin: </w:t>
      </w:r>
      <w:r w:rsidRPr="002A0005">
        <w:t>V Sloveniji je delež za namakanje pripravljenih zemljišč glede na KZU med nižjimi znotraj držav čla</w:t>
      </w:r>
      <w:r>
        <w:t>nic EU, in sicer je znašal pod 1,4</w:t>
      </w:r>
      <w:r w:rsidRPr="002A0005">
        <w:t xml:space="preserve"> % v letu 2020. V letu 2020 je bilo namakanih 3.958 hektarjev zemljišč, </w:t>
      </w:r>
      <w:r>
        <w:t>v glavnem gre pri tem za</w:t>
      </w:r>
      <w:r w:rsidRPr="002A0005">
        <w:t xml:space="preserve"> njive in vrtov</w:t>
      </w:r>
      <w:r>
        <w:t>e</w:t>
      </w:r>
      <w:r w:rsidRPr="002A0005">
        <w:t xml:space="preserve"> (69 %)</w:t>
      </w:r>
      <w:r>
        <w:t xml:space="preserve">. Primerjava z ostalimi članicami EU za trenutno zadnje dostopne podatke iz </w:t>
      </w:r>
      <w:r w:rsidRPr="002A0005">
        <w:t>let</w:t>
      </w:r>
      <w:r>
        <w:t>a</w:t>
      </w:r>
      <w:r w:rsidRPr="002A0005">
        <w:t xml:space="preserve"> 2016 </w:t>
      </w:r>
      <w:r>
        <w:t xml:space="preserve">kaže, da </w:t>
      </w:r>
      <w:r w:rsidRPr="002A0005">
        <w:t>je bil delež za namakanje pripravljenih zemljišč nižji kot v Sloveniji le še v štirih državah članicah.</w:t>
      </w:r>
      <w:r w:rsidRPr="007D4CB4">
        <w:t xml:space="preserve"> </w:t>
      </w:r>
      <w:r>
        <w:t>Natančneje je stanje predstavljeno v okviru analize stanja za cilj 4.</w:t>
      </w:r>
    </w:p>
    <w:p w14:paraId="23D7315F" w14:textId="666F76BF" w:rsidR="00C034D4" w:rsidRPr="00C04886" w:rsidRDefault="00C034D4" w:rsidP="005B2A49">
      <w:pPr>
        <w:pStyle w:val="Odstavek1"/>
        <w:numPr>
          <w:ilvl w:val="0"/>
          <w:numId w:val="200"/>
        </w:numPr>
      </w:pPr>
      <w:r w:rsidRPr="005B2A49">
        <w:t xml:space="preserve">Starostna struktura nosilcev kmetijskih gospodarstev v Sloveniji je neugodna, saj je bilo leta 2016 le 16,8 % nosilcev mlajših od 44 let, hkrati pa je bilo 57,3 % nosilcev starejših od 55 let. </w:t>
      </w:r>
      <w:r w:rsidRPr="00C04886">
        <w:t xml:space="preserve">Starostna struktura nosilcev kmetijskih gospodarstev pomembno vpliva na produktivnost dela v kmetijstvu. </w:t>
      </w:r>
      <w:r w:rsidRPr="005B2A49">
        <w:t xml:space="preserve">Neugodna starostna struktura nosilcev kmetijskih gospodarstev se kaže tudi v počasnejšem prevzemanju </w:t>
      </w:r>
      <w:r w:rsidRPr="005B2A49">
        <w:lastRenderedPageBreak/>
        <w:t>novih idej in znanj ter skepticizmu pri vpeljavi novosti na kmetijskem gospodarstvu.</w:t>
      </w:r>
      <w:r w:rsidR="00FD2278">
        <w:t xml:space="preserve"> Natančneje je ta vidik predstavljen v analizi stanja za cilj 7 in 10.</w:t>
      </w:r>
    </w:p>
    <w:p w14:paraId="118DE201" w14:textId="77777777" w:rsidR="00C034D4" w:rsidRPr="005B2A49" w:rsidRDefault="00C034D4" w:rsidP="005B2A49">
      <w:pPr>
        <w:pStyle w:val="Odstavek1"/>
        <w:numPr>
          <w:ilvl w:val="0"/>
          <w:numId w:val="200"/>
        </w:numPr>
      </w:pPr>
      <w:r w:rsidRPr="00C04886">
        <w:t xml:space="preserve">Leta 2016 je bilo od skupno 69.671 nosilcev KMG kar 18.985 nosilcev KMG (27 %), starih 41 let in več, ki so bili brez izobrazbe ali so imeli samo osnovnošolsko izobrazbo. V starostni skupini do 40 let je bilo takšnih nosilcev 414. </w:t>
      </w:r>
    </w:p>
    <w:p w14:paraId="5D8798CD" w14:textId="77777777" w:rsidR="00C034D4" w:rsidRDefault="00C034D4" w:rsidP="005B2A49">
      <w:pPr>
        <w:pStyle w:val="Odstavekseznama"/>
        <w:spacing w:before="100" w:line="240" w:lineRule="auto"/>
        <w:contextualSpacing/>
        <w:rPr>
          <w:rFonts w:ascii="Arial" w:hAnsi="Arial"/>
        </w:rPr>
      </w:pPr>
    </w:p>
    <w:p w14:paraId="5BE1D510" w14:textId="61628BBA" w:rsidR="00AC0234" w:rsidRDefault="00FD2278" w:rsidP="005B2A49">
      <w:r>
        <w:rPr>
          <w:lang w:eastAsia="en-US"/>
        </w:rPr>
        <w:t>Vsi navedeni in še nekateri drugi dejavniki močno vplivajo na konkurenčnost in produktivnost slovenskega kmetijstva, kar je podrobneje analizirano v nadaljevanju.</w:t>
      </w:r>
    </w:p>
    <w:p w14:paraId="196BB201" w14:textId="44ED095E" w:rsidR="002E5901" w:rsidRPr="002E5901" w:rsidRDefault="00FD2278" w:rsidP="005B2A49">
      <w:r>
        <w:rPr>
          <w:lang w:eastAsia="en-US"/>
        </w:rPr>
        <w:t xml:space="preserve"> </w:t>
      </w:r>
    </w:p>
    <w:p w14:paraId="23FA1BA4" w14:textId="31AC58BD" w:rsidR="00574589" w:rsidRPr="009755A8" w:rsidRDefault="00574589" w:rsidP="005B2A49">
      <w:pPr>
        <w:pStyle w:val="Naslov2"/>
      </w:pPr>
      <w:bookmarkStart w:id="31" w:name="_Toc86822536"/>
      <w:r w:rsidRPr="00C80370">
        <w:t>Skupna faktorska produktivnost</w:t>
      </w:r>
      <w:r w:rsidR="000F3F43" w:rsidRPr="00C80370">
        <w:t xml:space="preserve"> </w:t>
      </w:r>
      <w:r w:rsidR="00AF3297">
        <w:t>kmetijstv</w:t>
      </w:r>
      <w:r w:rsidR="00275988">
        <w:t>a</w:t>
      </w:r>
      <w:r w:rsidR="00AF3297">
        <w:t xml:space="preserve"> </w:t>
      </w:r>
      <w:r w:rsidR="000F3F43" w:rsidRPr="00C80370">
        <w:t>(C.28)</w:t>
      </w:r>
      <w:bookmarkEnd w:id="31"/>
    </w:p>
    <w:p w14:paraId="4D0322DE" w14:textId="77777777" w:rsidR="00574589" w:rsidRDefault="00574589" w:rsidP="009F3567">
      <w:pPr>
        <w:spacing w:before="0" w:line="276" w:lineRule="auto"/>
        <w:rPr>
          <w:sz w:val="20"/>
          <w:szCs w:val="20"/>
        </w:rPr>
      </w:pPr>
    </w:p>
    <w:p w14:paraId="75D483FE" w14:textId="77777777" w:rsidR="00803EB8" w:rsidRDefault="00803EB8" w:rsidP="00DD616B">
      <w:pPr>
        <w:pStyle w:val="Odstavek1"/>
      </w:pPr>
    </w:p>
    <w:p w14:paraId="0C5D72A6" w14:textId="701DA822" w:rsidR="001A6307" w:rsidRPr="004C5161" w:rsidRDefault="001A6307" w:rsidP="00DD616B">
      <w:pPr>
        <w:pStyle w:val="Odstavek1"/>
      </w:pPr>
      <w:r w:rsidRPr="0047652B">
        <w:t xml:space="preserve">Za spremljanje napredka pri doseganju večje produktivnosti v kmetijstvu se uporablja kazalnik skupna faktorska produktivnost proizvodnih faktorjev (delo, zemlja in kapital) v določenem časovnem obdobju </w:t>
      </w:r>
      <w:r w:rsidR="0061009E">
        <w:t>(</w:t>
      </w:r>
      <w:r w:rsidRPr="004C5161">
        <w:t>TFP)</w:t>
      </w:r>
      <w:r w:rsidRPr="0047652B">
        <w:t>.</w:t>
      </w:r>
      <w:r w:rsidR="00574589">
        <w:t xml:space="preserve"> </w:t>
      </w:r>
      <w:r w:rsidRPr="0047652B">
        <w:t xml:space="preserve">Povečanje kazalnika TFP odraža povečanje obsega proizvodnje, ki ne izvira iz povečanega obsega vhodnih virov oz. porabe, temveč kaže skupne učinke številnih dejavnikov, vključno z novimi tehnologijami, povečanjem učinkovitosti, ekonomičnostjo obsega, učinkovitostjo upravljavskih procesov in spremembami v organizaciji proizvodnje, na rast obsega proizvodnje. Povečanje produktivnosti v kmetijstvu pomeni učinkovitejšo porazdelitev omejenih virov, kar se lahko doseže z uvajanjem novih (tehnološki napredek) oziroma boljšo uporabo obstoječih tehnologij (povečanje tehnološke učinkovitosti) ali z ekonomijo obsega. </w:t>
      </w:r>
      <w:r w:rsidR="00AF4287">
        <w:t>(Evropska komisija, 2016)</w:t>
      </w:r>
    </w:p>
    <w:p w14:paraId="7803EF2B" w14:textId="77777777" w:rsidR="001A6307" w:rsidRPr="004C5161" w:rsidRDefault="001A6307" w:rsidP="00DD616B">
      <w:pPr>
        <w:pStyle w:val="Odstavek1"/>
      </w:pPr>
    </w:p>
    <w:p w14:paraId="49FB2C8C" w14:textId="461FF7A3" w:rsidR="00981D38" w:rsidRPr="004C5161" w:rsidRDefault="001A6307" w:rsidP="00DD616B">
      <w:pPr>
        <w:pStyle w:val="Odstavek1"/>
      </w:pPr>
      <w:r w:rsidRPr="004C5161">
        <w:t xml:space="preserve">Gledano z vidika rasti produktivnosti </w:t>
      </w:r>
      <w:r w:rsidR="00FA1F9C" w:rsidRPr="004C5161">
        <w:t xml:space="preserve">celotnega </w:t>
      </w:r>
      <w:r w:rsidR="00AF4287" w:rsidRPr="004C5161">
        <w:t>kmetijstva v EU</w:t>
      </w:r>
      <w:r w:rsidR="00F20823">
        <w:t>-28</w:t>
      </w:r>
      <w:r w:rsidRPr="004C5161">
        <w:t xml:space="preserve"> kazalnik TFP kaže na stalno rast produktivnosti</w:t>
      </w:r>
      <w:r w:rsidR="00E2277E" w:rsidRPr="004C5161">
        <w:t>: med letoma 1995 in 20</w:t>
      </w:r>
      <w:r w:rsidR="00BE7929">
        <w:t>0</w:t>
      </w:r>
      <w:r w:rsidR="00E2277E" w:rsidRPr="004C5161">
        <w:t xml:space="preserve">5 je stopnja rasti TFP presegala </w:t>
      </w:r>
      <w:r w:rsidRPr="004C5161">
        <w:t>1 % letno</w:t>
      </w:r>
      <w:r w:rsidR="00E2277E" w:rsidRPr="004C5161">
        <w:t xml:space="preserve">, kasneje, v obdobju 2005 in 2015 pa je znašala </w:t>
      </w:r>
      <w:r w:rsidRPr="004C5161">
        <w:t xml:space="preserve">okoli 0,8 %. </w:t>
      </w:r>
      <w:r w:rsidR="00E2277E" w:rsidRPr="004C5161">
        <w:t xml:space="preserve">Rast skupne faktorske produktivnosti temelji pretežno na rasti produktivnosti dela oziroma zmanjševanju delovne sile v kmetijstvu. </w:t>
      </w:r>
      <w:r w:rsidR="00687B16" w:rsidRPr="004C5161">
        <w:t>(Evropska komisija, 2016a)</w:t>
      </w:r>
    </w:p>
    <w:p w14:paraId="43E8CE4D" w14:textId="77777777" w:rsidR="00981D38" w:rsidRDefault="00981D38" w:rsidP="00DD616B">
      <w:pPr>
        <w:pStyle w:val="Odstavek1"/>
        <w:rPr>
          <w:szCs w:val="16"/>
        </w:rPr>
      </w:pPr>
    </w:p>
    <w:p w14:paraId="553F38D6" w14:textId="7169A6D3" w:rsidR="00E2277E" w:rsidRPr="004C5161" w:rsidRDefault="00E2277E" w:rsidP="00DD616B">
      <w:pPr>
        <w:pStyle w:val="Odstavek1"/>
      </w:pPr>
      <w:r w:rsidRPr="004C5161">
        <w:t>Vložek dela v kmetijstvu EU-28 je bil v velikem obsegu nadomeščen z vloženim kapitalom. Investicije v</w:t>
      </w:r>
      <w:r w:rsidR="00CC1637">
        <w:t xml:space="preserve"> </w:t>
      </w:r>
      <w:r w:rsidRPr="004C5161">
        <w:t>mehanizacijo, zgradbe in podobno so odigrale ključno vlogo pri realizaciji rasti kmetijske proizvodnje in pri nadomeščanju dela.</w:t>
      </w:r>
      <w:r w:rsidR="00AF4287" w:rsidRPr="004C5161">
        <w:t xml:space="preserve"> (Evropska komisija, 2018) </w:t>
      </w:r>
      <w:r w:rsidRPr="004C5161">
        <w:t xml:space="preserve"> </w:t>
      </w:r>
    </w:p>
    <w:p w14:paraId="757453EA" w14:textId="77777777" w:rsidR="00E2277E" w:rsidRDefault="00E2277E" w:rsidP="00DD616B">
      <w:pPr>
        <w:pStyle w:val="Odstavek1"/>
      </w:pPr>
    </w:p>
    <w:p w14:paraId="0AC4209C" w14:textId="72554B5E" w:rsidR="00F318FE" w:rsidRPr="009F3567" w:rsidRDefault="00F318FE" w:rsidP="002E5901">
      <w:pPr>
        <w:pStyle w:val="SCSlika0"/>
      </w:pPr>
      <w:bookmarkStart w:id="32" w:name="_Toc86822675"/>
      <w:r w:rsidRPr="009F3567">
        <w:rPr>
          <w:szCs w:val="16"/>
        </w:rPr>
        <w:lastRenderedPageBreak/>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88117A">
        <w:rPr>
          <w:noProof/>
          <w:szCs w:val="16"/>
        </w:rPr>
        <w:t>3</w:t>
      </w:r>
      <w:r w:rsidRPr="009F3567">
        <w:rPr>
          <w:noProof/>
          <w:szCs w:val="16"/>
        </w:rPr>
        <w:fldChar w:fldCharType="end"/>
      </w:r>
      <w:r w:rsidRPr="009F3567">
        <w:rPr>
          <w:szCs w:val="16"/>
        </w:rPr>
        <w:t xml:space="preserve">: </w:t>
      </w:r>
      <w:r w:rsidRPr="009F3567">
        <w:t xml:space="preserve">Rast skupne faktorske </w:t>
      </w:r>
      <w:r w:rsidRPr="00BF3692">
        <w:t>produktivnosti</w:t>
      </w:r>
      <w:r w:rsidRPr="009F3567">
        <w:t xml:space="preserve"> v EU-28, 2005–2015, indeks, 2005=100</w:t>
      </w:r>
      <w:bookmarkEnd w:id="32"/>
      <w:r w:rsidRPr="009F3567">
        <w:t xml:space="preserve"> </w:t>
      </w:r>
    </w:p>
    <w:p w14:paraId="2123CA07" w14:textId="77777777" w:rsidR="00981D38" w:rsidRPr="0047652B" w:rsidRDefault="00981D38" w:rsidP="009F3567">
      <w:pPr>
        <w:spacing w:before="0" w:line="276" w:lineRule="auto"/>
        <w:rPr>
          <w:sz w:val="20"/>
        </w:rPr>
      </w:pPr>
      <w:r w:rsidRPr="0047652B">
        <w:rPr>
          <w:noProof/>
          <w:sz w:val="20"/>
          <w:lang w:eastAsia="sl-SI"/>
        </w:rPr>
        <w:drawing>
          <wp:inline distT="0" distB="0" distL="0" distR="0" wp14:anchorId="76857BD7" wp14:editId="79ECD240">
            <wp:extent cx="3821210" cy="2135875"/>
            <wp:effectExtent l="0" t="0" r="825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25556" cy="2138304"/>
                    </a:xfrm>
                    <a:prstGeom prst="rect">
                      <a:avLst/>
                    </a:prstGeom>
                    <a:noFill/>
                    <a:ln>
                      <a:noFill/>
                    </a:ln>
                  </pic:spPr>
                </pic:pic>
              </a:graphicData>
            </a:graphic>
          </wp:inline>
        </w:drawing>
      </w:r>
    </w:p>
    <w:p w14:paraId="750A41B6" w14:textId="7C6774BF" w:rsidR="00674F17" w:rsidRDefault="00981D38" w:rsidP="009F3567">
      <w:pPr>
        <w:spacing w:before="0" w:line="276" w:lineRule="auto"/>
        <w:rPr>
          <w:sz w:val="16"/>
          <w:szCs w:val="16"/>
        </w:rPr>
      </w:pPr>
      <w:r w:rsidRPr="0047652B">
        <w:rPr>
          <w:sz w:val="16"/>
          <w:szCs w:val="16"/>
        </w:rPr>
        <w:t>Vir</w:t>
      </w:r>
      <w:r w:rsidR="00F318FE">
        <w:rPr>
          <w:sz w:val="16"/>
          <w:szCs w:val="16"/>
        </w:rPr>
        <w:t xml:space="preserve">: </w:t>
      </w:r>
      <w:r w:rsidR="00674F17">
        <w:rPr>
          <w:sz w:val="16"/>
          <w:szCs w:val="16"/>
        </w:rPr>
        <w:t xml:space="preserve">Evropska komisija, </w:t>
      </w:r>
      <w:r w:rsidR="00F318FE" w:rsidRPr="0047652B">
        <w:rPr>
          <w:sz w:val="16"/>
          <w:szCs w:val="16"/>
        </w:rPr>
        <w:t>DG AGRI</w:t>
      </w:r>
      <w:r w:rsidR="00674F17">
        <w:rPr>
          <w:sz w:val="16"/>
          <w:szCs w:val="16"/>
        </w:rPr>
        <w:t>.</w:t>
      </w:r>
      <w:r w:rsidRPr="0047652B">
        <w:rPr>
          <w:sz w:val="16"/>
          <w:szCs w:val="16"/>
        </w:rPr>
        <w:t xml:space="preserve"> </w:t>
      </w:r>
      <w:r w:rsidR="00674F17">
        <w:rPr>
          <w:sz w:val="16"/>
          <w:szCs w:val="16"/>
        </w:rPr>
        <w:t>D</w:t>
      </w:r>
      <w:r w:rsidRPr="0047652B">
        <w:rPr>
          <w:sz w:val="16"/>
          <w:szCs w:val="16"/>
        </w:rPr>
        <w:t>ostopno na:</w:t>
      </w:r>
    </w:p>
    <w:p w14:paraId="2587D4C9" w14:textId="77777777" w:rsidR="00981D38" w:rsidRPr="0047652B" w:rsidRDefault="00701492" w:rsidP="009F3567">
      <w:pPr>
        <w:spacing w:before="0" w:line="276" w:lineRule="auto"/>
        <w:rPr>
          <w:sz w:val="16"/>
          <w:szCs w:val="16"/>
        </w:rPr>
      </w:pPr>
      <w:hyperlink r:id="rId16" w:history="1">
        <w:r w:rsidR="00F318FE" w:rsidRPr="00554B53">
          <w:rPr>
            <w:rStyle w:val="Hiperpovezava"/>
            <w:sz w:val="16"/>
            <w:szCs w:val="16"/>
          </w:rPr>
          <w:t>https://ec.europa.eu/agriculture/sites/agriculture/files/statistics/facts-figures/production-yields-productivity.pdf</w:t>
        </w:r>
      </w:hyperlink>
      <w:r w:rsidR="00F318FE">
        <w:rPr>
          <w:sz w:val="16"/>
          <w:szCs w:val="16"/>
        </w:rPr>
        <w:t xml:space="preserve"> </w:t>
      </w:r>
    </w:p>
    <w:p w14:paraId="66FAEB9F" w14:textId="77777777" w:rsidR="00981D38" w:rsidRDefault="00981D38" w:rsidP="00DD616B">
      <w:pPr>
        <w:pStyle w:val="Odstavek1"/>
      </w:pPr>
    </w:p>
    <w:p w14:paraId="432E3357" w14:textId="4A01AD17" w:rsidR="001A6307" w:rsidRDefault="001A6307" w:rsidP="00DD616B">
      <w:pPr>
        <w:pStyle w:val="Odstavek1"/>
      </w:pPr>
      <w:r w:rsidRPr="004C5161">
        <w:t xml:space="preserve">Med letoma 2005 in 2015 se je </w:t>
      </w:r>
      <w:r w:rsidR="00E2277E" w:rsidRPr="004C5161">
        <w:t xml:space="preserve">tako </w:t>
      </w:r>
      <w:r w:rsidRPr="004C5161">
        <w:t>obseg kmetijske proizvodnje povečal za okoli 6 %</w:t>
      </w:r>
      <w:r w:rsidR="00FA1F9C" w:rsidRPr="004C5161">
        <w:t>, medtem ko se je s</w:t>
      </w:r>
      <w:r w:rsidRPr="004C5161">
        <w:t>kupna zaposlenost v kmetijstvu v istem obdobju zmanjšala za okoli 2</w:t>
      </w:r>
      <w:r w:rsidR="00AF4287" w:rsidRPr="004C5161">
        <w:t>5</w:t>
      </w:r>
      <w:r w:rsidRPr="004C5161">
        <w:t xml:space="preserve"> % </w:t>
      </w:r>
      <w:r w:rsidR="00E2277E" w:rsidRPr="004C5161">
        <w:t>(</w:t>
      </w:r>
      <w:r w:rsidRPr="004C5161">
        <w:t>na okoli 9,</w:t>
      </w:r>
      <w:r w:rsidR="00AF4287" w:rsidRPr="004C5161">
        <w:t>6</w:t>
      </w:r>
      <w:r w:rsidRPr="004C5161">
        <w:t xml:space="preserve"> milijona polnovrednih moči na ravni EU</w:t>
      </w:r>
      <w:r w:rsidR="00E2277E" w:rsidRPr="004C5161">
        <w:t xml:space="preserve">). Vse navedeno je </w:t>
      </w:r>
      <w:r w:rsidRPr="004C5161">
        <w:t>povezano s procesi prestrukturiranja kmetijstva (v smeri večjih kmetij z višjo stopnjo mehanizacije).</w:t>
      </w:r>
      <w:r w:rsidR="00AF4287" w:rsidRPr="004C5161">
        <w:t xml:space="preserve"> (Evropska komisija, 2018) </w:t>
      </w:r>
      <w:r w:rsidR="00F20823">
        <w:t xml:space="preserve">V nadaljevanju bo prikazano, da je v Sloveniji ta upad skupne zaposlenosti v kmetijstvu počasnejši. Se pa, podobno kot drugod v EU, tudi v Sloveniji kaže nadomeščanje delovne sile s kapitalom oz. s povečanimi vložki v nakup strojev, mehanizacije. </w:t>
      </w:r>
      <w:r w:rsidR="00AF4287" w:rsidRPr="004C5161">
        <w:t xml:space="preserve"> </w:t>
      </w:r>
      <w:r w:rsidR="00FA1F9C" w:rsidRPr="004C5161">
        <w:t xml:space="preserve"> </w:t>
      </w:r>
    </w:p>
    <w:p w14:paraId="5E745EC1" w14:textId="77777777" w:rsidR="001A6307" w:rsidRDefault="001A6307" w:rsidP="00DD616B">
      <w:pPr>
        <w:pStyle w:val="Odstavek1"/>
      </w:pPr>
    </w:p>
    <w:p w14:paraId="3163FD43" w14:textId="715CFE13" w:rsidR="00AF4287" w:rsidRPr="009F3567" w:rsidRDefault="00AF4287" w:rsidP="002E5901">
      <w:pPr>
        <w:pStyle w:val="SCSlika0"/>
      </w:pPr>
      <w:bookmarkStart w:id="33" w:name="_Toc86822676"/>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88117A">
        <w:rPr>
          <w:noProof/>
          <w:szCs w:val="16"/>
        </w:rPr>
        <w:t>4</w:t>
      </w:r>
      <w:r w:rsidRPr="009F3567">
        <w:rPr>
          <w:noProof/>
          <w:szCs w:val="16"/>
        </w:rPr>
        <w:fldChar w:fldCharType="end"/>
      </w:r>
      <w:r w:rsidRPr="009F3567">
        <w:rPr>
          <w:szCs w:val="16"/>
        </w:rPr>
        <w:t xml:space="preserve">: </w:t>
      </w:r>
      <w:r w:rsidRPr="009F3567">
        <w:t>Povprečna letna rast TFP v državah članicah EU med letoma 2005 in 2015</w:t>
      </w:r>
      <w:bookmarkEnd w:id="33"/>
      <w:r w:rsidRPr="009F3567">
        <w:t xml:space="preserve"> </w:t>
      </w:r>
    </w:p>
    <w:p w14:paraId="63F7C370" w14:textId="77777777" w:rsidR="00FA1F9C" w:rsidRPr="0047652B" w:rsidRDefault="00FA1F9C" w:rsidP="009F3567">
      <w:pPr>
        <w:spacing w:before="0" w:line="276" w:lineRule="auto"/>
        <w:rPr>
          <w:sz w:val="16"/>
        </w:rPr>
      </w:pPr>
      <w:r w:rsidRPr="0047652B">
        <w:rPr>
          <w:noProof/>
          <w:sz w:val="20"/>
          <w:lang w:eastAsia="sl-SI"/>
        </w:rPr>
        <w:drawing>
          <wp:inline distT="0" distB="0" distL="0" distR="0" wp14:anchorId="0D4AD7DD" wp14:editId="0B480172">
            <wp:extent cx="4097547" cy="2379398"/>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97547" cy="2379398"/>
                    </a:xfrm>
                    <a:prstGeom prst="rect">
                      <a:avLst/>
                    </a:prstGeom>
                    <a:noFill/>
                    <a:ln>
                      <a:noFill/>
                    </a:ln>
                  </pic:spPr>
                </pic:pic>
              </a:graphicData>
            </a:graphic>
          </wp:inline>
        </w:drawing>
      </w:r>
    </w:p>
    <w:p w14:paraId="33118032" w14:textId="77777777" w:rsidR="00FA1F9C" w:rsidRPr="0047652B" w:rsidRDefault="00FA1F9C" w:rsidP="009F3567">
      <w:pPr>
        <w:spacing w:before="0" w:line="276" w:lineRule="auto"/>
        <w:rPr>
          <w:sz w:val="16"/>
          <w:szCs w:val="16"/>
        </w:rPr>
      </w:pPr>
      <w:r w:rsidRPr="0047652B">
        <w:rPr>
          <w:sz w:val="16"/>
          <w:szCs w:val="16"/>
        </w:rPr>
        <w:t xml:space="preserve">Vir: </w:t>
      </w:r>
      <w:r w:rsidR="00674F17">
        <w:rPr>
          <w:sz w:val="16"/>
          <w:szCs w:val="16"/>
        </w:rPr>
        <w:t xml:space="preserve">Evropska komisija, </w:t>
      </w:r>
      <w:r w:rsidRPr="0047652B">
        <w:rPr>
          <w:sz w:val="16"/>
          <w:szCs w:val="16"/>
        </w:rPr>
        <w:t xml:space="preserve">DG AGRI (2016): Productivity in EU agriculture - slowly but steadily growing. Dostopno na: </w:t>
      </w:r>
      <w:hyperlink r:id="rId18" w:history="1">
        <w:r w:rsidR="00AF4287" w:rsidRPr="00554B53">
          <w:rPr>
            <w:rStyle w:val="Hiperpovezava"/>
            <w:sz w:val="16"/>
            <w:szCs w:val="16"/>
          </w:rPr>
          <w:t>https://ec.europa.eu/agriculture/sites/agriculture/files/mp-mb-010_en.pdf</w:t>
        </w:r>
      </w:hyperlink>
      <w:r w:rsidR="00AF4287">
        <w:rPr>
          <w:sz w:val="16"/>
          <w:szCs w:val="16"/>
        </w:rPr>
        <w:t xml:space="preserve"> </w:t>
      </w:r>
      <w:r w:rsidRPr="0047652B">
        <w:rPr>
          <w:sz w:val="16"/>
          <w:szCs w:val="16"/>
        </w:rPr>
        <w:t xml:space="preserve"> </w:t>
      </w:r>
    </w:p>
    <w:p w14:paraId="416FD634" w14:textId="435DA268" w:rsidR="001A6307" w:rsidRDefault="001A6307" w:rsidP="00DD616B">
      <w:pPr>
        <w:pStyle w:val="Odstavek1"/>
      </w:pPr>
    </w:p>
    <w:p w14:paraId="019EF31D" w14:textId="77777777" w:rsidR="00F20823" w:rsidRDefault="00F20823" w:rsidP="00F20823">
      <w:pPr>
        <w:pStyle w:val="Odstavek1"/>
      </w:pPr>
      <w:r w:rsidRPr="004C5161">
        <w:t>Skupna faktorska produktivnost v Sloveniji je bila v obdobju 2005–2016 večinoma pod povprečjem EU</w:t>
      </w:r>
      <w:r>
        <w:t>.</w:t>
      </w:r>
    </w:p>
    <w:p w14:paraId="6E70A3BD" w14:textId="52869DDF" w:rsidR="00E43FFB" w:rsidRDefault="00E43FFB" w:rsidP="00DD616B">
      <w:pPr>
        <w:pStyle w:val="Odstavek1"/>
      </w:pPr>
    </w:p>
    <w:p w14:paraId="7A797323" w14:textId="23E0CA29" w:rsidR="00AF4287" w:rsidRPr="009C2866" w:rsidRDefault="00AF4287" w:rsidP="002E5901">
      <w:pPr>
        <w:pStyle w:val="SCSlika0"/>
        <w:rPr>
          <w:sz w:val="16"/>
        </w:rPr>
      </w:pPr>
      <w:bookmarkStart w:id="34" w:name="_Toc86822677"/>
      <w:r w:rsidRPr="009F3567">
        <w:lastRenderedPageBreak/>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5</w:t>
      </w:r>
      <w:r w:rsidR="009F2591">
        <w:rPr>
          <w:noProof/>
        </w:rPr>
        <w:fldChar w:fldCharType="end"/>
      </w:r>
      <w:r w:rsidRPr="009F3567">
        <w:t>: Povprečna letna rast produktivnosti dela v državah članicah EU med letoma 2005–2015</w:t>
      </w:r>
      <w:bookmarkEnd w:id="34"/>
      <w:r w:rsidRPr="009F3567">
        <w:t xml:space="preserve"> </w:t>
      </w:r>
    </w:p>
    <w:p w14:paraId="2042F549" w14:textId="77777777" w:rsidR="00FA1F9C" w:rsidRPr="0047652B" w:rsidRDefault="00FA1F9C" w:rsidP="009F3567">
      <w:pPr>
        <w:spacing w:before="0" w:line="276" w:lineRule="auto"/>
        <w:rPr>
          <w:b/>
          <w:sz w:val="20"/>
        </w:rPr>
      </w:pPr>
      <w:r w:rsidRPr="0047652B">
        <w:rPr>
          <w:b/>
          <w:noProof/>
          <w:sz w:val="20"/>
          <w:lang w:eastAsia="sl-SI"/>
        </w:rPr>
        <w:drawing>
          <wp:inline distT="0" distB="0" distL="0" distR="0" wp14:anchorId="646C22D1" wp14:editId="2678D0EF">
            <wp:extent cx="4010025" cy="2329839"/>
            <wp:effectExtent l="19050" t="19050" r="9525" b="133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l="2106" t="-3447" r="-1"/>
                    <a:stretch/>
                  </pic:blipFill>
                  <pic:spPr bwMode="auto">
                    <a:xfrm>
                      <a:off x="0" y="0"/>
                      <a:ext cx="4028977" cy="23408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3C8B6D4" w14:textId="77777777" w:rsidR="00FA1F9C" w:rsidRPr="00852E36" w:rsidRDefault="00FA1F9C" w:rsidP="009F3567">
      <w:pPr>
        <w:spacing w:before="0" w:line="276" w:lineRule="auto"/>
        <w:rPr>
          <w:sz w:val="16"/>
          <w:szCs w:val="16"/>
        </w:rPr>
      </w:pPr>
      <w:r w:rsidRPr="009C2866">
        <w:rPr>
          <w:sz w:val="16"/>
          <w:szCs w:val="16"/>
        </w:rPr>
        <w:t>Vir</w:t>
      </w:r>
      <w:r w:rsidRPr="00852E36">
        <w:rPr>
          <w:sz w:val="16"/>
          <w:szCs w:val="16"/>
        </w:rPr>
        <w:t xml:space="preserve">: Evropska komisija, DG AGRI (2016): Productivity in EU agriculture – slowly but steadily growing. Dostopno na: </w:t>
      </w:r>
      <w:hyperlink r:id="rId20" w:history="1">
        <w:r w:rsidR="00AF4287" w:rsidRPr="00554B53">
          <w:rPr>
            <w:rStyle w:val="Hiperpovezava"/>
            <w:sz w:val="16"/>
            <w:szCs w:val="16"/>
          </w:rPr>
          <w:t>https://ec.europa.eu/agriculture/sites/agriculture/files/mp-mb-010_en.pdf</w:t>
        </w:r>
      </w:hyperlink>
      <w:r w:rsidR="00AF4287">
        <w:rPr>
          <w:sz w:val="16"/>
          <w:szCs w:val="16"/>
        </w:rPr>
        <w:t xml:space="preserve"> </w:t>
      </w:r>
      <w:r w:rsidRPr="00852E36">
        <w:rPr>
          <w:sz w:val="16"/>
          <w:szCs w:val="16"/>
        </w:rPr>
        <w:t xml:space="preserve"> </w:t>
      </w:r>
    </w:p>
    <w:p w14:paraId="664B780A" w14:textId="01591130" w:rsidR="00E43FFB" w:rsidRDefault="00E43FFB" w:rsidP="00744A13">
      <w:pPr>
        <w:pStyle w:val="Odstavek1"/>
      </w:pPr>
    </w:p>
    <w:p w14:paraId="633C3DB4" w14:textId="0631C973" w:rsidR="00674F17" w:rsidRDefault="00674F17" w:rsidP="002E5901">
      <w:pPr>
        <w:pStyle w:val="SCSlika0"/>
      </w:pPr>
      <w:bookmarkStart w:id="35" w:name="_Ref54878199"/>
      <w:bookmarkStart w:id="36" w:name="_Toc86822678"/>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88117A">
        <w:rPr>
          <w:noProof/>
          <w:szCs w:val="16"/>
        </w:rPr>
        <w:t>6</w:t>
      </w:r>
      <w:r w:rsidRPr="00875DD8">
        <w:rPr>
          <w:noProof/>
          <w:szCs w:val="16"/>
        </w:rPr>
        <w:fldChar w:fldCharType="end"/>
      </w:r>
      <w:bookmarkEnd w:id="35"/>
      <w:r w:rsidRPr="00875DD8">
        <w:rPr>
          <w:szCs w:val="16"/>
        </w:rPr>
        <w:t xml:space="preserve">: </w:t>
      </w:r>
      <w:r w:rsidR="00BE730B">
        <w:rPr>
          <w:szCs w:val="16"/>
        </w:rPr>
        <w:t xml:space="preserve">Letna stopnja rasti </w:t>
      </w:r>
      <w:r w:rsidR="00BE730B">
        <w:t>s</w:t>
      </w:r>
      <w:r w:rsidRPr="00875DD8">
        <w:t>kupn</w:t>
      </w:r>
      <w:r w:rsidR="00BE730B">
        <w:t>e</w:t>
      </w:r>
      <w:r w:rsidRPr="00875DD8">
        <w:t xml:space="preserve"> faktorsk</w:t>
      </w:r>
      <w:r w:rsidR="00BE730B">
        <w:t>e</w:t>
      </w:r>
      <w:r w:rsidRPr="00875DD8">
        <w:t xml:space="preserve"> produktivnost</w:t>
      </w:r>
      <w:r w:rsidR="00BE730B">
        <w:t>i</w:t>
      </w:r>
      <w:r w:rsidRPr="00875DD8">
        <w:t xml:space="preserve"> v kmetijstvu v Sloveniji</w:t>
      </w:r>
      <w:r w:rsidR="00203E75">
        <w:t xml:space="preserve"> in EU-27</w:t>
      </w:r>
      <w:r w:rsidRPr="00875DD8">
        <w:t>, 20</w:t>
      </w:r>
      <w:r w:rsidR="00203E75">
        <w:t>10</w:t>
      </w:r>
      <w:r w:rsidRPr="00875DD8">
        <w:t>–201</w:t>
      </w:r>
      <w:r w:rsidR="00203E75">
        <w:t>9</w:t>
      </w:r>
      <w:r w:rsidRPr="00875DD8">
        <w:t>, indeks 2005=</w:t>
      </w:r>
      <w:r w:rsidRPr="00555F8A">
        <w:t>100 (</w:t>
      </w:r>
      <w:r w:rsidRPr="00251920">
        <w:t xml:space="preserve">kazalnik </w:t>
      </w:r>
      <w:r w:rsidR="00C36138" w:rsidRPr="00251920">
        <w:t xml:space="preserve">stanja </w:t>
      </w:r>
      <w:r w:rsidRPr="00251920">
        <w:t>C.28: Skupna faktorska produktivnost v kmetijstvu</w:t>
      </w:r>
      <w:r w:rsidRPr="00555F8A">
        <w:t>)</w:t>
      </w:r>
      <w:bookmarkEnd w:id="36"/>
    </w:p>
    <w:p w14:paraId="0A655B9B" w14:textId="45043F9D" w:rsidR="00203E75" w:rsidRDefault="00203E75" w:rsidP="00744A13">
      <w:pPr>
        <w:pStyle w:val="Odstavek1"/>
      </w:pPr>
      <w:r>
        <w:rPr>
          <w:noProof/>
          <w:lang w:eastAsia="sl-SI"/>
        </w:rPr>
        <w:drawing>
          <wp:inline distT="0" distB="0" distL="0" distR="0" wp14:anchorId="491C5CDC" wp14:editId="47538483">
            <wp:extent cx="4584700" cy="2755900"/>
            <wp:effectExtent l="0" t="0" r="6350" b="6350"/>
            <wp:docPr id="24169617" name="Slika 2416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09338A" w14:textId="4C584719" w:rsidR="00203E75" w:rsidRDefault="00203E75" w:rsidP="00203E75">
      <w:pPr>
        <w:pStyle w:val="Odstavek1"/>
        <w:rPr>
          <w:sz w:val="16"/>
          <w:szCs w:val="16"/>
        </w:rPr>
      </w:pPr>
      <w:r w:rsidRPr="0047652B">
        <w:rPr>
          <w:sz w:val="16"/>
          <w:szCs w:val="16"/>
        </w:rPr>
        <w:t>Vir:</w:t>
      </w:r>
      <w:r>
        <w:rPr>
          <w:sz w:val="16"/>
          <w:szCs w:val="16"/>
        </w:rPr>
        <w:t xml:space="preserve"> DG-AGRI, Indicator Dashboard (</w:t>
      </w:r>
      <w:hyperlink r:id="rId22" w:history="1">
        <w:r w:rsidRPr="00FA476F">
          <w:rPr>
            <w:rStyle w:val="Hiperpovezava"/>
            <w:sz w:val="16"/>
            <w:szCs w:val="16"/>
          </w:rPr>
          <w:t>https://agridata.ec.europa.eu/extensions/DashboardIndicators/DataExplorer.html</w:t>
        </w:r>
      </w:hyperlink>
      <w:r>
        <w:rPr>
          <w:sz w:val="16"/>
          <w:szCs w:val="16"/>
        </w:rPr>
        <w:t>)</w:t>
      </w:r>
    </w:p>
    <w:p w14:paraId="3EA9E237" w14:textId="75FFA326" w:rsidR="00203E75" w:rsidRDefault="00203E75" w:rsidP="00203E75">
      <w:pPr>
        <w:pStyle w:val="Odstavek1"/>
      </w:pPr>
    </w:p>
    <w:p w14:paraId="7A4953FE" w14:textId="379F32C2" w:rsidR="00BE730B" w:rsidRDefault="00BE730B" w:rsidP="002E5901">
      <w:pPr>
        <w:pStyle w:val="SCSlika0"/>
      </w:pPr>
      <w:bookmarkStart w:id="37" w:name="_Toc86822679"/>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88117A">
        <w:rPr>
          <w:noProof/>
          <w:szCs w:val="16"/>
        </w:rPr>
        <w:t>7</w:t>
      </w:r>
      <w:r w:rsidRPr="00875DD8">
        <w:rPr>
          <w:noProof/>
          <w:szCs w:val="16"/>
        </w:rPr>
        <w:fldChar w:fldCharType="end"/>
      </w:r>
      <w:r w:rsidRPr="00875DD8">
        <w:rPr>
          <w:szCs w:val="16"/>
        </w:rPr>
        <w:t xml:space="preserve">: </w:t>
      </w:r>
      <w:r w:rsidRPr="00875DD8">
        <w:t>Skupna faktorska produktivnost v kmetijstvu v Sloveniji</w:t>
      </w:r>
      <w:r>
        <w:t xml:space="preserve"> in EU-28</w:t>
      </w:r>
      <w:r w:rsidRPr="00875DD8">
        <w:t>, 20</w:t>
      </w:r>
      <w:r>
        <w:t>10</w:t>
      </w:r>
      <w:r w:rsidRPr="00875DD8">
        <w:t>–201</w:t>
      </w:r>
      <w:r>
        <w:t>6</w:t>
      </w:r>
      <w:r w:rsidRPr="00875DD8">
        <w:t>, indeks 2005</w:t>
      </w:r>
      <w:r>
        <w:t xml:space="preserve"> EU</w:t>
      </w:r>
      <w:r w:rsidRPr="00875DD8">
        <w:t>=</w:t>
      </w:r>
      <w:r w:rsidRPr="00555F8A">
        <w:t>100</w:t>
      </w:r>
      <w:bookmarkEnd w:id="37"/>
    </w:p>
    <w:p w14:paraId="6B22CCAF" w14:textId="77777777" w:rsidR="00BE730B" w:rsidRPr="00875DD8" w:rsidRDefault="00BE730B" w:rsidP="00203E75">
      <w:pPr>
        <w:pStyle w:val="Odstavek1"/>
      </w:pPr>
    </w:p>
    <w:p w14:paraId="191806CC" w14:textId="7F337E08" w:rsidR="00FA1F9C" w:rsidRPr="0047652B" w:rsidRDefault="002B6669" w:rsidP="009F3567">
      <w:pPr>
        <w:spacing w:before="0" w:line="276" w:lineRule="auto"/>
        <w:rPr>
          <w:sz w:val="20"/>
        </w:rPr>
      </w:pPr>
      <w:r w:rsidRPr="0047652B">
        <w:rPr>
          <w:noProof/>
          <w:sz w:val="20"/>
          <w:lang w:eastAsia="sl-SI"/>
        </w:rPr>
        <w:lastRenderedPageBreak/>
        <w:drawing>
          <wp:inline distT="0" distB="0" distL="0" distR="0" wp14:anchorId="18A43389" wp14:editId="7576F788">
            <wp:extent cx="5184476" cy="1376550"/>
            <wp:effectExtent l="19050" t="19050" r="16510" b="146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87352" cy="1403865"/>
                    </a:xfrm>
                    <a:prstGeom prst="rect">
                      <a:avLst/>
                    </a:prstGeom>
                    <a:noFill/>
                    <a:ln>
                      <a:solidFill>
                        <a:schemeClr val="accent1"/>
                      </a:solidFill>
                    </a:ln>
                  </pic:spPr>
                </pic:pic>
              </a:graphicData>
            </a:graphic>
          </wp:inline>
        </w:drawing>
      </w:r>
    </w:p>
    <w:p w14:paraId="52AE78C8" w14:textId="4E999AE9" w:rsidR="00674F17" w:rsidRDefault="00FA1F9C" w:rsidP="009F3567">
      <w:pPr>
        <w:spacing w:before="0" w:line="276" w:lineRule="auto"/>
        <w:rPr>
          <w:sz w:val="16"/>
          <w:szCs w:val="16"/>
        </w:rPr>
      </w:pPr>
      <w:r w:rsidRPr="0047652B">
        <w:rPr>
          <w:sz w:val="16"/>
          <w:szCs w:val="16"/>
        </w:rPr>
        <w:t xml:space="preserve">Vir: </w:t>
      </w:r>
      <w:r w:rsidR="00674F17" w:rsidRPr="009C2866">
        <w:rPr>
          <w:sz w:val="16"/>
          <w:szCs w:val="16"/>
        </w:rPr>
        <w:t>Evropska komisija (2019</w:t>
      </w:r>
      <w:r w:rsidR="00F5728D">
        <w:rPr>
          <w:sz w:val="16"/>
          <w:szCs w:val="16"/>
        </w:rPr>
        <w:t>a</w:t>
      </w:r>
      <w:r w:rsidR="00674F17" w:rsidRPr="009C2866">
        <w:rPr>
          <w:sz w:val="16"/>
          <w:szCs w:val="16"/>
        </w:rPr>
        <w:t xml:space="preserve">): </w:t>
      </w:r>
      <w:r w:rsidR="00674F17" w:rsidRPr="0047652B">
        <w:rPr>
          <w:sz w:val="16"/>
          <w:szCs w:val="16"/>
          <w:lang w:val="en-GB"/>
        </w:rPr>
        <w:t>Analytical Factsheet for Slovenia: Nine objectives for a future Common Agricultural Policy</w:t>
      </w:r>
      <w:r w:rsidR="00674F17" w:rsidRPr="0047652B">
        <w:rPr>
          <w:sz w:val="16"/>
          <w:szCs w:val="16"/>
        </w:rPr>
        <w:t xml:space="preserve">. Dostopno na: </w:t>
      </w:r>
      <w:hyperlink r:id="rId24" w:history="1">
        <w:r w:rsidR="00674F17" w:rsidRPr="00852E36">
          <w:rPr>
            <w:rStyle w:val="Hiperpovezava"/>
            <w:sz w:val="16"/>
            <w:szCs w:val="16"/>
          </w:rPr>
          <w:t>https://ec.europa.eu/info/sites/info/files/food-farming-fisheries/by_country/documents/analytical_factsheet_sl.pdf</w:t>
        </w:r>
      </w:hyperlink>
      <w:r w:rsidR="00674F17">
        <w:rPr>
          <w:rStyle w:val="Hiperpovezava"/>
          <w:sz w:val="16"/>
          <w:szCs w:val="16"/>
        </w:rPr>
        <w:t xml:space="preserve">. </w:t>
      </w:r>
    </w:p>
    <w:p w14:paraId="0A5C6D59" w14:textId="77777777" w:rsidR="00674F17" w:rsidRDefault="00674F17" w:rsidP="00744A13">
      <w:pPr>
        <w:pStyle w:val="Odstavek1"/>
      </w:pPr>
    </w:p>
    <w:p w14:paraId="16DB96E6" w14:textId="3D7979F2" w:rsidR="00CB2730" w:rsidRPr="004C5161" w:rsidRDefault="00CB2730" w:rsidP="00744A13">
      <w:pPr>
        <w:pStyle w:val="Odstavek1"/>
      </w:pPr>
      <w:r w:rsidRPr="004C5161">
        <w:t>V nadaljevanju so podrobneje analizirani ti posamezni delni vidiki produktivnosti, upoštevajoč strukturne spremembe (po velikosti standardnega outputa, velikosti KZU…)</w:t>
      </w:r>
      <w:r w:rsidR="00EB06AF" w:rsidRPr="004C5161">
        <w:t xml:space="preserve"> </w:t>
      </w:r>
      <w:r w:rsidRPr="004C5161">
        <w:t xml:space="preserve">ter naravne danosti (OMD in </w:t>
      </w:r>
      <w:r w:rsidR="00F977EF" w:rsidRPr="004C5161">
        <w:t>ne</w:t>
      </w:r>
      <w:r w:rsidR="00EB06AF" w:rsidRPr="004C5161">
        <w:t xml:space="preserve"> </w:t>
      </w:r>
      <w:r w:rsidR="00F977EF" w:rsidRPr="004C5161">
        <w:t>OMD</w:t>
      </w:r>
      <w:r w:rsidRPr="004C5161">
        <w:t>).</w:t>
      </w:r>
    </w:p>
    <w:p w14:paraId="0138A570" w14:textId="77777777" w:rsidR="001A6307" w:rsidRDefault="001A6307" w:rsidP="00744A13">
      <w:pPr>
        <w:pStyle w:val="Odstavek1"/>
      </w:pPr>
      <w:bookmarkStart w:id="38" w:name="_Toc31673138"/>
      <w:bookmarkStart w:id="39" w:name="_Toc31673977"/>
      <w:bookmarkStart w:id="40" w:name="_Toc31674819"/>
      <w:bookmarkStart w:id="41" w:name="_Toc31673139"/>
      <w:bookmarkStart w:id="42" w:name="_Toc31673978"/>
      <w:bookmarkStart w:id="43" w:name="_Toc31674820"/>
      <w:bookmarkEnd w:id="38"/>
      <w:bookmarkEnd w:id="39"/>
      <w:bookmarkEnd w:id="40"/>
      <w:bookmarkEnd w:id="41"/>
      <w:bookmarkEnd w:id="42"/>
      <w:bookmarkEnd w:id="43"/>
    </w:p>
    <w:p w14:paraId="752F6FC8" w14:textId="77777777" w:rsidR="00183528" w:rsidRPr="0047652B" w:rsidRDefault="00183528" w:rsidP="00744A13">
      <w:pPr>
        <w:pStyle w:val="Odstavek1"/>
        <w:rPr>
          <w:i/>
          <w:u w:val="single"/>
        </w:rPr>
      </w:pPr>
      <w:bookmarkStart w:id="44" w:name="_Toc31577811"/>
      <w:bookmarkStart w:id="45" w:name="_Toc31578006"/>
      <w:bookmarkStart w:id="46" w:name="_Toc31578071"/>
      <w:bookmarkStart w:id="47" w:name="_Toc31578136"/>
      <w:bookmarkStart w:id="48" w:name="_Toc31673141"/>
      <w:bookmarkStart w:id="49" w:name="_Toc31673980"/>
      <w:bookmarkStart w:id="50" w:name="_Toc31674822"/>
      <w:bookmarkEnd w:id="44"/>
      <w:bookmarkEnd w:id="45"/>
      <w:bookmarkEnd w:id="46"/>
      <w:bookmarkEnd w:id="47"/>
      <w:bookmarkEnd w:id="48"/>
      <w:bookmarkEnd w:id="49"/>
      <w:bookmarkEnd w:id="50"/>
    </w:p>
    <w:p w14:paraId="37E05168" w14:textId="2D6AC9AA" w:rsidR="00812BD6" w:rsidRPr="00875DD8" w:rsidRDefault="005B02D9" w:rsidP="005B2A49">
      <w:pPr>
        <w:pStyle w:val="Naslov2"/>
      </w:pPr>
      <w:bookmarkStart w:id="51" w:name="_Toc86822537"/>
      <w:r w:rsidRPr="00875DD8">
        <w:t>Produktivnost dela</w:t>
      </w:r>
      <w:bookmarkEnd w:id="51"/>
      <w:r w:rsidRPr="00875DD8">
        <w:t xml:space="preserve">  </w:t>
      </w:r>
    </w:p>
    <w:p w14:paraId="339FCAA3" w14:textId="77777777" w:rsidR="00F23299" w:rsidRPr="0047652B" w:rsidRDefault="00F23299" w:rsidP="00875DD8">
      <w:pPr>
        <w:spacing w:before="0" w:line="276" w:lineRule="auto"/>
        <w:rPr>
          <w:sz w:val="20"/>
        </w:rPr>
      </w:pPr>
    </w:p>
    <w:p w14:paraId="142DB07A" w14:textId="4ADCBB5D" w:rsidR="004D40E8" w:rsidRPr="00674F17" w:rsidRDefault="004D40E8" w:rsidP="005B2A49">
      <w:pPr>
        <w:pStyle w:val="Naslov3"/>
      </w:pPr>
      <w:bookmarkStart w:id="52" w:name="_Toc86822538"/>
      <w:r w:rsidRPr="00875DD8">
        <w:t xml:space="preserve">Gibanje obsega delovne sile v kmetijstvu </w:t>
      </w:r>
      <w:r w:rsidR="000F3F43">
        <w:t>(C.13)</w:t>
      </w:r>
      <w:bookmarkEnd w:id="52"/>
    </w:p>
    <w:p w14:paraId="37D7E2F5" w14:textId="77777777" w:rsidR="00674F17" w:rsidRPr="004C5161" w:rsidRDefault="00674F17" w:rsidP="00744A13">
      <w:pPr>
        <w:pStyle w:val="Odstavek1"/>
      </w:pPr>
    </w:p>
    <w:p w14:paraId="702A920A" w14:textId="006AD5C7" w:rsidR="004D40E8" w:rsidRPr="004C5161" w:rsidRDefault="00812BD6" w:rsidP="00744A13">
      <w:pPr>
        <w:pStyle w:val="Odstavek1"/>
      </w:pPr>
      <w:r w:rsidRPr="004C5161">
        <w:t>Slovenija sodi med države, v katerih je bil</w:t>
      </w:r>
      <w:r w:rsidR="00FE12D4" w:rsidRPr="004C5161">
        <w:t>o</w:t>
      </w:r>
      <w:r w:rsidRPr="004C5161">
        <w:t xml:space="preserve"> </w:t>
      </w:r>
      <w:r w:rsidR="00FE12D4" w:rsidRPr="004C5161">
        <w:t xml:space="preserve">zmanjšanje </w:t>
      </w:r>
      <w:r w:rsidR="00247FC1" w:rsidRPr="004C5161">
        <w:t xml:space="preserve">delovne sile </w:t>
      </w:r>
      <w:r w:rsidRPr="004C5161">
        <w:t>v kmetijstvu</w:t>
      </w:r>
      <w:r w:rsidR="00633A6F" w:rsidRPr="004C5161">
        <w:t xml:space="preserve"> v zadnjih letih bistveno</w:t>
      </w:r>
      <w:r w:rsidRPr="004C5161">
        <w:t xml:space="preserve"> manj izrazit</w:t>
      </w:r>
      <w:r w:rsidR="00633A6F" w:rsidRPr="004C5161">
        <w:t>o kot v povprečju na ravni EU kot celote</w:t>
      </w:r>
      <w:r w:rsidRPr="004C5161">
        <w:t xml:space="preserve">. </w:t>
      </w:r>
      <w:r w:rsidR="00247FC1" w:rsidRPr="004C5161">
        <w:t>Delovna sila</w:t>
      </w:r>
      <w:r w:rsidR="00FE12D4" w:rsidRPr="004C5161">
        <w:t xml:space="preserve"> v kmetijstvu, ki se meri z polnovrednimi delovnimi močmi (PDM)</w:t>
      </w:r>
      <w:r w:rsidR="00187524" w:rsidRPr="004C5161">
        <w:t>,</w:t>
      </w:r>
      <w:r w:rsidR="00247FC1" w:rsidRPr="004C5161">
        <w:t xml:space="preserve"> je </w:t>
      </w:r>
      <w:r w:rsidR="00CE55C9" w:rsidRPr="004C5161">
        <w:t xml:space="preserve">bila za </w:t>
      </w:r>
      <w:r w:rsidR="00247FC1" w:rsidRPr="004C5161">
        <w:t>let</w:t>
      </w:r>
      <w:r w:rsidR="00CE55C9" w:rsidRPr="004C5161">
        <w:t>o</w:t>
      </w:r>
      <w:r w:rsidR="00247FC1" w:rsidRPr="004C5161">
        <w:t xml:space="preserve"> 201</w:t>
      </w:r>
      <w:r w:rsidR="00F431B6" w:rsidRPr="004C5161">
        <w:t>9</w:t>
      </w:r>
      <w:r w:rsidR="00247FC1" w:rsidRPr="004C5161">
        <w:t xml:space="preserve"> </w:t>
      </w:r>
      <w:r w:rsidR="00CE55C9" w:rsidRPr="004C5161">
        <w:t xml:space="preserve">ocenjena na 77.600 </w:t>
      </w:r>
      <w:r w:rsidRPr="004C5161">
        <w:t>PDM</w:t>
      </w:r>
      <w:r w:rsidR="00CE55C9" w:rsidRPr="006249A0">
        <w:rPr>
          <w:vertAlign w:val="superscript"/>
        </w:rPr>
        <w:footnoteReference w:id="3"/>
      </w:r>
      <w:r w:rsidR="00CE55C9" w:rsidRPr="004C5161">
        <w:t xml:space="preserve"> (kazalnik </w:t>
      </w:r>
      <w:r w:rsidR="00C36138" w:rsidRPr="004C5161">
        <w:t xml:space="preserve">stanja </w:t>
      </w:r>
      <w:r w:rsidR="00CE55C9" w:rsidRPr="004C5161">
        <w:t>C.13 Delovna sila na kmetiji)</w:t>
      </w:r>
      <w:r w:rsidRPr="004C5161">
        <w:t>. Med letoma 2005 in 201</w:t>
      </w:r>
      <w:r w:rsidR="00D95786" w:rsidRPr="004C5161">
        <w:t>9</w:t>
      </w:r>
      <w:r w:rsidRPr="004C5161">
        <w:t xml:space="preserve"> se je po podatkih Eurostata </w:t>
      </w:r>
      <w:r w:rsidR="00E70D8C" w:rsidRPr="004C5161">
        <w:t xml:space="preserve">število </w:t>
      </w:r>
      <w:r w:rsidR="00247FC1" w:rsidRPr="004C5161">
        <w:t>delovn</w:t>
      </w:r>
      <w:r w:rsidR="00E70D8C" w:rsidRPr="004C5161">
        <w:t>e</w:t>
      </w:r>
      <w:r w:rsidR="00247FC1" w:rsidRPr="004C5161">
        <w:t xml:space="preserve"> </w:t>
      </w:r>
      <w:r w:rsidR="00FE12D4" w:rsidRPr="004C5161">
        <w:t>sil</w:t>
      </w:r>
      <w:r w:rsidR="00E70D8C" w:rsidRPr="004C5161">
        <w:t>e</w:t>
      </w:r>
      <w:r w:rsidRPr="004C5161">
        <w:t xml:space="preserve"> v slovenskem kmetijstvu </w:t>
      </w:r>
      <w:r w:rsidR="00247FC1" w:rsidRPr="004C5161">
        <w:t>zmanjšal</w:t>
      </w:r>
      <w:r w:rsidR="00E70D8C" w:rsidRPr="004C5161">
        <w:t>o</w:t>
      </w:r>
      <w:r w:rsidR="00247FC1" w:rsidRPr="004C5161">
        <w:t xml:space="preserve"> </w:t>
      </w:r>
      <w:r w:rsidRPr="004C5161">
        <w:t>za 1</w:t>
      </w:r>
      <w:r w:rsidR="00D95786" w:rsidRPr="004C5161">
        <w:t>4</w:t>
      </w:r>
      <w:r w:rsidRPr="004C5161">
        <w:t xml:space="preserve"> %, medtem ko se je na ravni EU-28 zmanjšal</w:t>
      </w:r>
      <w:r w:rsidR="00E70D8C" w:rsidRPr="004C5161">
        <w:t>o</w:t>
      </w:r>
      <w:r w:rsidRPr="004C5161">
        <w:t xml:space="preserve"> za </w:t>
      </w:r>
      <w:r w:rsidR="00D95786" w:rsidRPr="004C5161">
        <w:t>29</w:t>
      </w:r>
      <w:r w:rsidRPr="004C5161">
        <w:t xml:space="preserve"> % (z 12,8 mio PDM na 9,</w:t>
      </w:r>
      <w:r w:rsidR="00F431B6" w:rsidRPr="004C5161">
        <w:t>1</w:t>
      </w:r>
      <w:r w:rsidRPr="004C5161">
        <w:t xml:space="preserve"> mio PDM). Med letoma 2010–</w:t>
      </w:r>
      <w:r w:rsidR="00D95786" w:rsidRPr="004C5161">
        <w:t xml:space="preserve">2019 </w:t>
      </w:r>
      <w:r w:rsidR="00FE12D4" w:rsidRPr="004C5161">
        <w:t xml:space="preserve">se število PDM v slovenskem kmetijstvu ni </w:t>
      </w:r>
      <w:r w:rsidR="00D95786" w:rsidRPr="004C5161">
        <w:t xml:space="preserve">bistveno </w:t>
      </w:r>
      <w:r w:rsidR="00FE12D4" w:rsidRPr="004C5161">
        <w:t>spreminjalo</w:t>
      </w:r>
      <w:r w:rsidR="00F431B6" w:rsidRPr="004C5161">
        <w:t xml:space="preserve">. </w:t>
      </w:r>
      <w:r w:rsidR="00E70D8C" w:rsidRPr="004C5161">
        <w:t>Prav tako se v obravnavanem obdobju ni bistveno spreminjalo razm</w:t>
      </w:r>
      <w:r w:rsidR="002F1056" w:rsidRPr="004C5161">
        <w:t>erje med plačano in neplačano d</w:t>
      </w:r>
      <w:r w:rsidR="00E70D8C" w:rsidRPr="004C5161">
        <w:t>e</w:t>
      </w:r>
      <w:r w:rsidR="002F1056" w:rsidRPr="004C5161">
        <w:t>l</w:t>
      </w:r>
      <w:r w:rsidR="00E70D8C" w:rsidRPr="004C5161">
        <w:t>ovno silo</w:t>
      </w:r>
      <w:r w:rsidR="00A1343E" w:rsidRPr="004C5161">
        <w:t>, ki znaša 1</w:t>
      </w:r>
      <w:r w:rsidR="001841A7" w:rsidRPr="004C5161">
        <w:t xml:space="preserve"> </w:t>
      </w:r>
      <w:r w:rsidR="00A1343E" w:rsidRPr="004C5161">
        <w:t xml:space="preserve">: 11. </w:t>
      </w:r>
    </w:p>
    <w:p w14:paraId="2C317CF3" w14:textId="77777777" w:rsidR="00674F17" w:rsidRDefault="00674F17" w:rsidP="00744A13">
      <w:pPr>
        <w:pStyle w:val="Odstavek1"/>
        <w:rPr>
          <w:b/>
          <w:i/>
          <w:u w:val="single"/>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462"/>
      </w:tblGrid>
      <w:tr w:rsidR="00674F17" w14:paraId="683698A5" w14:textId="77777777" w:rsidTr="00E764C9">
        <w:trPr>
          <w:trHeight w:val="497"/>
        </w:trPr>
        <w:tc>
          <w:tcPr>
            <w:tcW w:w="2731" w:type="dxa"/>
          </w:tcPr>
          <w:p w14:paraId="01933EBD" w14:textId="6EEEBE4C" w:rsidR="001D0908" w:rsidRDefault="001D0908" w:rsidP="002E5901">
            <w:pPr>
              <w:pStyle w:val="SCSlika0"/>
            </w:pPr>
            <w:bookmarkStart w:id="53" w:name="_Toc86822680"/>
            <w:r w:rsidRPr="009D387C">
              <w:rPr>
                <w:szCs w:val="16"/>
              </w:rPr>
              <w:t xml:space="preserve">Slika </w:t>
            </w:r>
            <w:r w:rsidRPr="009D387C">
              <w:rPr>
                <w:szCs w:val="16"/>
              </w:rPr>
              <w:fldChar w:fldCharType="begin"/>
            </w:r>
            <w:r w:rsidRPr="009D387C">
              <w:rPr>
                <w:szCs w:val="16"/>
              </w:rPr>
              <w:instrText xml:space="preserve"> SEQ Slika \* ARABIC </w:instrText>
            </w:r>
            <w:r w:rsidRPr="009D387C">
              <w:rPr>
                <w:szCs w:val="16"/>
              </w:rPr>
              <w:fldChar w:fldCharType="separate"/>
            </w:r>
            <w:r w:rsidR="0088117A">
              <w:rPr>
                <w:noProof/>
                <w:szCs w:val="16"/>
              </w:rPr>
              <w:t>8</w:t>
            </w:r>
            <w:r w:rsidRPr="009D387C">
              <w:rPr>
                <w:noProof/>
                <w:szCs w:val="16"/>
              </w:rPr>
              <w:fldChar w:fldCharType="end"/>
            </w:r>
            <w:r w:rsidRPr="009D387C">
              <w:rPr>
                <w:szCs w:val="16"/>
              </w:rPr>
              <w:t xml:space="preserve">: </w:t>
            </w:r>
            <w:r w:rsidRPr="009D387C">
              <w:t>Gibanje delovne sile v Sloveniji, EU-27</w:t>
            </w:r>
            <w:bookmarkEnd w:id="53"/>
            <w:r w:rsidRPr="009D387C">
              <w:t xml:space="preserve"> </w:t>
            </w:r>
          </w:p>
          <w:p w14:paraId="08DA7E94" w14:textId="77777777" w:rsidR="00674F17" w:rsidRPr="00875DD8" w:rsidRDefault="001D0908" w:rsidP="00744A13">
            <w:pPr>
              <w:pStyle w:val="Odstavek1"/>
            </w:pPr>
            <w:r w:rsidRPr="009D387C">
              <w:t>(od 2020), indeks 2005=100</w:t>
            </w:r>
          </w:p>
        </w:tc>
        <w:tc>
          <w:tcPr>
            <w:tcW w:w="5162" w:type="dxa"/>
          </w:tcPr>
          <w:p w14:paraId="4136A3CC" w14:textId="7B8C646C" w:rsidR="001D0908" w:rsidRPr="00875DD8" w:rsidRDefault="001D0908" w:rsidP="002E5901">
            <w:pPr>
              <w:pStyle w:val="SCSlika0"/>
            </w:pPr>
            <w:bookmarkStart w:id="54" w:name="_Toc86822681"/>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88117A">
              <w:rPr>
                <w:noProof/>
                <w:szCs w:val="16"/>
              </w:rPr>
              <w:t>9</w:t>
            </w:r>
            <w:r w:rsidRPr="00875DD8">
              <w:rPr>
                <w:noProof/>
                <w:szCs w:val="16"/>
              </w:rPr>
              <w:fldChar w:fldCharType="end"/>
            </w:r>
            <w:r w:rsidRPr="00875DD8">
              <w:rPr>
                <w:szCs w:val="16"/>
              </w:rPr>
              <w:t xml:space="preserve">: </w:t>
            </w:r>
            <w:r w:rsidRPr="00875DD8">
              <w:t>Gibanje delovne sile v Sloveniji, EU-27 (od 2020), v absolutnih številkah</w:t>
            </w:r>
            <w:bookmarkEnd w:id="54"/>
          </w:p>
        </w:tc>
      </w:tr>
      <w:tr w:rsidR="00674F17" w14:paraId="0434F986" w14:textId="77777777" w:rsidTr="00E764C9">
        <w:tblPrEx>
          <w:tblCellMar>
            <w:left w:w="70" w:type="dxa"/>
            <w:right w:w="70" w:type="dxa"/>
          </w:tblCellMar>
        </w:tblPrEx>
        <w:trPr>
          <w:trHeight w:val="2619"/>
        </w:trPr>
        <w:tc>
          <w:tcPr>
            <w:tcW w:w="2731" w:type="dxa"/>
          </w:tcPr>
          <w:p w14:paraId="118AD7B2" w14:textId="77777777" w:rsidR="00674F17" w:rsidRDefault="00674F17" w:rsidP="008A5FE4">
            <w:pPr>
              <w:spacing w:before="0" w:line="276" w:lineRule="auto"/>
              <w:rPr>
                <w:b/>
                <w:i/>
                <w:u w:val="single"/>
              </w:rPr>
            </w:pPr>
            <w:r>
              <w:rPr>
                <w:noProof/>
                <w:lang w:eastAsia="sl-SI"/>
              </w:rPr>
              <w:drawing>
                <wp:inline distT="0" distB="0" distL="0" distR="0" wp14:anchorId="376A2B1B" wp14:editId="7F048C83">
                  <wp:extent cx="2836333" cy="2454910"/>
                  <wp:effectExtent l="0" t="0" r="2540" b="2540"/>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162" w:type="dxa"/>
          </w:tcPr>
          <w:p w14:paraId="168194C5" w14:textId="28DD3A9E" w:rsidR="00674F17" w:rsidRDefault="000E703B" w:rsidP="008A5FE4">
            <w:pPr>
              <w:spacing w:before="0" w:line="276" w:lineRule="auto"/>
              <w:rPr>
                <w:b/>
                <w:i/>
                <w:u w:val="single"/>
              </w:rPr>
            </w:pPr>
            <w:r>
              <w:rPr>
                <w:noProof/>
                <w:lang w:eastAsia="sl-SI"/>
              </w:rPr>
              <w:drawing>
                <wp:inline distT="0" distB="0" distL="0" distR="0" wp14:anchorId="0F6A3403" wp14:editId="1861A006">
                  <wp:extent cx="2687320" cy="2454910"/>
                  <wp:effectExtent l="0" t="0" r="17780" b="2540"/>
                  <wp:docPr id="1631865541" name="Grafikon 1631865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Del="000E703B">
              <w:rPr>
                <w:noProof/>
                <w:lang w:eastAsia="sl-SI"/>
              </w:rPr>
              <w:t xml:space="preserve"> </w:t>
            </w:r>
          </w:p>
        </w:tc>
      </w:tr>
      <w:tr w:rsidR="00674F17" w14:paraId="49F50B6F" w14:textId="77777777" w:rsidTr="00E764C9">
        <w:trPr>
          <w:trHeight w:val="402"/>
        </w:trPr>
        <w:tc>
          <w:tcPr>
            <w:tcW w:w="2731" w:type="dxa"/>
          </w:tcPr>
          <w:p w14:paraId="7F5546BE" w14:textId="77777777" w:rsidR="00674F17" w:rsidRPr="009F3567" w:rsidRDefault="001D0908">
            <w:pPr>
              <w:spacing w:before="0" w:line="276" w:lineRule="auto"/>
              <w:rPr>
                <w:sz w:val="16"/>
                <w:szCs w:val="16"/>
              </w:rPr>
            </w:pPr>
            <w:r w:rsidRPr="00CF792B">
              <w:rPr>
                <w:sz w:val="16"/>
                <w:szCs w:val="16"/>
              </w:rPr>
              <w:lastRenderedPageBreak/>
              <w:t>Vir: Eurostat</w:t>
            </w:r>
            <w:r>
              <w:rPr>
                <w:sz w:val="16"/>
                <w:szCs w:val="16"/>
              </w:rPr>
              <w:t>, preračun</w:t>
            </w:r>
            <w:r w:rsidRPr="00CF792B">
              <w:rPr>
                <w:sz w:val="16"/>
                <w:szCs w:val="16"/>
              </w:rPr>
              <w:t xml:space="preserve"> </w:t>
            </w:r>
            <w:r>
              <w:rPr>
                <w:sz w:val="16"/>
                <w:szCs w:val="16"/>
              </w:rPr>
              <w:t xml:space="preserve">MKGP </w:t>
            </w:r>
            <w:r w:rsidRPr="00CF792B">
              <w:rPr>
                <w:sz w:val="16"/>
                <w:szCs w:val="16"/>
              </w:rPr>
              <w:t>(</w:t>
            </w:r>
            <w:r>
              <w:rPr>
                <w:sz w:val="16"/>
                <w:szCs w:val="16"/>
              </w:rPr>
              <w:t>a</w:t>
            </w:r>
            <w:r w:rsidRPr="006359C4">
              <w:rPr>
                <w:sz w:val="16"/>
                <w:szCs w:val="16"/>
              </w:rPr>
              <w:t>gricultural labour input statistics: indices [aact_ali02]</w:t>
            </w:r>
            <w:r w:rsidRPr="00510F83">
              <w:rPr>
                <w:rStyle w:val="leaf"/>
                <w:sz w:val="16"/>
                <w:szCs w:val="16"/>
              </w:rPr>
              <w:t>)</w:t>
            </w:r>
          </w:p>
        </w:tc>
        <w:tc>
          <w:tcPr>
            <w:tcW w:w="5162" w:type="dxa"/>
          </w:tcPr>
          <w:p w14:paraId="0587E8A7" w14:textId="4DF9DB32" w:rsidR="00674F17" w:rsidRDefault="001D0908">
            <w:pPr>
              <w:spacing w:before="0" w:line="276" w:lineRule="auto"/>
              <w:rPr>
                <w:b/>
                <w:i/>
                <w:u w:val="single"/>
              </w:rPr>
            </w:pPr>
            <w:r w:rsidRPr="009F3567">
              <w:rPr>
                <w:sz w:val="16"/>
                <w:szCs w:val="16"/>
              </w:rPr>
              <w:t>Vir: Eurostat</w:t>
            </w:r>
            <w:r w:rsidR="0061009E">
              <w:rPr>
                <w:sz w:val="16"/>
                <w:szCs w:val="16"/>
              </w:rPr>
              <w:t>, preračun MKGP</w:t>
            </w:r>
            <w:r w:rsidRPr="009F3567">
              <w:rPr>
                <w:sz w:val="16"/>
                <w:szCs w:val="16"/>
              </w:rPr>
              <w:t xml:space="preserve"> (Agricultural labour input statistics: absolute figures (1 000 a</w:t>
            </w:r>
            <w:r>
              <w:rPr>
                <w:sz w:val="16"/>
                <w:szCs w:val="16"/>
              </w:rPr>
              <w:t>nnual work units) [aact_ali01])</w:t>
            </w:r>
          </w:p>
        </w:tc>
      </w:tr>
    </w:tbl>
    <w:p w14:paraId="58C48713" w14:textId="77777777" w:rsidR="00674F17" w:rsidRDefault="00674F17" w:rsidP="009F3567">
      <w:pPr>
        <w:spacing w:before="0" w:line="276" w:lineRule="auto"/>
        <w:rPr>
          <w:b/>
          <w:i/>
          <w:sz w:val="20"/>
          <w:u w:val="single"/>
        </w:rPr>
      </w:pPr>
    </w:p>
    <w:p w14:paraId="067ED75F" w14:textId="77777777" w:rsidR="002F1056" w:rsidRDefault="002F1056" w:rsidP="00875DD8">
      <w:pPr>
        <w:spacing w:before="0" w:line="276" w:lineRule="auto"/>
        <w:rPr>
          <w:sz w:val="20"/>
          <w:szCs w:val="20"/>
        </w:rPr>
      </w:pPr>
    </w:p>
    <w:p w14:paraId="4B190777" w14:textId="77777777" w:rsidR="004D40E8" w:rsidRPr="00875DD8" w:rsidRDefault="004D40E8" w:rsidP="005B2A49">
      <w:pPr>
        <w:pStyle w:val="Naslov3"/>
      </w:pPr>
      <w:bookmarkStart w:id="55" w:name="_Toc86822539"/>
      <w:r>
        <w:t>Povprečni v</w:t>
      </w:r>
      <w:r w:rsidRPr="00875DD8">
        <w:t>ložek delovne sile na kmetijskem gospodarstvu</w:t>
      </w:r>
      <w:bookmarkEnd w:id="55"/>
    </w:p>
    <w:p w14:paraId="1A4043AA" w14:textId="77777777" w:rsidR="004D40E8" w:rsidRDefault="004D40E8" w:rsidP="00744A13">
      <w:pPr>
        <w:pStyle w:val="Odstavek1"/>
      </w:pPr>
    </w:p>
    <w:p w14:paraId="2E7085A9" w14:textId="3DA06220" w:rsidR="001452FB" w:rsidRDefault="00AF640B" w:rsidP="00744A13">
      <w:pPr>
        <w:pStyle w:val="Odstavek1"/>
      </w:pPr>
      <w:r>
        <w:t xml:space="preserve">V Sloveniji ima kmetijsko gospodarstvo v </w:t>
      </w:r>
      <w:r w:rsidRPr="0084403E">
        <w:t xml:space="preserve">povprečju </w:t>
      </w:r>
      <w:r w:rsidR="005D1335" w:rsidRPr="0084403E">
        <w:t>1,1</w:t>
      </w:r>
      <w:r w:rsidRPr="00875DD8">
        <w:t>4</w:t>
      </w:r>
      <w:r w:rsidR="005D1335" w:rsidRPr="0084403E">
        <w:t xml:space="preserve"> PDM</w:t>
      </w:r>
      <w:r w:rsidR="00BD12D0" w:rsidRPr="0084403E">
        <w:t>,</w:t>
      </w:r>
      <w:r w:rsidR="00BD12D0">
        <w:t xml:space="preserve"> kar</w:t>
      </w:r>
      <w:r w:rsidR="00154E7B">
        <w:t xml:space="preserve"> je manj kot v povprečju </w:t>
      </w:r>
      <w:r w:rsidR="005C528B">
        <w:t>EU-27 (</w:t>
      </w:r>
      <w:r w:rsidR="001D0908">
        <w:t>1,31 PDM/KMG</w:t>
      </w:r>
      <w:r w:rsidR="005C528B">
        <w:t>)</w:t>
      </w:r>
      <w:r w:rsidR="001452FB">
        <w:t xml:space="preserve">. </w:t>
      </w:r>
      <w:r w:rsidR="00154E7B">
        <w:t>A</w:t>
      </w:r>
      <w:r w:rsidR="001452FB">
        <w:t xml:space="preserve"> z vidika produktivnosti dela, merjeno s PDM na ha KZU, Slovenija izkazuje bistveno nižjo produktivnost</w:t>
      </w:r>
      <w:r w:rsidR="00BD12D0">
        <w:t>,</w:t>
      </w:r>
      <w:r w:rsidR="005B7D8D">
        <w:t xml:space="preserve"> </w:t>
      </w:r>
      <w:r w:rsidR="001D0908">
        <w:t xml:space="preserve">saj </w:t>
      </w:r>
      <w:r w:rsidR="00BD12D0">
        <w:t xml:space="preserve">po tem kriteriju Slovenija </w:t>
      </w:r>
      <w:r w:rsidR="001D0908">
        <w:t xml:space="preserve">sodi </w:t>
      </w:r>
      <w:r w:rsidR="00B80F61">
        <w:t>v krog držav članic</w:t>
      </w:r>
      <w:r w:rsidR="00BD12D0">
        <w:t xml:space="preserve"> </w:t>
      </w:r>
      <w:r w:rsidR="00B80F61">
        <w:t>z</w:t>
      </w:r>
      <w:r w:rsidR="00BD12D0">
        <w:t xml:space="preserve"> najnižjo produktivnostjo dela v kmetijstvu</w:t>
      </w:r>
      <w:r w:rsidR="005C528B">
        <w:t xml:space="preserve"> (tretja naslabša v EU-27)</w:t>
      </w:r>
      <w:r w:rsidR="00BD12D0">
        <w:t xml:space="preserve">. </w:t>
      </w:r>
      <w:r w:rsidR="00B80F61">
        <w:t>V Sloveniji 1 PDM obdela 6,11 ha KZU, povprečje EU-27 pa znaša 23,27</w:t>
      </w:r>
      <w:r w:rsidR="001452FB">
        <w:t xml:space="preserve"> </w:t>
      </w:r>
      <w:r w:rsidR="00B80F61">
        <w:t>ha KZU</w:t>
      </w:r>
      <w:r w:rsidR="005C528B">
        <w:t>/PDM</w:t>
      </w:r>
      <w:r w:rsidR="00B80F61">
        <w:t xml:space="preserve">, kar je skoraj štirikrat več.  </w:t>
      </w:r>
    </w:p>
    <w:p w14:paraId="2DC46103" w14:textId="77777777" w:rsidR="001452FB" w:rsidRDefault="001452FB" w:rsidP="00744A13">
      <w:pPr>
        <w:pStyle w:val="Odstavek1"/>
      </w:pPr>
    </w:p>
    <w:p w14:paraId="61CA87E7" w14:textId="18D5BFF6" w:rsidR="001D0908" w:rsidRPr="00875DD8" w:rsidRDefault="001D0908" w:rsidP="002E5901">
      <w:pPr>
        <w:pStyle w:val="SCSlika0"/>
      </w:pPr>
      <w:bookmarkStart w:id="56" w:name="_Toc86822682"/>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88117A">
        <w:rPr>
          <w:noProof/>
          <w:szCs w:val="16"/>
        </w:rPr>
        <w:t>10</w:t>
      </w:r>
      <w:r w:rsidRPr="00875DD8">
        <w:rPr>
          <w:noProof/>
          <w:szCs w:val="16"/>
        </w:rPr>
        <w:fldChar w:fldCharType="end"/>
      </w:r>
      <w:r w:rsidRPr="00875DD8">
        <w:rPr>
          <w:szCs w:val="16"/>
        </w:rPr>
        <w:t xml:space="preserve">: </w:t>
      </w:r>
      <w:r w:rsidRPr="00875DD8">
        <w:t xml:space="preserve"> Povprečno število PDM na kmetijsko gospodarstvo</w:t>
      </w:r>
      <w:r w:rsidR="00FC7B0F">
        <w:t>, 2016</w:t>
      </w:r>
      <w:bookmarkEnd w:id="56"/>
    </w:p>
    <w:p w14:paraId="31CCA4A0" w14:textId="77777777" w:rsidR="004D0D07" w:rsidRDefault="004D0D07" w:rsidP="00875DD8">
      <w:pPr>
        <w:spacing w:before="0" w:line="276" w:lineRule="auto"/>
        <w:rPr>
          <w:sz w:val="20"/>
          <w:szCs w:val="20"/>
        </w:rPr>
      </w:pPr>
      <w:r>
        <w:rPr>
          <w:noProof/>
          <w:lang w:eastAsia="sl-SI"/>
        </w:rPr>
        <w:drawing>
          <wp:inline distT="0" distB="0" distL="0" distR="0" wp14:anchorId="50074814" wp14:editId="3CE5A050">
            <wp:extent cx="5818910" cy="2043430"/>
            <wp:effectExtent l="0" t="0" r="10795" b="13970"/>
            <wp:docPr id="1631865555" name="Grafikon 1631865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D463B2" w14:textId="77777777" w:rsidR="004D0D07" w:rsidRDefault="00B80F61" w:rsidP="00875DD8">
      <w:pPr>
        <w:spacing w:before="0" w:line="276" w:lineRule="auto"/>
        <w:rPr>
          <w:sz w:val="20"/>
          <w:szCs w:val="20"/>
        </w:rPr>
      </w:pPr>
      <w:r w:rsidRPr="001D0908">
        <w:rPr>
          <w:sz w:val="16"/>
          <w:szCs w:val="16"/>
        </w:rPr>
        <w:t>Vir: Eurostat</w:t>
      </w:r>
      <w:r w:rsidR="005C528B" w:rsidRPr="00875DD8">
        <w:rPr>
          <w:sz w:val="16"/>
          <w:szCs w:val="16"/>
        </w:rPr>
        <w:t>, preračun MKGP</w:t>
      </w:r>
      <w:r w:rsidRPr="001D0908">
        <w:rPr>
          <w:sz w:val="16"/>
          <w:szCs w:val="16"/>
        </w:rPr>
        <w:t xml:space="preserve"> (</w:t>
      </w:r>
      <w:r w:rsidR="005C528B" w:rsidRPr="001D0908">
        <w:rPr>
          <w:sz w:val="16"/>
          <w:szCs w:val="16"/>
        </w:rPr>
        <w:t>Farm indicators by agricultural area, type of farm, standard output, legal form and NUTS 2 regions [ef_m_farmleg]</w:t>
      </w:r>
    </w:p>
    <w:p w14:paraId="790167C5" w14:textId="77777777" w:rsidR="004D0D07" w:rsidRDefault="004D0D07" w:rsidP="00744A13">
      <w:pPr>
        <w:pStyle w:val="Odstavek1"/>
      </w:pPr>
    </w:p>
    <w:p w14:paraId="45F6F50A" w14:textId="77777777" w:rsidR="001D0908" w:rsidRDefault="001D0908" w:rsidP="00744A13">
      <w:pPr>
        <w:pStyle w:val="Odstavek1"/>
      </w:pPr>
    </w:p>
    <w:p w14:paraId="2E235FDE" w14:textId="6ADFCEB1" w:rsidR="001D0908" w:rsidRPr="009F3567" w:rsidRDefault="001D0908" w:rsidP="002E5901">
      <w:pPr>
        <w:pStyle w:val="SCSlika0"/>
      </w:pPr>
      <w:bookmarkStart w:id="57" w:name="_Toc86822683"/>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88117A">
        <w:rPr>
          <w:noProof/>
          <w:szCs w:val="16"/>
        </w:rPr>
        <w:t>11</w:t>
      </w:r>
      <w:r w:rsidRPr="00875DD8">
        <w:rPr>
          <w:noProof/>
          <w:szCs w:val="16"/>
        </w:rPr>
        <w:fldChar w:fldCharType="end"/>
      </w:r>
      <w:r w:rsidRPr="00875DD8">
        <w:rPr>
          <w:szCs w:val="16"/>
        </w:rPr>
        <w:t xml:space="preserve">: </w:t>
      </w:r>
      <w:r w:rsidRPr="00875DD8">
        <w:t>Povprečna velikost ha/KMG in povprečno število ha</w:t>
      </w:r>
      <w:r w:rsidR="00810909">
        <w:t xml:space="preserve"> KZU v obdelavi</w:t>
      </w:r>
      <w:r w:rsidRPr="00875DD8">
        <w:t xml:space="preserve"> na en PDM</w:t>
      </w:r>
      <w:r w:rsidR="00FC7B0F">
        <w:t>, 2016</w:t>
      </w:r>
      <w:bookmarkEnd w:id="57"/>
      <w:r w:rsidRPr="00875DD8">
        <w:t xml:space="preserve"> </w:t>
      </w:r>
    </w:p>
    <w:p w14:paraId="1DFD49B4" w14:textId="77777777" w:rsidR="006069BE" w:rsidRDefault="006069BE" w:rsidP="009F3567">
      <w:pPr>
        <w:spacing w:before="0" w:line="276" w:lineRule="auto"/>
        <w:rPr>
          <w:sz w:val="20"/>
          <w:szCs w:val="20"/>
        </w:rPr>
      </w:pPr>
    </w:p>
    <w:p w14:paraId="1E219C52" w14:textId="3B0CA899" w:rsidR="008E4177" w:rsidRDefault="00CB61D7" w:rsidP="009F3567">
      <w:pPr>
        <w:spacing w:before="0" w:line="276" w:lineRule="auto"/>
        <w:rPr>
          <w:sz w:val="20"/>
          <w:szCs w:val="20"/>
        </w:rPr>
      </w:pPr>
      <w:r>
        <w:rPr>
          <w:noProof/>
          <w:lang w:eastAsia="sl-SI"/>
        </w:rPr>
        <w:drawing>
          <wp:inline distT="0" distB="0" distL="0" distR="0" wp14:anchorId="1D91B8F7" wp14:editId="57DAF952">
            <wp:extent cx="5760720" cy="2342515"/>
            <wp:effectExtent l="0" t="0" r="11430" b="635"/>
            <wp:docPr id="1631865564" name="Grafikon 1631865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76B302" w14:textId="7A3518AE" w:rsidR="005C528B" w:rsidRDefault="005C528B" w:rsidP="00875DD8">
      <w:pPr>
        <w:spacing w:before="0" w:line="276" w:lineRule="auto"/>
        <w:rPr>
          <w:sz w:val="16"/>
          <w:szCs w:val="16"/>
        </w:rPr>
      </w:pPr>
      <w:r w:rsidRPr="00875DD8">
        <w:rPr>
          <w:sz w:val="16"/>
          <w:szCs w:val="16"/>
        </w:rPr>
        <w:t>Vir: Eurostat, preračun MKGP (</w:t>
      </w:r>
      <w:r w:rsidRPr="001D0908">
        <w:rPr>
          <w:sz w:val="16"/>
          <w:szCs w:val="16"/>
        </w:rPr>
        <w:t>Farm indicators by agricultural area, type of farm, standard output, legal form and NUTS 2 regions [ef_m_farmleg]</w:t>
      </w:r>
    </w:p>
    <w:p w14:paraId="06BE1691" w14:textId="77777777" w:rsidR="0084403E" w:rsidRDefault="0084403E" w:rsidP="00875DD8">
      <w:pPr>
        <w:spacing w:before="0" w:line="276" w:lineRule="auto"/>
        <w:rPr>
          <w:sz w:val="16"/>
          <w:szCs w:val="16"/>
        </w:rPr>
      </w:pPr>
    </w:p>
    <w:p w14:paraId="45746D0D" w14:textId="77777777" w:rsidR="0084403E" w:rsidRDefault="0084403E" w:rsidP="00875DD8">
      <w:pPr>
        <w:spacing w:before="0" w:line="276" w:lineRule="auto"/>
        <w:rPr>
          <w:sz w:val="20"/>
          <w:szCs w:val="20"/>
        </w:rPr>
      </w:pPr>
    </w:p>
    <w:p w14:paraId="1E88644A" w14:textId="77777777" w:rsidR="004D40E8" w:rsidRPr="005B2A49" w:rsidRDefault="004D40E8" w:rsidP="004C5161">
      <w:pPr>
        <w:spacing w:before="0" w:line="260" w:lineRule="atLeast"/>
        <w:rPr>
          <w:szCs w:val="20"/>
        </w:rPr>
      </w:pPr>
      <w:r w:rsidRPr="005B2A49">
        <w:rPr>
          <w:szCs w:val="20"/>
        </w:rPr>
        <w:t xml:space="preserve">Med delovno silo na kmetiji se štejejo redno zaposlene osebe na kmetijskih gospodarstvih (bodisi v podjetjih bodisi na kmetijah), družinski člani družinskih kmetij, ki karkoli delajo v kmetijstvu ali pridobitnih dejavnostih, ki izhajajo iz kmetije, ter najeta delovna sila (lahko v obliki strojnih storitev, lahko v obliki sezonskega ali priložnostnega dela). </w:t>
      </w:r>
    </w:p>
    <w:p w14:paraId="717C392E" w14:textId="77777777" w:rsidR="004D40E8" w:rsidRPr="005B2A49" w:rsidRDefault="004D40E8" w:rsidP="004C5161">
      <w:pPr>
        <w:spacing w:before="0" w:line="260" w:lineRule="atLeast"/>
        <w:rPr>
          <w:szCs w:val="20"/>
        </w:rPr>
      </w:pPr>
    </w:p>
    <w:p w14:paraId="3BCE63F7" w14:textId="77CB0617" w:rsidR="004D40E8" w:rsidRPr="005B2A49" w:rsidRDefault="004D40E8" w:rsidP="004C5161">
      <w:pPr>
        <w:spacing w:before="0" w:line="260" w:lineRule="atLeast"/>
        <w:rPr>
          <w:szCs w:val="20"/>
        </w:rPr>
      </w:pPr>
      <w:r w:rsidRPr="005B2A49">
        <w:rPr>
          <w:szCs w:val="20"/>
        </w:rPr>
        <w:t xml:space="preserve">Medtem ko v povprečju EU-28 neplačana delovna sila (ang. »non-salaried labour force«) predstavlja okoli 73 % skupne delovne sile v kmetijstvu, ta v Sloveniji predstavlja kar 92 %. Od leta 2010 se je obseg neplačane delovne sile v evropskem kmetijstvu zmanjšal za 35 %, obseg plačane pa le za 3 %. V Sloveniji pa se je nasprotno obseg plačane delovne sile v obdobju 2010–2019 zmanjšal za 25 %, neplačane pa za slabih 13 %. </w:t>
      </w:r>
      <w:r w:rsidR="00AF7492" w:rsidRPr="005B2A49">
        <w:rPr>
          <w:szCs w:val="20"/>
        </w:rPr>
        <w:t xml:space="preserve">To dejstvo je možno povezati s tem, da </w:t>
      </w:r>
      <w:r w:rsidR="00CB61D7" w:rsidRPr="005B2A49">
        <w:rPr>
          <w:szCs w:val="20"/>
        </w:rPr>
        <w:t xml:space="preserve">ima </w:t>
      </w:r>
      <w:r w:rsidR="00104C41" w:rsidRPr="005B2A49">
        <w:rPr>
          <w:szCs w:val="20"/>
        </w:rPr>
        <w:t xml:space="preserve">kmetijstvo v Sloveniji tudi vlogo socialnega blažilca v času gospodarskih kriz. Kadar so v državi neugodne gospodarske razmere, </w:t>
      </w:r>
      <w:r w:rsidR="00CB61D7" w:rsidRPr="005B2A49">
        <w:rPr>
          <w:szCs w:val="20"/>
        </w:rPr>
        <w:t>več ljudi dela</w:t>
      </w:r>
      <w:r w:rsidR="00104C41" w:rsidRPr="005B2A49">
        <w:rPr>
          <w:szCs w:val="20"/>
        </w:rPr>
        <w:t xml:space="preserve"> doma na kmetijah, ko </w:t>
      </w:r>
      <w:r w:rsidR="00CB61D7" w:rsidRPr="005B2A49">
        <w:rPr>
          <w:szCs w:val="20"/>
        </w:rPr>
        <w:t xml:space="preserve">pa </w:t>
      </w:r>
      <w:r w:rsidR="00104C41" w:rsidRPr="005B2A49">
        <w:rPr>
          <w:szCs w:val="20"/>
        </w:rPr>
        <w:t>se razmere izboljšajo</w:t>
      </w:r>
      <w:r w:rsidR="00CB61D7" w:rsidRPr="005B2A49">
        <w:rPr>
          <w:szCs w:val="20"/>
        </w:rPr>
        <w:t>, del te delovne sile poišče</w:t>
      </w:r>
      <w:r w:rsidR="00104C41" w:rsidRPr="005B2A49">
        <w:rPr>
          <w:szCs w:val="20"/>
        </w:rPr>
        <w:t xml:space="preserve"> </w:t>
      </w:r>
      <w:r w:rsidR="00CB61D7" w:rsidRPr="005B2A49">
        <w:rPr>
          <w:szCs w:val="20"/>
        </w:rPr>
        <w:t>(</w:t>
      </w:r>
      <w:r w:rsidR="00104C41" w:rsidRPr="005B2A49">
        <w:rPr>
          <w:szCs w:val="20"/>
        </w:rPr>
        <w:t>dodatno</w:t>
      </w:r>
      <w:r w:rsidR="00CB61D7" w:rsidRPr="005B2A49">
        <w:rPr>
          <w:szCs w:val="20"/>
        </w:rPr>
        <w:t>)</w:t>
      </w:r>
      <w:r w:rsidR="00104C41" w:rsidRPr="005B2A49">
        <w:rPr>
          <w:szCs w:val="20"/>
        </w:rPr>
        <w:t xml:space="preserve"> zaposlitev izven kmetijstva. In temu je naverjetneje pripisati razlog za to, da je upad v obsegu plačane delovne sile večji od upada neplačane delovne sile, saj v okviru slednje osebe kljub redni zaposlitvi izven kmetijstva še vedno delajo tudi na kmetijah. </w:t>
      </w:r>
    </w:p>
    <w:p w14:paraId="1A1D9954" w14:textId="77777777" w:rsidR="00744A13" w:rsidRDefault="00744A13" w:rsidP="004C5161">
      <w:pPr>
        <w:spacing w:before="0" w:line="260" w:lineRule="atLeast"/>
        <w:rPr>
          <w:sz w:val="20"/>
          <w:szCs w:val="20"/>
        </w:rPr>
      </w:pPr>
    </w:p>
    <w:p w14:paraId="77DDDBFC" w14:textId="36CEA9A2" w:rsidR="004D40E8" w:rsidRPr="005B2A49" w:rsidRDefault="004D40E8" w:rsidP="004C5161">
      <w:pPr>
        <w:spacing w:before="0" w:line="260" w:lineRule="atLeast"/>
        <w:rPr>
          <w:szCs w:val="20"/>
        </w:rPr>
      </w:pPr>
      <w:r w:rsidRPr="005B2A49">
        <w:rPr>
          <w:szCs w:val="20"/>
        </w:rPr>
        <w:t>Razlog za večje število PDM</w:t>
      </w:r>
      <w:r w:rsidR="00AF7492" w:rsidRPr="005B2A49">
        <w:rPr>
          <w:szCs w:val="20"/>
        </w:rPr>
        <w:t>, ki obdela en hektar KZU,</w:t>
      </w:r>
      <w:r w:rsidRPr="005B2A49">
        <w:rPr>
          <w:szCs w:val="20"/>
        </w:rPr>
        <w:t xml:space="preserve"> </w:t>
      </w:r>
      <w:r w:rsidR="00AF7492" w:rsidRPr="005B2A49">
        <w:rPr>
          <w:szCs w:val="20"/>
        </w:rPr>
        <w:t>v Sloveniji</w:t>
      </w:r>
      <w:r w:rsidRPr="005B2A49">
        <w:rPr>
          <w:szCs w:val="20"/>
        </w:rPr>
        <w:t xml:space="preserve"> </w:t>
      </w:r>
      <w:r w:rsidR="00AF7492" w:rsidRPr="005B2A49">
        <w:rPr>
          <w:szCs w:val="20"/>
        </w:rPr>
        <w:t>glede na</w:t>
      </w:r>
      <w:r w:rsidRPr="005B2A49">
        <w:rPr>
          <w:szCs w:val="20"/>
        </w:rPr>
        <w:t xml:space="preserve"> </w:t>
      </w:r>
      <w:r w:rsidR="00AF7492" w:rsidRPr="005B2A49">
        <w:rPr>
          <w:szCs w:val="20"/>
        </w:rPr>
        <w:t xml:space="preserve">evropsko </w:t>
      </w:r>
      <w:r w:rsidRPr="005B2A49">
        <w:rPr>
          <w:szCs w:val="20"/>
        </w:rPr>
        <w:t>povprečje</w:t>
      </w:r>
      <w:r w:rsidR="00AF7492" w:rsidRPr="005B2A49">
        <w:rPr>
          <w:szCs w:val="20"/>
        </w:rPr>
        <w:t>,</w:t>
      </w:r>
      <w:r w:rsidRPr="005B2A49">
        <w:rPr>
          <w:szCs w:val="20"/>
        </w:rPr>
        <w:t xml:space="preserve"> lahko iščemo v </w:t>
      </w:r>
      <w:r w:rsidR="00AF7492" w:rsidRPr="005B2A49">
        <w:rPr>
          <w:szCs w:val="20"/>
        </w:rPr>
        <w:t xml:space="preserve">prevladujočem modelu družinskih kmetij, v katerem prevladuje neplačana družinska delovna sila, </w:t>
      </w:r>
      <w:r w:rsidRPr="005B2A49">
        <w:rPr>
          <w:szCs w:val="20"/>
        </w:rPr>
        <w:t>majhni povprečni velikosti slovenskih kmetij</w:t>
      </w:r>
      <w:r w:rsidR="00AF7492" w:rsidRPr="005B2A49">
        <w:rPr>
          <w:szCs w:val="20"/>
        </w:rPr>
        <w:t>skih gospodarstev</w:t>
      </w:r>
      <w:r w:rsidRPr="005B2A49">
        <w:rPr>
          <w:szCs w:val="20"/>
        </w:rPr>
        <w:t xml:space="preserve">, </w:t>
      </w:r>
      <w:r w:rsidR="001D0908" w:rsidRPr="005B2A49">
        <w:rPr>
          <w:szCs w:val="20"/>
        </w:rPr>
        <w:t xml:space="preserve">razdrobljenosti kmetijskih zemljišč, </w:t>
      </w:r>
      <w:r w:rsidRPr="005B2A49">
        <w:rPr>
          <w:szCs w:val="20"/>
        </w:rPr>
        <w:t xml:space="preserve">velikemu deležu kmetijskih zemljišč na </w:t>
      </w:r>
      <w:r w:rsidR="00AF7492" w:rsidRPr="005B2A49">
        <w:rPr>
          <w:szCs w:val="20"/>
        </w:rPr>
        <w:t>OMD</w:t>
      </w:r>
      <w:r w:rsidRPr="005B2A49">
        <w:rPr>
          <w:szCs w:val="20"/>
        </w:rPr>
        <w:t>, ki zahtevajo več ročnega dela, in slabši opremljenosti s specializirano kmetijsko mehanizacijo.</w:t>
      </w:r>
      <w:r w:rsidR="00AF7492" w:rsidRPr="005B2A49">
        <w:rPr>
          <w:szCs w:val="20"/>
        </w:rPr>
        <w:t xml:space="preserve">  </w:t>
      </w:r>
    </w:p>
    <w:p w14:paraId="154D49E9" w14:textId="77777777" w:rsidR="004D40E8" w:rsidRDefault="004D40E8" w:rsidP="00875DD8">
      <w:pPr>
        <w:spacing w:before="0" w:line="276" w:lineRule="auto"/>
        <w:rPr>
          <w:b/>
          <w:i/>
          <w:sz w:val="20"/>
          <w:szCs w:val="20"/>
          <w:u w:val="single"/>
        </w:rPr>
      </w:pPr>
    </w:p>
    <w:p w14:paraId="511930C2" w14:textId="32917617" w:rsidR="004D40E8" w:rsidRPr="005B2A49" w:rsidRDefault="004D40E8" w:rsidP="005B2A49">
      <w:pPr>
        <w:pStyle w:val="Naslov3"/>
        <w:rPr>
          <w:i w:val="0"/>
        </w:rPr>
      </w:pPr>
      <w:bookmarkStart w:id="58" w:name="_Toc86822540"/>
      <w:r w:rsidRPr="005B2A49">
        <w:t>Dodana vrednost na enoto dela</w:t>
      </w:r>
      <w:r w:rsidR="009C194F">
        <w:t xml:space="preserve"> (C.29)</w:t>
      </w:r>
      <w:bookmarkEnd w:id="58"/>
    </w:p>
    <w:p w14:paraId="4E705665" w14:textId="77777777" w:rsidR="004D40E8" w:rsidRDefault="004D40E8" w:rsidP="007613FE">
      <w:pPr>
        <w:pStyle w:val="Odstavek1"/>
      </w:pPr>
    </w:p>
    <w:p w14:paraId="46AF4B50" w14:textId="0610C481" w:rsidR="002B3072" w:rsidRPr="004C5161" w:rsidRDefault="00FB1DE8" w:rsidP="007613FE">
      <w:pPr>
        <w:pStyle w:val="Odstavek1"/>
      </w:pPr>
      <w:r>
        <w:t xml:space="preserve">Merjeno z bruto dodano vrednostjo na enoto dela, se je </w:t>
      </w:r>
      <w:r w:rsidRPr="004C5161">
        <w:t>v</w:t>
      </w:r>
      <w:r w:rsidR="00DD5A55" w:rsidRPr="004C5161">
        <w:t xml:space="preserve"> obdobju 2010–20</w:t>
      </w:r>
      <w:r w:rsidR="001007E3">
        <w:t>20</w:t>
      </w:r>
      <w:r w:rsidR="002B3072" w:rsidRPr="004C5161">
        <w:t xml:space="preserve"> produktivnost dela v kmetijstvu</w:t>
      </w:r>
      <w:r w:rsidRPr="004C5161">
        <w:t xml:space="preserve"> </w:t>
      </w:r>
      <w:r w:rsidR="002B3072" w:rsidRPr="004C5161">
        <w:t>v državah EU–2</w:t>
      </w:r>
      <w:r w:rsidR="001007E3">
        <w:t>7</w:t>
      </w:r>
      <w:r w:rsidR="002B3072" w:rsidRPr="004C5161">
        <w:t xml:space="preserve"> povečala za </w:t>
      </w:r>
      <w:r w:rsidR="001007E3">
        <w:t>55</w:t>
      </w:r>
      <w:r w:rsidR="002B3072" w:rsidRPr="004C5161">
        <w:t xml:space="preserve"> %</w:t>
      </w:r>
      <w:r w:rsidR="00DD5A55" w:rsidRPr="004C5161">
        <w:t xml:space="preserve">, v Sloveniji pa za </w:t>
      </w:r>
      <w:r w:rsidR="001007E3">
        <w:t>57</w:t>
      </w:r>
      <w:r w:rsidR="00DD5A55" w:rsidRPr="004C5161">
        <w:t xml:space="preserve"> %</w:t>
      </w:r>
      <w:r w:rsidR="002B3072" w:rsidRPr="004C5161">
        <w:t xml:space="preserve">. </w:t>
      </w:r>
      <w:r w:rsidR="00DD5A55" w:rsidRPr="004C5161">
        <w:t>Produktivnost dela v kmetijstvu</w:t>
      </w:r>
      <w:r w:rsidR="00F977EF" w:rsidRPr="004C5161">
        <w:t>, izražena kot</w:t>
      </w:r>
      <w:r w:rsidR="00CB61D7">
        <w:t xml:space="preserve"> </w:t>
      </w:r>
      <w:r w:rsidR="00FC7B0F" w:rsidRPr="004C5161">
        <w:t>bruto dodana vrednost na PDM</w:t>
      </w:r>
      <w:r w:rsidR="00F977EF" w:rsidRPr="004C5161">
        <w:t>,</w:t>
      </w:r>
      <w:r w:rsidR="00FC7B0F" w:rsidRPr="004C5161">
        <w:t xml:space="preserve"> </w:t>
      </w:r>
      <w:r w:rsidR="00DD5A55" w:rsidRPr="004C5161">
        <w:t>je v letu 20</w:t>
      </w:r>
      <w:r w:rsidR="00157A41">
        <w:t>20</w:t>
      </w:r>
      <w:r w:rsidR="00DD5A55" w:rsidRPr="004C5161">
        <w:t xml:space="preserve"> v Sloveniji znašala 7.</w:t>
      </w:r>
      <w:r w:rsidR="00157A41">
        <w:t>696</w:t>
      </w:r>
      <w:r w:rsidR="00DD5A55" w:rsidRPr="004C5161">
        <w:t xml:space="preserve"> EUR/PDM</w:t>
      </w:r>
      <w:r w:rsidR="001A447B" w:rsidRPr="004C5161">
        <w:t xml:space="preserve"> </w:t>
      </w:r>
      <w:r w:rsidR="00E24084" w:rsidRPr="004C5161">
        <w:t>in je predstavljala zgolj 3</w:t>
      </w:r>
      <w:r w:rsidR="00157A41">
        <w:t>8</w:t>
      </w:r>
      <w:r w:rsidR="00E24084" w:rsidRPr="004C5161">
        <w:t xml:space="preserve"> % produktivnosti dela v EU-27</w:t>
      </w:r>
      <w:r w:rsidR="00C36138" w:rsidRPr="004C5161">
        <w:t xml:space="preserve"> </w:t>
      </w:r>
      <w:r w:rsidR="00C36138" w:rsidRPr="00251920">
        <w:t>(Kazalnik stanja C.29 Produktivnost dela v kmetijstvu)</w:t>
      </w:r>
      <w:r w:rsidR="00DD5A55" w:rsidRPr="00555F8A">
        <w:t xml:space="preserve">. </w:t>
      </w:r>
      <w:r w:rsidRPr="00251920">
        <w:t xml:space="preserve"> </w:t>
      </w:r>
      <w:r w:rsidR="002B3072" w:rsidRPr="00251920">
        <w:t xml:space="preserve"> </w:t>
      </w:r>
    </w:p>
    <w:p w14:paraId="4DE9281C" w14:textId="77777777" w:rsidR="002B3072" w:rsidRDefault="002B3072" w:rsidP="007613FE">
      <w:pPr>
        <w:pStyle w:val="Odstavek1"/>
      </w:pPr>
    </w:p>
    <w:p w14:paraId="04B4912B" w14:textId="4685275B" w:rsidR="001D0908" w:rsidRDefault="00E440A2" w:rsidP="002E5901">
      <w:pPr>
        <w:pStyle w:val="SCSlika0"/>
      </w:pPr>
      <w:bookmarkStart w:id="59" w:name="_Toc86822684"/>
      <w:r w:rsidRPr="009D387C">
        <w:rPr>
          <w:szCs w:val="16"/>
        </w:rPr>
        <w:lastRenderedPageBreak/>
        <w:t xml:space="preserve">Slika </w:t>
      </w:r>
      <w:r w:rsidRPr="009D387C">
        <w:rPr>
          <w:szCs w:val="16"/>
        </w:rPr>
        <w:fldChar w:fldCharType="begin"/>
      </w:r>
      <w:r w:rsidRPr="009D387C">
        <w:rPr>
          <w:szCs w:val="16"/>
        </w:rPr>
        <w:instrText xml:space="preserve"> SEQ Slika \* ARABIC </w:instrText>
      </w:r>
      <w:r w:rsidRPr="009D387C">
        <w:rPr>
          <w:szCs w:val="16"/>
        </w:rPr>
        <w:fldChar w:fldCharType="separate"/>
      </w:r>
      <w:r w:rsidR="0088117A">
        <w:rPr>
          <w:noProof/>
          <w:szCs w:val="16"/>
        </w:rPr>
        <w:t>12</w:t>
      </w:r>
      <w:r w:rsidRPr="009D387C">
        <w:rPr>
          <w:noProof/>
          <w:szCs w:val="16"/>
        </w:rPr>
        <w:fldChar w:fldCharType="end"/>
      </w:r>
      <w:r w:rsidR="001D0908" w:rsidRPr="00875DD8">
        <w:rPr>
          <w:szCs w:val="16"/>
        </w:rPr>
        <w:t xml:space="preserve">: </w:t>
      </w:r>
      <w:r w:rsidR="001D0908" w:rsidRPr="00875DD8">
        <w:t>Produktivnost dela v kmetijstvu v letu 20</w:t>
      </w:r>
      <w:r w:rsidR="00157A41">
        <w:t>20</w:t>
      </w:r>
      <w:r w:rsidR="001D0908" w:rsidRPr="00875DD8">
        <w:t>, v EUR/PDM</w:t>
      </w:r>
      <w:bookmarkEnd w:id="59"/>
      <w:r w:rsidR="001D0908" w:rsidRPr="00875DD8">
        <w:t xml:space="preserve"> </w:t>
      </w:r>
    </w:p>
    <w:p w14:paraId="4463CBD5" w14:textId="73D19E92" w:rsidR="00157A41" w:rsidRDefault="00157A41" w:rsidP="005B2A49">
      <w:pPr>
        <w:pStyle w:val="Odstavek1"/>
        <w:jc w:val="center"/>
      </w:pPr>
      <w:r>
        <w:rPr>
          <w:noProof/>
          <w:lang w:eastAsia="sl-SI"/>
        </w:rPr>
        <w:drawing>
          <wp:inline distT="0" distB="0" distL="0" distR="0" wp14:anchorId="2BE566E4" wp14:editId="0F03D047">
            <wp:extent cx="4584700" cy="5157470"/>
            <wp:effectExtent l="0" t="0" r="6350" b="5080"/>
            <wp:docPr id="24169618" name="Slika 2416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5157470"/>
                    </a:xfrm>
                    <a:prstGeom prst="rect">
                      <a:avLst/>
                    </a:prstGeom>
                    <a:noFill/>
                  </pic:spPr>
                </pic:pic>
              </a:graphicData>
            </a:graphic>
          </wp:inline>
        </w:drawing>
      </w:r>
    </w:p>
    <w:p w14:paraId="54B27CEA" w14:textId="77777777" w:rsidR="001007E3" w:rsidRPr="002E5901" w:rsidRDefault="001007E3" w:rsidP="001007E3">
      <w:pPr>
        <w:pStyle w:val="Odstavek1"/>
        <w:rPr>
          <w:sz w:val="16"/>
          <w:szCs w:val="16"/>
        </w:rPr>
      </w:pPr>
      <w:r w:rsidRPr="002E5901">
        <w:rPr>
          <w:sz w:val="16"/>
          <w:szCs w:val="16"/>
        </w:rPr>
        <w:t>Vir: DG-AGRI, Indicator Dashboard (</w:t>
      </w:r>
      <w:hyperlink r:id="rId30" w:history="1">
        <w:r w:rsidRPr="002E5901">
          <w:rPr>
            <w:rStyle w:val="Hiperpovezava"/>
            <w:sz w:val="16"/>
            <w:szCs w:val="16"/>
          </w:rPr>
          <w:t>https://agridata.ec.europa.eu/extensions/DashboardIndicators/DataExplorer.html</w:t>
        </w:r>
      </w:hyperlink>
      <w:r w:rsidRPr="002E5901">
        <w:rPr>
          <w:sz w:val="16"/>
          <w:szCs w:val="16"/>
        </w:rPr>
        <w:t>)</w:t>
      </w:r>
    </w:p>
    <w:p w14:paraId="4BBD497D" w14:textId="77777777" w:rsidR="001007E3" w:rsidRPr="00875DD8" w:rsidRDefault="001007E3" w:rsidP="005B2A49">
      <w:pPr>
        <w:pStyle w:val="Odstavek1"/>
        <w:jc w:val="center"/>
      </w:pPr>
    </w:p>
    <w:p w14:paraId="1E31CDAE" w14:textId="1526FA29" w:rsidR="00CF792B" w:rsidRDefault="00CF792B" w:rsidP="009F3567">
      <w:pPr>
        <w:spacing w:before="0" w:line="276" w:lineRule="auto"/>
        <w:rPr>
          <w:sz w:val="20"/>
          <w:szCs w:val="20"/>
        </w:rPr>
      </w:pPr>
    </w:p>
    <w:p w14:paraId="6D4E6246" w14:textId="360B8A9C" w:rsidR="00BF58C2" w:rsidRDefault="00BF58C2" w:rsidP="007613FE">
      <w:pPr>
        <w:pStyle w:val="Odstavek1"/>
      </w:pPr>
      <w:r>
        <w:t xml:space="preserve">Če prikažemo produktivnost dela še z neto dodano vrednostjo na enoto dela, lahko ugotovimo podobno in sicer, da Slovenija po neto dodani vrednosti na enoto dela </w:t>
      </w:r>
      <w:r w:rsidR="004D40E8">
        <w:t>(</w:t>
      </w:r>
      <w:r w:rsidR="004D40E8" w:rsidRPr="004D40E8">
        <w:t>3.964</w:t>
      </w:r>
      <w:r w:rsidR="004D40E8">
        <w:t xml:space="preserve"> </w:t>
      </w:r>
      <w:r w:rsidR="001A447B">
        <w:t>EUR/PDM</w:t>
      </w:r>
      <w:r w:rsidR="004D40E8">
        <w:t xml:space="preserve">) bistveno </w:t>
      </w:r>
      <w:r>
        <w:t xml:space="preserve">zaostaja </w:t>
      </w:r>
      <w:r w:rsidR="004D40E8">
        <w:t>za povprečjem EU-27 (</w:t>
      </w:r>
      <w:r w:rsidR="004D40E8" w:rsidRPr="00BF58C2">
        <w:rPr>
          <w:lang w:eastAsia="sl-SI"/>
        </w:rPr>
        <w:t>13.192</w:t>
      </w:r>
      <w:r w:rsidR="004D40E8">
        <w:rPr>
          <w:lang w:eastAsia="sl-SI"/>
        </w:rPr>
        <w:t xml:space="preserve"> </w:t>
      </w:r>
      <w:r w:rsidR="00995994">
        <w:rPr>
          <w:lang w:eastAsia="sl-SI"/>
        </w:rPr>
        <w:t>EUR</w:t>
      </w:r>
      <w:r w:rsidR="000B0122">
        <w:rPr>
          <w:lang w:eastAsia="sl-SI"/>
        </w:rPr>
        <w:t>/PDM</w:t>
      </w:r>
      <w:r w:rsidR="004D40E8">
        <w:t xml:space="preserve">). Dosega namreč le dobrih 30 % povprečne neto dodane vrednosti na enoto dela v EU-27. Ob tem pa je vseeno potrebno opozoriti, da je neto dodana vrednost močno odvisna od obsega kmetijske proizvodnje in stroškov vmesne potrošnje, zato lahko medletno zelo niha.   </w:t>
      </w:r>
    </w:p>
    <w:p w14:paraId="731D0113" w14:textId="77777777" w:rsidR="00BF58C2" w:rsidRDefault="00BF58C2" w:rsidP="007613FE">
      <w:pPr>
        <w:pStyle w:val="Odstavek1"/>
      </w:pPr>
    </w:p>
    <w:p w14:paraId="3ABF3A9A" w14:textId="5E092884" w:rsidR="00E440A2" w:rsidRPr="00515202" w:rsidRDefault="00E440A2" w:rsidP="00515202">
      <w:pPr>
        <w:pStyle w:val="SCSlika0"/>
      </w:pPr>
      <w:bookmarkStart w:id="60" w:name="_Toc86822685"/>
      <w:r w:rsidRPr="00515202">
        <w:rPr>
          <w:rStyle w:val="SCSlikaZnak"/>
          <w:sz w:val="22"/>
        </w:rPr>
        <w:lastRenderedPageBreak/>
        <w:t xml:space="preserve">Slika </w:t>
      </w:r>
      <w:r w:rsidRPr="00515202">
        <w:rPr>
          <w:rStyle w:val="SCSlikaZnak"/>
          <w:sz w:val="22"/>
        </w:rPr>
        <w:fldChar w:fldCharType="begin"/>
      </w:r>
      <w:r w:rsidRPr="00515202">
        <w:rPr>
          <w:rStyle w:val="SCSlikaZnak"/>
          <w:sz w:val="22"/>
        </w:rPr>
        <w:instrText xml:space="preserve"> SEQ Slika \* ARABIC </w:instrText>
      </w:r>
      <w:r w:rsidRPr="00515202">
        <w:rPr>
          <w:rStyle w:val="SCSlikaZnak"/>
          <w:sz w:val="22"/>
        </w:rPr>
        <w:fldChar w:fldCharType="separate"/>
      </w:r>
      <w:r w:rsidR="0088117A">
        <w:rPr>
          <w:rStyle w:val="SCSlikaZnak"/>
          <w:noProof/>
          <w:sz w:val="22"/>
        </w:rPr>
        <w:t>13</w:t>
      </w:r>
      <w:r w:rsidRPr="00515202">
        <w:rPr>
          <w:rStyle w:val="SCSlikaZnak"/>
          <w:sz w:val="22"/>
        </w:rPr>
        <w:fldChar w:fldCharType="end"/>
      </w:r>
      <w:r w:rsidRPr="00515202">
        <w:rPr>
          <w:rStyle w:val="SCSlikaZnak"/>
          <w:sz w:val="22"/>
        </w:rPr>
        <w:t>: Neto dodana vrednost v kmetijstvu, izraženo na enoto vloženega dela (PDM), leto</w:t>
      </w:r>
      <w:r w:rsidRPr="00515202">
        <w:t xml:space="preserve"> 2019, </w:t>
      </w:r>
      <w:r w:rsidR="00C36138" w:rsidRPr="00515202">
        <w:t xml:space="preserve">v EUR, v </w:t>
      </w:r>
      <w:r w:rsidRPr="00515202">
        <w:t>tekoč</w:t>
      </w:r>
      <w:r w:rsidR="00C36138" w:rsidRPr="00515202">
        <w:t>ih</w:t>
      </w:r>
      <w:r w:rsidRPr="00515202">
        <w:t xml:space="preserve"> cen</w:t>
      </w:r>
      <w:r w:rsidR="00C36138" w:rsidRPr="00515202">
        <w:t>ah</w:t>
      </w:r>
      <w:bookmarkEnd w:id="60"/>
    </w:p>
    <w:p w14:paraId="5537F3CB" w14:textId="77777777" w:rsidR="00BF58C2" w:rsidRDefault="004D40E8" w:rsidP="009F3567">
      <w:pPr>
        <w:spacing w:before="0" w:line="276" w:lineRule="auto"/>
        <w:rPr>
          <w:sz w:val="20"/>
          <w:szCs w:val="20"/>
        </w:rPr>
      </w:pPr>
      <w:r>
        <w:rPr>
          <w:noProof/>
          <w:lang w:eastAsia="sl-SI"/>
        </w:rPr>
        <w:drawing>
          <wp:inline distT="0" distB="0" distL="0" distR="0" wp14:anchorId="0305D49A" wp14:editId="3F674DA8">
            <wp:extent cx="5882640" cy="5588000"/>
            <wp:effectExtent l="0" t="0" r="3810" b="12700"/>
            <wp:docPr id="1631865548" name="Grafikon 1631865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13EE2E" w14:textId="77777777" w:rsidR="00DC0BD7" w:rsidRDefault="004D40E8" w:rsidP="009F3567">
      <w:pPr>
        <w:spacing w:before="0" w:line="276" w:lineRule="auto"/>
        <w:rPr>
          <w:sz w:val="16"/>
          <w:szCs w:val="16"/>
        </w:rPr>
      </w:pPr>
      <w:r w:rsidRPr="002E5901">
        <w:rPr>
          <w:sz w:val="16"/>
          <w:szCs w:val="16"/>
        </w:rPr>
        <w:t>Vir: EUROSTAT, preračun MKGP (Economic accounts for agriculture - values at current prices [aact_eaa01] ter Agricultural labour input statistics: absolute figures (1 000 annual work units) [aact_ali01]</w:t>
      </w:r>
      <w:r w:rsidRPr="002E5901">
        <w:rPr>
          <w:sz w:val="16"/>
          <w:szCs w:val="16"/>
        </w:rPr>
        <w:tab/>
      </w:r>
    </w:p>
    <w:p w14:paraId="048BF0A7" w14:textId="77777777" w:rsidR="00DC0BD7" w:rsidRDefault="00DC0BD7" w:rsidP="009F3567">
      <w:pPr>
        <w:spacing w:before="0" w:line="276" w:lineRule="auto"/>
        <w:rPr>
          <w:sz w:val="16"/>
          <w:szCs w:val="16"/>
        </w:rPr>
      </w:pPr>
    </w:p>
    <w:p w14:paraId="41461F74" w14:textId="77777777" w:rsidR="00DC0BD7" w:rsidRDefault="00DC0BD7" w:rsidP="009F3567">
      <w:pPr>
        <w:spacing w:before="0" w:line="276" w:lineRule="auto"/>
        <w:rPr>
          <w:sz w:val="16"/>
          <w:szCs w:val="16"/>
        </w:rPr>
      </w:pPr>
    </w:p>
    <w:p w14:paraId="191358EE" w14:textId="77777777" w:rsidR="00FC732C" w:rsidRDefault="00FC732C" w:rsidP="009F3567">
      <w:pPr>
        <w:spacing w:before="0" w:line="276" w:lineRule="auto"/>
        <w:rPr>
          <w:sz w:val="16"/>
          <w:szCs w:val="16"/>
        </w:rPr>
      </w:pPr>
    </w:p>
    <w:p w14:paraId="5D31ED11" w14:textId="77777777" w:rsidR="00FC732C" w:rsidRPr="001A32D7" w:rsidRDefault="00FC732C" w:rsidP="00FC732C">
      <w:pPr>
        <w:pStyle w:val="Naslov2"/>
      </w:pPr>
      <w:bookmarkStart w:id="61" w:name="_Toc86822541"/>
      <w:r w:rsidRPr="001A32D7">
        <w:t>Ključne ugotovitve</w:t>
      </w:r>
      <w:bookmarkEnd w:id="61"/>
    </w:p>
    <w:p w14:paraId="155A30A1" w14:textId="77777777" w:rsidR="00FC732C" w:rsidRDefault="00FC732C" w:rsidP="009F3567">
      <w:pPr>
        <w:spacing w:before="0" w:line="276" w:lineRule="auto"/>
        <w:rPr>
          <w:sz w:val="16"/>
          <w:szCs w:val="16"/>
        </w:rPr>
      </w:pPr>
    </w:p>
    <w:p w14:paraId="174B64EC" w14:textId="65CDCEEE" w:rsidR="00FC732C" w:rsidRDefault="004D40E8" w:rsidP="009F3567">
      <w:pPr>
        <w:spacing w:before="0" w:line="276" w:lineRule="auto"/>
        <w:rPr>
          <w:sz w:val="16"/>
          <w:szCs w:val="16"/>
        </w:rPr>
      </w:pPr>
      <w:r w:rsidRPr="002E5901">
        <w:rPr>
          <w:sz w:val="16"/>
          <w:szCs w:val="16"/>
        </w:rPr>
        <w:tab/>
      </w:r>
      <w:r w:rsidRPr="002E5901">
        <w:rPr>
          <w:sz w:val="16"/>
          <w:szCs w:val="16"/>
        </w:rPr>
        <w:tab/>
      </w:r>
    </w:p>
    <w:p w14:paraId="250F7390" w14:textId="77777777" w:rsidR="00FC732C" w:rsidRPr="007E558D" w:rsidRDefault="00FC732C" w:rsidP="005B2A49">
      <w:pPr>
        <w:pStyle w:val="Odstavekseznama"/>
        <w:numPr>
          <w:ilvl w:val="0"/>
          <w:numId w:val="88"/>
        </w:numPr>
        <w:spacing w:before="0" w:line="260" w:lineRule="atLeast"/>
        <w:ind w:left="426" w:hanging="284"/>
        <w:rPr>
          <w:rFonts w:ascii="Arial" w:hAnsi="Arial"/>
          <w:sz w:val="22"/>
        </w:rPr>
      </w:pPr>
      <w:r w:rsidRPr="007E558D">
        <w:rPr>
          <w:rFonts w:ascii="Arial" w:hAnsi="Arial"/>
          <w:sz w:val="22"/>
        </w:rPr>
        <w:t>Skupna faktorska produktivnost je bila v Sloveniji v obdobju 2005–2016 večinoma pod povprečjem EU-28. Glavni razlogi, ki ovirajo hitrejši tehnološki napredek in modernizacijo slovenskega kmetijstva ter s tem dvig skupne produktivnosti proizvodnih faktorjev so za kmetijstvo neugodne naravne danosti, socialno-ekonomski dejavniki, kot so podpovrečna velikost kmetijskih gospodarstev, lastniška struktura kmetijskih zemljišč, izrazito neugodna starostna struktura in še vedno razmeroma nizka stopnja izobrazbe, socio-ekonomski tip kmetij, pa tudi diverzifikacija prihodkovnih virov (dopolnilne dejavnosti na kmetiji, gozdarstvo, zaposlitev izven kmetijskega sektorja ipd.).</w:t>
      </w:r>
    </w:p>
    <w:p w14:paraId="5CD12710" w14:textId="77777777" w:rsidR="00FC732C" w:rsidRPr="007E558D" w:rsidRDefault="00FC732C" w:rsidP="005B2A49">
      <w:pPr>
        <w:pStyle w:val="Odstavekseznama"/>
        <w:numPr>
          <w:ilvl w:val="0"/>
          <w:numId w:val="88"/>
        </w:numPr>
        <w:spacing w:before="0" w:line="260" w:lineRule="atLeast"/>
        <w:ind w:left="426" w:hanging="284"/>
        <w:rPr>
          <w:rFonts w:ascii="Arial" w:hAnsi="Arial"/>
          <w:sz w:val="22"/>
        </w:rPr>
      </w:pPr>
      <w:r w:rsidRPr="007E558D">
        <w:rPr>
          <w:rFonts w:ascii="Arial" w:hAnsi="Arial"/>
          <w:sz w:val="22"/>
        </w:rPr>
        <w:lastRenderedPageBreak/>
        <w:t>Produktivnost dela, merjena z bruto dodano vrednostjo na enoto dela, se je v Sloveniji v obdobju 2010-2019 povečala bolj (</w:t>
      </w:r>
      <w:r>
        <w:rPr>
          <w:rFonts w:ascii="Arial" w:hAnsi="Arial"/>
          <w:sz w:val="22"/>
        </w:rPr>
        <w:t>57</w:t>
      </w:r>
      <w:r w:rsidRPr="007E558D">
        <w:rPr>
          <w:rFonts w:ascii="Arial" w:hAnsi="Arial"/>
          <w:sz w:val="22"/>
        </w:rPr>
        <w:t xml:space="preserve"> %) kot v povprečju v EU-2</w:t>
      </w:r>
      <w:r>
        <w:rPr>
          <w:rFonts w:ascii="Arial" w:hAnsi="Arial"/>
          <w:sz w:val="22"/>
        </w:rPr>
        <w:t>7</w:t>
      </w:r>
      <w:r w:rsidRPr="007E558D">
        <w:rPr>
          <w:rFonts w:ascii="Arial" w:hAnsi="Arial"/>
          <w:sz w:val="22"/>
        </w:rPr>
        <w:t xml:space="preserve"> (</w:t>
      </w:r>
      <w:r>
        <w:rPr>
          <w:rFonts w:ascii="Arial" w:hAnsi="Arial"/>
          <w:sz w:val="22"/>
        </w:rPr>
        <w:t>55</w:t>
      </w:r>
      <w:r w:rsidRPr="007E558D">
        <w:rPr>
          <w:rFonts w:ascii="Arial" w:hAnsi="Arial"/>
          <w:sz w:val="22"/>
        </w:rPr>
        <w:t xml:space="preserve"> %), še zmeraj pa krepko zaostaja in predstavlja le 37 % produktivnosti dela v EU. </w:t>
      </w:r>
    </w:p>
    <w:p w14:paraId="5ED48327" w14:textId="77777777" w:rsidR="00FC732C" w:rsidRPr="007E558D" w:rsidRDefault="00FC732C" w:rsidP="005B2A49">
      <w:pPr>
        <w:pStyle w:val="Odstavekseznama"/>
        <w:numPr>
          <w:ilvl w:val="0"/>
          <w:numId w:val="88"/>
        </w:numPr>
        <w:spacing w:before="0" w:line="260" w:lineRule="atLeast"/>
        <w:ind w:left="426" w:hanging="284"/>
        <w:rPr>
          <w:rFonts w:ascii="Arial" w:hAnsi="Arial"/>
          <w:sz w:val="22"/>
        </w:rPr>
      </w:pPr>
      <w:r w:rsidRPr="007E558D">
        <w:rPr>
          <w:rFonts w:ascii="Arial" w:hAnsi="Arial"/>
          <w:sz w:val="22"/>
        </w:rPr>
        <w:t xml:space="preserve">V Sloveniji neplačana delovna sila predstavlja okoli 92 % skupne delovne sile v kmetijstvu, kar je dosti višje kot v povprečju v EU-28 (73 %). </w:t>
      </w:r>
    </w:p>
    <w:p w14:paraId="19B8500E" w14:textId="77777777" w:rsidR="00FC732C" w:rsidRPr="007E558D" w:rsidRDefault="00FC732C" w:rsidP="005B2A49">
      <w:pPr>
        <w:pStyle w:val="Odstavekseznama"/>
        <w:numPr>
          <w:ilvl w:val="0"/>
          <w:numId w:val="88"/>
        </w:numPr>
        <w:spacing w:before="0" w:line="260" w:lineRule="atLeast"/>
        <w:ind w:left="426" w:hanging="284"/>
        <w:rPr>
          <w:rFonts w:ascii="Arial" w:hAnsi="Arial"/>
          <w:sz w:val="22"/>
        </w:rPr>
      </w:pPr>
      <w:r w:rsidRPr="007E558D">
        <w:rPr>
          <w:rFonts w:ascii="Arial" w:hAnsi="Arial"/>
          <w:sz w:val="22"/>
        </w:rPr>
        <w:t xml:space="preserve">Zaradi prevladujočega modela družinskih kmetij, v katerem prevladuje neplačana družinska delovna sila, majhni povprečni velikosti slovenskih kmetijskih gospodarstev, razdrobljenosti kmetijskih zemljišč, velikemu deležu kmetijskih zemljišč na OMD, ki zahtevajo več ročnega dela, in slabši opremljenosti s specializirano kmetijsko mehanizacijo, Slovenija spada v krog držav EU-28, kjer 1 PDM obdela najmanj ha kmetijskih zemljišč v uporabi. </w:t>
      </w:r>
    </w:p>
    <w:p w14:paraId="58C74318" w14:textId="77777777" w:rsidR="00FC732C" w:rsidRDefault="00FC732C" w:rsidP="009F3567">
      <w:pPr>
        <w:spacing w:before="0" w:line="276" w:lineRule="auto"/>
        <w:rPr>
          <w:sz w:val="16"/>
          <w:szCs w:val="16"/>
        </w:rPr>
      </w:pPr>
    </w:p>
    <w:p w14:paraId="5E90A862" w14:textId="0070262D" w:rsidR="004D40E8" w:rsidRPr="002E5901" w:rsidRDefault="004D40E8" w:rsidP="009F3567">
      <w:pPr>
        <w:spacing w:before="0" w:line="276" w:lineRule="auto"/>
        <w:rPr>
          <w:sz w:val="16"/>
          <w:szCs w:val="16"/>
        </w:rPr>
      </w:pPr>
      <w:r w:rsidRPr="002E5901">
        <w:rPr>
          <w:sz w:val="16"/>
          <w:szCs w:val="16"/>
        </w:rPr>
        <w:tab/>
      </w:r>
      <w:r w:rsidRPr="002E5901">
        <w:rPr>
          <w:sz w:val="16"/>
          <w:szCs w:val="16"/>
        </w:rPr>
        <w:tab/>
      </w:r>
      <w:r w:rsidRPr="002E5901">
        <w:rPr>
          <w:sz w:val="16"/>
          <w:szCs w:val="16"/>
        </w:rPr>
        <w:tab/>
      </w:r>
      <w:r w:rsidRPr="002E5901">
        <w:rPr>
          <w:sz w:val="16"/>
          <w:szCs w:val="16"/>
        </w:rPr>
        <w:tab/>
      </w:r>
    </w:p>
    <w:p w14:paraId="6F132215" w14:textId="22A34F19" w:rsidR="00812BD6" w:rsidRPr="002E5901" w:rsidRDefault="00812BD6" w:rsidP="002E5901">
      <w:pPr>
        <w:pStyle w:val="Naslov1"/>
      </w:pPr>
      <w:bookmarkStart w:id="62" w:name="_Toc82699981"/>
      <w:bookmarkStart w:id="63" w:name="_Toc82700116"/>
      <w:bookmarkStart w:id="64" w:name="_Toc85104377"/>
      <w:bookmarkStart w:id="65" w:name="_Toc85104484"/>
      <w:bookmarkStart w:id="66" w:name="_Toc85104590"/>
      <w:bookmarkStart w:id="67" w:name="_Toc86822542"/>
      <w:bookmarkEnd w:id="62"/>
      <w:bookmarkEnd w:id="63"/>
      <w:bookmarkEnd w:id="64"/>
      <w:bookmarkEnd w:id="65"/>
      <w:bookmarkEnd w:id="66"/>
      <w:r w:rsidRPr="002E5901">
        <w:t>Produktivnost kapitala</w:t>
      </w:r>
      <w:bookmarkEnd w:id="67"/>
      <w:r w:rsidR="00457C62" w:rsidRPr="002E5901">
        <w:t xml:space="preserve"> </w:t>
      </w:r>
      <w:r w:rsidR="005B02D9" w:rsidRPr="002E5901">
        <w:t xml:space="preserve"> </w:t>
      </w:r>
    </w:p>
    <w:p w14:paraId="4C0F65C1" w14:textId="77777777" w:rsidR="00F23299" w:rsidRPr="009C2866" w:rsidRDefault="00F23299" w:rsidP="007613FE">
      <w:pPr>
        <w:pStyle w:val="Odstavek1"/>
        <w:rPr>
          <w:rFonts w:eastAsiaTheme="minorHAnsi"/>
          <w:lang w:eastAsia="en-US"/>
        </w:rPr>
      </w:pPr>
    </w:p>
    <w:p w14:paraId="05BF8D23" w14:textId="42B5861C" w:rsidR="00812BD6" w:rsidRPr="0047652B" w:rsidRDefault="00812BD6" w:rsidP="007613FE">
      <w:pPr>
        <w:pStyle w:val="Odstavek1"/>
        <w:rPr>
          <w:rFonts w:eastAsiaTheme="minorHAnsi"/>
          <w:lang w:eastAsia="en-US"/>
        </w:rPr>
      </w:pPr>
      <w:r w:rsidRPr="0047652B">
        <w:rPr>
          <w:rFonts w:eastAsiaTheme="minorHAnsi"/>
          <w:lang w:eastAsia="en-US"/>
        </w:rPr>
        <w:t>Kapital je proizvodni faktor, tako kot delo ali zemlja</w:t>
      </w:r>
      <w:r w:rsidR="00CB61D7">
        <w:rPr>
          <w:rFonts w:eastAsiaTheme="minorHAnsi"/>
          <w:lang w:eastAsia="en-US"/>
        </w:rPr>
        <w:t>. N</w:t>
      </w:r>
      <w:r w:rsidRPr="0047652B">
        <w:rPr>
          <w:rFonts w:eastAsiaTheme="minorHAnsi"/>
          <w:lang w:eastAsia="en-US"/>
        </w:rPr>
        <w:t xml:space="preserve">anaša </w:t>
      </w:r>
      <w:r w:rsidR="00CB61D7">
        <w:rPr>
          <w:rFonts w:eastAsiaTheme="minorHAnsi"/>
          <w:lang w:eastAsia="en-US"/>
        </w:rPr>
        <w:t xml:space="preserve">se </w:t>
      </w:r>
      <w:r w:rsidRPr="0047652B">
        <w:rPr>
          <w:rFonts w:eastAsiaTheme="minorHAnsi"/>
          <w:lang w:eastAsia="en-US"/>
        </w:rPr>
        <w:t>na osnovna sredstva, ki se neposredno uporabljajo za proizvodnjo v kmetijstvu, kot so infrastruktura, zgradbe, mehanizacija, oprema, trajni nasadi ipd. Kapital je pomemben proizvodni faktor, saj proizvodnje blaga ali storitev ne more biti brez vključenega kapitala (v obliki opreme, zgradb..). Že opisani trendi zmanjševanja obsega vložka dela v kmetijstvu kažejo na to, da je v potekajočih procesih prestrukturiranja v smeri tehnološko intenzivnejših in večjih kmetijskih gospodarstev kapital nadomestil delo</w:t>
      </w:r>
      <w:r w:rsidR="00E440A2">
        <w:rPr>
          <w:rFonts w:eastAsiaTheme="minorHAnsi"/>
          <w:lang w:eastAsia="en-US"/>
        </w:rPr>
        <w:t xml:space="preserve"> (Evropska komisija, 2016</w:t>
      </w:r>
      <w:r w:rsidR="00F5728D">
        <w:rPr>
          <w:rFonts w:eastAsiaTheme="minorHAnsi"/>
          <w:lang w:eastAsia="en-US"/>
        </w:rPr>
        <w:t>a</w:t>
      </w:r>
      <w:r w:rsidR="00E440A2">
        <w:rPr>
          <w:rFonts w:eastAsiaTheme="minorHAnsi"/>
          <w:lang w:eastAsia="en-US"/>
        </w:rPr>
        <w:t>)</w:t>
      </w:r>
      <w:r w:rsidRPr="0047652B">
        <w:rPr>
          <w:rFonts w:eastAsiaTheme="minorHAnsi"/>
          <w:lang w:eastAsia="en-US"/>
        </w:rPr>
        <w:t xml:space="preserve">. Produktivnost kapitala meri razmerje med obsegom celotne proizvodnje na enoto kapitala, vloženega v proizvodnjo. Na rezultat produktivnosti kapitala vplivajo cene osnovnih sredstev in amortizacije, pa tudi sprememba količine opreme ali njenega remonta, sprememba razmerja med osnovnimi sredstvi neproizvodne in proizvodne vrednosti, sprememba obsega proizvedenega blaga zaradi tržnih ali drugih dejavnikov idr. </w:t>
      </w:r>
      <w:r w:rsidR="00DF204A" w:rsidRPr="0047652B">
        <w:rPr>
          <w:rFonts w:eastAsiaTheme="minorHAnsi"/>
          <w:lang w:eastAsia="en-US"/>
        </w:rPr>
        <w:t xml:space="preserve">Produktivnost kapitala v kmetijstvu meri donosnost naložb v kmetijstvu. </w:t>
      </w:r>
    </w:p>
    <w:p w14:paraId="20961A09" w14:textId="77777777" w:rsidR="00F23299" w:rsidRPr="0047652B" w:rsidRDefault="00F23299" w:rsidP="007613FE">
      <w:pPr>
        <w:pStyle w:val="Odstavek1"/>
        <w:rPr>
          <w:rFonts w:eastAsiaTheme="minorHAnsi"/>
          <w:lang w:eastAsia="en-US"/>
        </w:rPr>
      </w:pPr>
    </w:p>
    <w:p w14:paraId="39718617" w14:textId="23886611" w:rsidR="004D40E8" w:rsidRPr="00875DD8" w:rsidRDefault="004D40E8" w:rsidP="005B2A49">
      <w:pPr>
        <w:pStyle w:val="Naslov2"/>
      </w:pPr>
      <w:bookmarkStart w:id="68" w:name="_Toc86822543"/>
      <w:r>
        <w:t xml:space="preserve">Bruto </w:t>
      </w:r>
      <w:r w:rsidR="000F3F43" w:rsidRPr="005B2A49">
        <w:rPr>
          <w:sz w:val="22"/>
        </w:rPr>
        <w:t>naložbe</w:t>
      </w:r>
      <w:r w:rsidRPr="00875DD8">
        <w:t xml:space="preserve"> v osnovna sredstva v kmetijstvu</w:t>
      </w:r>
      <w:r w:rsidR="000F3F43">
        <w:t xml:space="preserve"> (C. 27)</w:t>
      </w:r>
      <w:bookmarkEnd w:id="68"/>
    </w:p>
    <w:p w14:paraId="5331EA62" w14:textId="77777777" w:rsidR="004D40E8" w:rsidRDefault="004D40E8" w:rsidP="007613FE">
      <w:pPr>
        <w:spacing w:before="0" w:line="260" w:lineRule="atLeast"/>
        <w:rPr>
          <w:rFonts w:eastAsiaTheme="minorHAnsi"/>
          <w:sz w:val="20"/>
          <w:szCs w:val="22"/>
          <w:lang w:eastAsia="en-US"/>
        </w:rPr>
      </w:pPr>
    </w:p>
    <w:p w14:paraId="46DD91F4" w14:textId="1DA756F1" w:rsidR="00F20823" w:rsidRPr="00617F7D" w:rsidRDefault="000F3F43" w:rsidP="005B2A49">
      <w:pPr>
        <w:rPr>
          <w:rFonts w:eastAsiaTheme="minorHAnsi"/>
          <w:sz w:val="20"/>
          <w:szCs w:val="22"/>
          <w:lang w:eastAsia="en-US"/>
        </w:rPr>
      </w:pPr>
      <w:r>
        <w:rPr>
          <w:rFonts w:eastAsiaTheme="minorHAnsi"/>
          <w:lang w:eastAsia="en-US"/>
        </w:rPr>
        <w:t>Naložbe</w:t>
      </w:r>
      <w:r w:rsidR="00812BD6" w:rsidRPr="0047652B">
        <w:rPr>
          <w:rFonts w:eastAsiaTheme="minorHAnsi"/>
          <w:lang w:eastAsia="en-US"/>
        </w:rPr>
        <w:t xml:space="preserve"> v osnovna sredstva so pomembna za obnavljanje zastarelih in dotrajanih osnovnih sredstev. Kazalnik bruto investicij v osnovna sredstva</w:t>
      </w:r>
      <w:r w:rsidR="00812BD6" w:rsidRPr="0047652B">
        <w:rPr>
          <w:rStyle w:val="Sprotnaopomba-sklic"/>
        </w:rPr>
        <w:footnoteReference w:id="4"/>
      </w:r>
      <w:r w:rsidR="00812BD6" w:rsidRPr="0047652B">
        <w:t xml:space="preserve"> (GFCF) se nanaša na spremembo v fizičnih sredstvih znotraj določenega časovnega obdobja. Ta kazalnik ne vključuje </w:t>
      </w:r>
      <w:r w:rsidR="004B337F" w:rsidRPr="0047652B">
        <w:t xml:space="preserve">amortizacije </w:t>
      </w:r>
      <w:r w:rsidR="00812BD6" w:rsidRPr="0047652B">
        <w:t>zemlje niti nakupa zemlje. Omenjeni kazalnik tako meri</w:t>
      </w:r>
      <w:r w:rsidR="00812BD6" w:rsidRPr="0047652B">
        <w:rPr>
          <w:rFonts w:eastAsiaTheme="minorHAnsi"/>
          <w:lang w:eastAsia="en-US"/>
        </w:rPr>
        <w:t xml:space="preserve">, koliko dodane vrednosti je investirane namesto potrošene, </w:t>
      </w:r>
      <w:r w:rsidR="00812BD6" w:rsidRPr="0047652B">
        <w:t xml:space="preserve">zato </w:t>
      </w:r>
      <w:r w:rsidR="00812BD6" w:rsidRPr="0047652B">
        <w:rPr>
          <w:rFonts w:eastAsiaTheme="minorHAnsi"/>
          <w:lang w:eastAsia="en-US"/>
        </w:rPr>
        <w:t xml:space="preserve">je eden od ključnih pokazateljev bodoče konkurenčnosti </w:t>
      </w:r>
      <w:r w:rsidR="00812BD6" w:rsidRPr="0047652B">
        <w:t>v kmetijskem sektorju</w:t>
      </w:r>
      <w:r w:rsidR="00812BD6" w:rsidRPr="0047652B">
        <w:rPr>
          <w:rFonts w:eastAsiaTheme="minorHAnsi"/>
          <w:lang w:eastAsia="en-US"/>
        </w:rPr>
        <w:t xml:space="preserve">. </w:t>
      </w:r>
    </w:p>
    <w:p w14:paraId="58EE13CB" w14:textId="38F5229A" w:rsidR="00812BD6" w:rsidRPr="00CB61D7" w:rsidRDefault="000F3F43" w:rsidP="00DA2C5A">
      <w:r>
        <w:t>Naložbe</w:t>
      </w:r>
      <w:r w:rsidR="00617F7D" w:rsidRPr="00617F7D">
        <w:t xml:space="preserve"> pospešuje več dejavnikov, vključno s posodobitvijo opreme in strojev, povečanjem proizvodnje in produktivnosti, nakupom kmetijskih zemljišč in zmanjšanjem oz. </w:t>
      </w:r>
      <w:r w:rsidR="00617F7D" w:rsidRPr="00617F7D">
        <w:lastRenderedPageBreak/>
        <w:t>prilagajanjem na podnebne spremembe (</w:t>
      </w:r>
      <w:r w:rsidR="00617F7D" w:rsidRPr="00617F7D">
        <w:rPr>
          <w:i/>
          <w:iCs/>
        </w:rPr>
        <w:t>fi-compass</w:t>
      </w:r>
      <w:r w:rsidR="00F977EF">
        <w:rPr>
          <w:i/>
          <w:iCs/>
        </w:rPr>
        <w:t>,</w:t>
      </w:r>
      <w:r w:rsidR="00617F7D" w:rsidRPr="00617F7D">
        <w:t xml:space="preserve"> 2020</w:t>
      </w:r>
      <w:r w:rsidR="00F977EF">
        <w:t>).</w:t>
      </w:r>
      <w:r w:rsidR="00CB61D7">
        <w:t xml:space="preserve"> </w:t>
      </w:r>
      <w:r w:rsidR="004D40E8" w:rsidRPr="00CB61D7">
        <w:t>D</w:t>
      </w:r>
      <w:r w:rsidR="00812BD6" w:rsidRPr="00CB61D7">
        <w:t xml:space="preserve">ržave članice, ki so vstopile v EU leta 2004 in kasneje, </w:t>
      </w:r>
      <w:r w:rsidR="004D40E8" w:rsidRPr="00CB61D7">
        <w:t xml:space="preserve">so </w:t>
      </w:r>
      <w:r w:rsidR="00812BD6" w:rsidRPr="00CB61D7">
        <w:t>v intenzivnejši fazi prestrukturiranja</w:t>
      </w:r>
      <w:r w:rsidR="00995994" w:rsidRPr="00CB61D7">
        <w:t xml:space="preserve"> in</w:t>
      </w:r>
      <w:r w:rsidR="00812BD6" w:rsidRPr="00CB61D7">
        <w:t xml:space="preserve"> modernizacije kmetijskega sektorja kot starejše države članice, kar pojasnjuje </w:t>
      </w:r>
      <w:r w:rsidR="004D40E8" w:rsidRPr="00CB61D7">
        <w:t xml:space="preserve">dejstvo, da imajo </w:t>
      </w:r>
      <w:r w:rsidR="00812BD6" w:rsidRPr="00CB61D7">
        <w:t xml:space="preserve">večji obseg bruto investicij v osnovna sredstva, merjeno v </w:t>
      </w:r>
      <w:r w:rsidR="008F2485" w:rsidRPr="00CB61D7">
        <w:t>odstotku od</w:t>
      </w:r>
      <w:r w:rsidR="00812BD6" w:rsidRPr="00CB61D7">
        <w:t xml:space="preserve"> </w:t>
      </w:r>
      <w:r w:rsidR="00E3018F" w:rsidRPr="00CB61D7">
        <w:t>BDV</w:t>
      </w:r>
      <w:r w:rsidR="00046D4F" w:rsidRPr="00CB61D7">
        <w:t xml:space="preserve"> (slika 1</w:t>
      </w:r>
      <w:r w:rsidR="00463648">
        <w:t>4</w:t>
      </w:r>
      <w:r w:rsidR="00046D4F" w:rsidRPr="00CB61D7">
        <w:t>)</w:t>
      </w:r>
      <w:r w:rsidR="00812BD6" w:rsidRPr="00CB61D7">
        <w:t xml:space="preserve">. </w:t>
      </w:r>
    </w:p>
    <w:p w14:paraId="407A2CA9" w14:textId="77777777" w:rsidR="004D40E8" w:rsidRDefault="004D40E8" w:rsidP="007613FE">
      <w:pPr>
        <w:spacing w:before="0" w:line="260" w:lineRule="atLeast"/>
        <w:rPr>
          <w:sz w:val="20"/>
          <w:szCs w:val="20"/>
        </w:rPr>
      </w:pPr>
    </w:p>
    <w:p w14:paraId="2A102809" w14:textId="5DFF993F" w:rsidR="004D40E8" w:rsidRDefault="00E440A2" w:rsidP="00DA2C5A">
      <w:pPr>
        <w:pStyle w:val="SCSlika0"/>
      </w:pPr>
      <w:bookmarkStart w:id="69" w:name="_Ref54806505"/>
      <w:bookmarkStart w:id="70" w:name="_Toc86822686"/>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88117A">
        <w:rPr>
          <w:noProof/>
          <w:szCs w:val="16"/>
        </w:rPr>
        <w:t>14</w:t>
      </w:r>
      <w:r w:rsidRPr="00875DD8">
        <w:rPr>
          <w:noProof/>
          <w:szCs w:val="16"/>
        </w:rPr>
        <w:fldChar w:fldCharType="end"/>
      </w:r>
      <w:bookmarkEnd w:id="69"/>
      <w:r w:rsidRPr="00875DD8">
        <w:rPr>
          <w:szCs w:val="16"/>
        </w:rPr>
        <w:t xml:space="preserve">: </w:t>
      </w:r>
      <w:r w:rsidRPr="00875DD8">
        <w:t xml:space="preserve">Bruto </w:t>
      </w:r>
      <w:r w:rsidR="000F3F43">
        <w:t>naložbe</w:t>
      </w:r>
      <w:r w:rsidRPr="00875DD8">
        <w:t xml:space="preserve"> v osnovna sredstva v kmetijstvu, izraženo kot % </w:t>
      </w:r>
      <w:r w:rsidR="00995994">
        <w:t>BDV</w:t>
      </w:r>
      <w:r w:rsidRPr="00875DD8">
        <w:t>, 201</w:t>
      </w:r>
      <w:r w:rsidR="00FA3DF6">
        <w:t>9</w:t>
      </w:r>
      <w:r w:rsidRPr="00875DD8">
        <w:t xml:space="preserve">, </w:t>
      </w:r>
      <w:r w:rsidR="00D7497E">
        <w:t xml:space="preserve">EU, </w:t>
      </w:r>
      <w:r w:rsidRPr="00875DD8">
        <w:t>v tekočih cenah</w:t>
      </w:r>
      <w:bookmarkEnd w:id="70"/>
    </w:p>
    <w:p w14:paraId="50DE34AE" w14:textId="6087AB69" w:rsidR="00FA3DF6" w:rsidRDefault="00FA3DF6" w:rsidP="007613FE">
      <w:pPr>
        <w:spacing w:before="0" w:line="260" w:lineRule="atLeast"/>
        <w:rPr>
          <w:sz w:val="24"/>
          <w:szCs w:val="20"/>
        </w:rPr>
      </w:pPr>
      <w:r>
        <w:rPr>
          <w:noProof/>
          <w:sz w:val="24"/>
          <w:szCs w:val="20"/>
          <w:lang w:eastAsia="sl-SI"/>
        </w:rPr>
        <w:drawing>
          <wp:inline distT="0" distB="0" distL="0" distR="0" wp14:anchorId="56996566" wp14:editId="59B94C96">
            <wp:extent cx="5517515" cy="6102350"/>
            <wp:effectExtent l="0" t="0" r="6985" b="0"/>
            <wp:docPr id="24169619" name="Slika 2416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7515" cy="6102350"/>
                    </a:xfrm>
                    <a:prstGeom prst="rect">
                      <a:avLst/>
                    </a:prstGeom>
                    <a:noFill/>
                  </pic:spPr>
                </pic:pic>
              </a:graphicData>
            </a:graphic>
          </wp:inline>
        </w:drawing>
      </w:r>
    </w:p>
    <w:p w14:paraId="6F5D71D7" w14:textId="77777777" w:rsidR="00FA3DF6" w:rsidRDefault="00FA3DF6" w:rsidP="00FA3DF6">
      <w:pPr>
        <w:pStyle w:val="Odstavek1"/>
        <w:rPr>
          <w:sz w:val="16"/>
          <w:szCs w:val="16"/>
        </w:rPr>
      </w:pPr>
      <w:r w:rsidRPr="0047652B">
        <w:rPr>
          <w:sz w:val="16"/>
          <w:szCs w:val="16"/>
        </w:rPr>
        <w:t>Vir:</w:t>
      </w:r>
      <w:r>
        <w:rPr>
          <w:sz w:val="16"/>
          <w:szCs w:val="16"/>
        </w:rPr>
        <w:t xml:space="preserve"> DG-AGRI, Indicator Dashboard (</w:t>
      </w:r>
      <w:hyperlink r:id="rId33" w:history="1">
        <w:r w:rsidRPr="00FA476F">
          <w:rPr>
            <w:rStyle w:val="Hiperpovezava"/>
            <w:sz w:val="16"/>
            <w:szCs w:val="16"/>
          </w:rPr>
          <w:t>https://agridata.ec.europa.eu/extensions/DashboardIndicators/DataExplorer.html</w:t>
        </w:r>
      </w:hyperlink>
      <w:r>
        <w:rPr>
          <w:sz w:val="16"/>
          <w:szCs w:val="16"/>
        </w:rPr>
        <w:t>)</w:t>
      </w:r>
    </w:p>
    <w:p w14:paraId="4FC7D307" w14:textId="77777777" w:rsidR="00FA3DF6" w:rsidRPr="00875DD8" w:rsidRDefault="00FA3DF6" w:rsidP="007613FE">
      <w:pPr>
        <w:spacing w:before="0" w:line="260" w:lineRule="atLeast"/>
        <w:rPr>
          <w:sz w:val="24"/>
          <w:szCs w:val="20"/>
        </w:rPr>
      </w:pPr>
    </w:p>
    <w:p w14:paraId="5266796F" w14:textId="28336505" w:rsidR="00CB61D7" w:rsidRDefault="004D40E8" w:rsidP="007613FE">
      <w:pPr>
        <w:pStyle w:val="Odstavek1"/>
      </w:pPr>
      <w:r w:rsidRPr="004D40E8">
        <w:tab/>
      </w:r>
    </w:p>
    <w:p w14:paraId="50049FDE" w14:textId="4C2C7221" w:rsidR="00A571FA" w:rsidRDefault="00A34306" w:rsidP="007613FE">
      <w:pPr>
        <w:pStyle w:val="Odstavek1"/>
      </w:pPr>
      <w:r w:rsidRPr="00852E36">
        <w:rPr>
          <w:rFonts w:eastAsiaTheme="minorHAnsi"/>
          <w:szCs w:val="22"/>
          <w:lang w:eastAsia="en-US"/>
        </w:rPr>
        <w:lastRenderedPageBreak/>
        <w:t>Obseg bruto investicij v osnovna sredstva v Sloveniji je v letu 201</w:t>
      </w:r>
      <w:r w:rsidR="00A47768">
        <w:rPr>
          <w:rFonts w:eastAsiaTheme="minorHAnsi"/>
          <w:szCs w:val="22"/>
          <w:lang w:eastAsia="en-US"/>
        </w:rPr>
        <w:t>9</w:t>
      </w:r>
      <w:r w:rsidRPr="00852E36">
        <w:rPr>
          <w:rFonts w:eastAsiaTheme="minorHAnsi"/>
          <w:szCs w:val="22"/>
          <w:lang w:eastAsia="en-US"/>
        </w:rPr>
        <w:t xml:space="preserve"> znašal </w:t>
      </w:r>
      <w:r w:rsidR="00A47768">
        <w:rPr>
          <w:rFonts w:eastAsiaTheme="minorHAnsi"/>
          <w:szCs w:val="22"/>
          <w:lang w:eastAsia="en-US"/>
        </w:rPr>
        <w:t>294</w:t>
      </w:r>
      <w:r w:rsidRPr="00852E36">
        <w:t xml:space="preserve"> mio EUR</w:t>
      </w:r>
      <w:r w:rsidR="002F5526">
        <w:t>, kar</w:t>
      </w:r>
      <w:r w:rsidRPr="00F977EF">
        <w:t xml:space="preserve"> predstavlja </w:t>
      </w:r>
      <w:r w:rsidR="00FA3DF6">
        <w:t>52,4</w:t>
      </w:r>
      <w:r w:rsidRPr="00AD61BB">
        <w:t xml:space="preserve"> % </w:t>
      </w:r>
      <w:r w:rsidR="002F5526" w:rsidRPr="00555F8A">
        <w:t>BDV</w:t>
      </w:r>
      <w:r w:rsidR="00BE7ACF" w:rsidRPr="00E972D4">
        <w:t xml:space="preserve"> (</w:t>
      </w:r>
      <w:r w:rsidR="00BE7ACF" w:rsidRPr="00251920">
        <w:t xml:space="preserve">kazalnik </w:t>
      </w:r>
      <w:r w:rsidR="00C36138" w:rsidRPr="00251920">
        <w:t xml:space="preserve">stanja </w:t>
      </w:r>
      <w:r w:rsidR="00BE7ACF" w:rsidRPr="00251920">
        <w:t>C.27</w:t>
      </w:r>
      <w:r w:rsidR="00CA507C" w:rsidRPr="00251920">
        <w:t xml:space="preserve"> </w:t>
      </w:r>
      <w:r w:rsidR="00CA507C" w:rsidRPr="00251920">
        <w:rPr>
          <w:rFonts w:eastAsia="Arial"/>
          <w:lang w:eastAsia="en-US"/>
        </w:rPr>
        <w:t>Bruto naložbe v osnovna sredstva v kmetijstvu</w:t>
      </w:r>
      <w:r w:rsidR="00BE7ACF" w:rsidRPr="00555F8A">
        <w:t>)</w:t>
      </w:r>
      <w:r w:rsidRPr="00E972D4">
        <w:t xml:space="preserve"> </w:t>
      </w:r>
      <w:r w:rsidR="002F5526" w:rsidRPr="00E972D4">
        <w:t>in</w:t>
      </w:r>
      <w:r w:rsidRPr="00E972D4">
        <w:t xml:space="preserve"> je nad</w:t>
      </w:r>
      <w:r w:rsidRPr="00852E36">
        <w:t xml:space="preserve"> povprečjem EU-</w:t>
      </w:r>
      <w:r w:rsidR="004D40E8" w:rsidRPr="00852E36">
        <w:t>2</w:t>
      </w:r>
      <w:r w:rsidR="004D40E8">
        <w:t>7</w:t>
      </w:r>
      <w:r w:rsidR="004D40E8" w:rsidRPr="00852E36">
        <w:t xml:space="preserve"> </w:t>
      </w:r>
      <w:r w:rsidRPr="00852E36">
        <w:t>(</w:t>
      </w:r>
      <w:r w:rsidR="00FA3DF6">
        <w:t>30,97</w:t>
      </w:r>
      <w:r w:rsidR="004D40E8" w:rsidRPr="00852E36">
        <w:t xml:space="preserve"> </w:t>
      </w:r>
      <w:r w:rsidRPr="00852E36">
        <w:t xml:space="preserve">%). </w:t>
      </w:r>
    </w:p>
    <w:p w14:paraId="23883CF7" w14:textId="77777777" w:rsidR="00A571FA" w:rsidRDefault="00A571FA" w:rsidP="007613FE">
      <w:pPr>
        <w:pStyle w:val="Odstavek1"/>
      </w:pPr>
    </w:p>
    <w:p w14:paraId="6063E687" w14:textId="66E481F5" w:rsidR="00F44D98" w:rsidRPr="00852E36" w:rsidRDefault="00A34306" w:rsidP="007613FE">
      <w:pPr>
        <w:pStyle w:val="Odstavek1"/>
      </w:pPr>
      <w:r w:rsidRPr="00852E36">
        <w:t>Obseg bruto investicij v osnovna sredstva v Sloveniji se je povečeval v obdobju  2005</w:t>
      </w:r>
      <w:r w:rsidR="002F5526">
        <w:t>-</w:t>
      </w:r>
      <w:r w:rsidRPr="00852E36">
        <w:t xml:space="preserve">2008 (ko je znašal 312,79 mio EUR) in se nato v času finančne krize zmanjšal na 203,72 mio EUR v letu 2011. V obdobju 2012–2018 se </w:t>
      </w:r>
      <w:r w:rsidR="002F5526">
        <w:t xml:space="preserve">je </w:t>
      </w:r>
      <w:r w:rsidRPr="00852E36">
        <w:t xml:space="preserve">obseg </w:t>
      </w:r>
      <w:r w:rsidRPr="00852E36">
        <w:rPr>
          <w:rFonts w:eastAsiaTheme="minorHAnsi"/>
          <w:szCs w:val="22"/>
          <w:lang w:eastAsia="en-US"/>
        </w:rPr>
        <w:t xml:space="preserve">bruto investicij v osnovna sredstva </w:t>
      </w:r>
      <w:r w:rsidRPr="00852E36">
        <w:t>relativno stabilno poveč</w:t>
      </w:r>
      <w:r w:rsidR="002F5526">
        <w:t>eval</w:t>
      </w:r>
      <w:r w:rsidRPr="00852E36">
        <w:t xml:space="preserve"> in se približ</w:t>
      </w:r>
      <w:r w:rsidR="002F5526">
        <w:t>al</w:t>
      </w:r>
      <w:r w:rsidRPr="00852E36">
        <w:t xml:space="preserve"> vrednosti pred finančno krizo, pri čemer je </w:t>
      </w:r>
      <w:r w:rsidR="002F5526">
        <w:t xml:space="preserve">bila </w:t>
      </w:r>
      <w:r w:rsidRPr="00852E36">
        <w:t xml:space="preserve">stopnja rasti v </w:t>
      </w:r>
      <w:r w:rsidR="00FC7B0F">
        <w:t xml:space="preserve"> </w:t>
      </w:r>
      <w:r w:rsidRPr="00852E36">
        <w:t xml:space="preserve">2018 glede na </w:t>
      </w:r>
      <w:r w:rsidR="002F5526">
        <w:t>2017</w:t>
      </w:r>
      <w:r w:rsidRPr="00852E36">
        <w:t xml:space="preserve"> najvišja (</w:t>
      </w:r>
      <w:r w:rsidR="00FC16DF">
        <w:t>44</w:t>
      </w:r>
      <w:r w:rsidRPr="00852E36">
        <w:t xml:space="preserve"> %) od leta 2005</w:t>
      </w:r>
      <w:r w:rsidR="00D7497E">
        <w:t xml:space="preserve"> (slika </w:t>
      </w:r>
      <w:r w:rsidR="00D57868">
        <w:t>16</w:t>
      </w:r>
      <w:r w:rsidR="00D7497E">
        <w:t>)</w:t>
      </w:r>
      <w:r w:rsidRPr="00852E36">
        <w:t xml:space="preserve">. </w:t>
      </w:r>
    </w:p>
    <w:p w14:paraId="738FA6C7" w14:textId="77777777" w:rsidR="00F23299" w:rsidRDefault="00F23299" w:rsidP="007613FE">
      <w:pPr>
        <w:pStyle w:val="Odstavek1"/>
      </w:pPr>
    </w:p>
    <w:p w14:paraId="68FE030C" w14:textId="270EC1C7" w:rsidR="004439B1" w:rsidRPr="00875DD8" w:rsidRDefault="00E440A2" w:rsidP="00DA2C5A">
      <w:pPr>
        <w:pStyle w:val="SCSlika0"/>
        <w:rPr>
          <w:sz w:val="24"/>
        </w:rPr>
      </w:pPr>
      <w:bookmarkStart w:id="71" w:name="_Toc86822687"/>
      <w:r w:rsidRPr="00875DD8">
        <w:rPr>
          <w:szCs w:val="16"/>
        </w:rPr>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88117A">
        <w:rPr>
          <w:noProof/>
          <w:szCs w:val="16"/>
        </w:rPr>
        <w:t>15</w:t>
      </w:r>
      <w:r w:rsidRPr="00875DD8">
        <w:rPr>
          <w:noProof/>
          <w:szCs w:val="16"/>
        </w:rPr>
        <w:fldChar w:fldCharType="end"/>
      </w:r>
      <w:r w:rsidRPr="00875DD8">
        <w:rPr>
          <w:szCs w:val="16"/>
        </w:rPr>
        <w:t xml:space="preserve">: </w:t>
      </w:r>
      <w:r w:rsidRPr="00875DD8">
        <w:t xml:space="preserve">Bruto investicije v osnovna sredstva v kmetijstvu, izraženo kot % </w:t>
      </w:r>
      <w:r w:rsidR="00D16D9B">
        <w:t>BDV</w:t>
      </w:r>
      <w:r w:rsidRPr="00875DD8">
        <w:t xml:space="preserve">, leta </w:t>
      </w:r>
      <w:r>
        <w:t xml:space="preserve">2005, 2010, 2018, </w:t>
      </w:r>
      <w:r w:rsidR="00D16D9B">
        <w:t xml:space="preserve">EU, </w:t>
      </w:r>
      <w:r>
        <w:t>tekoč</w:t>
      </w:r>
      <w:r w:rsidR="00D16D9B">
        <w:t>e</w:t>
      </w:r>
      <w:r>
        <w:t xml:space="preserve"> cen</w:t>
      </w:r>
      <w:r w:rsidR="00D16D9B">
        <w:t>e</w:t>
      </w:r>
      <w:bookmarkEnd w:id="71"/>
    </w:p>
    <w:p w14:paraId="73C7CCC8" w14:textId="77777777" w:rsidR="004439B1" w:rsidRDefault="00FF4D80" w:rsidP="009F3567">
      <w:pPr>
        <w:spacing w:before="0" w:line="276" w:lineRule="auto"/>
        <w:rPr>
          <w:sz w:val="20"/>
          <w:szCs w:val="20"/>
        </w:rPr>
      </w:pPr>
      <w:r>
        <w:rPr>
          <w:noProof/>
          <w:lang w:eastAsia="sl-SI"/>
        </w:rPr>
        <w:drawing>
          <wp:inline distT="0" distB="0" distL="0" distR="0" wp14:anchorId="286696B4" wp14:editId="5164954A">
            <wp:extent cx="5742305" cy="2394857"/>
            <wp:effectExtent l="0" t="0" r="10795" b="5715"/>
            <wp:docPr id="1631865557" name="Grafikon 1631865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08044C" w14:textId="77777777" w:rsidR="004439B1" w:rsidRDefault="00FF4D80" w:rsidP="00875DD8">
      <w:pPr>
        <w:spacing w:before="0" w:line="276" w:lineRule="auto"/>
        <w:rPr>
          <w:sz w:val="20"/>
          <w:szCs w:val="20"/>
        </w:rPr>
      </w:pPr>
      <w:r w:rsidRPr="0047652B">
        <w:rPr>
          <w:sz w:val="16"/>
          <w:szCs w:val="16"/>
        </w:rPr>
        <w:t>Vir: EUROSTAT</w:t>
      </w:r>
      <w:r>
        <w:rPr>
          <w:sz w:val="16"/>
          <w:szCs w:val="16"/>
        </w:rPr>
        <w:t>, preračun MKGP (</w:t>
      </w:r>
      <w:r w:rsidRPr="004D40E8">
        <w:rPr>
          <w:sz w:val="16"/>
          <w:szCs w:val="16"/>
        </w:rPr>
        <w:t>Economic accounts for agriculture - values at current prices [aact_eaa01]</w:t>
      </w:r>
      <w:r w:rsidRPr="004D40E8">
        <w:rPr>
          <w:sz w:val="16"/>
          <w:szCs w:val="16"/>
        </w:rPr>
        <w:tab/>
      </w:r>
    </w:p>
    <w:p w14:paraId="7599CA52" w14:textId="77777777" w:rsidR="004439B1" w:rsidRPr="00852E36" w:rsidRDefault="004439B1" w:rsidP="007613FE">
      <w:pPr>
        <w:pStyle w:val="Odstavek1"/>
      </w:pPr>
    </w:p>
    <w:p w14:paraId="27F3AF84" w14:textId="61D30E5A" w:rsidR="008443C5" w:rsidRDefault="00A34306" w:rsidP="007613FE">
      <w:pPr>
        <w:pStyle w:val="Odstavek1"/>
      </w:pPr>
      <w:r w:rsidRPr="00852E36">
        <w:t xml:space="preserve">Glede na vrsto bruto investicij v osnovna sredstva za leto 2018 prevladujejo investicije v stroje in opremo (42 %), v prevozna sredstva (26 %) in v kmetijske (nestanovanjske) zgradbe (20 %). Delež investicij v trajne nasade in osnovno čredo znaša 11 %. </w:t>
      </w:r>
      <w:r w:rsidR="001F2345">
        <w:t>Manj kot 1 % predstavljajo investicije v neopredmetena osnovna sredstva (kot je računalniška programska oprema) in v izboljšave zemljišč. V primerjavi z letom 2005 se povečuje delež vlaganj v stroje in opremo, ki so v letu 2005 predstavljala 32 % vseh bruto investicij v osnovna sredstva, v letu 2018 pa že 42 %. Zmanjšal se je delež investicij v kmetijske nestanovanjske zgradbe (v letu 2005</w:t>
      </w:r>
      <w:r w:rsidR="00A571FA">
        <w:t>:</w:t>
      </w:r>
      <w:r w:rsidR="001F2345">
        <w:t xml:space="preserve"> 26 %, v letu 2018</w:t>
      </w:r>
      <w:r w:rsidR="00A571FA">
        <w:t>:</w:t>
      </w:r>
      <w:r w:rsidR="001F2345">
        <w:t xml:space="preserve"> 20 %) in delež investicij v prevozna sredstva (v letu 2005: 29 %; v letu 2018: 26 %). </w:t>
      </w:r>
    </w:p>
    <w:p w14:paraId="4AA11B04" w14:textId="77777777" w:rsidR="00E440A2" w:rsidRPr="00852E36" w:rsidRDefault="00E440A2" w:rsidP="007613FE">
      <w:pPr>
        <w:pStyle w:val="Odstavek1"/>
      </w:pPr>
    </w:p>
    <w:p w14:paraId="21964DE9" w14:textId="33AE7D3B" w:rsidR="008443C5" w:rsidRPr="0047652B" w:rsidRDefault="00E440A2" w:rsidP="00DA2C5A">
      <w:pPr>
        <w:pStyle w:val="SCSlika0"/>
        <w:rPr>
          <w:rFonts w:eastAsiaTheme="minorHAnsi"/>
          <w:szCs w:val="22"/>
          <w:lang w:eastAsia="en-US"/>
        </w:rPr>
      </w:pPr>
      <w:bookmarkStart w:id="72" w:name="_Toc86822688"/>
      <w:r w:rsidRPr="009F3567">
        <w:lastRenderedPageBreak/>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16</w:t>
      </w:r>
      <w:r w:rsidR="00072AFA">
        <w:rPr>
          <w:noProof/>
        </w:rPr>
        <w:fldChar w:fldCharType="end"/>
      </w:r>
      <w:r w:rsidRPr="009F3567">
        <w:t>: Struktura bruto investicij v osnovna sredstva v kmetijstvu v SIoveniji v obdobju 2005–2018 glede na vrsto investicije</w:t>
      </w:r>
      <w:r w:rsidRPr="009F3567">
        <w:rPr>
          <w:bCs/>
        </w:rPr>
        <w:t>, v mio EUR</w:t>
      </w:r>
      <w:bookmarkEnd w:id="72"/>
    </w:p>
    <w:p w14:paraId="1E3794E0" w14:textId="77777777" w:rsidR="00812BD6" w:rsidRPr="0047652B" w:rsidRDefault="001507D8" w:rsidP="009F3567">
      <w:pPr>
        <w:pStyle w:val="Navadensplet"/>
        <w:spacing w:before="0" w:beforeAutospacing="0" w:after="0" w:afterAutospacing="0" w:line="276" w:lineRule="auto"/>
        <w:rPr>
          <w:rFonts w:ascii="Arial" w:eastAsiaTheme="minorHAnsi" w:hAnsi="Arial"/>
          <w:sz w:val="20"/>
          <w:szCs w:val="22"/>
          <w:highlight w:val="yellow"/>
          <w:lang w:eastAsia="en-US"/>
        </w:rPr>
      </w:pPr>
      <w:r>
        <w:rPr>
          <w:noProof/>
        </w:rPr>
        <w:drawing>
          <wp:inline distT="0" distB="0" distL="0" distR="0" wp14:anchorId="3FBEE667" wp14:editId="1999C4FB">
            <wp:extent cx="5747385" cy="3930650"/>
            <wp:effectExtent l="0" t="0" r="5715" b="1270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5715D0" w14:textId="77777777" w:rsidR="00652EFE" w:rsidRPr="00852E36" w:rsidRDefault="004D40E8" w:rsidP="00875DD8">
      <w:pPr>
        <w:spacing w:before="0" w:line="276" w:lineRule="auto"/>
        <w:rPr>
          <w:rFonts w:eastAsiaTheme="minorHAnsi"/>
          <w:bCs/>
          <w:sz w:val="16"/>
          <w:szCs w:val="16"/>
        </w:rPr>
      </w:pPr>
      <w:r>
        <w:rPr>
          <w:rFonts w:eastAsiaTheme="minorHAnsi"/>
          <w:bCs/>
          <w:sz w:val="16"/>
          <w:szCs w:val="16"/>
        </w:rPr>
        <w:t>V</w:t>
      </w:r>
      <w:r w:rsidR="00057B59" w:rsidRPr="00852E36">
        <w:rPr>
          <w:rFonts w:eastAsiaTheme="minorHAnsi"/>
          <w:bCs/>
          <w:sz w:val="16"/>
          <w:szCs w:val="16"/>
        </w:rPr>
        <w:t>ir</w:t>
      </w:r>
      <w:r w:rsidR="00652EFE" w:rsidRPr="00852E36">
        <w:rPr>
          <w:rFonts w:eastAsiaTheme="minorHAnsi"/>
          <w:bCs/>
          <w:sz w:val="16"/>
          <w:szCs w:val="16"/>
        </w:rPr>
        <w:t>: EUROSTAT</w:t>
      </w:r>
    </w:p>
    <w:p w14:paraId="08ECAE7F" w14:textId="77777777" w:rsidR="00652EFE" w:rsidRDefault="00652EFE" w:rsidP="007613FE">
      <w:pPr>
        <w:pStyle w:val="Pripombabesedilo"/>
        <w:spacing w:before="0" w:line="260" w:lineRule="atLeast"/>
        <w:rPr>
          <w:rFonts w:ascii="Arial" w:eastAsiaTheme="minorHAnsi" w:hAnsi="Arial"/>
        </w:rPr>
      </w:pPr>
    </w:p>
    <w:p w14:paraId="7AEF011F" w14:textId="29DC0A28" w:rsidR="000D0896" w:rsidRDefault="004C482A" w:rsidP="00DA2C5A">
      <w:pPr>
        <w:rPr>
          <w:rFonts w:eastAsiaTheme="minorHAnsi"/>
          <w:lang w:eastAsia="en-US"/>
        </w:rPr>
      </w:pPr>
      <w:r>
        <w:rPr>
          <w:rFonts w:eastAsiaTheme="minorHAnsi"/>
          <w:lang w:eastAsia="en-US"/>
        </w:rPr>
        <w:t>Kapitalska intenzivnost v slovenskem kmetijstvu se izboljšuje</w:t>
      </w:r>
      <w:r w:rsidR="00D91D65">
        <w:rPr>
          <w:rFonts w:eastAsiaTheme="minorHAnsi"/>
          <w:lang w:eastAsia="en-US"/>
        </w:rPr>
        <w:t>, kar je razvidno tako iz bruto investicij v osnovna sredstva</w:t>
      </w:r>
      <w:r w:rsidR="005E398A">
        <w:rPr>
          <w:rFonts w:eastAsiaTheme="minorHAnsi"/>
          <w:lang w:eastAsia="en-US"/>
        </w:rPr>
        <w:t xml:space="preserve"> na </w:t>
      </w:r>
      <w:r w:rsidR="00D91D65">
        <w:rPr>
          <w:rFonts w:eastAsiaTheme="minorHAnsi"/>
          <w:lang w:eastAsia="en-US"/>
        </w:rPr>
        <w:t>ha KZU, kot bruto investicij v osnovna sredstva</w:t>
      </w:r>
      <w:r w:rsidR="005E398A">
        <w:rPr>
          <w:rFonts w:eastAsiaTheme="minorHAnsi"/>
          <w:lang w:eastAsia="en-US"/>
        </w:rPr>
        <w:t xml:space="preserve"> na </w:t>
      </w:r>
      <w:r w:rsidR="00D91D65">
        <w:rPr>
          <w:rFonts w:eastAsiaTheme="minorHAnsi"/>
          <w:lang w:eastAsia="en-US"/>
        </w:rPr>
        <w:t>PDM</w:t>
      </w:r>
      <w:r>
        <w:rPr>
          <w:rFonts w:eastAsiaTheme="minorHAnsi"/>
          <w:lang w:eastAsia="en-US"/>
        </w:rPr>
        <w:t xml:space="preserve">. </w:t>
      </w:r>
      <w:r w:rsidR="00EB3B48" w:rsidRPr="00852E36">
        <w:rPr>
          <w:rFonts w:eastAsiaTheme="minorHAnsi"/>
          <w:lang w:eastAsia="en-US"/>
        </w:rPr>
        <w:t xml:space="preserve">Bruto </w:t>
      </w:r>
      <w:r w:rsidR="002A0E60">
        <w:rPr>
          <w:rFonts w:eastAsiaTheme="minorHAnsi"/>
          <w:lang w:eastAsia="en-US"/>
        </w:rPr>
        <w:t>investicije v osnovna sredstva</w:t>
      </w:r>
      <w:r w:rsidR="00EB3B48" w:rsidRPr="00852E36">
        <w:rPr>
          <w:rFonts w:eastAsiaTheme="minorHAnsi"/>
          <w:lang w:eastAsia="en-US"/>
        </w:rPr>
        <w:t xml:space="preserve"> na hektar </w:t>
      </w:r>
      <w:r w:rsidR="00047BAB">
        <w:rPr>
          <w:rFonts w:eastAsiaTheme="minorHAnsi"/>
          <w:lang w:eastAsia="en-US"/>
        </w:rPr>
        <w:t xml:space="preserve">kmetijskih zemljišč v uporabi </w:t>
      </w:r>
      <w:r w:rsidR="00EB3B48" w:rsidRPr="00852E36">
        <w:rPr>
          <w:rFonts w:eastAsiaTheme="minorHAnsi"/>
          <w:lang w:eastAsia="en-US"/>
        </w:rPr>
        <w:t>so v 201</w:t>
      </w:r>
      <w:r w:rsidR="00047BAB">
        <w:rPr>
          <w:rFonts w:eastAsiaTheme="minorHAnsi"/>
          <w:lang w:eastAsia="en-US"/>
        </w:rPr>
        <w:t>6</w:t>
      </w:r>
      <w:r w:rsidR="004D40E8">
        <w:rPr>
          <w:rStyle w:val="Sprotnaopomba-sklic"/>
          <w:rFonts w:eastAsiaTheme="minorHAnsi"/>
          <w:lang w:eastAsia="en-US"/>
        </w:rPr>
        <w:footnoteReference w:id="5"/>
      </w:r>
      <w:r w:rsidR="004D40E8">
        <w:rPr>
          <w:rFonts w:eastAsiaTheme="minorHAnsi"/>
          <w:lang w:eastAsia="en-US"/>
        </w:rPr>
        <w:t xml:space="preserve"> </w:t>
      </w:r>
      <w:r w:rsidR="00EB3B48" w:rsidRPr="00852E36">
        <w:rPr>
          <w:rFonts w:eastAsiaTheme="minorHAnsi"/>
          <w:lang w:eastAsia="en-US"/>
        </w:rPr>
        <w:t>v Sloveniji znašal</w:t>
      </w:r>
      <w:r w:rsidR="00CB61D7">
        <w:rPr>
          <w:rFonts w:eastAsiaTheme="minorHAnsi"/>
          <w:lang w:eastAsia="en-US"/>
        </w:rPr>
        <w:t>e</w:t>
      </w:r>
      <w:r w:rsidR="00EB3B48" w:rsidRPr="00852E36">
        <w:rPr>
          <w:rFonts w:eastAsiaTheme="minorHAnsi"/>
          <w:lang w:eastAsia="en-US"/>
        </w:rPr>
        <w:t xml:space="preserve"> </w:t>
      </w:r>
      <w:r w:rsidR="000D0896">
        <w:rPr>
          <w:rFonts w:eastAsiaTheme="minorHAnsi"/>
          <w:lang w:eastAsia="en-US"/>
        </w:rPr>
        <w:t>474</w:t>
      </w:r>
      <w:r w:rsidR="00EB3B48" w:rsidRPr="00852E36">
        <w:rPr>
          <w:rFonts w:eastAsiaTheme="minorHAnsi"/>
          <w:lang w:eastAsia="en-US"/>
        </w:rPr>
        <w:t xml:space="preserve"> EUR/ha</w:t>
      </w:r>
      <w:r w:rsidR="00E440A2">
        <w:rPr>
          <w:rFonts w:eastAsiaTheme="minorHAnsi"/>
          <w:lang w:eastAsia="en-US"/>
        </w:rPr>
        <w:t xml:space="preserve"> </w:t>
      </w:r>
      <w:r w:rsidR="00D91D65">
        <w:rPr>
          <w:rFonts w:eastAsiaTheme="minorHAnsi"/>
          <w:lang w:eastAsia="en-US"/>
        </w:rPr>
        <w:t>KZU</w:t>
      </w:r>
      <w:r w:rsidR="000D0896">
        <w:rPr>
          <w:rFonts w:eastAsiaTheme="minorHAnsi"/>
          <w:lang w:eastAsia="en-US"/>
        </w:rPr>
        <w:t xml:space="preserve"> </w:t>
      </w:r>
      <w:r w:rsidR="00047BAB">
        <w:rPr>
          <w:rFonts w:eastAsiaTheme="minorHAnsi"/>
          <w:lang w:eastAsia="en-US"/>
        </w:rPr>
        <w:t>in so bil</w:t>
      </w:r>
      <w:r w:rsidR="00E440A2">
        <w:rPr>
          <w:rFonts w:eastAsiaTheme="minorHAnsi"/>
          <w:lang w:eastAsia="en-US"/>
        </w:rPr>
        <w:t xml:space="preserve">a </w:t>
      </w:r>
      <w:r w:rsidR="00047BAB">
        <w:rPr>
          <w:rFonts w:eastAsiaTheme="minorHAnsi"/>
          <w:lang w:eastAsia="en-US"/>
        </w:rPr>
        <w:t xml:space="preserve">za </w:t>
      </w:r>
      <w:r w:rsidR="000D0896">
        <w:rPr>
          <w:rFonts w:eastAsiaTheme="minorHAnsi"/>
          <w:lang w:eastAsia="en-US"/>
        </w:rPr>
        <w:t>2,7</w:t>
      </w:r>
      <w:r w:rsidR="00047BAB">
        <w:rPr>
          <w:rFonts w:eastAsiaTheme="minorHAnsi"/>
          <w:lang w:eastAsia="en-US"/>
        </w:rPr>
        <w:t xml:space="preserve"> % višj</w:t>
      </w:r>
      <w:r w:rsidR="00CB61D7">
        <w:rPr>
          <w:rFonts w:eastAsiaTheme="minorHAnsi"/>
          <w:lang w:eastAsia="en-US"/>
        </w:rPr>
        <w:t xml:space="preserve">e </w:t>
      </w:r>
      <w:r w:rsidR="00047BAB">
        <w:rPr>
          <w:rFonts w:eastAsiaTheme="minorHAnsi"/>
          <w:lang w:eastAsia="en-US"/>
        </w:rPr>
        <w:t>kot v 20</w:t>
      </w:r>
      <w:r w:rsidR="000D0896">
        <w:rPr>
          <w:rFonts w:eastAsiaTheme="minorHAnsi"/>
          <w:lang w:eastAsia="en-US"/>
        </w:rPr>
        <w:t>13</w:t>
      </w:r>
      <w:r w:rsidR="00EB3B48" w:rsidRPr="00852E36">
        <w:rPr>
          <w:rFonts w:eastAsiaTheme="minorHAnsi"/>
          <w:lang w:eastAsia="en-US"/>
        </w:rPr>
        <w:t xml:space="preserve">. </w:t>
      </w:r>
      <w:r w:rsidR="00EB6CC3">
        <w:rPr>
          <w:rFonts w:eastAsiaTheme="minorHAnsi"/>
          <w:lang w:eastAsia="en-US"/>
        </w:rPr>
        <w:t>V primerjavi</w:t>
      </w:r>
      <w:r>
        <w:rPr>
          <w:rFonts w:eastAsiaTheme="minorHAnsi"/>
          <w:lang w:eastAsia="en-US"/>
        </w:rPr>
        <w:t xml:space="preserve"> s povprečjem EU-28 je kapitalska intenzivnost na hektar KZU v Sloveniji višja, Slovenija pa glede na vrednost tega kazalnika spada v prvo tretjino držav EU.</w:t>
      </w:r>
      <w:r>
        <w:rPr>
          <w:rStyle w:val="Sprotnaopomba-sklic"/>
          <w:rFonts w:eastAsiaTheme="minorHAnsi"/>
          <w:lang w:eastAsia="en-US"/>
        </w:rPr>
        <w:footnoteReference w:id="6"/>
      </w:r>
      <w:r>
        <w:rPr>
          <w:rFonts w:eastAsiaTheme="minorHAnsi"/>
          <w:lang w:eastAsia="en-US"/>
        </w:rPr>
        <w:t xml:space="preserve">   </w:t>
      </w:r>
    </w:p>
    <w:p w14:paraId="3E0AEAF0" w14:textId="77777777" w:rsidR="000D0896" w:rsidRDefault="000D0896" w:rsidP="007613FE">
      <w:pPr>
        <w:spacing w:before="0" w:line="260" w:lineRule="atLeast"/>
        <w:rPr>
          <w:rFonts w:eastAsiaTheme="minorHAnsi"/>
          <w:sz w:val="20"/>
          <w:szCs w:val="22"/>
          <w:lang w:eastAsia="en-US"/>
        </w:rPr>
      </w:pPr>
    </w:p>
    <w:p w14:paraId="43E3C996" w14:textId="5B83C6E7" w:rsidR="00E440A2" w:rsidRPr="00875DD8" w:rsidRDefault="00E440A2" w:rsidP="00DA2C5A">
      <w:pPr>
        <w:pStyle w:val="SCSlika0"/>
        <w:rPr>
          <w:rFonts w:eastAsiaTheme="minorHAnsi"/>
          <w:sz w:val="24"/>
          <w:szCs w:val="22"/>
          <w:lang w:eastAsia="en-US"/>
        </w:rPr>
      </w:pPr>
      <w:bookmarkStart w:id="73" w:name="_Toc86822689"/>
      <w:r w:rsidRPr="00875DD8">
        <w:rPr>
          <w:szCs w:val="16"/>
        </w:rPr>
        <w:lastRenderedPageBreak/>
        <w:t xml:space="preserve">Slika </w:t>
      </w:r>
      <w:r w:rsidRPr="00875DD8">
        <w:rPr>
          <w:szCs w:val="16"/>
        </w:rPr>
        <w:fldChar w:fldCharType="begin"/>
      </w:r>
      <w:r w:rsidRPr="00875DD8">
        <w:rPr>
          <w:szCs w:val="16"/>
        </w:rPr>
        <w:instrText xml:space="preserve"> SEQ Slika \* ARABIC </w:instrText>
      </w:r>
      <w:r w:rsidRPr="00875DD8">
        <w:rPr>
          <w:szCs w:val="16"/>
        </w:rPr>
        <w:fldChar w:fldCharType="separate"/>
      </w:r>
      <w:r w:rsidR="0088117A">
        <w:rPr>
          <w:noProof/>
          <w:szCs w:val="16"/>
        </w:rPr>
        <w:t>17</w:t>
      </w:r>
      <w:r w:rsidRPr="00875DD8">
        <w:rPr>
          <w:noProof/>
          <w:szCs w:val="16"/>
        </w:rPr>
        <w:fldChar w:fldCharType="end"/>
      </w:r>
      <w:r w:rsidRPr="00875DD8">
        <w:rPr>
          <w:szCs w:val="16"/>
        </w:rPr>
        <w:t>: B</w:t>
      </w:r>
      <w:r w:rsidRPr="00875DD8">
        <w:t xml:space="preserve">ruto investicije v osnovna sredstva v kmetijstvu (GFCF) na hektar kmetijskih zemljišč v uporabi (KZU), SIovenija in EU-28, 2013 in 2016, </w:t>
      </w:r>
      <w:r w:rsidRPr="00875DD8">
        <w:rPr>
          <w:bCs/>
          <w:lang w:eastAsia="en-US"/>
        </w:rPr>
        <w:t xml:space="preserve">v </w:t>
      </w:r>
      <w:r w:rsidRPr="00875DD8">
        <w:rPr>
          <w:bCs/>
        </w:rPr>
        <w:t>EUR</w:t>
      </w:r>
      <w:bookmarkEnd w:id="73"/>
      <w:r w:rsidRPr="00875DD8">
        <w:rPr>
          <w:bCs/>
        </w:rPr>
        <w:t xml:space="preserve"> </w:t>
      </w:r>
    </w:p>
    <w:p w14:paraId="14B95583" w14:textId="77777777" w:rsidR="004C482A" w:rsidRDefault="004C482A" w:rsidP="009F3567">
      <w:pPr>
        <w:spacing w:before="0" w:line="276" w:lineRule="auto"/>
        <w:rPr>
          <w:rFonts w:eastAsiaTheme="minorHAnsi"/>
          <w:sz w:val="20"/>
          <w:szCs w:val="22"/>
          <w:lang w:eastAsia="en-US"/>
        </w:rPr>
      </w:pPr>
      <w:r>
        <w:rPr>
          <w:noProof/>
          <w:lang w:eastAsia="sl-SI"/>
        </w:rPr>
        <w:drawing>
          <wp:inline distT="0" distB="0" distL="0" distR="0" wp14:anchorId="3B268735" wp14:editId="4BAB1175">
            <wp:extent cx="5713840" cy="2176922"/>
            <wp:effectExtent l="0" t="0" r="1270" b="13970"/>
            <wp:docPr id="1631865547" name="Grafikon 1631865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124A26" w14:textId="77777777" w:rsidR="00D52EC6" w:rsidRPr="00852E36" w:rsidRDefault="00D52EC6" w:rsidP="00875DD8">
      <w:pPr>
        <w:spacing w:before="0" w:line="276" w:lineRule="auto"/>
        <w:rPr>
          <w:rFonts w:eastAsiaTheme="minorHAnsi"/>
          <w:bCs/>
          <w:sz w:val="16"/>
          <w:szCs w:val="16"/>
        </w:rPr>
      </w:pPr>
      <w:r>
        <w:rPr>
          <w:rFonts w:eastAsiaTheme="minorHAnsi"/>
          <w:bCs/>
          <w:sz w:val="16"/>
          <w:szCs w:val="16"/>
        </w:rPr>
        <w:t>V</w:t>
      </w:r>
      <w:r w:rsidRPr="00852E36">
        <w:rPr>
          <w:rFonts w:eastAsiaTheme="minorHAnsi"/>
          <w:bCs/>
          <w:sz w:val="16"/>
          <w:szCs w:val="16"/>
        </w:rPr>
        <w:t>ir: EUROSTAT</w:t>
      </w:r>
      <w:r>
        <w:rPr>
          <w:rFonts w:eastAsiaTheme="minorHAnsi"/>
          <w:bCs/>
          <w:sz w:val="16"/>
          <w:szCs w:val="16"/>
        </w:rPr>
        <w:t xml:space="preserve">, preračun MKGP </w:t>
      </w:r>
      <w:r w:rsidRPr="00D52EC6">
        <w:rPr>
          <w:rFonts w:eastAsiaTheme="minorHAnsi"/>
          <w:bCs/>
          <w:sz w:val="16"/>
          <w:szCs w:val="16"/>
        </w:rPr>
        <w:t>[aact_eaa01]</w:t>
      </w:r>
      <w:r>
        <w:rPr>
          <w:rFonts w:eastAsiaTheme="minorHAnsi"/>
          <w:bCs/>
          <w:sz w:val="16"/>
          <w:szCs w:val="16"/>
        </w:rPr>
        <w:t xml:space="preserve">, </w:t>
      </w:r>
      <w:r w:rsidRPr="00D52EC6">
        <w:rPr>
          <w:rFonts w:eastAsiaTheme="minorHAnsi"/>
          <w:bCs/>
          <w:sz w:val="16"/>
          <w:szCs w:val="16"/>
        </w:rPr>
        <w:t>[ef_lus_main]</w:t>
      </w:r>
      <w:r>
        <w:rPr>
          <w:rStyle w:val="Sprotnaopomba-sklic"/>
          <w:rFonts w:eastAsiaTheme="minorHAnsi"/>
          <w:bCs/>
        </w:rPr>
        <w:footnoteReference w:id="7"/>
      </w:r>
      <w:r>
        <w:rPr>
          <w:rFonts w:eastAsiaTheme="minorHAnsi"/>
          <w:bCs/>
          <w:sz w:val="16"/>
          <w:szCs w:val="16"/>
        </w:rPr>
        <w:t>.</w:t>
      </w:r>
    </w:p>
    <w:p w14:paraId="49B35930" w14:textId="77777777" w:rsidR="004C482A" w:rsidRDefault="004C482A" w:rsidP="007613FE">
      <w:pPr>
        <w:pStyle w:val="Odstavek1"/>
        <w:rPr>
          <w:rFonts w:eastAsiaTheme="minorHAnsi"/>
          <w:lang w:eastAsia="en-US"/>
        </w:rPr>
      </w:pPr>
    </w:p>
    <w:p w14:paraId="007167EC" w14:textId="516A924F" w:rsidR="00405E4E" w:rsidRDefault="00D91D65" w:rsidP="005B2A49">
      <w:pPr>
        <w:rPr>
          <w:rFonts w:eastAsiaTheme="minorHAnsi"/>
          <w:lang w:eastAsia="en-US"/>
        </w:rPr>
      </w:pPr>
      <w:r>
        <w:rPr>
          <w:rFonts w:eastAsiaTheme="minorHAnsi"/>
          <w:lang w:eastAsia="en-US"/>
        </w:rPr>
        <w:t>Bruto investicij</w:t>
      </w:r>
      <w:r w:rsidR="00D13ED1">
        <w:rPr>
          <w:rFonts w:eastAsiaTheme="minorHAnsi"/>
          <w:lang w:eastAsia="en-US"/>
        </w:rPr>
        <w:t>e</w:t>
      </w:r>
      <w:r>
        <w:rPr>
          <w:rFonts w:eastAsiaTheme="minorHAnsi"/>
          <w:lang w:eastAsia="en-US"/>
        </w:rPr>
        <w:t xml:space="preserve"> v osnovna sredstva</w:t>
      </w:r>
      <w:r w:rsidR="005E398A">
        <w:rPr>
          <w:rFonts w:eastAsiaTheme="minorHAnsi"/>
          <w:lang w:eastAsia="en-US"/>
        </w:rPr>
        <w:t xml:space="preserve"> na </w:t>
      </w:r>
      <w:r w:rsidR="00CA507C">
        <w:rPr>
          <w:rFonts w:eastAsiaTheme="minorHAnsi"/>
          <w:lang w:eastAsia="en-US"/>
        </w:rPr>
        <w:t>PDM</w:t>
      </w:r>
      <w:r w:rsidR="00405E4E">
        <w:rPr>
          <w:rFonts w:eastAsiaTheme="minorHAnsi"/>
          <w:lang w:eastAsia="en-US"/>
        </w:rPr>
        <w:t xml:space="preserve"> </w:t>
      </w:r>
      <w:r w:rsidR="00EB3B48" w:rsidRPr="00852E36">
        <w:rPr>
          <w:rFonts w:eastAsiaTheme="minorHAnsi"/>
          <w:lang w:eastAsia="en-US"/>
        </w:rPr>
        <w:t>so v 201</w:t>
      </w:r>
      <w:r w:rsidR="004A3DCE">
        <w:rPr>
          <w:rFonts w:eastAsiaTheme="minorHAnsi"/>
          <w:lang w:eastAsia="en-US"/>
        </w:rPr>
        <w:t>8</w:t>
      </w:r>
      <w:r w:rsidR="00EB3B48" w:rsidRPr="00852E36">
        <w:rPr>
          <w:rFonts w:eastAsiaTheme="minorHAnsi"/>
          <w:lang w:eastAsia="en-US"/>
        </w:rPr>
        <w:t xml:space="preserve"> v Sloveniji znašal</w:t>
      </w:r>
      <w:r>
        <w:rPr>
          <w:rFonts w:eastAsiaTheme="minorHAnsi"/>
          <w:lang w:eastAsia="en-US"/>
        </w:rPr>
        <w:t>e</w:t>
      </w:r>
      <w:r w:rsidR="00EB3B48" w:rsidRPr="00852E36">
        <w:rPr>
          <w:rFonts w:eastAsiaTheme="minorHAnsi"/>
          <w:lang w:eastAsia="en-US"/>
        </w:rPr>
        <w:t xml:space="preserve"> </w:t>
      </w:r>
      <w:r w:rsidR="004A3DCE">
        <w:rPr>
          <w:rFonts w:eastAsiaTheme="minorHAnsi"/>
          <w:lang w:eastAsia="en-US"/>
        </w:rPr>
        <w:t>3.913</w:t>
      </w:r>
      <w:r w:rsidR="00EB3B48" w:rsidRPr="00852E36">
        <w:rPr>
          <w:rFonts w:eastAsiaTheme="minorHAnsi"/>
          <w:lang w:eastAsia="en-US"/>
        </w:rPr>
        <w:t xml:space="preserve"> EUR</w:t>
      </w:r>
      <w:r w:rsidR="00047BAB">
        <w:rPr>
          <w:rFonts w:eastAsiaTheme="minorHAnsi"/>
          <w:lang w:eastAsia="en-US"/>
        </w:rPr>
        <w:t xml:space="preserve"> in so bil</w:t>
      </w:r>
      <w:r>
        <w:rPr>
          <w:rFonts w:eastAsiaTheme="minorHAnsi"/>
          <w:lang w:eastAsia="en-US"/>
        </w:rPr>
        <w:t>e</w:t>
      </w:r>
      <w:r w:rsidR="00047BAB">
        <w:rPr>
          <w:rFonts w:eastAsiaTheme="minorHAnsi"/>
          <w:lang w:eastAsia="en-US"/>
        </w:rPr>
        <w:t xml:space="preserve"> za </w:t>
      </w:r>
      <w:r w:rsidR="004A3DCE">
        <w:rPr>
          <w:rFonts w:eastAsiaTheme="minorHAnsi"/>
          <w:lang w:eastAsia="en-US"/>
        </w:rPr>
        <w:t>62</w:t>
      </w:r>
      <w:r w:rsidR="00047BAB">
        <w:rPr>
          <w:rFonts w:eastAsiaTheme="minorHAnsi"/>
          <w:lang w:eastAsia="en-US"/>
        </w:rPr>
        <w:t xml:space="preserve"> % višj</w:t>
      </w:r>
      <w:r>
        <w:rPr>
          <w:rFonts w:eastAsiaTheme="minorHAnsi"/>
          <w:lang w:eastAsia="en-US"/>
        </w:rPr>
        <w:t>e</w:t>
      </w:r>
      <w:r w:rsidR="00047BAB">
        <w:rPr>
          <w:rFonts w:eastAsiaTheme="minorHAnsi"/>
          <w:lang w:eastAsia="en-US"/>
        </w:rPr>
        <w:t xml:space="preserve"> </w:t>
      </w:r>
      <w:r w:rsidR="004A3DCE">
        <w:rPr>
          <w:rFonts w:eastAsiaTheme="minorHAnsi"/>
          <w:lang w:eastAsia="en-US"/>
        </w:rPr>
        <w:t xml:space="preserve">glede na </w:t>
      </w:r>
      <w:r w:rsidR="00047BAB">
        <w:rPr>
          <w:rFonts w:eastAsiaTheme="minorHAnsi"/>
          <w:lang w:eastAsia="en-US"/>
        </w:rPr>
        <w:t>2005.</w:t>
      </w:r>
      <w:r w:rsidR="00EB3B48" w:rsidRPr="00852E36">
        <w:rPr>
          <w:rFonts w:eastAsiaTheme="minorHAnsi"/>
          <w:lang w:eastAsia="en-US"/>
        </w:rPr>
        <w:t xml:space="preserve"> </w:t>
      </w:r>
      <w:r w:rsidR="005E398A">
        <w:rPr>
          <w:rFonts w:eastAsiaTheme="minorHAnsi"/>
          <w:lang w:eastAsia="en-US"/>
        </w:rPr>
        <w:t xml:space="preserve">Iz </w:t>
      </w:r>
      <w:r w:rsidR="00905930">
        <w:rPr>
          <w:rFonts w:eastAsiaTheme="minorHAnsi"/>
          <w:lang w:eastAsia="en-US"/>
        </w:rPr>
        <w:t>ponazoritve (</w:t>
      </w:r>
      <w:r w:rsidR="000150AF">
        <w:rPr>
          <w:rFonts w:eastAsiaTheme="minorHAnsi"/>
          <w:lang w:eastAsia="en-US"/>
        </w:rPr>
        <w:fldChar w:fldCharType="begin"/>
      </w:r>
      <w:r w:rsidR="000150AF">
        <w:rPr>
          <w:rFonts w:eastAsiaTheme="minorHAnsi"/>
          <w:lang w:eastAsia="en-US"/>
        </w:rPr>
        <w:instrText xml:space="preserve"> REF _Ref54806519 \h </w:instrText>
      </w:r>
      <w:r w:rsidR="007613FE">
        <w:rPr>
          <w:rFonts w:eastAsiaTheme="minorHAnsi"/>
          <w:lang w:eastAsia="en-US"/>
        </w:rPr>
        <w:instrText xml:space="preserve"> \* MERGEFORMAT </w:instrText>
      </w:r>
      <w:r w:rsidR="000150AF">
        <w:rPr>
          <w:rFonts w:eastAsiaTheme="minorHAnsi"/>
          <w:lang w:eastAsia="en-US"/>
        </w:rPr>
      </w:r>
      <w:r w:rsidR="000150AF">
        <w:rPr>
          <w:rFonts w:eastAsiaTheme="minorHAnsi"/>
          <w:lang w:eastAsia="en-US"/>
        </w:rPr>
        <w:fldChar w:fldCharType="separate"/>
      </w:r>
      <w:r w:rsidR="0088117A" w:rsidRPr="0088117A">
        <w:rPr>
          <w:szCs w:val="16"/>
        </w:rPr>
        <w:t>Slika</w:t>
      </w:r>
      <w:r w:rsidR="0088117A" w:rsidRPr="0088117A">
        <w:rPr>
          <w:noProof/>
          <w:szCs w:val="16"/>
        </w:rPr>
        <w:t xml:space="preserve"> 18</w:t>
      </w:r>
      <w:r w:rsidR="000150AF">
        <w:rPr>
          <w:rFonts w:eastAsiaTheme="minorHAnsi"/>
          <w:lang w:eastAsia="en-US"/>
        </w:rPr>
        <w:fldChar w:fldCharType="end"/>
      </w:r>
      <w:r w:rsidR="00905930">
        <w:rPr>
          <w:rFonts w:eastAsiaTheme="minorHAnsi"/>
          <w:lang w:eastAsia="en-US"/>
        </w:rPr>
        <w:t>)</w:t>
      </w:r>
      <w:r w:rsidR="005E398A">
        <w:rPr>
          <w:rFonts w:eastAsiaTheme="minorHAnsi"/>
          <w:lang w:eastAsia="en-US"/>
        </w:rPr>
        <w:t xml:space="preserve"> je razvidno,</w:t>
      </w:r>
      <w:r w:rsidR="00405E4E">
        <w:rPr>
          <w:rFonts w:eastAsiaTheme="minorHAnsi"/>
          <w:lang w:eastAsia="en-US"/>
        </w:rPr>
        <w:t xml:space="preserve"> </w:t>
      </w:r>
      <w:r w:rsidR="005E398A">
        <w:rPr>
          <w:rFonts w:eastAsiaTheme="minorHAnsi"/>
          <w:lang w:eastAsia="en-US"/>
        </w:rPr>
        <w:t xml:space="preserve">da </w:t>
      </w:r>
      <w:r w:rsidR="00405E4E">
        <w:rPr>
          <w:rFonts w:eastAsiaTheme="minorHAnsi"/>
          <w:lang w:eastAsia="en-US"/>
        </w:rPr>
        <w:t xml:space="preserve">so </w:t>
      </w:r>
      <w:r w:rsidR="005E398A">
        <w:rPr>
          <w:rFonts w:eastAsiaTheme="minorHAnsi"/>
          <w:lang w:eastAsia="en-US"/>
        </w:rPr>
        <w:t>b</w:t>
      </w:r>
      <w:r w:rsidR="005E398A" w:rsidRPr="005E398A">
        <w:rPr>
          <w:rFonts w:eastAsiaTheme="minorHAnsi"/>
          <w:lang w:eastAsia="en-US"/>
        </w:rPr>
        <w:t>ruto investicij</w:t>
      </w:r>
      <w:r w:rsidR="005E398A">
        <w:rPr>
          <w:rFonts w:eastAsiaTheme="minorHAnsi"/>
          <w:lang w:eastAsia="en-US"/>
        </w:rPr>
        <w:t>e</w:t>
      </w:r>
      <w:r w:rsidR="005E398A" w:rsidRPr="005E398A">
        <w:rPr>
          <w:rFonts w:eastAsiaTheme="minorHAnsi"/>
          <w:lang w:eastAsia="en-US"/>
        </w:rPr>
        <w:t xml:space="preserve"> v osnovna sredstva</w:t>
      </w:r>
      <w:r w:rsidR="005E398A">
        <w:rPr>
          <w:rFonts w:eastAsiaTheme="minorHAnsi"/>
          <w:lang w:eastAsia="en-US"/>
        </w:rPr>
        <w:t xml:space="preserve"> na PDM</w:t>
      </w:r>
      <w:r w:rsidR="005E398A" w:rsidRPr="005E398A">
        <w:rPr>
          <w:rFonts w:eastAsiaTheme="minorHAnsi"/>
          <w:lang w:eastAsia="en-US"/>
        </w:rPr>
        <w:t xml:space="preserve"> </w:t>
      </w:r>
      <w:r w:rsidR="00405E4E">
        <w:rPr>
          <w:rFonts w:eastAsiaTheme="minorHAnsi"/>
          <w:lang w:eastAsia="en-US"/>
        </w:rPr>
        <w:t xml:space="preserve">od 2005 do 2008 sledile trendom rasti na nivoju EU, ob </w:t>
      </w:r>
      <w:r w:rsidR="00CF3225">
        <w:rPr>
          <w:rFonts w:eastAsiaTheme="minorHAnsi"/>
          <w:lang w:eastAsia="en-US"/>
        </w:rPr>
        <w:t xml:space="preserve">izbruhu </w:t>
      </w:r>
      <w:r w:rsidR="00405E4E">
        <w:rPr>
          <w:rFonts w:eastAsiaTheme="minorHAnsi"/>
          <w:lang w:eastAsia="en-US"/>
        </w:rPr>
        <w:t xml:space="preserve">in po krizi pa padale do leta 2012. V obdobju 2005–2018 je stopnja rasti </w:t>
      </w:r>
      <w:r w:rsidR="00CF3225">
        <w:rPr>
          <w:rFonts w:eastAsiaTheme="minorHAnsi"/>
          <w:lang w:eastAsia="en-US"/>
        </w:rPr>
        <w:t>investicijskih vlaganj na PDM v slovenskem in v evropskem kmetijstvu približno enaka (62 % za Slovenijo; 60 % za EU-28), je pa v Sloveniji v zadnjih 3 letih opazna bolj strma</w:t>
      </w:r>
      <w:r w:rsidR="00405E4E">
        <w:rPr>
          <w:rFonts w:eastAsiaTheme="minorHAnsi"/>
          <w:lang w:eastAsia="en-US"/>
        </w:rPr>
        <w:t xml:space="preserve"> rast </w:t>
      </w:r>
      <w:r w:rsidR="00CF3225">
        <w:rPr>
          <w:rFonts w:eastAsiaTheme="minorHAnsi"/>
          <w:lang w:eastAsia="en-US"/>
        </w:rPr>
        <w:t xml:space="preserve">tega </w:t>
      </w:r>
      <w:r w:rsidR="00405E4E">
        <w:rPr>
          <w:rFonts w:eastAsiaTheme="minorHAnsi"/>
          <w:lang w:eastAsia="en-US"/>
        </w:rPr>
        <w:t xml:space="preserve">kazalnika </w:t>
      </w:r>
      <w:r w:rsidR="00CF3225">
        <w:rPr>
          <w:rFonts w:eastAsiaTheme="minorHAnsi"/>
          <w:lang w:eastAsia="en-US"/>
        </w:rPr>
        <w:t xml:space="preserve">kot </w:t>
      </w:r>
      <w:r w:rsidR="00405E4E">
        <w:rPr>
          <w:rFonts w:eastAsiaTheme="minorHAnsi"/>
          <w:lang w:eastAsia="en-US"/>
        </w:rPr>
        <w:t>v povprečju EU-28</w:t>
      </w:r>
      <w:r w:rsidR="00CF3225">
        <w:rPr>
          <w:rFonts w:eastAsiaTheme="minorHAnsi"/>
          <w:lang w:eastAsia="en-US"/>
        </w:rPr>
        <w:t xml:space="preserve">, na podlagi česar lahko sklepamo na postopno približevanje povprečju EU, čeprav je zaostanek Slovenije na tem področju še </w:t>
      </w:r>
      <w:r w:rsidR="005E398A">
        <w:rPr>
          <w:rFonts w:eastAsiaTheme="minorHAnsi"/>
          <w:lang w:eastAsia="en-US"/>
        </w:rPr>
        <w:t>vedno</w:t>
      </w:r>
      <w:r w:rsidR="00CF3225">
        <w:rPr>
          <w:rFonts w:eastAsiaTheme="minorHAnsi"/>
          <w:lang w:eastAsia="en-US"/>
        </w:rPr>
        <w:t xml:space="preserve"> precejšen. </w:t>
      </w:r>
      <w:r w:rsidR="00405E4E">
        <w:rPr>
          <w:rFonts w:eastAsiaTheme="minorHAnsi"/>
          <w:lang w:eastAsia="en-US"/>
        </w:rPr>
        <w:t xml:space="preserve"> </w:t>
      </w:r>
    </w:p>
    <w:p w14:paraId="19AC8847" w14:textId="77777777" w:rsidR="00E440A2" w:rsidRDefault="00E440A2" w:rsidP="007613FE">
      <w:pPr>
        <w:pStyle w:val="Odstavek1"/>
        <w:rPr>
          <w:rFonts w:eastAsiaTheme="minorHAnsi"/>
          <w:lang w:eastAsia="en-US"/>
        </w:rPr>
      </w:pPr>
    </w:p>
    <w:p w14:paraId="0AF4C079" w14:textId="37B6F05F" w:rsidR="00E440A2" w:rsidRPr="00E440A2" w:rsidRDefault="00E440A2" w:rsidP="00DA2C5A">
      <w:pPr>
        <w:pStyle w:val="SCSlika0"/>
      </w:pPr>
      <w:bookmarkStart w:id="74" w:name="_Ref54806519"/>
      <w:bookmarkStart w:id="75" w:name="_Toc86822690"/>
      <w:r w:rsidRPr="009D387C">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18</w:t>
      </w:r>
      <w:r w:rsidR="009F2591">
        <w:rPr>
          <w:noProof/>
        </w:rPr>
        <w:fldChar w:fldCharType="end"/>
      </w:r>
      <w:bookmarkEnd w:id="74"/>
      <w:r w:rsidRPr="009D387C">
        <w:t xml:space="preserve">: </w:t>
      </w:r>
      <w:r w:rsidRPr="00E440A2">
        <w:t>Bruto investicije v osnovna sredstva na polnovredno delovno moč</w:t>
      </w:r>
      <w:r w:rsidR="008829B9">
        <w:t xml:space="preserve"> v obdobju 2005–2018</w:t>
      </w:r>
      <w:r w:rsidRPr="00E440A2">
        <w:t>, Slovenija, EU-28 in EU-27, v tekočih cenah, v EUR</w:t>
      </w:r>
      <w:bookmarkEnd w:id="75"/>
    </w:p>
    <w:p w14:paraId="6A88952B" w14:textId="77777777" w:rsidR="004A3DCE" w:rsidRDefault="00405E4E" w:rsidP="009F3567">
      <w:pPr>
        <w:spacing w:before="0" w:line="276" w:lineRule="auto"/>
        <w:rPr>
          <w:rFonts w:eastAsiaTheme="minorHAnsi"/>
          <w:sz w:val="20"/>
          <w:szCs w:val="22"/>
          <w:lang w:eastAsia="en-US"/>
        </w:rPr>
      </w:pPr>
      <w:r>
        <w:rPr>
          <w:noProof/>
          <w:lang w:eastAsia="sl-SI"/>
        </w:rPr>
        <w:drawing>
          <wp:inline distT="0" distB="0" distL="0" distR="0" wp14:anchorId="23748ADA" wp14:editId="6996B7A9">
            <wp:extent cx="5439335" cy="2339788"/>
            <wp:effectExtent l="0" t="0" r="9525" b="3810"/>
            <wp:docPr id="1631865556" name="Grafikon 1631865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CF8574" w14:textId="77777777" w:rsidR="004A3DCE" w:rsidRPr="00875DD8" w:rsidRDefault="00493350" w:rsidP="00875DD8">
      <w:pPr>
        <w:spacing w:before="0" w:line="276" w:lineRule="auto"/>
        <w:rPr>
          <w:rFonts w:eastAsiaTheme="minorHAnsi"/>
          <w:sz w:val="16"/>
          <w:szCs w:val="22"/>
          <w:lang w:eastAsia="en-US"/>
        </w:rPr>
      </w:pPr>
      <w:r w:rsidRPr="00875DD8">
        <w:rPr>
          <w:rFonts w:eastAsiaTheme="minorHAnsi"/>
          <w:sz w:val="16"/>
          <w:szCs w:val="22"/>
          <w:lang w:eastAsia="en-US"/>
        </w:rPr>
        <w:t>Vir: Eurostat, preračun MKGP</w:t>
      </w:r>
    </w:p>
    <w:p w14:paraId="783F6171" w14:textId="77777777" w:rsidR="004A3DCE" w:rsidRDefault="004A3DCE" w:rsidP="00875DD8">
      <w:pPr>
        <w:spacing w:before="0" w:line="276" w:lineRule="auto"/>
        <w:rPr>
          <w:rFonts w:eastAsiaTheme="minorHAnsi"/>
          <w:sz w:val="20"/>
          <w:szCs w:val="22"/>
          <w:lang w:eastAsia="en-US"/>
        </w:rPr>
      </w:pPr>
    </w:p>
    <w:p w14:paraId="328A35FF" w14:textId="606CF650" w:rsidR="004D40E8" w:rsidRDefault="004D40E8" w:rsidP="007613FE">
      <w:pPr>
        <w:pStyle w:val="Pripombabesedilo"/>
        <w:spacing w:before="0" w:line="260" w:lineRule="atLeast"/>
        <w:rPr>
          <w:rFonts w:ascii="Arial" w:eastAsiaTheme="minorHAnsi" w:hAnsi="Arial"/>
          <w:b/>
          <w:i/>
          <w:u w:val="single"/>
        </w:rPr>
      </w:pPr>
    </w:p>
    <w:p w14:paraId="4F325113" w14:textId="77777777" w:rsidR="00DC0BD7" w:rsidRPr="00875DD8" w:rsidRDefault="00DC0BD7" w:rsidP="007613FE">
      <w:pPr>
        <w:pStyle w:val="Pripombabesedilo"/>
        <w:spacing w:before="0" w:line="260" w:lineRule="atLeast"/>
        <w:rPr>
          <w:rFonts w:ascii="Arial" w:eastAsiaTheme="minorHAnsi" w:hAnsi="Arial"/>
          <w:b/>
          <w:i/>
          <w:u w:val="single"/>
        </w:rPr>
      </w:pPr>
    </w:p>
    <w:p w14:paraId="7B463A8B" w14:textId="77777777" w:rsidR="004D40E8" w:rsidRDefault="004D40E8" w:rsidP="005B2A49">
      <w:pPr>
        <w:pStyle w:val="Naslov3"/>
        <w:rPr>
          <w:rFonts w:eastAsiaTheme="minorHAnsi"/>
        </w:rPr>
      </w:pPr>
      <w:bookmarkStart w:id="76" w:name="_Toc86822544"/>
      <w:r w:rsidRPr="00875DD8">
        <w:rPr>
          <w:rFonts w:eastAsiaTheme="minorHAnsi"/>
        </w:rPr>
        <w:t>Investicije v kmetijstvu preko PRP 2007–2013 in PRP 2014-2020</w:t>
      </w:r>
      <w:bookmarkEnd w:id="76"/>
    </w:p>
    <w:p w14:paraId="5040EE91" w14:textId="77777777" w:rsidR="00236ED0" w:rsidRDefault="00236ED0" w:rsidP="007613FE">
      <w:pPr>
        <w:pStyle w:val="Pripombabesedilo"/>
        <w:spacing w:before="0" w:line="260" w:lineRule="atLeast"/>
        <w:rPr>
          <w:rFonts w:ascii="Arial" w:eastAsiaTheme="minorHAnsi" w:hAnsi="Arial"/>
          <w:b/>
          <w:i/>
          <w:u w:val="single"/>
        </w:rPr>
      </w:pPr>
    </w:p>
    <w:p w14:paraId="5625E538" w14:textId="56A22A29" w:rsidR="00617F7D" w:rsidRDefault="00617F7D" w:rsidP="00DA2C5A">
      <w:pPr>
        <w:rPr>
          <w:rFonts w:eastAsiaTheme="minorHAnsi"/>
        </w:rPr>
      </w:pPr>
      <w:r>
        <w:rPr>
          <w:rFonts w:eastAsiaTheme="minorHAnsi"/>
        </w:rPr>
        <w:t xml:space="preserve">Naložbe </w:t>
      </w:r>
      <w:r w:rsidR="00922149">
        <w:rPr>
          <w:rFonts w:eastAsiaTheme="minorHAnsi"/>
        </w:rPr>
        <w:t xml:space="preserve">v osnovna sredstva v kmetijstvu so bila v zadnjih dveh programskih obdobjih 2007–2013 in 2014–2020 močno </w:t>
      </w:r>
      <w:r w:rsidR="00905930">
        <w:rPr>
          <w:rFonts w:eastAsiaTheme="minorHAnsi"/>
        </w:rPr>
        <w:t xml:space="preserve">spodbujene </w:t>
      </w:r>
      <w:r w:rsidR="00922149">
        <w:rPr>
          <w:rFonts w:eastAsiaTheme="minorHAnsi"/>
        </w:rPr>
        <w:t xml:space="preserve">tudi zaradi nepovratnih sredstev programa razvoja podeželja. </w:t>
      </w:r>
    </w:p>
    <w:p w14:paraId="1A135801" w14:textId="77777777" w:rsidR="008551AD" w:rsidRDefault="008551AD" w:rsidP="007613FE">
      <w:pPr>
        <w:pStyle w:val="Pripombabesedilo"/>
        <w:spacing w:before="0" w:line="260" w:lineRule="atLeast"/>
        <w:rPr>
          <w:rFonts w:ascii="Arial" w:eastAsiaTheme="minorHAnsi" w:hAnsi="Arial"/>
        </w:rPr>
      </w:pPr>
    </w:p>
    <w:p w14:paraId="39FA71CA" w14:textId="58161FA5" w:rsidR="00A87628" w:rsidRDefault="00A87628" w:rsidP="007613FE">
      <w:pPr>
        <w:pStyle w:val="Odstavek1"/>
        <w:rPr>
          <w:rFonts w:eastAsiaTheme="minorHAnsi"/>
        </w:rPr>
      </w:pPr>
      <w:r w:rsidRPr="00975BEC">
        <w:rPr>
          <w:rFonts w:eastAsiaTheme="minorHAnsi"/>
        </w:rPr>
        <w:t>V okviru raziskav (</w:t>
      </w:r>
      <w:r w:rsidR="00546EBF" w:rsidRPr="00975BEC">
        <w:rPr>
          <w:rFonts w:eastAsia="Calibri"/>
          <w:lang w:val="en"/>
        </w:rPr>
        <w:t>Hlavsa</w:t>
      </w:r>
      <w:r w:rsidR="008551AD" w:rsidRPr="00975BEC">
        <w:rPr>
          <w:rFonts w:eastAsia="Calibri"/>
        </w:rPr>
        <w:t xml:space="preserve"> Tomáš</w:t>
      </w:r>
      <w:r w:rsidR="008551AD" w:rsidRPr="00975BEC">
        <w:rPr>
          <w:lang w:val="en"/>
        </w:rPr>
        <w:t xml:space="preserve">; </w:t>
      </w:r>
      <w:r w:rsidR="008551AD" w:rsidRPr="00975BEC">
        <w:rPr>
          <w:rFonts w:eastAsia="Calibri"/>
        </w:rPr>
        <w:t>Hruška Martin</w:t>
      </w:r>
      <w:r w:rsidR="008551AD" w:rsidRPr="00975BEC">
        <w:rPr>
          <w:lang w:val="en"/>
        </w:rPr>
        <w:t xml:space="preserve">; </w:t>
      </w:r>
      <w:r w:rsidR="008551AD" w:rsidRPr="00975BEC">
        <w:rPr>
          <w:rFonts w:eastAsia="Calibri"/>
        </w:rPr>
        <w:t>Turková Edita</w:t>
      </w:r>
      <w:r w:rsidR="008551AD" w:rsidRPr="00975BEC">
        <w:rPr>
          <w:lang w:val="en"/>
        </w:rPr>
        <w:t>, 2017)</w:t>
      </w:r>
      <w:r w:rsidRPr="00975BEC">
        <w:rPr>
          <w:rFonts w:eastAsiaTheme="minorHAnsi"/>
        </w:rPr>
        <w:t>, ki so proučevale vpliv javne podpore investicijam na povečanje učinkovitosti kmetijske proizvodnje ter produktivnosti dela v kmetijstvu, je bilo ugotovljeno, da obstaja pozitivno razmerje med investicij</w:t>
      </w:r>
      <w:r w:rsidR="008551AD" w:rsidRPr="00975BEC">
        <w:rPr>
          <w:rFonts w:eastAsiaTheme="minorHAnsi"/>
        </w:rPr>
        <w:t xml:space="preserve">sko podporo (v okviru kmetijske politike) </w:t>
      </w:r>
      <w:r w:rsidRPr="00975BEC">
        <w:rPr>
          <w:rFonts w:eastAsiaTheme="minorHAnsi"/>
        </w:rPr>
        <w:t>ter p</w:t>
      </w:r>
      <w:r w:rsidR="008551AD" w:rsidRPr="00975BEC">
        <w:rPr>
          <w:rFonts w:eastAsiaTheme="minorHAnsi"/>
        </w:rPr>
        <w:t>ovečanjem kmetijske proizvodnje</w:t>
      </w:r>
      <w:r w:rsidR="00546EBF" w:rsidRPr="00975BEC">
        <w:rPr>
          <w:rFonts w:eastAsiaTheme="minorHAnsi"/>
        </w:rPr>
        <w:t xml:space="preserve"> oz.</w:t>
      </w:r>
      <w:r w:rsidR="008551AD" w:rsidRPr="00975BEC">
        <w:rPr>
          <w:rFonts w:eastAsiaTheme="minorHAnsi"/>
        </w:rPr>
        <w:t xml:space="preserve"> </w:t>
      </w:r>
      <w:r w:rsidRPr="00975BEC">
        <w:rPr>
          <w:rFonts w:eastAsiaTheme="minorHAnsi"/>
        </w:rPr>
        <w:t>produktivnosti dela</w:t>
      </w:r>
      <w:r w:rsidR="008551AD" w:rsidRPr="00975BEC">
        <w:rPr>
          <w:rFonts w:eastAsiaTheme="minorHAnsi"/>
        </w:rPr>
        <w:t xml:space="preserve"> pa tudi dobičkonosnosti kmetij</w:t>
      </w:r>
      <w:r w:rsidRPr="00975BEC">
        <w:rPr>
          <w:rFonts w:eastAsiaTheme="minorHAnsi"/>
        </w:rPr>
        <w:t xml:space="preserve">. </w:t>
      </w:r>
    </w:p>
    <w:p w14:paraId="5FA287EA" w14:textId="475193D0" w:rsidR="00617F7D" w:rsidRDefault="00617F7D" w:rsidP="007613FE">
      <w:pPr>
        <w:pStyle w:val="Odstavek1"/>
        <w:rPr>
          <w:rFonts w:eastAsiaTheme="minorHAnsi"/>
        </w:rPr>
      </w:pPr>
    </w:p>
    <w:p w14:paraId="5DEE4BF3" w14:textId="29B09BD8" w:rsidR="00617F7D" w:rsidRDefault="00617F7D" w:rsidP="007613FE">
      <w:pPr>
        <w:pStyle w:val="Odstavek1"/>
        <w:rPr>
          <w:rFonts w:eastAsiaTheme="minorHAnsi"/>
          <w:szCs w:val="22"/>
          <w:lang w:eastAsia="en-US"/>
        </w:rPr>
      </w:pPr>
      <w:r w:rsidRPr="00A72F80">
        <w:rPr>
          <w:rFonts w:eastAsiaTheme="minorHAnsi"/>
          <w:szCs w:val="22"/>
          <w:lang w:eastAsia="en-US"/>
        </w:rPr>
        <w:t xml:space="preserve">V programskem obdobju 2007-2013 je bilo s sredstvi </w:t>
      </w:r>
      <w:r w:rsidR="008B387B">
        <w:rPr>
          <w:rFonts w:eastAsiaTheme="minorHAnsi"/>
          <w:szCs w:val="22"/>
          <w:lang w:eastAsia="en-US"/>
        </w:rPr>
        <w:t>PRP</w:t>
      </w:r>
      <w:r w:rsidRPr="00A72F80">
        <w:rPr>
          <w:rFonts w:eastAsiaTheme="minorHAnsi"/>
          <w:szCs w:val="22"/>
          <w:lang w:eastAsia="en-US"/>
        </w:rPr>
        <w:t xml:space="preserve"> 2007–2013 sofinanciranih 3.086 naložb v osnovna sredstva, in sicer višini 125.785.536 evrov, pri čemer je povprečen izplačan znesek na odobreno vlogo znašal 40.760 evrov. </w:t>
      </w:r>
    </w:p>
    <w:p w14:paraId="19E49973" w14:textId="77777777" w:rsidR="00617F7D" w:rsidRDefault="00617F7D" w:rsidP="007613FE">
      <w:pPr>
        <w:pStyle w:val="Odstavek1"/>
        <w:rPr>
          <w:rFonts w:eastAsiaTheme="minorHAnsi"/>
          <w:szCs w:val="22"/>
          <w:lang w:eastAsia="en-US"/>
        </w:rPr>
      </w:pPr>
    </w:p>
    <w:p w14:paraId="71DF8107" w14:textId="77777777" w:rsidR="00617F7D" w:rsidRDefault="00617F7D" w:rsidP="007613FE">
      <w:pPr>
        <w:pStyle w:val="Odstavek1"/>
        <w:rPr>
          <w:rFonts w:eastAsiaTheme="minorHAnsi"/>
          <w:szCs w:val="22"/>
          <w:lang w:eastAsia="en-US"/>
        </w:rPr>
      </w:pPr>
      <w:r w:rsidRPr="00875DD8">
        <w:rPr>
          <w:rFonts w:eastAsiaTheme="minorHAnsi"/>
          <w:szCs w:val="22"/>
          <w:lang w:eastAsia="en-US"/>
        </w:rPr>
        <w:t xml:space="preserve">Glede na </w:t>
      </w:r>
      <w:r>
        <w:rPr>
          <w:rFonts w:eastAsiaTheme="minorHAnsi"/>
          <w:szCs w:val="22"/>
          <w:lang w:eastAsia="en-US"/>
        </w:rPr>
        <w:t xml:space="preserve">celotno </w:t>
      </w:r>
      <w:r w:rsidRPr="00875DD8">
        <w:rPr>
          <w:rFonts w:eastAsiaTheme="minorHAnsi"/>
          <w:szCs w:val="22"/>
          <w:lang w:eastAsia="en-US"/>
        </w:rPr>
        <w:t xml:space="preserve">vrednost </w:t>
      </w:r>
      <w:r>
        <w:rPr>
          <w:rFonts w:eastAsiaTheme="minorHAnsi"/>
          <w:szCs w:val="22"/>
          <w:lang w:eastAsia="en-US"/>
        </w:rPr>
        <w:t xml:space="preserve">podprtih </w:t>
      </w:r>
      <w:r w:rsidRPr="00875DD8">
        <w:rPr>
          <w:rFonts w:eastAsiaTheme="minorHAnsi"/>
          <w:szCs w:val="22"/>
          <w:lang w:eastAsia="en-US"/>
        </w:rPr>
        <w:t>naložb je bilo n</w:t>
      </w:r>
      <w:r w:rsidRPr="00A72F80">
        <w:rPr>
          <w:rFonts w:eastAsiaTheme="minorHAnsi"/>
          <w:szCs w:val="22"/>
          <w:lang w:eastAsia="en-US"/>
        </w:rPr>
        <w:t>ajveč</w:t>
      </w:r>
      <w:r w:rsidRPr="00875DD8">
        <w:rPr>
          <w:rFonts w:eastAsiaTheme="minorHAnsi"/>
          <w:szCs w:val="22"/>
          <w:lang w:eastAsia="en-US"/>
        </w:rPr>
        <w:t xml:space="preserve"> naložb</w:t>
      </w:r>
      <w:r w:rsidRPr="00A72F80">
        <w:rPr>
          <w:rFonts w:eastAsiaTheme="minorHAnsi"/>
          <w:szCs w:val="22"/>
          <w:lang w:eastAsia="en-US"/>
        </w:rPr>
        <w:t xml:space="preserve">, </w:t>
      </w:r>
      <w:r w:rsidRPr="00875DD8">
        <w:rPr>
          <w:rFonts w:eastAsiaTheme="minorHAnsi"/>
          <w:szCs w:val="22"/>
          <w:lang w:eastAsia="en-US"/>
        </w:rPr>
        <w:t xml:space="preserve">tj. </w:t>
      </w:r>
      <w:r w:rsidRPr="00A72F80">
        <w:rPr>
          <w:rFonts w:eastAsiaTheme="minorHAnsi"/>
          <w:szCs w:val="22"/>
          <w:lang w:eastAsia="en-US"/>
        </w:rPr>
        <w:t>5</w:t>
      </w:r>
      <w:r w:rsidRPr="00875DD8">
        <w:rPr>
          <w:rFonts w:eastAsiaTheme="minorHAnsi"/>
          <w:szCs w:val="22"/>
          <w:lang w:eastAsia="en-US"/>
        </w:rPr>
        <w:t>3</w:t>
      </w:r>
      <w:r w:rsidRPr="00A72F80">
        <w:rPr>
          <w:rFonts w:eastAsiaTheme="minorHAnsi"/>
          <w:szCs w:val="22"/>
          <w:lang w:eastAsia="en-US"/>
        </w:rPr>
        <w:t xml:space="preserve"> % vseh podprtih naložb v programskem obdobju 2007-2013</w:t>
      </w:r>
      <w:r>
        <w:rPr>
          <w:rFonts w:eastAsiaTheme="minorHAnsi"/>
          <w:szCs w:val="22"/>
          <w:lang w:eastAsia="en-US"/>
        </w:rPr>
        <w:t>,</w:t>
      </w:r>
      <w:r w:rsidRPr="00A72F80">
        <w:rPr>
          <w:rFonts w:eastAsiaTheme="minorHAnsi"/>
          <w:szCs w:val="22"/>
          <w:lang w:eastAsia="en-US"/>
        </w:rPr>
        <w:t xml:space="preserve"> </w:t>
      </w:r>
      <w:r w:rsidRPr="00875DD8">
        <w:rPr>
          <w:rFonts w:eastAsiaTheme="minorHAnsi"/>
          <w:szCs w:val="22"/>
          <w:lang w:eastAsia="en-US"/>
        </w:rPr>
        <w:t xml:space="preserve">v zgradbe in kmetijske objekte (gospodarska poslopja, prodajni prostori za neposredno prodajo, rastlinjaki, trajni nasadi, mreže proti toči, pašniki in obore), sledijo naložbe v </w:t>
      </w:r>
      <w:r w:rsidRPr="00A72F80">
        <w:rPr>
          <w:rFonts w:eastAsiaTheme="minorHAnsi"/>
          <w:szCs w:val="22"/>
          <w:lang w:eastAsia="en-US"/>
        </w:rPr>
        <w:t>nakup kmetijske mehanizacije in opreme</w:t>
      </w:r>
      <w:r w:rsidRPr="00875DD8">
        <w:rPr>
          <w:rFonts w:eastAsiaTheme="minorHAnsi"/>
          <w:szCs w:val="22"/>
          <w:lang w:eastAsia="en-US"/>
        </w:rPr>
        <w:t xml:space="preserve"> (31 %) in ostale vrste naložb (npr. infrastruktura na kmetijskih gospodarstvih).</w:t>
      </w:r>
      <w:r w:rsidRPr="00A72F80">
        <w:rPr>
          <w:rFonts w:eastAsiaTheme="minorHAnsi"/>
          <w:szCs w:val="22"/>
          <w:lang w:eastAsia="en-US"/>
        </w:rPr>
        <w:t xml:space="preserve"> </w:t>
      </w:r>
      <w:r w:rsidRPr="00875DD8">
        <w:rPr>
          <w:rFonts w:eastAsiaTheme="minorHAnsi"/>
          <w:szCs w:val="22"/>
          <w:lang w:eastAsia="en-US"/>
        </w:rPr>
        <w:t>Podprtih naložb v</w:t>
      </w:r>
      <w:r w:rsidRPr="00A72F80">
        <w:rPr>
          <w:rFonts w:eastAsiaTheme="minorHAnsi"/>
          <w:szCs w:val="22"/>
          <w:lang w:eastAsia="en-US"/>
        </w:rPr>
        <w:t xml:space="preserve"> izboljšanje kmetijskih zemljišč</w:t>
      </w:r>
      <w:r w:rsidRPr="00875DD8">
        <w:rPr>
          <w:rFonts w:eastAsiaTheme="minorHAnsi"/>
          <w:szCs w:val="22"/>
          <w:lang w:eastAsia="en-US"/>
        </w:rPr>
        <w:t xml:space="preserve"> je bilo glede na njihovo vrednost le 2 %. </w:t>
      </w:r>
    </w:p>
    <w:p w14:paraId="2665E8D9" w14:textId="77777777" w:rsidR="00617F7D" w:rsidRDefault="00617F7D" w:rsidP="007613FE">
      <w:pPr>
        <w:pStyle w:val="Odstavek1"/>
        <w:rPr>
          <w:rFonts w:eastAsiaTheme="minorHAnsi"/>
          <w:szCs w:val="22"/>
          <w:lang w:eastAsia="en-US"/>
        </w:rPr>
      </w:pPr>
    </w:p>
    <w:p w14:paraId="17E7ABCA" w14:textId="53DBF3B7" w:rsidR="00617F7D" w:rsidRDefault="00617F7D" w:rsidP="00DA2C5A">
      <w:pPr>
        <w:pStyle w:val="SCSlika0"/>
        <w:rPr>
          <w:rFonts w:eastAsiaTheme="minorHAnsi"/>
          <w:bCs/>
        </w:rPr>
      </w:pPr>
      <w:bookmarkStart w:id="77" w:name="_Toc86822691"/>
      <w:r w:rsidRPr="009F3567">
        <w:rPr>
          <w:szCs w:val="16"/>
        </w:rPr>
        <w:lastRenderedPageBreak/>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88117A">
        <w:rPr>
          <w:noProof/>
          <w:szCs w:val="16"/>
        </w:rPr>
        <w:t>19</w:t>
      </w:r>
      <w:r w:rsidRPr="009F3567">
        <w:rPr>
          <w:noProof/>
          <w:szCs w:val="16"/>
        </w:rPr>
        <w:fldChar w:fldCharType="end"/>
      </w:r>
      <w:r w:rsidRPr="009F3567">
        <w:rPr>
          <w:szCs w:val="16"/>
        </w:rPr>
        <w:t>: Število odobrenih vlog in celotna vrednost podpr</w:t>
      </w:r>
      <w:r w:rsidRPr="009F3567">
        <w:t xml:space="preserve">tih naložb v osnovna sredstva </w:t>
      </w:r>
      <w:r w:rsidR="00E86ECB">
        <w:t xml:space="preserve">(v EUR) </w:t>
      </w:r>
      <w:r w:rsidRPr="009F3567">
        <w:t>v okviru ukrepa 121 PRP 2007-2013</w:t>
      </w:r>
      <w:r w:rsidRPr="009F3567">
        <w:rPr>
          <w:bCs/>
          <w:lang w:eastAsia="en-US"/>
        </w:rPr>
        <w:t>, stanje 31. 12. 2015</w:t>
      </w:r>
      <w:bookmarkEnd w:id="77"/>
    </w:p>
    <w:p w14:paraId="2DB63468" w14:textId="77777777" w:rsidR="00617F7D" w:rsidRDefault="00617F7D" w:rsidP="00DA2C5A">
      <w:pPr>
        <w:rPr>
          <w:rFonts w:eastAsiaTheme="minorHAnsi"/>
          <w:bCs/>
        </w:rPr>
      </w:pPr>
      <w:r>
        <w:rPr>
          <w:noProof/>
          <w:lang w:eastAsia="sl-SI"/>
        </w:rPr>
        <w:drawing>
          <wp:inline distT="0" distB="0" distL="0" distR="0" wp14:anchorId="615A4CF3" wp14:editId="6046F026">
            <wp:extent cx="5892800" cy="3234266"/>
            <wp:effectExtent l="0" t="0" r="12700" b="4445"/>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055352" w14:textId="7B0EDABC" w:rsidR="00617F7D" w:rsidRPr="00852E36" w:rsidRDefault="00C37C3E" w:rsidP="00617F7D">
      <w:pPr>
        <w:pStyle w:val="Pripombabesedilo"/>
        <w:spacing w:before="0" w:line="276" w:lineRule="auto"/>
        <w:rPr>
          <w:rFonts w:eastAsiaTheme="minorHAnsi"/>
          <w:bCs/>
          <w:sz w:val="16"/>
          <w:szCs w:val="16"/>
        </w:rPr>
      </w:pPr>
      <w:r>
        <w:rPr>
          <w:rFonts w:ascii="Arial" w:eastAsiaTheme="minorHAnsi" w:hAnsi="Arial"/>
          <w:bCs/>
          <w:sz w:val="16"/>
          <w:szCs w:val="16"/>
        </w:rPr>
        <w:t xml:space="preserve">Vir: </w:t>
      </w:r>
      <w:r w:rsidR="00617F7D">
        <w:rPr>
          <w:rFonts w:ascii="Arial" w:eastAsiaTheme="minorHAnsi" w:hAnsi="Arial"/>
          <w:bCs/>
          <w:sz w:val="16"/>
          <w:szCs w:val="16"/>
        </w:rPr>
        <w:t>MKGP</w:t>
      </w:r>
      <w:r>
        <w:rPr>
          <w:rFonts w:ascii="Arial" w:eastAsiaTheme="minorHAnsi" w:hAnsi="Arial"/>
          <w:bCs/>
          <w:sz w:val="16"/>
          <w:szCs w:val="16"/>
        </w:rPr>
        <w:t>.</w:t>
      </w:r>
    </w:p>
    <w:p w14:paraId="4E48A2B6" w14:textId="77777777" w:rsidR="00617F7D" w:rsidRDefault="00617F7D" w:rsidP="007613FE">
      <w:pPr>
        <w:pStyle w:val="Odstavek1"/>
        <w:rPr>
          <w:rFonts w:eastAsiaTheme="minorHAnsi"/>
        </w:rPr>
      </w:pPr>
    </w:p>
    <w:p w14:paraId="405A475D" w14:textId="110CD77B" w:rsidR="00FC7B0F" w:rsidRDefault="00A34306" w:rsidP="007613FE">
      <w:pPr>
        <w:pStyle w:val="Odstavek1"/>
        <w:rPr>
          <w:rFonts w:eastAsiaTheme="minorHAnsi"/>
          <w:bCs/>
        </w:rPr>
      </w:pPr>
      <w:r w:rsidRPr="005E4397">
        <w:rPr>
          <w:rFonts w:eastAsiaTheme="minorHAnsi"/>
        </w:rPr>
        <w:t>V programskem obdobju 2014</w:t>
      </w:r>
      <w:r w:rsidR="008B387B">
        <w:rPr>
          <w:rFonts w:eastAsiaTheme="minorHAnsi"/>
        </w:rPr>
        <w:t>–</w:t>
      </w:r>
      <w:r w:rsidRPr="005E4397">
        <w:rPr>
          <w:rFonts w:eastAsiaTheme="minorHAnsi"/>
        </w:rPr>
        <w:t xml:space="preserve">2020 je bilo v okviru podukrepa </w:t>
      </w:r>
      <w:r w:rsidR="00821CEE">
        <w:rPr>
          <w:rFonts w:eastAsiaTheme="minorHAnsi"/>
        </w:rPr>
        <w:t>M0</w:t>
      </w:r>
      <w:r w:rsidRPr="005E4397">
        <w:rPr>
          <w:rFonts w:eastAsiaTheme="minorHAnsi"/>
        </w:rPr>
        <w:t xml:space="preserve">4.1 </w:t>
      </w:r>
      <w:r w:rsidRPr="00F93A0D">
        <w:rPr>
          <w:rFonts w:eastAsiaTheme="minorHAnsi"/>
          <w:bCs/>
        </w:rPr>
        <w:t>Naložbe v osnovna sredstva</w:t>
      </w:r>
      <w:r w:rsidRPr="00F93A0D">
        <w:rPr>
          <w:rFonts w:eastAsiaTheme="minorHAnsi"/>
        </w:rPr>
        <w:t xml:space="preserve"> do 3</w:t>
      </w:r>
      <w:r w:rsidR="0080308B" w:rsidRPr="00875DD8">
        <w:rPr>
          <w:rFonts w:eastAsiaTheme="minorHAnsi"/>
        </w:rPr>
        <w:t>0</w:t>
      </w:r>
      <w:r w:rsidRPr="005E4397">
        <w:rPr>
          <w:rFonts w:eastAsiaTheme="minorHAnsi"/>
        </w:rPr>
        <w:t xml:space="preserve">. </w:t>
      </w:r>
      <w:r w:rsidR="0080308B" w:rsidRPr="00875DD8">
        <w:rPr>
          <w:rFonts w:eastAsiaTheme="minorHAnsi"/>
        </w:rPr>
        <w:t>4</w:t>
      </w:r>
      <w:r w:rsidRPr="005E4397">
        <w:rPr>
          <w:rFonts w:eastAsiaTheme="minorHAnsi"/>
        </w:rPr>
        <w:t xml:space="preserve">. </w:t>
      </w:r>
      <w:r w:rsidRPr="00875DD8">
        <w:rPr>
          <w:rFonts w:eastAsiaTheme="minorHAnsi"/>
        </w:rPr>
        <w:t>20</w:t>
      </w:r>
      <w:r w:rsidR="0080308B" w:rsidRPr="00875DD8">
        <w:rPr>
          <w:rFonts w:eastAsiaTheme="minorHAnsi"/>
        </w:rPr>
        <w:t>20</w:t>
      </w:r>
      <w:r w:rsidRPr="005E4397">
        <w:rPr>
          <w:rFonts w:eastAsiaTheme="minorHAnsi"/>
        </w:rPr>
        <w:t xml:space="preserve"> odobrenih 1.</w:t>
      </w:r>
      <w:r w:rsidR="0080308B" w:rsidRPr="00875DD8">
        <w:rPr>
          <w:rFonts w:eastAsiaTheme="minorHAnsi"/>
        </w:rPr>
        <w:t>435</w:t>
      </w:r>
      <w:r w:rsidRPr="005E4397">
        <w:rPr>
          <w:rFonts w:eastAsiaTheme="minorHAnsi"/>
        </w:rPr>
        <w:t xml:space="preserve"> vlog za </w:t>
      </w:r>
      <w:r w:rsidRPr="00A72F80">
        <w:rPr>
          <w:rFonts w:eastAsiaTheme="minorHAnsi"/>
        </w:rPr>
        <w:t xml:space="preserve">naložbe, katerih celotna vrednost znaša </w:t>
      </w:r>
      <w:r w:rsidR="0080308B" w:rsidRPr="00A72F80">
        <w:rPr>
          <w:rFonts w:eastAsiaTheme="minorHAnsi"/>
        </w:rPr>
        <w:t>259.571.988</w:t>
      </w:r>
      <w:r w:rsidR="0080308B" w:rsidRPr="00875DD8" w:rsidDel="0080308B">
        <w:rPr>
          <w:rFonts w:eastAsiaTheme="minorHAnsi"/>
        </w:rPr>
        <w:t xml:space="preserve"> </w:t>
      </w:r>
      <w:r w:rsidRPr="00A72F80">
        <w:rPr>
          <w:rFonts w:eastAsiaTheme="minorHAnsi"/>
        </w:rPr>
        <w:t>evrov</w:t>
      </w:r>
      <w:r w:rsidR="0080308B" w:rsidRPr="00A72F80">
        <w:rPr>
          <w:rFonts w:eastAsiaTheme="minorHAnsi"/>
        </w:rPr>
        <w:t xml:space="preserve">, </w:t>
      </w:r>
      <w:r w:rsidRPr="00A72F80">
        <w:rPr>
          <w:rFonts w:eastAsiaTheme="minorHAnsi"/>
          <w:bCs/>
        </w:rPr>
        <w:t>povpreč</w:t>
      </w:r>
      <w:r w:rsidR="0080308B" w:rsidRPr="00A72F80">
        <w:rPr>
          <w:rFonts w:eastAsiaTheme="minorHAnsi"/>
          <w:bCs/>
        </w:rPr>
        <w:t xml:space="preserve">na </w:t>
      </w:r>
      <w:r w:rsidR="00FB5251">
        <w:rPr>
          <w:rFonts w:eastAsiaTheme="minorHAnsi"/>
          <w:bCs/>
        </w:rPr>
        <w:t xml:space="preserve">višina odobrenih sredstev </w:t>
      </w:r>
      <w:r w:rsidR="0080308B" w:rsidRPr="00A72F80">
        <w:rPr>
          <w:rFonts w:eastAsiaTheme="minorHAnsi"/>
          <w:bCs/>
        </w:rPr>
        <w:t xml:space="preserve"> </w:t>
      </w:r>
      <w:r w:rsidR="00E51039">
        <w:rPr>
          <w:rFonts w:eastAsiaTheme="minorHAnsi"/>
          <w:bCs/>
        </w:rPr>
        <w:t>znaša</w:t>
      </w:r>
      <w:r w:rsidRPr="00A72F80">
        <w:rPr>
          <w:rFonts w:eastAsiaTheme="minorHAnsi"/>
          <w:bCs/>
        </w:rPr>
        <w:t xml:space="preserve"> </w:t>
      </w:r>
      <w:r w:rsidR="00FB5251" w:rsidRPr="00FB5251">
        <w:rPr>
          <w:rFonts w:eastAsiaTheme="minorHAnsi"/>
          <w:bCs/>
        </w:rPr>
        <w:t>65.475</w:t>
      </w:r>
      <w:r w:rsidR="00786879" w:rsidRPr="00A72F80">
        <w:rPr>
          <w:rFonts w:eastAsiaTheme="minorHAnsi"/>
          <w:bCs/>
        </w:rPr>
        <w:t>evrov.</w:t>
      </w:r>
      <w:r w:rsidR="00E51039">
        <w:rPr>
          <w:rFonts w:eastAsiaTheme="minorHAnsi"/>
          <w:bCs/>
        </w:rPr>
        <w:t xml:space="preserve"> </w:t>
      </w:r>
      <w:r w:rsidR="00FC7B0F">
        <w:rPr>
          <w:rFonts w:eastAsiaTheme="minorHAnsi"/>
          <w:bCs/>
        </w:rPr>
        <w:t xml:space="preserve">Na razpisih za sofinanciranje investicij v okviru podukrepa </w:t>
      </w:r>
      <w:r w:rsidR="00821CEE">
        <w:rPr>
          <w:rFonts w:eastAsiaTheme="minorHAnsi"/>
          <w:bCs/>
        </w:rPr>
        <w:t>M0</w:t>
      </w:r>
      <w:r w:rsidR="00FC7B0F">
        <w:rPr>
          <w:rFonts w:eastAsiaTheme="minorHAnsi"/>
          <w:bCs/>
        </w:rPr>
        <w:t xml:space="preserve">4.1 so podprta večja KMG, ki </w:t>
      </w:r>
      <w:r w:rsidR="00CA507C">
        <w:rPr>
          <w:rFonts w:eastAsiaTheme="minorHAnsi"/>
          <w:bCs/>
        </w:rPr>
        <w:t xml:space="preserve">imajo </w:t>
      </w:r>
      <w:r w:rsidR="00FC7B0F">
        <w:rPr>
          <w:rFonts w:eastAsiaTheme="minorHAnsi"/>
          <w:bCs/>
        </w:rPr>
        <w:t xml:space="preserve">v primerjavi z manjšimi </w:t>
      </w:r>
      <w:r w:rsidR="00CA507C">
        <w:rPr>
          <w:rFonts w:eastAsiaTheme="minorHAnsi"/>
          <w:bCs/>
        </w:rPr>
        <w:t>KMG</w:t>
      </w:r>
      <w:r w:rsidR="00DA2BBA">
        <w:rPr>
          <w:rFonts w:eastAsiaTheme="minorHAnsi"/>
          <w:bCs/>
        </w:rPr>
        <w:t xml:space="preserve"> praviloma </w:t>
      </w:r>
      <w:r w:rsidR="00AD61BB">
        <w:rPr>
          <w:rFonts w:eastAsiaTheme="minorHAnsi"/>
          <w:bCs/>
        </w:rPr>
        <w:t>večji pozitivni</w:t>
      </w:r>
      <w:r w:rsidR="00DA2BBA">
        <w:rPr>
          <w:rFonts w:eastAsiaTheme="minorHAnsi"/>
          <w:bCs/>
        </w:rPr>
        <w:t xml:space="preserve"> denarni tok in tudi</w:t>
      </w:r>
      <w:r w:rsidR="00CA507C">
        <w:rPr>
          <w:rFonts w:eastAsiaTheme="minorHAnsi"/>
          <w:bCs/>
        </w:rPr>
        <w:t xml:space="preserve"> več </w:t>
      </w:r>
      <w:r w:rsidR="003C3CAB">
        <w:rPr>
          <w:rFonts w:eastAsiaTheme="minorHAnsi"/>
          <w:bCs/>
        </w:rPr>
        <w:t xml:space="preserve">možnosti za pridobitev potrebnih </w:t>
      </w:r>
      <w:r w:rsidR="00CA507C">
        <w:rPr>
          <w:rFonts w:eastAsiaTheme="minorHAnsi"/>
          <w:bCs/>
        </w:rPr>
        <w:t>finančnih sredstev za izvedbo investicij</w:t>
      </w:r>
      <w:r w:rsidR="00CA507C">
        <w:rPr>
          <w:rStyle w:val="Sprotnaopomba-sklic"/>
          <w:rFonts w:eastAsiaTheme="minorHAnsi"/>
          <w:bCs/>
        </w:rPr>
        <w:footnoteReference w:id="8"/>
      </w:r>
      <w:r w:rsidR="00FC7B0F">
        <w:rPr>
          <w:rFonts w:eastAsiaTheme="minorHAnsi"/>
          <w:bCs/>
        </w:rPr>
        <w:t xml:space="preserve">. </w:t>
      </w:r>
      <w:r w:rsidR="00CA507C">
        <w:rPr>
          <w:rFonts w:eastAsiaTheme="minorHAnsi"/>
          <w:bCs/>
        </w:rPr>
        <w:t>Povprečno</w:t>
      </w:r>
      <w:r w:rsidR="00FC7B0F">
        <w:rPr>
          <w:rFonts w:eastAsiaTheme="minorHAnsi"/>
          <w:bCs/>
        </w:rPr>
        <w:t xml:space="preserve"> podprto KMG v okviru podukrepa </w:t>
      </w:r>
      <w:r w:rsidR="00821CEE">
        <w:rPr>
          <w:rFonts w:eastAsiaTheme="minorHAnsi"/>
          <w:bCs/>
        </w:rPr>
        <w:t>M0</w:t>
      </w:r>
      <w:r w:rsidR="00FC7B0F">
        <w:rPr>
          <w:rFonts w:eastAsiaTheme="minorHAnsi"/>
          <w:bCs/>
        </w:rPr>
        <w:t xml:space="preserve">4.1 </w:t>
      </w:r>
      <w:r w:rsidR="00CA507C">
        <w:rPr>
          <w:rFonts w:eastAsiaTheme="minorHAnsi"/>
          <w:bCs/>
        </w:rPr>
        <w:t>redi 54 GVŽ in</w:t>
      </w:r>
      <w:r w:rsidR="00FC7B0F">
        <w:rPr>
          <w:rFonts w:eastAsiaTheme="minorHAnsi"/>
          <w:bCs/>
        </w:rPr>
        <w:t xml:space="preserve"> obdeluje 55 ha KZU s 6 PDM. </w:t>
      </w:r>
    </w:p>
    <w:p w14:paraId="0175B9CC" w14:textId="77777777" w:rsidR="00FC7B0F" w:rsidRDefault="00FC7B0F" w:rsidP="007613FE">
      <w:pPr>
        <w:pStyle w:val="Odstavek1"/>
        <w:rPr>
          <w:rFonts w:eastAsiaTheme="minorHAnsi"/>
          <w:bCs/>
          <w:highlight w:val="yellow"/>
        </w:rPr>
      </w:pPr>
    </w:p>
    <w:p w14:paraId="1292A05B" w14:textId="2DFFAC21" w:rsidR="00FC7B0F" w:rsidRDefault="00FC7B0F" w:rsidP="00DA2C5A">
      <w:pPr>
        <w:pStyle w:val="SCSlika0"/>
        <w:rPr>
          <w:rFonts w:eastAsiaTheme="minorHAnsi"/>
          <w:bCs/>
          <w:highlight w:val="yellow"/>
        </w:rPr>
      </w:pPr>
      <w:bookmarkStart w:id="78" w:name="_Toc86822692"/>
      <w:r w:rsidRPr="009F3567">
        <w:lastRenderedPageBreak/>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20</w:t>
      </w:r>
      <w:r w:rsidR="009F2591">
        <w:rPr>
          <w:noProof/>
        </w:rPr>
        <w:fldChar w:fldCharType="end"/>
      </w:r>
      <w:r w:rsidRPr="009F3567">
        <w:t xml:space="preserve">: </w:t>
      </w:r>
      <w:r>
        <w:t>Povprečno število KZU (ha), PDM in GVŽ</w:t>
      </w:r>
      <w:r w:rsidRPr="009F3567">
        <w:t xml:space="preserve"> podpr</w:t>
      </w:r>
      <w:r w:rsidRPr="009F3567">
        <w:rPr>
          <w:szCs w:val="20"/>
        </w:rPr>
        <w:t xml:space="preserve">tih </w:t>
      </w:r>
      <w:r w:rsidR="001C472D">
        <w:rPr>
          <w:szCs w:val="20"/>
        </w:rPr>
        <w:t>KMG</w:t>
      </w:r>
      <w:r>
        <w:rPr>
          <w:szCs w:val="20"/>
        </w:rPr>
        <w:t xml:space="preserve"> </w:t>
      </w:r>
      <w:r w:rsidRPr="009F3567">
        <w:rPr>
          <w:szCs w:val="20"/>
        </w:rPr>
        <w:t xml:space="preserve">v okviru podukrepa </w:t>
      </w:r>
      <w:r w:rsidR="00821CEE">
        <w:rPr>
          <w:rFonts w:eastAsiaTheme="minorHAnsi"/>
          <w:bCs/>
        </w:rPr>
        <w:t>M0</w:t>
      </w:r>
      <w:r w:rsidRPr="009F3567">
        <w:rPr>
          <w:szCs w:val="20"/>
        </w:rPr>
        <w:t>4.1 PRP 2014</w:t>
      </w:r>
      <w:r w:rsidR="00E86ECB">
        <w:rPr>
          <w:szCs w:val="20"/>
        </w:rPr>
        <w:t>–</w:t>
      </w:r>
      <w:r w:rsidRPr="009F3567">
        <w:rPr>
          <w:szCs w:val="20"/>
        </w:rPr>
        <w:t>2020</w:t>
      </w:r>
      <w:r w:rsidRPr="009F3567">
        <w:rPr>
          <w:bCs/>
          <w:szCs w:val="20"/>
          <w:lang w:eastAsia="en-US"/>
        </w:rPr>
        <w:t>, stanje 30. 4. 2020</w:t>
      </w:r>
      <w:bookmarkEnd w:id="78"/>
      <w:r w:rsidRPr="009F3567">
        <w:rPr>
          <w:bCs/>
          <w:szCs w:val="20"/>
          <w:lang w:eastAsia="en-US"/>
        </w:rPr>
        <w:t xml:space="preserve"> </w:t>
      </w:r>
    </w:p>
    <w:p w14:paraId="1E1E6C7F" w14:textId="77777777" w:rsidR="00FC7B0F" w:rsidRDefault="00FC7B0F" w:rsidP="00DA2C5A">
      <w:pPr>
        <w:rPr>
          <w:rFonts w:eastAsiaTheme="minorHAnsi"/>
          <w:bCs/>
          <w:highlight w:val="yellow"/>
        </w:rPr>
      </w:pPr>
      <w:r>
        <w:rPr>
          <w:noProof/>
          <w:lang w:eastAsia="sl-SI"/>
        </w:rPr>
        <w:drawing>
          <wp:inline distT="0" distB="0" distL="0" distR="0" wp14:anchorId="5D9E5617" wp14:editId="2C4BAD51">
            <wp:extent cx="5686425" cy="274320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0D051E" w14:textId="048F67E3" w:rsidR="00E51039" w:rsidRPr="00875DD8" w:rsidRDefault="00FC7B0F" w:rsidP="00FC7B0F">
      <w:pPr>
        <w:pStyle w:val="Pripombabesedilo"/>
        <w:spacing w:before="0" w:line="276" w:lineRule="auto"/>
        <w:rPr>
          <w:rFonts w:ascii="Arial" w:eastAsiaTheme="minorHAnsi" w:hAnsi="Arial"/>
          <w:bCs/>
        </w:rPr>
      </w:pPr>
      <w:r>
        <w:rPr>
          <w:rFonts w:ascii="Arial" w:eastAsiaTheme="minorHAnsi" w:hAnsi="Arial"/>
          <w:bCs/>
          <w:sz w:val="16"/>
          <w:szCs w:val="16"/>
        </w:rPr>
        <w:t>Vir: MKGP.</w:t>
      </w:r>
    </w:p>
    <w:p w14:paraId="1C8A44F0" w14:textId="77777777" w:rsidR="00BA2D4F" w:rsidRDefault="00BA2D4F" w:rsidP="007613FE">
      <w:pPr>
        <w:pStyle w:val="Odstavek1"/>
        <w:rPr>
          <w:rFonts w:eastAsiaTheme="minorHAnsi"/>
          <w:highlight w:val="yellow"/>
        </w:rPr>
      </w:pPr>
    </w:p>
    <w:p w14:paraId="7F837A62" w14:textId="77777777" w:rsidR="00EE3362" w:rsidRPr="009F3567" w:rsidRDefault="00EE3362" w:rsidP="007613FE">
      <w:pPr>
        <w:pStyle w:val="Odstavek1"/>
        <w:rPr>
          <w:rFonts w:eastAsiaTheme="minorHAnsi"/>
        </w:rPr>
      </w:pPr>
      <w:r w:rsidRPr="009F3567">
        <w:rPr>
          <w:rFonts w:eastAsiaTheme="minorHAnsi"/>
        </w:rPr>
        <w:t>Številčno in vrednostno je največ podprtih naložb v živinorejo - 49 % celotne vrednosti podprtih naložb predstavljajo naložbe v živinorejo, sledij</w:t>
      </w:r>
      <w:r w:rsidRPr="00EE3362">
        <w:rPr>
          <w:rFonts w:eastAsiaTheme="minorHAnsi"/>
        </w:rPr>
        <w:t>o naložbe v rastlinsko pr</w:t>
      </w:r>
      <w:r>
        <w:rPr>
          <w:rFonts w:eastAsiaTheme="minorHAnsi"/>
        </w:rPr>
        <w:t>oizvodnjo</w:t>
      </w:r>
      <w:r w:rsidRPr="009F3567">
        <w:rPr>
          <w:rFonts w:eastAsiaTheme="minorHAnsi"/>
        </w:rPr>
        <w:t xml:space="preserve"> (29 %), naložbe v mešano proizvodnjo s prevladujočo živalsko proizvodnjo predstavljajo 16 % celotne vrednosti podprtih naložb in naložbe v mešano proizvodnjo s prevladujočo rastlinsko proizvodnjo 5 %.  </w:t>
      </w:r>
    </w:p>
    <w:p w14:paraId="71FB0194" w14:textId="77777777" w:rsidR="00EE3362" w:rsidRPr="009F3567" w:rsidRDefault="00EE3362" w:rsidP="007613FE">
      <w:pPr>
        <w:pStyle w:val="Odstavek1"/>
        <w:rPr>
          <w:rFonts w:eastAsiaTheme="minorHAnsi"/>
        </w:rPr>
      </w:pPr>
    </w:p>
    <w:p w14:paraId="45786DE5" w14:textId="77777777" w:rsidR="00BA2D4F" w:rsidRDefault="00F01F4B" w:rsidP="007613FE">
      <w:pPr>
        <w:pStyle w:val="Odstavek1"/>
        <w:rPr>
          <w:rFonts w:eastAsiaTheme="minorHAnsi"/>
        </w:rPr>
      </w:pPr>
      <w:r>
        <w:rPr>
          <w:rFonts w:eastAsiaTheme="minorHAnsi"/>
        </w:rPr>
        <w:t>Po vrsti naložbe jih je g</w:t>
      </w:r>
      <w:r w:rsidR="00597226" w:rsidRPr="009F3567">
        <w:rPr>
          <w:rFonts w:eastAsiaTheme="minorHAnsi"/>
        </w:rPr>
        <w:t xml:space="preserve">lede na </w:t>
      </w:r>
      <w:r>
        <w:rPr>
          <w:rFonts w:eastAsiaTheme="minorHAnsi"/>
        </w:rPr>
        <w:t xml:space="preserve">njihovo </w:t>
      </w:r>
      <w:r w:rsidR="00597226" w:rsidRPr="009F3567">
        <w:rPr>
          <w:rFonts w:eastAsiaTheme="minorHAnsi"/>
        </w:rPr>
        <w:t>celotno vrednost 50 % namenjenih</w:t>
      </w:r>
      <w:r w:rsidR="00597226" w:rsidRPr="00EE3362">
        <w:rPr>
          <w:rFonts w:eastAsiaTheme="minorHAnsi"/>
        </w:rPr>
        <w:t xml:space="preserve"> ureditvi ali vzdrževanju</w:t>
      </w:r>
      <w:r w:rsidR="00597226">
        <w:rPr>
          <w:rFonts w:eastAsiaTheme="minorHAnsi"/>
        </w:rPr>
        <w:t xml:space="preserve"> nepremičnin za kmetijsko</w:t>
      </w:r>
      <w:r w:rsidR="00597226" w:rsidRPr="00597226">
        <w:rPr>
          <w:rFonts w:eastAsiaTheme="minorHAnsi"/>
        </w:rPr>
        <w:t xml:space="preserve"> dejavnost, nakup</w:t>
      </w:r>
      <w:r w:rsidR="00597226">
        <w:rPr>
          <w:rFonts w:eastAsiaTheme="minorHAnsi"/>
        </w:rPr>
        <w:t>u pripadajoče opreme za kmetijsko proizvodnjo, uredit</w:t>
      </w:r>
      <w:r w:rsidR="00597226" w:rsidRPr="00597226">
        <w:rPr>
          <w:rFonts w:eastAsiaTheme="minorHAnsi"/>
        </w:rPr>
        <w:t>v</w:t>
      </w:r>
      <w:r w:rsidR="00597226">
        <w:rPr>
          <w:rFonts w:eastAsiaTheme="minorHAnsi"/>
        </w:rPr>
        <w:t>i</w:t>
      </w:r>
      <w:r w:rsidR="00597226" w:rsidRPr="00597226">
        <w:rPr>
          <w:rFonts w:eastAsiaTheme="minorHAnsi"/>
        </w:rPr>
        <w:t xml:space="preserve"> greznic in čistilnih naprav, nakup</w:t>
      </w:r>
      <w:r w:rsidR="00597226">
        <w:rPr>
          <w:rFonts w:eastAsiaTheme="minorHAnsi"/>
        </w:rPr>
        <w:t>u</w:t>
      </w:r>
      <w:r w:rsidR="00597226" w:rsidRPr="00597226">
        <w:rPr>
          <w:rFonts w:eastAsiaTheme="minorHAnsi"/>
        </w:rPr>
        <w:t xml:space="preserve"> IKT in strojne opreme</w:t>
      </w:r>
      <w:r w:rsidR="00597226">
        <w:rPr>
          <w:rFonts w:eastAsiaTheme="minorHAnsi"/>
        </w:rPr>
        <w:t>. Sledijo naložbe v n</w:t>
      </w:r>
      <w:r w:rsidR="00597226" w:rsidRPr="00597226">
        <w:rPr>
          <w:rFonts w:eastAsiaTheme="minorHAnsi"/>
        </w:rPr>
        <w:t>akup nove kmetijske mehanizacije ter strojne in transportne opreme za prevoz živali in surovin</w:t>
      </w:r>
      <w:r w:rsidR="00597226">
        <w:rPr>
          <w:rFonts w:eastAsiaTheme="minorHAnsi"/>
        </w:rPr>
        <w:t xml:space="preserve"> (ki sicer predstavljajo polovico vseh odobrenih vlog) s 30 % celotne vrednosti podprtih naložb, naložbe v </w:t>
      </w:r>
      <w:r w:rsidR="00597226" w:rsidRPr="00597226">
        <w:rPr>
          <w:rFonts w:eastAsiaTheme="minorHAnsi"/>
        </w:rPr>
        <w:t>postavit</w:t>
      </w:r>
      <w:r w:rsidR="00597226">
        <w:rPr>
          <w:rFonts w:eastAsiaTheme="minorHAnsi"/>
        </w:rPr>
        <w:t>e</w:t>
      </w:r>
      <w:r w:rsidR="00597226" w:rsidRPr="00597226">
        <w:rPr>
          <w:rFonts w:eastAsiaTheme="minorHAnsi"/>
        </w:rPr>
        <w:t>v oziroma obnov</w:t>
      </w:r>
      <w:r w:rsidR="00597226">
        <w:rPr>
          <w:rFonts w:eastAsiaTheme="minorHAnsi"/>
        </w:rPr>
        <w:t>o</w:t>
      </w:r>
      <w:r w:rsidR="00597226" w:rsidRPr="00597226">
        <w:rPr>
          <w:rFonts w:eastAsiaTheme="minorHAnsi"/>
        </w:rPr>
        <w:t xml:space="preserve"> sadovnjakov in oljčnikov vključno s postavitvijo jagodišč</w:t>
      </w:r>
      <w:r w:rsidR="00597226">
        <w:rPr>
          <w:rFonts w:eastAsiaTheme="minorHAnsi"/>
        </w:rPr>
        <w:t xml:space="preserve"> (6 %) in naložbe v n</w:t>
      </w:r>
      <w:r w:rsidR="00597226" w:rsidRPr="00597226">
        <w:rPr>
          <w:rFonts w:eastAsiaTheme="minorHAnsi"/>
        </w:rPr>
        <w:t>akup in postavitev rastlinjakov ter pripadajoče opreme</w:t>
      </w:r>
      <w:r w:rsidR="00597226">
        <w:rPr>
          <w:rFonts w:eastAsiaTheme="minorHAnsi"/>
        </w:rPr>
        <w:t xml:space="preserve"> (5 %). </w:t>
      </w:r>
    </w:p>
    <w:p w14:paraId="381CD005" w14:textId="77777777" w:rsidR="00BA2D4F" w:rsidRDefault="00BA2D4F" w:rsidP="007613FE">
      <w:pPr>
        <w:pStyle w:val="Odstavek1"/>
        <w:rPr>
          <w:rFonts w:eastAsiaTheme="minorHAnsi"/>
          <w:highlight w:val="yellow"/>
        </w:rPr>
      </w:pPr>
    </w:p>
    <w:p w14:paraId="446523E3" w14:textId="3B80E538" w:rsidR="00967996" w:rsidRDefault="0080571E" w:rsidP="007613FE">
      <w:pPr>
        <w:pStyle w:val="Odstavek1"/>
        <w:rPr>
          <w:rFonts w:eastAsiaTheme="minorHAnsi"/>
        </w:rPr>
      </w:pPr>
      <w:r>
        <w:rPr>
          <w:rFonts w:eastAsiaTheme="minorHAnsi"/>
        </w:rPr>
        <w:t>Poleg investicij, financiranih iz PRP, je bilo i</w:t>
      </w:r>
      <w:r w:rsidR="00BA2D4F" w:rsidRPr="00A72F80">
        <w:rPr>
          <w:rFonts w:eastAsiaTheme="minorHAnsi"/>
        </w:rPr>
        <w:t xml:space="preserve">z nacionalne ovojnice za vino za namene naložbe v prestrukturiranje vinogradov v obdobju 2014-2019 izplačanih </w:t>
      </w:r>
      <w:r w:rsidR="00AC0C12">
        <w:rPr>
          <w:rFonts w:eastAsiaTheme="minorHAnsi"/>
        </w:rPr>
        <w:t>26.533.957 evrov sredstev za 2.</w:t>
      </w:r>
      <w:r w:rsidR="00BA2D4F" w:rsidRPr="00A72F80">
        <w:rPr>
          <w:rFonts w:eastAsiaTheme="minorHAnsi"/>
        </w:rPr>
        <w:t>536 naložb, katerih celotna vrednost je znašala 53.656.809 evrov.</w:t>
      </w:r>
    </w:p>
    <w:p w14:paraId="771E8DA8" w14:textId="0E25E194" w:rsidR="001A447B" w:rsidRDefault="001A447B" w:rsidP="007613FE">
      <w:pPr>
        <w:pStyle w:val="Odstavek1"/>
        <w:rPr>
          <w:rFonts w:eastAsiaTheme="minorHAnsi"/>
        </w:rPr>
      </w:pPr>
    </w:p>
    <w:p w14:paraId="5E4B922D" w14:textId="77777777" w:rsidR="00DA2C5A" w:rsidRDefault="00DA2C5A" w:rsidP="007613FE">
      <w:pPr>
        <w:pStyle w:val="Odstavek1"/>
        <w:rPr>
          <w:rFonts w:eastAsiaTheme="minorHAnsi"/>
        </w:rPr>
      </w:pPr>
    </w:p>
    <w:p w14:paraId="2395D8C0" w14:textId="51BD7565" w:rsidR="00DA2C5A" w:rsidRDefault="00967996" w:rsidP="00DA2C5A">
      <w:pPr>
        <w:pStyle w:val="SCSlika0"/>
        <w:rPr>
          <w:lang w:eastAsia="en-US"/>
        </w:rPr>
      </w:pPr>
      <w:bookmarkStart w:id="79" w:name="_Toc86822693"/>
      <w:r w:rsidRPr="009F3567">
        <w:lastRenderedPageBreak/>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21</w:t>
      </w:r>
      <w:r w:rsidR="009F2591">
        <w:rPr>
          <w:noProof/>
        </w:rPr>
        <w:fldChar w:fldCharType="end"/>
      </w:r>
      <w:r w:rsidRPr="009F3567">
        <w:t xml:space="preserve">: Število odobrenih vlog in celotna vrednost podprtih naložb (v EUR) v okviru podukrepa </w:t>
      </w:r>
      <w:r w:rsidR="00821CEE">
        <w:rPr>
          <w:rFonts w:eastAsiaTheme="minorHAnsi"/>
        </w:rPr>
        <w:t>M0</w:t>
      </w:r>
      <w:r w:rsidRPr="009F3567">
        <w:t>4.1 PRP 2014</w:t>
      </w:r>
      <w:r w:rsidR="00E86ECB">
        <w:t>–</w:t>
      </w:r>
      <w:r w:rsidRPr="009F3567">
        <w:t>2020</w:t>
      </w:r>
      <w:r w:rsidRPr="009F3567">
        <w:rPr>
          <w:lang w:eastAsia="en-US"/>
        </w:rPr>
        <w:t>, stanje 30. 4. 2020</w:t>
      </w:r>
      <w:bookmarkEnd w:id="79"/>
    </w:p>
    <w:p w14:paraId="754D2170" w14:textId="5B032B02" w:rsidR="00493350" w:rsidRPr="0047652B" w:rsidRDefault="00BA2D4F" w:rsidP="00DA2C5A">
      <w:pPr>
        <w:rPr>
          <w:rFonts w:eastAsiaTheme="minorHAnsi"/>
          <w:bCs/>
        </w:rPr>
      </w:pPr>
      <w:r w:rsidRPr="00A72F80">
        <w:rPr>
          <w:rFonts w:eastAsiaTheme="minorHAnsi"/>
        </w:rPr>
        <w:t xml:space="preserve"> </w:t>
      </w:r>
      <w:r w:rsidR="00967996">
        <w:rPr>
          <w:noProof/>
          <w:lang w:eastAsia="sl-SI"/>
        </w:rPr>
        <w:drawing>
          <wp:inline distT="0" distB="0" distL="0" distR="0" wp14:anchorId="0D233638" wp14:editId="7B21B1CB">
            <wp:extent cx="5724525" cy="4205605"/>
            <wp:effectExtent l="0" t="0" r="9525" b="4445"/>
            <wp:docPr id="1631865589" name="Grafikon 1631865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08C5E4" w14:textId="17DCF115" w:rsidR="00BA2D4F" w:rsidRPr="00852E36" w:rsidRDefault="00BA2D4F" w:rsidP="009F3567">
      <w:pPr>
        <w:pStyle w:val="Pripombabesedilo"/>
        <w:spacing w:before="0" w:line="276" w:lineRule="auto"/>
        <w:rPr>
          <w:rFonts w:eastAsiaTheme="minorHAnsi"/>
          <w:bCs/>
          <w:sz w:val="16"/>
          <w:szCs w:val="16"/>
        </w:rPr>
      </w:pPr>
      <w:r w:rsidRPr="009F3567">
        <w:rPr>
          <w:rFonts w:ascii="Arial" w:eastAsiaTheme="minorHAnsi" w:hAnsi="Arial"/>
          <w:bCs/>
          <w:sz w:val="16"/>
          <w:szCs w:val="16"/>
        </w:rPr>
        <w:t xml:space="preserve">Vir: </w:t>
      </w:r>
      <w:r w:rsidR="00967996">
        <w:rPr>
          <w:rFonts w:ascii="Arial" w:eastAsiaTheme="minorHAnsi" w:hAnsi="Arial"/>
          <w:bCs/>
          <w:sz w:val="16"/>
          <w:szCs w:val="16"/>
        </w:rPr>
        <w:t>MKGP</w:t>
      </w:r>
      <w:r w:rsidR="003618DA">
        <w:rPr>
          <w:rFonts w:ascii="Arial" w:eastAsiaTheme="minorHAnsi" w:hAnsi="Arial"/>
          <w:bCs/>
          <w:sz w:val="16"/>
          <w:szCs w:val="16"/>
        </w:rPr>
        <w:t>.</w:t>
      </w:r>
    </w:p>
    <w:p w14:paraId="0A9C8D94" w14:textId="1B309CD8" w:rsidR="00E51039" w:rsidRDefault="00E51039" w:rsidP="007613FE">
      <w:pPr>
        <w:pStyle w:val="Odstavek1"/>
        <w:rPr>
          <w:rFonts w:eastAsiaTheme="minorHAnsi"/>
          <w:highlight w:val="yellow"/>
        </w:rPr>
      </w:pPr>
    </w:p>
    <w:p w14:paraId="43029816" w14:textId="15E13CEB" w:rsidR="009C36E7" w:rsidRDefault="009C36E7" w:rsidP="007613FE">
      <w:pPr>
        <w:pStyle w:val="Odstavek1"/>
        <w:rPr>
          <w:rFonts w:eastAsiaTheme="minorHAnsi"/>
        </w:rPr>
      </w:pPr>
      <w:r>
        <w:rPr>
          <w:rFonts w:eastAsiaTheme="minorHAnsi"/>
        </w:rPr>
        <w:t xml:space="preserve">Med odobrenimi vlogami v okviru podukrepa M04.1 je 23 % </w:t>
      </w:r>
      <w:r w:rsidR="00E94325">
        <w:rPr>
          <w:rFonts w:eastAsiaTheme="minorHAnsi"/>
        </w:rPr>
        <w:t>vlog</w:t>
      </w:r>
      <w:r>
        <w:rPr>
          <w:rFonts w:eastAsiaTheme="minorHAnsi"/>
        </w:rPr>
        <w:t xml:space="preserve"> KMG, ki so vključena v sheme ekološke proizvodnje</w:t>
      </w:r>
      <w:r w:rsidR="00E94325">
        <w:rPr>
          <w:rFonts w:eastAsiaTheme="minorHAnsi"/>
        </w:rPr>
        <w:t>, kar je za 10 odstotnih točk manj kot pri podukrepu M04.2. P</w:t>
      </w:r>
      <w:r>
        <w:rPr>
          <w:rFonts w:eastAsiaTheme="minorHAnsi"/>
        </w:rPr>
        <w:t xml:space="preserve">ovprečna vrednost </w:t>
      </w:r>
      <w:r w:rsidR="00E94325">
        <w:rPr>
          <w:rFonts w:eastAsiaTheme="minorHAnsi"/>
        </w:rPr>
        <w:t xml:space="preserve">podprte </w:t>
      </w:r>
      <w:r>
        <w:rPr>
          <w:rFonts w:eastAsiaTheme="minorHAnsi"/>
        </w:rPr>
        <w:t xml:space="preserve">naložbe v ekološko proizvodnjo je 40 % nižja od povprečne vrednosti </w:t>
      </w:r>
      <w:r w:rsidR="00E94325">
        <w:rPr>
          <w:rFonts w:eastAsiaTheme="minorHAnsi"/>
        </w:rPr>
        <w:t xml:space="preserve">podprte </w:t>
      </w:r>
      <w:r>
        <w:rPr>
          <w:rFonts w:eastAsiaTheme="minorHAnsi"/>
        </w:rPr>
        <w:t xml:space="preserve">naložbe KMG, ki niso vključena v sheme ekološke proizvodnje. </w:t>
      </w:r>
    </w:p>
    <w:p w14:paraId="70CCBD9F" w14:textId="77777777" w:rsidR="009C36E7" w:rsidRDefault="009C36E7" w:rsidP="007613FE">
      <w:pPr>
        <w:pStyle w:val="Odstavek1"/>
        <w:rPr>
          <w:szCs w:val="16"/>
        </w:rPr>
      </w:pPr>
    </w:p>
    <w:p w14:paraId="32FDD207" w14:textId="1374351D" w:rsidR="00875637" w:rsidRDefault="009C36E7" w:rsidP="00DA2C5A">
      <w:pPr>
        <w:pStyle w:val="SCSlika0"/>
        <w:rPr>
          <w:rFonts w:eastAsiaTheme="minorHAnsi"/>
          <w:highlight w:val="yellow"/>
        </w:rPr>
      </w:pPr>
      <w:bookmarkStart w:id="80" w:name="_Toc86822694"/>
      <w:r w:rsidRPr="009F3567">
        <w:rPr>
          <w:szCs w:val="16"/>
        </w:rPr>
        <w:lastRenderedPageBreak/>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88117A">
        <w:rPr>
          <w:noProof/>
          <w:szCs w:val="16"/>
        </w:rPr>
        <w:t>22</w:t>
      </w:r>
      <w:r w:rsidRPr="009F3567">
        <w:rPr>
          <w:noProof/>
          <w:szCs w:val="16"/>
        </w:rPr>
        <w:fldChar w:fldCharType="end"/>
      </w:r>
      <w:r w:rsidRPr="009F3567">
        <w:rPr>
          <w:szCs w:val="16"/>
        </w:rPr>
        <w:t xml:space="preserve">: Število odobrenih vlog in </w:t>
      </w:r>
      <w:r>
        <w:rPr>
          <w:szCs w:val="16"/>
        </w:rPr>
        <w:t>povprečna</w:t>
      </w:r>
      <w:r w:rsidRPr="009F3567">
        <w:rPr>
          <w:szCs w:val="16"/>
        </w:rPr>
        <w:t xml:space="preserve"> vrednost podpr</w:t>
      </w:r>
      <w:r w:rsidR="00E94325">
        <w:t>te</w:t>
      </w:r>
      <w:r w:rsidRPr="009F3567">
        <w:t xml:space="preserve"> naložb</w:t>
      </w:r>
      <w:r w:rsidR="00E94325">
        <w:t>e</w:t>
      </w:r>
      <w:r w:rsidRPr="009F3567">
        <w:t xml:space="preserve"> (v EUR) v okviru podukrepa </w:t>
      </w:r>
      <w:r>
        <w:rPr>
          <w:rFonts w:eastAsiaTheme="minorHAnsi"/>
        </w:rPr>
        <w:t>M0</w:t>
      </w:r>
      <w:r w:rsidRPr="009F3567">
        <w:t>4.1 PRP 2014</w:t>
      </w:r>
      <w:r>
        <w:t>–</w:t>
      </w:r>
      <w:r w:rsidRPr="009F3567">
        <w:t>2020</w:t>
      </w:r>
      <w:r>
        <w:t xml:space="preserve"> glede na vključenost v sheme ekološke proizvodnje</w:t>
      </w:r>
      <w:r w:rsidRPr="009F3567">
        <w:rPr>
          <w:lang w:eastAsia="en-US"/>
        </w:rPr>
        <w:t>, stanje 30. 4. 2020</w:t>
      </w:r>
      <w:bookmarkEnd w:id="80"/>
    </w:p>
    <w:p w14:paraId="308BD9EB" w14:textId="11DD44A7" w:rsidR="002D6D3B" w:rsidRDefault="002D6D3B" w:rsidP="00DA2C5A">
      <w:pPr>
        <w:rPr>
          <w:rFonts w:eastAsiaTheme="minorHAnsi"/>
          <w:bCs/>
          <w:highlight w:val="yellow"/>
        </w:rPr>
      </w:pPr>
      <w:r>
        <w:rPr>
          <w:noProof/>
          <w:lang w:eastAsia="sl-SI"/>
        </w:rPr>
        <w:drawing>
          <wp:inline distT="0" distB="0" distL="0" distR="0" wp14:anchorId="709F7842" wp14:editId="67980511">
            <wp:extent cx="5585460" cy="2225040"/>
            <wp:effectExtent l="0" t="0" r="15240" b="3810"/>
            <wp:docPr id="1631865546" name="Grafikon 1631865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08B936" w14:textId="10948082" w:rsidR="00875637" w:rsidRPr="00251920" w:rsidRDefault="009C36E7" w:rsidP="009F3567">
      <w:pPr>
        <w:pStyle w:val="Pripombabesedilo"/>
        <w:spacing w:before="0" w:line="276" w:lineRule="auto"/>
        <w:rPr>
          <w:rFonts w:ascii="Arial" w:eastAsiaTheme="minorHAnsi" w:hAnsi="Arial"/>
          <w:bCs/>
          <w:sz w:val="16"/>
          <w:szCs w:val="16"/>
        </w:rPr>
      </w:pPr>
      <w:r w:rsidRPr="00251920">
        <w:rPr>
          <w:rFonts w:ascii="Arial" w:eastAsiaTheme="minorHAnsi" w:hAnsi="Arial"/>
          <w:bCs/>
          <w:sz w:val="16"/>
          <w:szCs w:val="16"/>
        </w:rPr>
        <w:t>Vir: MKGP.</w:t>
      </w:r>
    </w:p>
    <w:p w14:paraId="2C12BA3E" w14:textId="77777777" w:rsidR="009C36E7" w:rsidRDefault="009C36E7" w:rsidP="009F3567">
      <w:pPr>
        <w:pStyle w:val="Pripombabesedilo"/>
        <w:spacing w:before="0" w:line="276" w:lineRule="auto"/>
        <w:rPr>
          <w:rFonts w:ascii="Arial" w:eastAsiaTheme="minorHAnsi" w:hAnsi="Arial"/>
          <w:bCs/>
          <w:highlight w:val="yellow"/>
        </w:rPr>
      </w:pPr>
    </w:p>
    <w:p w14:paraId="6F6C47E7" w14:textId="77777777" w:rsidR="00954B88" w:rsidRDefault="00954B88" w:rsidP="00493350">
      <w:pPr>
        <w:tabs>
          <w:tab w:val="left" w:pos="1209"/>
        </w:tabs>
        <w:spacing w:before="0" w:line="276" w:lineRule="auto"/>
        <w:rPr>
          <w:b/>
          <w:i/>
          <w:sz w:val="20"/>
          <w:szCs w:val="20"/>
          <w:u w:val="single"/>
        </w:rPr>
      </w:pPr>
    </w:p>
    <w:p w14:paraId="6C63BC83" w14:textId="77777777" w:rsidR="00954B88" w:rsidRDefault="00954B88" w:rsidP="00493350">
      <w:pPr>
        <w:tabs>
          <w:tab w:val="left" w:pos="1209"/>
        </w:tabs>
        <w:spacing w:before="0" w:line="276" w:lineRule="auto"/>
        <w:rPr>
          <w:b/>
          <w:i/>
          <w:sz w:val="20"/>
          <w:szCs w:val="20"/>
          <w:u w:val="single"/>
        </w:rPr>
      </w:pPr>
    </w:p>
    <w:p w14:paraId="2EE89AC9" w14:textId="0E97B0BB" w:rsidR="00493350" w:rsidRDefault="00493350" w:rsidP="005B2A49">
      <w:pPr>
        <w:pStyle w:val="Naslov2"/>
      </w:pPr>
      <w:bookmarkStart w:id="81" w:name="_Toc86822545"/>
      <w:r w:rsidRPr="00EE5B1C">
        <w:t>Amortizacija</w:t>
      </w:r>
      <w:r>
        <w:t xml:space="preserve"> osnovnih sredstev</w:t>
      </w:r>
      <w:bookmarkEnd w:id="81"/>
    </w:p>
    <w:p w14:paraId="2C86E5C4" w14:textId="77777777" w:rsidR="00493350" w:rsidRDefault="00493350" w:rsidP="00493350">
      <w:pPr>
        <w:tabs>
          <w:tab w:val="left" w:pos="1209"/>
        </w:tabs>
        <w:spacing w:before="0" w:line="276" w:lineRule="auto"/>
        <w:rPr>
          <w:b/>
          <w:i/>
          <w:sz w:val="20"/>
          <w:szCs w:val="20"/>
          <w:u w:val="single"/>
        </w:rPr>
      </w:pPr>
    </w:p>
    <w:p w14:paraId="4E295463" w14:textId="46B11550" w:rsidR="00493350" w:rsidRDefault="00493350" w:rsidP="00DA2C5A">
      <w:r>
        <w:t xml:space="preserve">Kapitalska vlaganja v osnovna sredstva (zgradbe, opremo, stroje, trajne nasade, čredo…) so bistvenega pomena za povečevanje produktivnosti in s tem tudi konkurenčnosti kmetijskih gospodarstev. Po drugi strani pa se s tem povečujejo stroški amortizacije osnovnih sredstev. </w:t>
      </w:r>
    </w:p>
    <w:p w14:paraId="22973F0C" w14:textId="77777777" w:rsidR="00493350" w:rsidRDefault="00493350" w:rsidP="007613FE">
      <w:pPr>
        <w:tabs>
          <w:tab w:val="left" w:pos="1209"/>
        </w:tabs>
        <w:spacing w:before="0" w:line="260" w:lineRule="atLeast"/>
        <w:rPr>
          <w:sz w:val="20"/>
          <w:szCs w:val="20"/>
        </w:rPr>
      </w:pPr>
    </w:p>
    <w:p w14:paraId="1F5A641C" w14:textId="6E37936D" w:rsidR="00DC2F36" w:rsidRDefault="00493350" w:rsidP="00DA2C5A">
      <w:r>
        <w:t>Za slovenski kmetijski sektor je glede na FADN podatke značilna izjemno visoka amortizacija</w:t>
      </w:r>
      <w:r w:rsidR="007401BB">
        <w:t xml:space="preserve"> (</w:t>
      </w:r>
      <w:r w:rsidR="001863D0">
        <w:fldChar w:fldCharType="begin"/>
      </w:r>
      <w:r w:rsidR="001863D0">
        <w:instrText xml:space="preserve"> REF _Ref54806625 \h </w:instrText>
      </w:r>
      <w:r w:rsidR="001863D0">
        <w:fldChar w:fldCharType="separate"/>
      </w:r>
      <w:r w:rsidR="0088117A" w:rsidRPr="009F3567">
        <w:t xml:space="preserve">Slika </w:t>
      </w:r>
      <w:r w:rsidR="0088117A">
        <w:rPr>
          <w:noProof/>
        </w:rPr>
        <w:t>23</w:t>
      </w:r>
      <w:r w:rsidR="001863D0">
        <w:fldChar w:fldCharType="end"/>
      </w:r>
      <w:r w:rsidR="007401BB">
        <w:t>)</w:t>
      </w:r>
      <w:r>
        <w:t>. Čeprav je verjetno ta visoki delež precenjen, ker so v FADN vzorec pretežno zajeta prav tista kmetijska gospodarstva, ki so hkrati tudi prejemniki sredstev za naložbe v osnovna sredstva v okviru ukrepov programa razvoja podeželja</w:t>
      </w:r>
      <w:r w:rsidR="00905930">
        <w:t xml:space="preserve"> in imajo v zvezi s tem obveznost poročanja knjigovodskih podatkov FADN</w:t>
      </w:r>
      <w:r>
        <w:t xml:space="preserve">, pa je to vseeno nek pokazatelj, da je poraba kapitala, izražena kot delež bruto dohodka na kmetiji, zelo visoka. </w:t>
      </w:r>
    </w:p>
    <w:p w14:paraId="69BF5B37" w14:textId="77777777" w:rsidR="00DC2F36" w:rsidRDefault="00DC2F36" w:rsidP="007613FE">
      <w:pPr>
        <w:tabs>
          <w:tab w:val="left" w:pos="1209"/>
        </w:tabs>
        <w:spacing w:before="0" w:line="260" w:lineRule="atLeast"/>
        <w:rPr>
          <w:sz w:val="20"/>
          <w:szCs w:val="20"/>
        </w:rPr>
      </w:pPr>
    </w:p>
    <w:p w14:paraId="6D1B2D09" w14:textId="77777777" w:rsidR="00493350" w:rsidRDefault="00493350" w:rsidP="00DA2C5A">
      <w:r>
        <w:t xml:space="preserve">Razlogi za visok delež amortizacije so seveda lahko različni, predpostavljamo pa lahko, da morda vlaganja na slovenskih kmetijah ne prinašajo tako velikega povečanja prihodka in zmanjšanja stroškov proizvodnje oz. da opremljenost kmetij ne ustrezna najbolj obsegu proizvodnje (npr. prevelik obseg mehanizacije glede na obseg proizvodnje, preslaba izkoriščenost opreme, strojev, menjava pred iztekom amortizacijske dobe). Verjetno pa na ta visok strošek vplivajo tudi razdrobljenost kmetijskih zemljišč, velik delež zemljišč v OMD, zastarelost opreme, strojev, objektov itd., zaradi česar so vlaganja v osnovna sredstva posledično višja. Z znižanjem stroškov amortizacije (torej povečanjem kapitalske učinkovitosti), ob sočasni predpostavki, da s tem ne da bi kakorkoli </w:t>
      </w:r>
      <w:r>
        <w:lastRenderedPageBreak/>
        <w:t xml:space="preserve">negativno vplivali na obseg bruto dodane vrednosti, bi lahko povečali stroškovno učinkovitost kmetij, konkurenčnost in nenazadnje dohodek v kmetijstvu. </w:t>
      </w:r>
    </w:p>
    <w:p w14:paraId="469BAD3A" w14:textId="77777777" w:rsidR="00493350" w:rsidRDefault="00493350" w:rsidP="007613FE">
      <w:pPr>
        <w:tabs>
          <w:tab w:val="left" w:pos="1209"/>
        </w:tabs>
        <w:spacing w:before="0" w:line="260" w:lineRule="atLeast"/>
        <w:rPr>
          <w:b/>
          <w:sz w:val="20"/>
          <w:szCs w:val="20"/>
        </w:rPr>
      </w:pPr>
      <w:r>
        <w:rPr>
          <w:b/>
          <w:sz w:val="20"/>
          <w:szCs w:val="20"/>
        </w:rPr>
        <w:t xml:space="preserve"> </w:t>
      </w:r>
    </w:p>
    <w:p w14:paraId="5D5166C1" w14:textId="21FA48D2" w:rsidR="00DC2F36" w:rsidRPr="009F3567" w:rsidRDefault="00DC2F36" w:rsidP="00DA2C5A">
      <w:pPr>
        <w:pStyle w:val="SCSlika0"/>
        <w:rPr>
          <w:b/>
          <w:sz w:val="24"/>
          <w:szCs w:val="20"/>
        </w:rPr>
      </w:pPr>
      <w:bookmarkStart w:id="82" w:name="_Ref54806625"/>
      <w:bookmarkStart w:id="83" w:name="_Toc86822695"/>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23</w:t>
      </w:r>
      <w:r w:rsidR="009F2591">
        <w:rPr>
          <w:noProof/>
        </w:rPr>
        <w:fldChar w:fldCharType="end"/>
      </w:r>
      <w:bookmarkEnd w:id="82"/>
      <w:r w:rsidRPr="009F3567">
        <w:t>: Delež amortizacije  (</w:t>
      </w:r>
      <w:r w:rsidRPr="009F3567">
        <w:rPr>
          <w:lang w:val="en-US"/>
        </w:rPr>
        <w:t xml:space="preserve">SE360 - </w:t>
      </w:r>
      <w:r w:rsidRPr="009F3567">
        <w:t>"</w:t>
      </w:r>
      <w:r w:rsidRPr="009F3567">
        <w:rPr>
          <w:lang w:val="en-US"/>
        </w:rPr>
        <w:t>depreciation</w:t>
      </w:r>
      <w:r w:rsidRPr="009F3567">
        <w:t>"</w:t>
      </w:r>
      <w:r w:rsidRPr="009F3567">
        <w:rPr>
          <w:lang w:val="en-US"/>
        </w:rPr>
        <w:t xml:space="preserve">) kot % bruto dohodka na kmetiji (SE410 - </w:t>
      </w:r>
      <w:r w:rsidRPr="009F3567">
        <w:t>"g</w:t>
      </w:r>
      <w:r w:rsidRPr="009F3567">
        <w:rPr>
          <w:lang w:val="en-US"/>
        </w:rPr>
        <w:t>ross farm income</w:t>
      </w:r>
      <w:r w:rsidRPr="009F3567">
        <w:t>"</w:t>
      </w:r>
      <w:r w:rsidRPr="009F3567">
        <w:rPr>
          <w:lang w:val="en-US"/>
        </w:rPr>
        <w:t>), za leto 2018</w:t>
      </w:r>
      <w:bookmarkEnd w:id="83"/>
    </w:p>
    <w:p w14:paraId="16DFEE68" w14:textId="77777777" w:rsidR="00493350" w:rsidRDefault="00493350" w:rsidP="00493350">
      <w:pPr>
        <w:tabs>
          <w:tab w:val="left" w:pos="1209"/>
        </w:tabs>
        <w:spacing w:before="0" w:line="276" w:lineRule="auto"/>
        <w:rPr>
          <w:b/>
          <w:sz w:val="20"/>
          <w:szCs w:val="20"/>
        </w:rPr>
      </w:pPr>
      <w:r>
        <w:rPr>
          <w:noProof/>
          <w:lang w:eastAsia="sl-SI"/>
        </w:rPr>
        <w:drawing>
          <wp:inline distT="0" distB="0" distL="0" distR="0" wp14:anchorId="734A4FD5" wp14:editId="04E59B70">
            <wp:extent cx="5669280" cy="2487168"/>
            <wp:effectExtent l="0" t="0" r="7620" b="8890"/>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C9BBAA" w14:textId="77777777" w:rsidR="00493350" w:rsidRDefault="00493350" w:rsidP="00493350">
      <w:pPr>
        <w:tabs>
          <w:tab w:val="left" w:pos="1209"/>
        </w:tabs>
        <w:spacing w:line="276" w:lineRule="auto"/>
        <w:rPr>
          <w:b/>
          <w:sz w:val="20"/>
          <w:szCs w:val="20"/>
        </w:rPr>
      </w:pPr>
      <w:r>
        <w:rPr>
          <w:rFonts w:eastAsiaTheme="minorHAnsi"/>
          <w:bCs/>
          <w:sz w:val="16"/>
          <w:szCs w:val="16"/>
        </w:rPr>
        <w:t>V</w:t>
      </w:r>
      <w:r w:rsidRPr="00852E36">
        <w:rPr>
          <w:rFonts w:eastAsiaTheme="minorHAnsi"/>
          <w:bCs/>
          <w:sz w:val="16"/>
          <w:szCs w:val="16"/>
        </w:rPr>
        <w:t xml:space="preserve">ir: </w:t>
      </w:r>
      <w:r w:rsidR="00DC2F36">
        <w:rPr>
          <w:rFonts w:eastAsiaTheme="minorHAnsi"/>
          <w:bCs/>
          <w:sz w:val="16"/>
          <w:szCs w:val="16"/>
        </w:rPr>
        <w:t>FADN, preračun MKGP</w:t>
      </w:r>
    </w:p>
    <w:p w14:paraId="01311EDC" w14:textId="77777777" w:rsidR="00F341CA" w:rsidRDefault="00F341CA" w:rsidP="007613FE">
      <w:pPr>
        <w:tabs>
          <w:tab w:val="left" w:pos="1209"/>
        </w:tabs>
        <w:spacing w:before="0" w:line="260" w:lineRule="atLeast"/>
        <w:rPr>
          <w:b/>
          <w:sz w:val="20"/>
          <w:szCs w:val="20"/>
        </w:rPr>
      </w:pPr>
    </w:p>
    <w:p w14:paraId="547996F1" w14:textId="77777777" w:rsidR="002930C2" w:rsidRDefault="002930C2" w:rsidP="007613FE">
      <w:pPr>
        <w:spacing w:before="0" w:line="260" w:lineRule="atLeast"/>
        <w:rPr>
          <w:b/>
          <w:sz w:val="20"/>
          <w:szCs w:val="20"/>
        </w:rPr>
      </w:pPr>
    </w:p>
    <w:p w14:paraId="57A07E28" w14:textId="313B2F6D" w:rsidR="007723D7" w:rsidRPr="00DA2C5A" w:rsidRDefault="007723D7" w:rsidP="005B2A49">
      <w:pPr>
        <w:pStyle w:val="Naslov2"/>
      </w:pPr>
      <w:bookmarkStart w:id="84" w:name="_Toc86822546"/>
      <w:r w:rsidRPr="00DA2C5A">
        <w:t>Potrebe po financiranju</w:t>
      </w:r>
      <w:r w:rsidR="00247359" w:rsidRPr="00DA2C5A">
        <w:t>,</w:t>
      </w:r>
      <w:r w:rsidRPr="00DA2C5A">
        <w:t xml:space="preserve"> dostop do finančnih sredstev</w:t>
      </w:r>
      <w:r w:rsidR="00247359" w:rsidRPr="00DA2C5A">
        <w:t xml:space="preserve"> in finančna vrzel v kmetijskem sektorju v Sloveniji</w:t>
      </w:r>
      <w:bookmarkEnd w:id="84"/>
    </w:p>
    <w:p w14:paraId="4314AB55" w14:textId="77777777" w:rsidR="00236ED0" w:rsidRPr="00DA2C5A" w:rsidRDefault="00236ED0" w:rsidP="007613FE">
      <w:pPr>
        <w:spacing w:before="0" w:line="260" w:lineRule="atLeast"/>
        <w:rPr>
          <w:i/>
          <w:szCs w:val="20"/>
          <w:u w:val="single"/>
        </w:rPr>
      </w:pPr>
    </w:p>
    <w:p w14:paraId="4367978C" w14:textId="6468B6B5" w:rsidR="002C621D" w:rsidRPr="00DA2C5A" w:rsidRDefault="007723D7" w:rsidP="007613FE">
      <w:pPr>
        <w:spacing w:before="0" w:line="260" w:lineRule="atLeast"/>
        <w:rPr>
          <w:szCs w:val="20"/>
        </w:rPr>
      </w:pPr>
      <w:r w:rsidRPr="00DA2C5A">
        <w:rPr>
          <w:szCs w:val="20"/>
        </w:rPr>
        <w:t xml:space="preserve">Iz </w:t>
      </w:r>
      <w:r w:rsidR="00CA507C" w:rsidRPr="00DA2C5A">
        <w:rPr>
          <w:szCs w:val="20"/>
        </w:rPr>
        <w:t xml:space="preserve">raziskave </w:t>
      </w:r>
      <w:r w:rsidR="00F8732D" w:rsidRPr="00DA2C5A">
        <w:rPr>
          <w:szCs w:val="20"/>
        </w:rPr>
        <w:t>(</w:t>
      </w:r>
      <w:r w:rsidR="00F5728D" w:rsidRPr="00DA2C5A">
        <w:rPr>
          <w:i/>
          <w:szCs w:val="20"/>
        </w:rPr>
        <w:t>fi compass</w:t>
      </w:r>
      <w:r w:rsidR="00F8732D" w:rsidRPr="00DA2C5A">
        <w:rPr>
          <w:szCs w:val="20"/>
        </w:rPr>
        <w:t>, 2020)</w:t>
      </w:r>
      <w:r w:rsidR="00F5728D" w:rsidRPr="00DA2C5A">
        <w:rPr>
          <w:szCs w:val="20"/>
        </w:rPr>
        <w:t xml:space="preserve"> </w:t>
      </w:r>
      <w:r w:rsidRPr="00DA2C5A">
        <w:rPr>
          <w:szCs w:val="20"/>
        </w:rPr>
        <w:t xml:space="preserve">o potrebah po financiranju </w:t>
      </w:r>
      <w:r w:rsidR="002467B8" w:rsidRPr="00DA2C5A">
        <w:rPr>
          <w:szCs w:val="20"/>
        </w:rPr>
        <w:t xml:space="preserve">kmetijskem in živilskopredelovalnem sektorju izhaja, da </w:t>
      </w:r>
      <w:r w:rsidR="002C621D" w:rsidRPr="00DA2C5A">
        <w:rPr>
          <w:szCs w:val="20"/>
        </w:rPr>
        <w:t>v večini evropskih držav pri financiranju kmetijstva veljajo višje obrestne mere in manj ugodni pogoji v primerjavi z drugimi gospodarskimi sektorji ter da pri dodeljevanju posojil in pogojih odplačevanja ni dovolj prožnosti, ki je sicer v kmetijstvu zaradi njegovih posebnosti še posebej potrebna</w:t>
      </w:r>
      <w:r w:rsidRPr="00DA2C5A">
        <w:rPr>
          <w:szCs w:val="20"/>
        </w:rPr>
        <w:t xml:space="preserve">. </w:t>
      </w:r>
      <w:r w:rsidR="003C3CAB" w:rsidRPr="00DA2C5A">
        <w:rPr>
          <w:szCs w:val="20"/>
        </w:rPr>
        <w:t xml:space="preserve">V okviru raziskave je bila opredeljena finančna vrzel v kmetijskem in v </w:t>
      </w:r>
      <w:r w:rsidR="003618DA" w:rsidRPr="00DA2C5A">
        <w:rPr>
          <w:szCs w:val="20"/>
        </w:rPr>
        <w:t>živilsko</w:t>
      </w:r>
      <w:r w:rsidR="003C3CAB" w:rsidRPr="00DA2C5A">
        <w:rPr>
          <w:szCs w:val="20"/>
        </w:rPr>
        <w:t xml:space="preserve">predelovalnem sektorju </w:t>
      </w:r>
      <w:r w:rsidR="00DA2BBA" w:rsidRPr="00DA2C5A">
        <w:rPr>
          <w:szCs w:val="20"/>
        </w:rPr>
        <w:t>v 24</w:t>
      </w:r>
      <w:r w:rsidR="003C3CAB" w:rsidRPr="00DA2C5A">
        <w:rPr>
          <w:szCs w:val="20"/>
        </w:rPr>
        <w:t xml:space="preserve"> državah EU.</w:t>
      </w:r>
    </w:p>
    <w:p w14:paraId="21E48A3F" w14:textId="2C1FAA26" w:rsidR="004D40E8" w:rsidRPr="00DA2C5A" w:rsidRDefault="004D40E8" w:rsidP="007613FE">
      <w:pPr>
        <w:spacing w:before="0" w:line="260" w:lineRule="atLeast"/>
        <w:rPr>
          <w:szCs w:val="20"/>
        </w:rPr>
      </w:pPr>
    </w:p>
    <w:p w14:paraId="55CF4194" w14:textId="16FB275A" w:rsidR="00DA2BBA" w:rsidRPr="00DA2C5A" w:rsidRDefault="00582562" w:rsidP="007613FE">
      <w:pPr>
        <w:spacing w:before="0" w:line="260" w:lineRule="atLeast"/>
        <w:rPr>
          <w:szCs w:val="20"/>
        </w:rPr>
      </w:pPr>
      <w:r w:rsidRPr="00DA2C5A">
        <w:rPr>
          <w:szCs w:val="20"/>
        </w:rPr>
        <w:t xml:space="preserve">Čeprav v raziskavi </w:t>
      </w:r>
      <w:r w:rsidR="00266A0F" w:rsidRPr="00DA2C5A">
        <w:rPr>
          <w:szCs w:val="20"/>
        </w:rPr>
        <w:t>(</w:t>
      </w:r>
      <w:r w:rsidR="00266A0F" w:rsidRPr="00DA2C5A">
        <w:rPr>
          <w:i/>
          <w:szCs w:val="20"/>
        </w:rPr>
        <w:t>fi compass</w:t>
      </w:r>
      <w:r w:rsidR="00266A0F" w:rsidRPr="00DA2C5A">
        <w:rPr>
          <w:szCs w:val="20"/>
        </w:rPr>
        <w:t xml:space="preserve">, 2020) </w:t>
      </w:r>
      <w:r w:rsidRPr="00DA2C5A">
        <w:rPr>
          <w:szCs w:val="20"/>
        </w:rPr>
        <w:t>d</w:t>
      </w:r>
      <w:r w:rsidR="00DA2BBA" w:rsidRPr="00DA2C5A">
        <w:rPr>
          <w:szCs w:val="20"/>
        </w:rPr>
        <w:t xml:space="preserve">ostop do finančnih sredstev </w:t>
      </w:r>
      <w:r w:rsidRPr="00DA2C5A">
        <w:rPr>
          <w:szCs w:val="20"/>
        </w:rPr>
        <w:t>ni bil izpostavljen kot najpomembnejša težava, s katero so se soočali anketirani kmetje in kmetijska podjetja v Sloveniji (45 % jih je na prvo mesto uvrstilo proizvodne stroške, sledijo odkupne cene proizvodov - 30 % in dostop do zemlje - 20 %), je delež tistih, ki so imeli težave pri dostopu do finan</w:t>
      </w:r>
      <w:r w:rsidR="00AA5DED" w:rsidRPr="00DA2C5A">
        <w:rPr>
          <w:szCs w:val="20"/>
        </w:rPr>
        <w:t xml:space="preserve">čnih sredstev </w:t>
      </w:r>
      <w:r w:rsidRPr="00DA2C5A">
        <w:rPr>
          <w:szCs w:val="20"/>
        </w:rPr>
        <w:t xml:space="preserve">tako za investicije kot tudi za obratna sredstva višji kot v povprečju v EU.  </w:t>
      </w:r>
    </w:p>
    <w:p w14:paraId="579857E5" w14:textId="77777777" w:rsidR="00FA1850" w:rsidRDefault="00FA1850" w:rsidP="007613FE">
      <w:pPr>
        <w:spacing w:before="0" w:line="260" w:lineRule="atLeast"/>
        <w:rPr>
          <w:sz w:val="20"/>
          <w:szCs w:val="16"/>
        </w:rPr>
      </w:pPr>
    </w:p>
    <w:p w14:paraId="25163F4F" w14:textId="08F03F51" w:rsidR="00FA1850" w:rsidRDefault="00FA1850" w:rsidP="00DA2C5A">
      <w:pPr>
        <w:pStyle w:val="SCSlika0"/>
        <w:rPr>
          <w:sz w:val="20"/>
          <w:szCs w:val="20"/>
        </w:rPr>
      </w:pPr>
      <w:bookmarkStart w:id="85" w:name="_Toc86822696"/>
      <w:r w:rsidRPr="009F3567">
        <w:lastRenderedPageBreak/>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24</w:t>
      </w:r>
      <w:r w:rsidR="009F2591">
        <w:rPr>
          <w:noProof/>
        </w:rPr>
        <w:fldChar w:fldCharType="end"/>
      </w:r>
      <w:r w:rsidRPr="009F3567">
        <w:t>: Težave, s katerimi so se soočali anketirani kmetje in kmetijska podjetja v letu 2017, Slovenija in EU-24</w:t>
      </w:r>
      <w:bookmarkEnd w:id="85"/>
    </w:p>
    <w:p w14:paraId="618792DD" w14:textId="77777777" w:rsidR="00F96E29" w:rsidRPr="00852E36" w:rsidRDefault="00F96E29" w:rsidP="00DA2C5A">
      <w:pPr>
        <w:rPr>
          <w:sz w:val="16"/>
          <w:szCs w:val="16"/>
        </w:rPr>
      </w:pPr>
      <w:r w:rsidRPr="009C2866">
        <w:rPr>
          <w:noProof/>
          <w:lang w:eastAsia="sl-SI"/>
        </w:rPr>
        <w:drawing>
          <wp:inline distT="0" distB="0" distL="0" distR="0" wp14:anchorId="7788D14E" wp14:editId="56D29153">
            <wp:extent cx="5732060" cy="2693035"/>
            <wp:effectExtent l="0" t="0" r="2540" b="12065"/>
            <wp:docPr id="1631865558" name="Grafikon 16318655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1A07F8" w14:textId="0B2C42A8" w:rsidR="00F96E29" w:rsidRPr="00852E36" w:rsidRDefault="00F96E29" w:rsidP="00551D9B">
      <w:pPr>
        <w:spacing w:before="0" w:line="276" w:lineRule="auto"/>
        <w:rPr>
          <w:sz w:val="16"/>
          <w:szCs w:val="16"/>
        </w:rPr>
      </w:pPr>
      <w:r w:rsidRPr="00852E36">
        <w:rPr>
          <w:sz w:val="16"/>
          <w:szCs w:val="16"/>
        </w:rPr>
        <w:t>Vir:</w:t>
      </w:r>
      <w:r w:rsidR="00FA1850">
        <w:rPr>
          <w:sz w:val="16"/>
          <w:szCs w:val="16"/>
        </w:rPr>
        <w:t xml:space="preserve"> </w:t>
      </w:r>
      <w:r w:rsidR="008646A4" w:rsidRPr="008646A4">
        <w:rPr>
          <w:i/>
          <w:sz w:val="16"/>
          <w:szCs w:val="16"/>
        </w:rPr>
        <w:t>fi compass</w:t>
      </w:r>
      <w:r w:rsidR="003618DA">
        <w:rPr>
          <w:i/>
          <w:sz w:val="16"/>
          <w:szCs w:val="16"/>
        </w:rPr>
        <w:t xml:space="preserve">, </w:t>
      </w:r>
      <w:r w:rsidR="003618DA" w:rsidRPr="003618DA">
        <w:rPr>
          <w:sz w:val="16"/>
          <w:szCs w:val="16"/>
        </w:rPr>
        <w:t>2020</w:t>
      </w:r>
      <w:r w:rsidR="00FA1850">
        <w:rPr>
          <w:sz w:val="16"/>
          <w:szCs w:val="16"/>
        </w:rPr>
        <w:t>. Dostopno na:</w:t>
      </w:r>
      <w:r w:rsidRPr="00852E36">
        <w:rPr>
          <w:sz w:val="16"/>
          <w:szCs w:val="16"/>
        </w:rPr>
        <w:t xml:space="preserve"> </w:t>
      </w:r>
      <w:hyperlink r:id="rId44" w:history="1">
        <w:r w:rsidRPr="00852E36">
          <w:rPr>
            <w:sz w:val="16"/>
            <w:szCs w:val="16"/>
          </w:rPr>
          <w:t>https://www.fi-compass.eu/sites/default/files/Annex_III_SLOVENIA.pdf</w:t>
        </w:r>
      </w:hyperlink>
      <w:r w:rsidR="003618DA">
        <w:rPr>
          <w:sz w:val="16"/>
          <w:szCs w:val="16"/>
        </w:rPr>
        <w:t xml:space="preserve">. </w:t>
      </w:r>
      <w:r w:rsidR="00FA1850">
        <w:rPr>
          <w:sz w:val="16"/>
          <w:szCs w:val="16"/>
        </w:rPr>
        <w:t xml:space="preserve">  </w:t>
      </w:r>
      <w:r w:rsidRPr="00852E36">
        <w:rPr>
          <w:sz w:val="16"/>
          <w:szCs w:val="16"/>
        </w:rPr>
        <w:t xml:space="preserve"> </w:t>
      </w:r>
    </w:p>
    <w:p w14:paraId="66B08D35" w14:textId="77777777" w:rsidR="00645E52" w:rsidRDefault="00645E52" w:rsidP="007613FE">
      <w:pPr>
        <w:spacing w:before="0" w:line="260" w:lineRule="atLeast"/>
        <w:rPr>
          <w:sz w:val="20"/>
          <w:szCs w:val="20"/>
        </w:rPr>
      </w:pPr>
    </w:p>
    <w:p w14:paraId="1E261B79" w14:textId="5D0345EA" w:rsidR="00365C4C" w:rsidRDefault="00D80BEF" w:rsidP="007613FE">
      <w:pPr>
        <w:spacing w:before="0" w:line="260" w:lineRule="atLeast"/>
        <w:rPr>
          <w:sz w:val="20"/>
          <w:szCs w:val="20"/>
        </w:rPr>
      </w:pPr>
      <w:r>
        <w:rPr>
          <w:sz w:val="20"/>
          <w:szCs w:val="20"/>
        </w:rPr>
        <w:t xml:space="preserve">Rezultati </w:t>
      </w:r>
      <w:r w:rsidR="00365C4C">
        <w:rPr>
          <w:sz w:val="20"/>
          <w:szCs w:val="20"/>
        </w:rPr>
        <w:t>raziskave</w:t>
      </w:r>
      <w:r>
        <w:rPr>
          <w:sz w:val="20"/>
          <w:szCs w:val="20"/>
        </w:rPr>
        <w:t xml:space="preserve"> </w:t>
      </w:r>
      <w:r w:rsidR="00DA2BBA">
        <w:rPr>
          <w:sz w:val="20"/>
          <w:szCs w:val="20"/>
        </w:rPr>
        <w:t>(</w:t>
      </w:r>
      <w:r w:rsidR="00DA2BBA" w:rsidRPr="00551D9B">
        <w:rPr>
          <w:i/>
          <w:sz w:val="20"/>
          <w:szCs w:val="20"/>
        </w:rPr>
        <w:t>fi compass</w:t>
      </w:r>
      <w:r w:rsidR="00DA2BBA" w:rsidRPr="00F8732D">
        <w:rPr>
          <w:sz w:val="20"/>
          <w:szCs w:val="20"/>
        </w:rPr>
        <w:t>, 2020)</w:t>
      </w:r>
      <w:r w:rsidR="00DA2BBA">
        <w:rPr>
          <w:sz w:val="20"/>
          <w:szCs w:val="20"/>
        </w:rPr>
        <w:t xml:space="preserve"> </w:t>
      </w:r>
      <w:r>
        <w:rPr>
          <w:sz w:val="20"/>
          <w:szCs w:val="20"/>
        </w:rPr>
        <w:t>kažejo, da v</w:t>
      </w:r>
      <w:r w:rsidR="009F78F3">
        <w:rPr>
          <w:sz w:val="20"/>
          <w:szCs w:val="20"/>
        </w:rPr>
        <w:t xml:space="preserve"> Sloveniji kmetijska gospodarstva</w:t>
      </w:r>
      <w:r>
        <w:rPr>
          <w:sz w:val="20"/>
          <w:szCs w:val="20"/>
        </w:rPr>
        <w:t xml:space="preserve"> večinoma zaprošajo za kratkoročno bančno financiranje. To kaže na neuravnoteženost ročnosti virov sredstev in na težave pri pridobivanju dolgoročnih posojil</w:t>
      </w:r>
      <w:r w:rsidR="009F78F3">
        <w:rPr>
          <w:sz w:val="20"/>
          <w:szCs w:val="20"/>
        </w:rPr>
        <w:t xml:space="preserve"> za financiranje (dolgoročnih) naložb. </w:t>
      </w:r>
      <w:r w:rsidR="00AE4DFA">
        <w:rPr>
          <w:sz w:val="20"/>
          <w:szCs w:val="20"/>
        </w:rPr>
        <w:t>Po ugotovitvah raziskave predstavlja</w:t>
      </w:r>
      <w:r w:rsidR="009F78F3">
        <w:rPr>
          <w:sz w:val="20"/>
          <w:szCs w:val="20"/>
        </w:rPr>
        <w:t xml:space="preserve"> </w:t>
      </w:r>
      <w:r w:rsidR="009F78F3" w:rsidRPr="00551D9B">
        <w:rPr>
          <w:b/>
          <w:sz w:val="20"/>
          <w:szCs w:val="20"/>
        </w:rPr>
        <w:t xml:space="preserve">dostop do finančnih virov </w:t>
      </w:r>
      <w:r w:rsidR="00365C4C" w:rsidRPr="00551D9B">
        <w:rPr>
          <w:b/>
          <w:sz w:val="20"/>
          <w:szCs w:val="20"/>
        </w:rPr>
        <w:t>za kmetijske proizvajalce v Sloveniji večji problem kot kjerkoli drugje v EU-24</w:t>
      </w:r>
      <w:r w:rsidR="00365C4C">
        <w:rPr>
          <w:sz w:val="20"/>
          <w:szCs w:val="20"/>
        </w:rPr>
        <w:t xml:space="preserve">. </w:t>
      </w:r>
    </w:p>
    <w:p w14:paraId="36F8B60B" w14:textId="77777777" w:rsidR="00F341CA" w:rsidRDefault="00F341CA" w:rsidP="007613FE">
      <w:pPr>
        <w:spacing w:before="0" w:line="260" w:lineRule="atLeast"/>
        <w:rPr>
          <w:sz w:val="20"/>
          <w:szCs w:val="20"/>
        </w:rPr>
      </w:pPr>
    </w:p>
    <w:p w14:paraId="7E6C899A" w14:textId="26EFB4BA" w:rsidR="00D80BEF" w:rsidRDefault="00365C4C" w:rsidP="00DA2C5A">
      <w:r w:rsidRPr="00365C4C">
        <w:t>Velika večina (80</w:t>
      </w:r>
      <w:r>
        <w:t xml:space="preserve"> </w:t>
      </w:r>
      <w:r w:rsidRPr="00365C4C">
        <w:t xml:space="preserve">%) kmetijskih proizvajalcev uporablja storitve ene banke (Deželna banka Slovenije), </w:t>
      </w:r>
      <w:r w:rsidR="001E1F08">
        <w:t>katere</w:t>
      </w:r>
      <w:r w:rsidRPr="00365C4C">
        <w:t xml:space="preserve"> bazo </w:t>
      </w:r>
      <w:r>
        <w:t>komitentov</w:t>
      </w:r>
      <w:r w:rsidRPr="00365C4C">
        <w:t xml:space="preserve"> </w:t>
      </w:r>
      <w:r w:rsidR="001E1F08">
        <w:t xml:space="preserve">sestavljajo </w:t>
      </w:r>
      <w:r w:rsidRPr="00365C4C">
        <w:t>večinoma kmetijski pr</w:t>
      </w:r>
      <w:r w:rsidR="001E1F08">
        <w:t>oizvajalci</w:t>
      </w:r>
      <w:r w:rsidRPr="00365C4C">
        <w:t>, kmetijsk</w:t>
      </w:r>
      <w:r w:rsidR="001E1F08">
        <w:t>e</w:t>
      </w:r>
      <w:r w:rsidRPr="00365C4C">
        <w:t xml:space="preserve"> zadrug</w:t>
      </w:r>
      <w:r w:rsidR="001E1F08">
        <w:t>e</w:t>
      </w:r>
      <w:r w:rsidRPr="00365C4C">
        <w:t xml:space="preserve"> in </w:t>
      </w:r>
      <w:r>
        <w:t>ž</w:t>
      </w:r>
      <w:r w:rsidR="001E1F08">
        <w:t>ivilskopredelovalna podjet</w:t>
      </w:r>
      <w:r w:rsidRPr="00365C4C">
        <w:t>j</w:t>
      </w:r>
      <w:r w:rsidR="001E1F08">
        <w:t>a</w:t>
      </w:r>
      <w:r w:rsidRPr="00365C4C">
        <w:t xml:space="preserve">. </w:t>
      </w:r>
      <w:r w:rsidR="001E1F08">
        <w:t>Bančni produkti</w:t>
      </w:r>
      <w:r w:rsidRPr="00365C4C">
        <w:t xml:space="preserve"> so na voljo </w:t>
      </w:r>
      <w:r w:rsidR="001E1F08">
        <w:t xml:space="preserve">(tudi) </w:t>
      </w:r>
      <w:r w:rsidRPr="00365C4C">
        <w:t xml:space="preserve">kmetom brez kreditne in poslovne zgodovine. </w:t>
      </w:r>
      <w:r w:rsidR="001E1F08">
        <w:t xml:space="preserve">Sicer so kmetom, ki nimajo kreditne ali poslovne zgodovine </w:t>
      </w:r>
      <w:r w:rsidRPr="00365C4C">
        <w:t>ali nimajo stabilnih poslovnih odnosov z banko</w:t>
      </w:r>
      <w:r w:rsidR="005422C0">
        <w:t xml:space="preserve">, </w:t>
      </w:r>
      <w:r w:rsidRPr="00365C4C">
        <w:t xml:space="preserve">pogosto </w:t>
      </w:r>
      <w:r w:rsidR="00AD583E">
        <w:t>ponujeni</w:t>
      </w:r>
      <w:r w:rsidRPr="00365C4C">
        <w:t xml:space="preserve"> standardni finančni </w:t>
      </w:r>
      <w:r w:rsidR="001E1F08">
        <w:t>produkti za gospodinjstva</w:t>
      </w:r>
      <w:r w:rsidRPr="00365C4C">
        <w:t xml:space="preserve"> kot so potrošniška in hipotekarna posojila. </w:t>
      </w:r>
      <w:r w:rsidR="00065547">
        <w:t xml:space="preserve">Slovenski regionalni in razvojni sklad podpira regionalni in razvoj podeželja, vključno z zagotavljanjem posojil z ugodnejšo obrestno mero in daljšo ročnostjo kmetijskemu sektorju in </w:t>
      </w:r>
      <w:r w:rsidR="00A504A0">
        <w:t>ŽPI</w:t>
      </w:r>
      <w:r w:rsidR="00065547">
        <w:t xml:space="preserve">. </w:t>
      </w:r>
      <w:r w:rsidR="0017742E">
        <w:t xml:space="preserve">Uporaba tega instrumenta je precej nizka, deloma zaradi omejenega proračuna tega sklada. </w:t>
      </w:r>
    </w:p>
    <w:p w14:paraId="24E7CF56" w14:textId="77777777" w:rsidR="00F341CA" w:rsidRDefault="00F341CA" w:rsidP="007613FE">
      <w:pPr>
        <w:spacing w:before="0" w:line="260" w:lineRule="atLeast"/>
        <w:rPr>
          <w:sz w:val="20"/>
          <w:szCs w:val="20"/>
        </w:rPr>
      </w:pPr>
    </w:p>
    <w:p w14:paraId="6C09C96A" w14:textId="54F5165D" w:rsidR="00AD583E" w:rsidRDefault="00AD583E" w:rsidP="00DA2C5A">
      <w:r w:rsidRPr="00551D9B">
        <w:rPr>
          <w:b/>
        </w:rPr>
        <w:t>Finančna vrzel v kmetijstvu je ocenjena na 952 milijonov evrov, kar se nanaša predvsem na dostop do dolgoročnega financiranja</w:t>
      </w:r>
      <w:r>
        <w:rPr>
          <w:rStyle w:val="Sprotnaopomba-sklic"/>
          <w:b/>
        </w:rPr>
        <w:footnoteReference w:id="9"/>
      </w:r>
      <w:r>
        <w:t>. Največ težav pri dostopu do financ imajo majhna kmetijska gospodarstva</w:t>
      </w:r>
      <w:r w:rsidR="00F96E29">
        <w:t>, pri njih znaša ocenjena finančna vrzel v višini 860,3 mio EUR</w:t>
      </w:r>
      <w:r>
        <w:rPr>
          <w:rStyle w:val="Sprotnaopomba-sklic"/>
        </w:rPr>
        <w:footnoteReference w:id="10"/>
      </w:r>
      <w:r w:rsidRPr="00AD583E">
        <w:t>. Med kmeti</w:t>
      </w:r>
      <w:r w:rsidR="001F11F4">
        <w:t>jskimi gospodarstvi, ki so zaprosila</w:t>
      </w:r>
      <w:r w:rsidRPr="00AD583E">
        <w:t xml:space="preserve"> za posojila, je bilo </w:t>
      </w:r>
      <w:r w:rsidRPr="00AD583E">
        <w:lastRenderedPageBreak/>
        <w:t>približno 17</w:t>
      </w:r>
      <w:r w:rsidR="00E260AA">
        <w:t xml:space="preserve"> </w:t>
      </w:r>
      <w:r w:rsidRPr="00AD583E">
        <w:t xml:space="preserve">% vlog zavrnjenih. </w:t>
      </w:r>
      <w:r w:rsidR="00E260AA">
        <w:t>M</w:t>
      </w:r>
      <w:r w:rsidR="001F11F4">
        <w:t>ed tistimi</w:t>
      </w:r>
      <w:r w:rsidRPr="00AD583E">
        <w:t>, ki niso zaprosil</w:t>
      </w:r>
      <w:r w:rsidR="00DA2BBA">
        <w:t>a</w:t>
      </w:r>
      <w:r w:rsidRPr="00AD583E">
        <w:t xml:space="preserve"> za posojilo, </w:t>
      </w:r>
      <w:r w:rsidR="001F11F4">
        <w:t>pa okoli</w:t>
      </w:r>
      <w:r w:rsidRPr="00AD583E">
        <w:t xml:space="preserve"> 17</w:t>
      </w:r>
      <w:r w:rsidR="00E260AA">
        <w:t xml:space="preserve"> </w:t>
      </w:r>
      <w:r w:rsidRPr="00AD583E">
        <w:t>% tega ni storilo zaradi bojazni, da bi jih banke zavrnile.</w:t>
      </w:r>
      <w:r w:rsidR="00582562">
        <w:t xml:space="preserve"> </w:t>
      </w:r>
    </w:p>
    <w:p w14:paraId="4E80EA08" w14:textId="77777777" w:rsidR="00F96E29" w:rsidRDefault="00F96E29" w:rsidP="007613FE">
      <w:pPr>
        <w:spacing w:before="0" w:line="260" w:lineRule="atLeast"/>
        <w:rPr>
          <w:sz w:val="20"/>
          <w:szCs w:val="20"/>
        </w:rPr>
      </w:pPr>
    </w:p>
    <w:p w14:paraId="429F1EEE" w14:textId="700A7B5F" w:rsidR="00FA1850" w:rsidRPr="00FA1850" w:rsidRDefault="00FA1850" w:rsidP="00DA2C5A">
      <w:pPr>
        <w:pStyle w:val="SCSlika0"/>
      </w:pPr>
      <w:bookmarkStart w:id="86" w:name="_Toc86822697"/>
      <w:r w:rsidRPr="00FA1850">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25</w:t>
      </w:r>
      <w:r w:rsidR="009F2591">
        <w:rPr>
          <w:noProof/>
        </w:rPr>
        <w:fldChar w:fldCharType="end"/>
      </w:r>
      <w:r w:rsidRPr="00FA1850">
        <w:t>: Finančna vrzel v kmetijskem sektorju glede na produkt, v mio EUR in deležu, Slovenija, 2017</w:t>
      </w:r>
      <w:bookmarkEnd w:id="86"/>
    </w:p>
    <w:p w14:paraId="6D726B1F" w14:textId="77777777" w:rsidR="00FA1850" w:rsidRDefault="00FA1850" w:rsidP="00551D9B">
      <w:pPr>
        <w:spacing w:before="0" w:line="276" w:lineRule="auto"/>
        <w:rPr>
          <w:sz w:val="20"/>
          <w:szCs w:val="20"/>
        </w:rPr>
      </w:pPr>
    </w:p>
    <w:p w14:paraId="59847C38" w14:textId="77777777" w:rsidR="00F96E29" w:rsidRDefault="00647B58" w:rsidP="00551D9B">
      <w:pPr>
        <w:spacing w:before="0" w:line="276" w:lineRule="auto"/>
        <w:rPr>
          <w:sz w:val="20"/>
          <w:szCs w:val="20"/>
        </w:rPr>
      </w:pPr>
      <w:r>
        <w:rPr>
          <w:noProof/>
          <w:lang w:eastAsia="sl-SI"/>
        </w:rPr>
        <w:drawing>
          <wp:inline distT="0" distB="0" distL="0" distR="0" wp14:anchorId="671DFDE2" wp14:editId="04A1B40D">
            <wp:extent cx="5684293" cy="2743200"/>
            <wp:effectExtent l="0" t="0" r="12065" b="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A9E6934" w14:textId="7D17F7D5" w:rsidR="00FA1850" w:rsidRDefault="00647B58" w:rsidP="00551D9B">
      <w:pPr>
        <w:spacing w:before="0" w:line="276" w:lineRule="auto"/>
        <w:rPr>
          <w:sz w:val="16"/>
          <w:szCs w:val="16"/>
        </w:rPr>
      </w:pPr>
      <w:r w:rsidRPr="00852E36">
        <w:rPr>
          <w:sz w:val="16"/>
          <w:szCs w:val="16"/>
        </w:rPr>
        <w:t xml:space="preserve">Vir: </w:t>
      </w:r>
      <w:r w:rsidR="003C3CAB" w:rsidRPr="003016E0">
        <w:rPr>
          <w:i/>
          <w:sz w:val="16"/>
          <w:szCs w:val="16"/>
        </w:rPr>
        <w:t>fi compass</w:t>
      </w:r>
      <w:r w:rsidR="003618DA">
        <w:rPr>
          <w:i/>
          <w:sz w:val="16"/>
          <w:szCs w:val="16"/>
        </w:rPr>
        <w:t xml:space="preserve">, </w:t>
      </w:r>
      <w:r w:rsidR="00DA2BBA" w:rsidRPr="003618DA">
        <w:rPr>
          <w:sz w:val="16"/>
          <w:szCs w:val="16"/>
        </w:rPr>
        <w:t>2020</w:t>
      </w:r>
      <w:r w:rsidR="00FA1850" w:rsidRPr="003618DA">
        <w:rPr>
          <w:sz w:val="16"/>
          <w:szCs w:val="16"/>
        </w:rPr>
        <w:t>,</w:t>
      </w:r>
      <w:r w:rsidR="00FA1850">
        <w:rPr>
          <w:sz w:val="16"/>
          <w:szCs w:val="16"/>
        </w:rPr>
        <w:t xml:space="preserve"> Dostopno na: </w:t>
      </w:r>
    </w:p>
    <w:p w14:paraId="3A36C935" w14:textId="77777777" w:rsidR="00647B58" w:rsidRPr="00852E36" w:rsidRDefault="00701492" w:rsidP="00551D9B">
      <w:pPr>
        <w:spacing w:before="0" w:line="276" w:lineRule="auto"/>
        <w:rPr>
          <w:sz w:val="16"/>
          <w:szCs w:val="16"/>
        </w:rPr>
      </w:pPr>
      <w:hyperlink r:id="rId46" w:history="1">
        <w:r w:rsidR="00647B58" w:rsidRPr="00971448">
          <w:rPr>
            <w:rStyle w:val="Hiperpovezava"/>
            <w:sz w:val="16"/>
            <w:szCs w:val="16"/>
          </w:rPr>
          <w:t>https://www.fi-compass.eu/sites/default/files/publications/financial_needs_agriculture_agrifood_sectors_Slovenia.pdf</w:t>
        </w:r>
      </w:hyperlink>
      <w:r w:rsidR="00647B58">
        <w:rPr>
          <w:sz w:val="16"/>
          <w:szCs w:val="16"/>
        </w:rPr>
        <w:t>, str. 43</w:t>
      </w:r>
      <w:r w:rsidR="00647B58" w:rsidRPr="00852E36">
        <w:rPr>
          <w:sz w:val="16"/>
          <w:szCs w:val="16"/>
        </w:rPr>
        <w:t xml:space="preserve"> </w:t>
      </w:r>
    </w:p>
    <w:p w14:paraId="62D1BD82" w14:textId="77777777" w:rsidR="00F341CA" w:rsidRPr="00AD583E" w:rsidRDefault="00F341CA" w:rsidP="007613FE">
      <w:pPr>
        <w:spacing w:before="0" w:line="260" w:lineRule="atLeast"/>
        <w:rPr>
          <w:sz w:val="20"/>
          <w:szCs w:val="20"/>
        </w:rPr>
      </w:pPr>
    </w:p>
    <w:p w14:paraId="23601A77" w14:textId="65C55632" w:rsidR="00365C4C" w:rsidRDefault="00DA2BBA" w:rsidP="00DA2C5A">
      <w:r w:rsidRPr="00DA2BBA">
        <w:t>P</w:t>
      </w:r>
      <w:r>
        <w:t>omemben</w:t>
      </w:r>
      <w:r w:rsidRPr="00DA2BBA">
        <w:t xml:space="preserve"> vzrok</w:t>
      </w:r>
      <w:r w:rsidR="003C3CAB" w:rsidRPr="00DA2BBA">
        <w:t xml:space="preserve"> finančne vrzeli </w:t>
      </w:r>
      <w:r>
        <w:t>je</w:t>
      </w:r>
      <w:r w:rsidR="00AD583E" w:rsidRPr="00DA2BBA">
        <w:t xml:space="preserve"> </w:t>
      </w:r>
      <w:r w:rsidR="003C3CAB" w:rsidRPr="00DA2BBA">
        <w:t xml:space="preserve">pomanjkanje </w:t>
      </w:r>
      <w:r w:rsidR="00AD583E" w:rsidRPr="00DA2BBA">
        <w:t>knjigovodske in poslovne zgodovine</w:t>
      </w:r>
      <w:r w:rsidR="000D08E8" w:rsidRPr="00DA2BBA">
        <w:t>, pa tudi kreditne zgodovine (predvsem na ravni kmetij)</w:t>
      </w:r>
      <w:r w:rsidR="00AD583E" w:rsidRPr="00AD583E">
        <w:t xml:space="preserve">. </w:t>
      </w:r>
      <w:r w:rsidR="003C3CAB">
        <w:t xml:space="preserve">Ker v Sloveniji </w:t>
      </w:r>
      <w:r w:rsidR="000D08E8" w:rsidRPr="00AD61BB">
        <w:t xml:space="preserve">kmetije </w:t>
      </w:r>
      <w:r w:rsidR="007C4259" w:rsidRPr="003016E0">
        <w:t>večinoma ne vodijo</w:t>
      </w:r>
      <w:r w:rsidR="000D08E8" w:rsidRPr="00AD61BB">
        <w:t xml:space="preserve"> </w:t>
      </w:r>
      <w:r w:rsidR="00AD61BB" w:rsidRPr="00AD61BB">
        <w:t>knjigovodstva</w:t>
      </w:r>
      <w:r w:rsidR="000D08E8">
        <w:t xml:space="preserve"> in tudi ni podatkov o kreditni zgodovini </w:t>
      </w:r>
      <w:r w:rsidR="00AD61BB">
        <w:t xml:space="preserve">na ravni </w:t>
      </w:r>
      <w:r w:rsidR="000D08E8">
        <w:t>kmetije</w:t>
      </w:r>
      <w:r w:rsidR="003C3CAB">
        <w:t xml:space="preserve">, </w:t>
      </w:r>
      <w:r w:rsidR="000D08E8">
        <w:t>je izračunavanje</w:t>
      </w:r>
      <w:r w:rsidR="003C3CAB">
        <w:t xml:space="preserve"> kreditne sposobnosti na ravni kmetije dostikrat otežkočeno</w:t>
      </w:r>
      <w:r w:rsidR="000D08E8">
        <w:t xml:space="preserve">, kar deluje odvračalno na poslovne banke pri oblikovanju finančnih produktov </w:t>
      </w:r>
      <w:r>
        <w:t>za kmetijski sektor</w:t>
      </w:r>
      <w:r w:rsidR="000D08E8">
        <w:t xml:space="preserve">. </w:t>
      </w:r>
      <w:r w:rsidR="001F11F4">
        <w:t>P</w:t>
      </w:r>
      <w:r w:rsidR="00AD583E" w:rsidRPr="00AD583E">
        <w:t xml:space="preserve">omanjkanje </w:t>
      </w:r>
      <w:r w:rsidR="00A6409D">
        <w:t xml:space="preserve">ustreznih oblik </w:t>
      </w:r>
      <w:r w:rsidR="00AD583E" w:rsidRPr="00AD583E">
        <w:t>zavarovanja in poslovni</w:t>
      </w:r>
      <w:r w:rsidR="00E260AA">
        <w:t>h</w:t>
      </w:r>
      <w:r w:rsidR="00AD583E" w:rsidRPr="00AD583E">
        <w:t xml:space="preserve"> načrt</w:t>
      </w:r>
      <w:r w:rsidR="00E260AA">
        <w:t>ov</w:t>
      </w:r>
      <w:r w:rsidR="00AD583E" w:rsidRPr="00AD583E">
        <w:t xml:space="preserve">, skupaj z nizko </w:t>
      </w:r>
      <w:r w:rsidR="001F11F4">
        <w:t>odplačilno sposobnostjo</w:t>
      </w:r>
      <w:r w:rsidR="00A6409D">
        <w:t>,</w:t>
      </w:r>
      <w:r w:rsidR="001F11F4">
        <w:t xml:space="preserve"> povečuje</w:t>
      </w:r>
      <w:r w:rsidR="00AD583E" w:rsidRPr="00AD583E">
        <w:t xml:space="preserve"> težave pri dostopu do financ, </w:t>
      </w:r>
      <w:r w:rsidR="001F11F4">
        <w:t>zlasti za manjša kmetijska gospodarstva</w:t>
      </w:r>
      <w:r w:rsidR="00AD583E" w:rsidRPr="00AD583E">
        <w:t xml:space="preserve">. </w:t>
      </w:r>
      <w:r w:rsidR="001F11F4">
        <w:t>Poleg tega k</w:t>
      </w:r>
      <w:r w:rsidR="00AD583E" w:rsidRPr="00AD583E">
        <w:t xml:space="preserve">oncentracija ponudbe znotraj ene banke in pomanjkanje zanimanja med drugimi bankami, ki raje delajo z manj tveganimi in donosnejšimi strankami, pomeni </w:t>
      </w:r>
      <w:r w:rsidR="001F11F4">
        <w:t xml:space="preserve">omejeno </w:t>
      </w:r>
      <w:r w:rsidR="00AD583E" w:rsidRPr="00AD583E">
        <w:t>izbir</w:t>
      </w:r>
      <w:r w:rsidR="001F11F4">
        <w:t>o</w:t>
      </w:r>
      <w:r w:rsidR="00AD583E" w:rsidRPr="00AD583E">
        <w:t xml:space="preserve"> finančnih sredstev, ki so na voljo. Prav tako lahko visoki stroški odobritve kredita in obrem</w:t>
      </w:r>
      <w:r w:rsidR="001F11F4">
        <w:t>enjujoči upravni postopki kmetijska gospodarstva odvrnejo</w:t>
      </w:r>
      <w:r w:rsidR="0013669D">
        <w:t>, da bi zaprosili za</w:t>
      </w:r>
      <w:r w:rsidR="00AD583E" w:rsidRPr="00AD583E">
        <w:t xml:space="preserve"> posojil</w:t>
      </w:r>
      <w:r w:rsidR="0013669D">
        <w:t>o</w:t>
      </w:r>
      <w:r w:rsidR="00AD583E" w:rsidRPr="00AD583E">
        <w:t xml:space="preserve">. </w:t>
      </w:r>
    </w:p>
    <w:p w14:paraId="5E889C98" w14:textId="77777777" w:rsidR="00FC732C" w:rsidRDefault="00FC732C" w:rsidP="00DA2C5A"/>
    <w:p w14:paraId="377EFC87" w14:textId="49A60FFC" w:rsidR="00905930" w:rsidRDefault="00905930" w:rsidP="007613FE">
      <w:pPr>
        <w:spacing w:before="0" w:line="260" w:lineRule="atLeast"/>
        <w:rPr>
          <w:sz w:val="20"/>
          <w:szCs w:val="20"/>
        </w:rPr>
      </w:pPr>
    </w:p>
    <w:p w14:paraId="12078420" w14:textId="77777777" w:rsidR="00FC732C" w:rsidRPr="001A32D7" w:rsidRDefault="00FC732C" w:rsidP="00FC732C">
      <w:pPr>
        <w:pStyle w:val="Naslov2"/>
      </w:pPr>
      <w:bookmarkStart w:id="87" w:name="_Toc86822547"/>
      <w:r w:rsidRPr="001A32D7">
        <w:t>Ključne ugotovitve</w:t>
      </w:r>
      <w:bookmarkEnd w:id="87"/>
    </w:p>
    <w:p w14:paraId="02C02093" w14:textId="103A24C1" w:rsidR="00FC732C" w:rsidRDefault="00FC732C" w:rsidP="007613FE">
      <w:pPr>
        <w:spacing w:before="0" w:line="260" w:lineRule="atLeast"/>
        <w:rPr>
          <w:sz w:val="20"/>
          <w:szCs w:val="20"/>
        </w:rPr>
      </w:pPr>
    </w:p>
    <w:p w14:paraId="44907013" w14:textId="77777777" w:rsidR="00FC732C" w:rsidRPr="007E558D" w:rsidRDefault="00FC732C" w:rsidP="00FC732C">
      <w:pPr>
        <w:pStyle w:val="Odstavekseznama"/>
        <w:numPr>
          <w:ilvl w:val="0"/>
          <w:numId w:val="88"/>
        </w:numPr>
        <w:spacing w:before="0" w:line="260" w:lineRule="atLeast"/>
        <w:ind w:left="426" w:hanging="284"/>
        <w:rPr>
          <w:rFonts w:ascii="Arial" w:hAnsi="Arial"/>
          <w:sz w:val="22"/>
        </w:rPr>
      </w:pPr>
      <w:r w:rsidRPr="007E558D">
        <w:rPr>
          <w:rFonts w:ascii="Arial" w:hAnsi="Arial"/>
          <w:sz w:val="22"/>
        </w:rPr>
        <w:t xml:space="preserve">Obseg bruto investicij v osnovna sredstva v Sloveniji je v letu 2018 predstavlja 49 % bruto dodane vrednosti in je kljub podpovprečni skupni faktorski produktivnosti nad povprečjem EU-28 (32 %). Prevladujejo investicije v stroje in opremo, v prevozna sredstva in v kmetijske zgradbe, pri čemer se delež prvih v strukturi bruto investicij v osnovna sredstva vztrajno povečuje. </w:t>
      </w:r>
    </w:p>
    <w:p w14:paraId="74285314" w14:textId="77777777" w:rsidR="00FC732C" w:rsidRPr="007E558D" w:rsidRDefault="00FC732C" w:rsidP="00FC732C">
      <w:pPr>
        <w:pStyle w:val="Odstavekseznama"/>
        <w:numPr>
          <w:ilvl w:val="0"/>
          <w:numId w:val="88"/>
        </w:numPr>
        <w:spacing w:before="0" w:line="260" w:lineRule="atLeast"/>
        <w:ind w:left="426" w:hanging="284"/>
        <w:contextualSpacing/>
        <w:rPr>
          <w:rFonts w:ascii="Arial" w:hAnsi="Arial"/>
          <w:sz w:val="22"/>
        </w:rPr>
      </w:pPr>
      <w:r w:rsidRPr="007E558D">
        <w:rPr>
          <w:rFonts w:ascii="Arial" w:eastAsiaTheme="minorHAnsi" w:hAnsi="Arial"/>
          <w:sz w:val="22"/>
          <w:lang w:eastAsia="en-US"/>
        </w:rPr>
        <w:lastRenderedPageBreak/>
        <w:t xml:space="preserve">V slovenskem kmetijstvu se izboljšuje kapitalska intenzivnost, kar potrjujeta kazanika bruto investicij v osnovna sredstva na ha KZU in PDM, pri čemer kapitalska intenzivnost na PDM dosega le 60 % povprečja EU-28. </w:t>
      </w:r>
    </w:p>
    <w:p w14:paraId="4A081FB9"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Vlaganja v osnovna sredstva v kmetijstvu so bila v zadnjih dveh programskih obdobjih 2007–2013 in 2014–2020 močno spodbujena tudi zaradi nepovratnih sredstev PRP. Prevladujejo naložbe v živinorejo, glede na vrsto naložb pa naložbe v </w:t>
      </w:r>
      <w:r w:rsidRPr="007E558D">
        <w:rPr>
          <w:rFonts w:ascii="Arial" w:eastAsiaTheme="minorHAnsi" w:hAnsi="Arial"/>
          <w:bCs/>
          <w:sz w:val="22"/>
        </w:rPr>
        <w:t xml:space="preserve">ureditev ali vzdrževanje nepremičnin za kmetijsko dejavnost, nakup pripadajoče opreme za kmetijsko proizvodnjo, ureditev greznic in čistilnih naprav, nakup IKT in strojno opremo. </w:t>
      </w:r>
    </w:p>
    <w:p w14:paraId="34B5E6FB"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KMG, vključena v sheme ekološke proizvodnje, so v manjši meri vključena v podukrep M04.1 (težje dostopajo do teh podpor), hkrati pa je tudi njihova povprečna vrednost naložb za 40 % nižja od ostalih KMG. </w:t>
      </w:r>
    </w:p>
    <w:p w14:paraId="416AFECE"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Kmetijska gospodarstva v Sloveniji težje dostopajo do (zunanjih) finančnih virov kot drugje v EU. Finančna vrzel v kmetijstvu je ocenjena na 952 mio EUR, kar se nanaša predvsem na dostop do dolgoročnega financiranja, predvsem za majhna kmetijska gospodarstva. </w:t>
      </w:r>
    </w:p>
    <w:p w14:paraId="40BDF396"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V večji meri investirajo večja kmetijska gospodarstva, ki imajo večji denarni tok in boljše možnosti za pridobitev finančnih virov. Ker manjše kmetije ne vodijo poslovnih knjig, težje dostopajo do bančnih posojil, kar jih, skupaj z obsegom in vrsto proizvodnje ter posledično jakostjo denarnega toka, ovira pri kapitalskih vlaganjih v osnovna sredstva in zmanjšuje možnosti njihovega tehnološkega razvoja.  </w:t>
      </w:r>
    </w:p>
    <w:p w14:paraId="523697A9"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Za slovenski kmetijski sektor je glede na FADN podatke značilna izjemno visoka amortizacija. Poraba kapitala, izražena kot delež bruto dohodka na kmetiji, je zelo visoka.  </w:t>
      </w:r>
    </w:p>
    <w:p w14:paraId="21A0CB6B" w14:textId="6C206127" w:rsidR="00FC732C" w:rsidRDefault="00FC732C" w:rsidP="007613FE">
      <w:pPr>
        <w:spacing w:before="0" w:line="260" w:lineRule="atLeast"/>
        <w:rPr>
          <w:sz w:val="20"/>
          <w:szCs w:val="20"/>
        </w:rPr>
      </w:pPr>
    </w:p>
    <w:p w14:paraId="313C0869" w14:textId="365617A2" w:rsidR="00FC732C" w:rsidRDefault="00FC732C" w:rsidP="007613FE">
      <w:pPr>
        <w:spacing w:before="0" w:line="260" w:lineRule="atLeast"/>
        <w:rPr>
          <w:sz w:val="20"/>
          <w:szCs w:val="20"/>
        </w:rPr>
      </w:pPr>
    </w:p>
    <w:p w14:paraId="1FD575EC" w14:textId="77777777" w:rsidR="00FC732C" w:rsidRDefault="00FC732C" w:rsidP="007613FE">
      <w:pPr>
        <w:spacing w:before="0" w:line="260" w:lineRule="atLeast"/>
        <w:rPr>
          <w:sz w:val="20"/>
          <w:szCs w:val="20"/>
        </w:rPr>
      </w:pPr>
    </w:p>
    <w:p w14:paraId="7BE632F7" w14:textId="377B4FB4" w:rsidR="00165E45" w:rsidRDefault="00812BD6" w:rsidP="00DA2C5A">
      <w:pPr>
        <w:pStyle w:val="Naslov1"/>
      </w:pPr>
      <w:bookmarkStart w:id="88" w:name="_Toc86822548"/>
      <w:r w:rsidRPr="009F3567">
        <w:t>P</w:t>
      </w:r>
      <w:r w:rsidR="00C00231">
        <w:t>roizvodni potencial</w:t>
      </w:r>
      <w:r w:rsidR="004732CD" w:rsidRPr="00A7730B">
        <w:t xml:space="preserve"> in </w:t>
      </w:r>
      <w:r w:rsidR="004D40E8" w:rsidRPr="00551D9B">
        <w:t>dostop do kmetijskih zemljišč</w:t>
      </w:r>
      <w:bookmarkEnd w:id="88"/>
    </w:p>
    <w:p w14:paraId="2431E5B1" w14:textId="77777777" w:rsidR="00905930" w:rsidRDefault="00905930" w:rsidP="007613FE">
      <w:pPr>
        <w:spacing w:before="0" w:line="260" w:lineRule="atLeast"/>
        <w:rPr>
          <w:sz w:val="20"/>
          <w:szCs w:val="20"/>
        </w:rPr>
      </w:pPr>
    </w:p>
    <w:p w14:paraId="5B661691" w14:textId="636ED6C7" w:rsidR="00C00231" w:rsidRDefault="00C00231" w:rsidP="00DA2C5A">
      <w:r>
        <w:t>Kmetijska zemljišča so v RS izrazito omejen proizvodni faktor, ki je skoncentriran na sorazmerno</w:t>
      </w:r>
      <w:r w:rsidRPr="00B37DEC">
        <w:t xml:space="preserve"> omejenost ravninskega sveta</w:t>
      </w:r>
      <w:r>
        <w:t xml:space="preserve">, v katerem kmetijstvu konkurirajo tudi drugi interesi: promet, industrija, širjenje naselij itd. Kot že predstavljeno </w:t>
      </w:r>
      <w:r w:rsidRPr="00F90D7F">
        <w:t>v splošnem opisu kmetijstva v uvodu</w:t>
      </w:r>
      <w:r>
        <w:t>, gozdovi prekrivajo nekaj manj kot dve tretjini zemljišč v</w:t>
      </w:r>
      <w:r w:rsidR="00B72CAC">
        <w:t xml:space="preserve"> RS</w:t>
      </w:r>
      <w:r>
        <w:t xml:space="preserve">, sledijo kmetijska zemljišča z okoli tretjino vseh zemljišč, znotraj katerih največji delež predstavljajo trajni travniki. </w:t>
      </w:r>
    </w:p>
    <w:p w14:paraId="2E4425DA" w14:textId="77777777" w:rsidR="00905930" w:rsidRDefault="00905930" w:rsidP="007613FE">
      <w:pPr>
        <w:spacing w:before="0" w:line="260" w:lineRule="atLeast"/>
        <w:rPr>
          <w:sz w:val="20"/>
          <w:szCs w:val="20"/>
        </w:rPr>
      </w:pPr>
    </w:p>
    <w:p w14:paraId="767C97C2" w14:textId="16A05AB4" w:rsidR="00C00231" w:rsidRDefault="00C00231" w:rsidP="00DA2C5A">
      <w:r>
        <w:t>Obseg, način in intenzivnost rabe kmetijskih zemljišč v Sloveniji je omejena zaradi različnih dejavnikov: velikega deleža OMD, podvrženosti dela kmetijskih zemljišč različnim varstvenim režimom (npr. na vodovarstvenih območjih), na določenih območjih se soočamo z erozijo (zlasti vodno, vetrno, snežno), s procesi zaraščanja zaradi opuščanja kmetijske dejavnosti ali pa povsem nasprotno – s procesi pospešene pozidave in s tem trajne izgube kmetijskih zemljišč (npr. kot posledica izgradnje prometne infrastrukture</w:t>
      </w:r>
      <w:r w:rsidR="00B72CAC">
        <w:t xml:space="preserve">, </w:t>
      </w:r>
      <w:r w:rsidR="00B72CAC">
        <w:lastRenderedPageBreak/>
        <w:t>industrije</w:t>
      </w:r>
      <w:r>
        <w:t>).</w:t>
      </w:r>
      <w:r>
        <w:rPr>
          <w:rStyle w:val="Sprotnaopomba-sklic"/>
        </w:rPr>
        <w:footnoteReference w:id="11"/>
      </w:r>
      <w:r>
        <w:t xml:space="preserve"> Dodatno je za kmetijska zemljišča v RS značilna velika razdrobljenost in zelo omejen dostop do kmetijskih zemljišč. </w:t>
      </w:r>
      <w:r w:rsidRPr="00F90D7F">
        <w:t>Vse navedeno izrazito vpliva na produktivnost</w:t>
      </w:r>
      <w:r>
        <w:t xml:space="preserve"> kmetijskih gospodarstev in na načrtovanje njihovega razvoja</w:t>
      </w:r>
      <w:r w:rsidRPr="00F90D7F">
        <w:t>.</w:t>
      </w:r>
      <w:r>
        <w:t xml:space="preserve"> </w:t>
      </w:r>
    </w:p>
    <w:p w14:paraId="20C45D5C" w14:textId="77777777" w:rsidR="00B72CAC" w:rsidRDefault="00B72CAC" w:rsidP="007613FE">
      <w:pPr>
        <w:spacing w:before="0" w:line="260" w:lineRule="atLeast"/>
        <w:rPr>
          <w:sz w:val="20"/>
          <w:szCs w:val="20"/>
        </w:rPr>
      </w:pPr>
    </w:p>
    <w:p w14:paraId="24D6DA93" w14:textId="77777777" w:rsidR="00C00231" w:rsidRDefault="00C00231" w:rsidP="00DA2C5A">
      <w:r>
        <w:t xml:space="preserve">Ker je upravljanje s tlemi, kot naravnim resursom, podrobno opisano v analizi stanja za cilj 5, se v tem delu osredotočamo na: </w:t>
      </w:r>
    </w:p>
    <w:p w14:paraId="618BFEDC" w14:textId="77777777" w:rsidR="00C00231" w:rsidRDefault="00C00231" w:rsidP="00DA2C5A">
      <w:r>
        <w:t>- razdrobljenost kmetijskih zemljišč,</w:t>
      </w:r>
    </w:p>
    <w:p w14:paraId="52BD265F" w14:textId="77777777" w:rsidR="00C00231" w:rsidRDefault="00C00231" w:rsidP="00DA2C5A">
      <w:r>
        <w:t>- dostop do kmetijskih zemljišč,</w:t>
      </w:r>
    </w:p>
    <w:p w14:paraId="3D75EC4B" w14:textId="019DECAF" w:rsidR="00C00231" w:rsidRDefault="00C00231" w:rsidP="00DA2C5A">
      <w:r>
        <w:t>- proizvodni potencial kmetijskih zemljišč.</w:t>
      </w:r>
    </w:p>
    <w:p w14:paraId="6FF6D4A8" w14:textId="77777777" w:rsidR="00C00231" w:rsidRDefault="00C00231" w:rsidP="007613FE">
      <w:pPr>
        <w:spacing w:before="0" w:line="260" w:lineRule="atLeast"/>
        <w:rPr>
          <w:b/>
          <w:i/>
          <w:sz w:val="20"/>
          <w:szCs w:val="20"/>
          <w:u w:val="single"/>
        </w:rPr>
      </w:pPr>
    </w:p>
    <w:p w14:paraId="6B4921F2" w14:textId="77777777" w:rsidR="00C00231" w:rsidRPr="00DA2C5A" w:rsidRDefault="00C00231" w:rsidP="005B2A49">
      <w:pPr>
        <w:pStyle w:val="Naslov2"/>
      </w:pPr>
      <w:bookmarkStart w:id="89" w:name="_Toc86822549"/>
      <w:r w:rsidRPr="00DA2C5A">
        <w:t>Razdrobljenost kmetijskih zemljišč</w:t>
      </w:r>
      <w:bookmarkEnd w:id="89"/>
      <w:r w:rsidRPr="00DA2C5A">
        <w:t xml:space="preserve"> </w:t>
      </w:r>
    </w:p>
    <w:p w14:paraId="6BCA128C" w14:textId="77777777" w:rsidR="00B72CAC" w:rsidRDefault="00B72CAC" w:rsidP="007613FE">
      <w:pPr>
        <w:spacing w:before="0" w:line="260" w:lineRule="atLeast"/>
        <w:rPr>
          <w:sz w:val="20"/>
          <w:szCs w:val="20"/>
        </w:rPr>
      </w:pPr>
    </w:p>
    <w:p w14:paraId="6FA836EC" w14:textId="698D462D" w:rsidR="00C00231" w:rsidRDefault="00C00231" w:rsidP="00DA2C5A">
      <w:r w:rsidRPr="003F5CF7">
        <w:t xml:space="preserve">Razdrobljenost kmetijskih zemljišč ima pomemben vpliv na dohodek KMG, ker </w:t>
      </w:r>
      <w:r w:rsidRPr="00EE6FCB">
        <w:t>povečuje stroške pridelave, negativno vpliva hektarske pridelke in posledično zmanjšuje dohodek in učinkovitost kmetijske proizvodnje</w:t>
      </w:r>
      <w:r w:rsidRPr="003F5CF7">
        <w:t xml:space="preserve"> (Latruffe L. in sod., 2013). Na drugi strani je potrebno poudariti, da razdrobljenost pozitivno vpliva na okolje. Pri spremembah v kmetijski krajin (npr. ukrepi združevanja parcel…) je torej potrebno s stališča okolja </w:t>
      </w:r>
      <w:r w:rsidRPr="00EE6FCB">
        <w:t>nujno tehtati med zasebnimi koristmi/izgubami na ravni KMG in družbenimi koristni/izgubami</w:t>
      </w:r>
      <w:r w:rsidRPr="003F5CF7">
        <w:t xml:space="preserve">. </w:t>
      </w:r>
    </w:p>
    <w:p w14:paraId="10C33112" w14:textId="77777777" w:rsidR="00B72CAC" w:rsidRPr="003F5CF7" w:rsidRDefault="00B72CAC" w:rsidP="007613FE">
      <w:pPr>
        <w:spacing w:before="0" w:line="260" w:lineRule="atLeast"/>
        <w:rPr>
          <w:sz w:val="20"/>
          <w:szCs w:val="20"/>
        </w:rPr>
      </w:pPr>
    </w:p>
    <w:p w14:paraId="234FFF3C" w14:textId="56C65ED7" w:rsidR="00C00231" w:rsidRDefault="00C00231" w:rsidP="00DA2C5A">
      <w:r w:rsidRPr="00A609A1">
        <w:t>V letu 2019 je bilo v Sloveniji 861.493 grafičnih enot r</w:t>
      </w:r>
      <w:r>
        <w:t xml:space="preserve">abe kmetijskih zemljišč (GERK). </w:t>
      </w:r>
      <w:r w:rsidRPr="00A609A1">
        <w:t>V povprečju je KMG obdeloval 9,7 GERK-</w:t>
      </w:r>
      <w:r>
        <w:t>a, povprečna velikost GERK-a pa znaša</w:t>
      </w:r>
      <w:r w:rsidRPr="00A609A1">
        <w:t xml:space="preserve"> 0,56 ha.</w:t>
      </w:r>
      <w:r>
        <w:t xml:space="preserve"> </w:t>
      </w:r>
      <w:r w:rsidRPr="003A6C5E">
        <w:t>Tako majhna povprečna velikost vpisanega GERK-a je posledica dejstva, da je kar 86,29 % vseh GERK-ov po površini</w:t>
      </w:r>
      <w:r>
        <w:t>,</w:t>
      </w:r>
      <w:r w:rsidRPr="003A6C5E">
        <w:t xml:space="preserve"> manjših od 1 ha. Skupna površina </w:t>
      </w:r>
      <w:r>
        <w:t xml:space="preserve">vseh </w:t>
      </w:r>
      <w:r w:rsidRPr="003A6C5E">
        <w:t>GERK</w:t>
      </w:r>
      <w:r>
        <w:t>-</w:t>
      </w:r>
      <w:r w:rsidRPr="003A6C5E">
        <w:t>ov</w:t>
      </w:r>
      <w:r>
        <w:t>, manjših od 1 ha,</w:t>
      </w:r>
      <w:r w:rsidRPr="003A6C5E">
        <w:t xml:space="preserve"> </w:t>
      </w:r>
      <w:r>
        <w:t>znaša</w:t>
      </w:r>
      <w:r w:rsidRPr="003A6C5E">
        <w:t xml:space="preserve"> 44 % površine, na katerih imajo kmetijska gospodarstva vrisane GERK</w:t>
      </w:r>
      <w:r>
        <w:t>-</w:t>
      </w:r>
      <w:r w:rsidRPr="003A6C5E">
        <w:t>e</w:t>
      </w:r>
      <w:r>
        <w:t xml:space="preserve"> (</w:t>
      </w:r>
      <w:r w:rsidRPr="003A6C5E">
        <w:t>216.187 ha</w:t>
      </w:r>
      <w:r>
        <w:t>). Največjo povprečno površino vpisanih GERK-ov imajo zemljišča, ki so po dejanski rabi hmeljišča (</w:t>
      </w:r>
      <w:r w:rsidRPr="00313E26">
        <w:rPr>
          <w:color w:val="000000"/>
          <w:lang w:eastAsia="sl-SI"/>
        </w:rPr>
        <w:t>2,27</w:t>
      </w:r>
      <w:r>
        <w:rPr>
          <w:color w:val="000000"/>
          <w:lang w:eastAsia="sl-SI"/>
        </w:rPr>
        <w:t xml:space="preserve"> ha)</w:t>
      </w:r>
      <w:r>
        <w:t>, vendar ta predstavljajo le 0,3 % površine vseh vpisanih GERK-ov (</w:t>
      </w:r>
      <w:r w:rsidRPr="00313E26">
        <w:rPr>
          <w:color w:val="000000"/>
          <w:lang w:eastAsia="sl-SI"/>
        </w:rPr>
        <w:t>1</w:t>
      </w:r>
      <w:r>
        <w:rPr>
          <w:color w:val="000000"/>
          <w:lang w:eastAsia="sl-SI"/>
        </w:rPr>
        <w:t>.</w:t>
      </w:r>
      <w:r w:rsidRPr="00313E26">
        <w:rPr>
          <w:color w:val="000000"/>
          <w:lang w:eastAsia="sl-SI"/>
        </w:rPr>
        <w:t>480</w:t>
      </w:r>
      <w:r>
        <w:rPr>
          <w:color w:val="000000"/>
          <w:lang w:eastAsia="sl-SI"/>
        </w:rPr>
        <w:t xml:space="preserve"> ha)</w:t>
      </w:r>
      <w:r>
        <w:t xml:space="preserve">. </w:t>
      </w:r>
    </w:p>
    <w:p w14:paraId="133130FB" w14:textId="77777777" w:rsidR="007707B6" w:rsidRDefault="007707B6" w:rsidP="007613FE">
      <w:pPr>
        <w:spacing w:before="0" w:line="260" w:lineRule="atLeast"/>
        <w:rPr>
          <w:sz w:val="20"/>
          <w:szCs w:val="20"/>
        </w:rPr>
      </w:pPr>
    </w:p>
    <w:p w14:paraId="4EFF723E" w14:textId="5544AAB8" w:rsidR="00C00231" w:rsidRPr="00DA2C5A" w:rsidRDefault="00C00231" w:rsidP="008B1A89">
      <w:pPr>
        <w:rPr>
          <w:szCs w:val="22"/>
        </w:rPr>
      </w:pPr>
      <w:r w:rsidRPr="00DA2C5A">
        <w:rPr>
          <w:szCs w:val="22"/>
        </w:rPr>
        <w:t>Primerjava</w:t>
      </w:r>
      <w:r w:rsidRPr="00DA2C5A">
        <w:rPr>
          <w:rStyle w:val="Sprotnaopomba-sklic"/>
          <w:sz w:val="22"/>
          <w:szCs w:val="22"/>
        </w:rPr>
        <w:footnoteReference w:id="12"/>
      </w:r>
      <w:r w:rsidRPr="00DA2C5A">
        <w:rPr>
          <w:szCs w:val="22"/>
        </w:rPr>
        <w:t xml:space="preserve"> z nekaterimi drugimi državami pokaže, da so v Sloveniji povprečne velikosti </w:t>
      </w:r>
      <w:r w:rsidR="007707B6" w:rsidRPr="00DA2C5A">
        <w:rPr>
          <w:szCs w:val="22"/>
        </w:rPr>
        <w:t>obdelovalnih enot</w:t>
      </w:r>
      <w:r w:rsidRPr="00DA2C5A">
        <w:rPr>
          <w:szCs w:val="22"/>
        </w:rPr>
        <w:t xml:space="preserve"> bistveno manjše (Nemčija: 3,12 ha; Nizozemska: 3,87 ha, Poljska: 4,66 ha (Saint-Cyr L. et at., 2016)). Po teh podatkih je celo povprečna velikost GERK-ov za največje KMG v Sloveniji še vedno bistveno nižja od povprečja teh držav. Enaka primerjava po številu parcel na KMG pokaže nekoliko drugačno sliko, saj imajo vse analizirane države večje število parcel (Nemčija: 42,3; Nizozemska: 17,5; Poljska: 11,1 (Saint-Cyr L. et at. (2016)). Vzrok za to je v tem, da imajo vse naštete države bistveno višje povprečne velikosti KMG, povprečna velikost KMG pa je pozitivno povezana s številom parcel. </w:t>
      </w:r>
    </w:p>
    <w:p w14:paraId="7F2EE4F1" w14:textId="77777777" w:rsidR="007707B6" w:rsidRPr="00DA2C5A" w:rsidRDefault="007707B6" w:rsidP="007613FE">
      <w:pPr>
        <w:spacing w:before="0" w:line="260" w:lineRule="atLeast"/>
        <w:rPr>
          <w:szCs w:val="22"/>
        </w:rPr>
      </w:pPr>
    </w:p>
    <w:p w14:paraId="38CE9F5F" w14:textId="77777777" w:rsidR="00C00231" w:rsidRPr="00DA2C5A" w:rsidRDefault="00C00231" w:rsidP="007613FE">
      <w:pPr>
        <w:spacing w:before="0" w:line="260" w:lineRule="atLeast"/>
        <w:rPr>
          <w:szCs w:val="22"/>
        </w:rPr>
      </w:pPr>
      <w:r w:rsidRPr="00DA2C5A">
        <w:rPr>
          <w:szCs w:val="22"/>
        </w:rPr>
        <w:lastRenderedPageBreak/>
        <w:t>Iz podatkov o GERK-ih, sloja GERK predtisk 2019, je razvidno, da:</w:t>
      </w:r>
    </w:p>
    <w:p w14:paraId="69C4DA19" w14:textId="49D2485E" w:rsidR="00C00231" w:rsidRPr="008B1A89" w:rsidRDefault="00C00231" w:rsidP="00304C05">
      <w:pPr>
        <w:pStyle w:val="Odstavekseznama"/>
        <w:numPr>
          <w:ilvl w:val="0"/>
          <w:numId w:val="141"/>
        </w:numPr>
        <w:spacing w:before="0" w:line="260" w:lineRule="atLeast"/>
        <w:ind w:left="357" w:hanging="357"/>
        <w:contextualSpacing/>
        <w:rPr>
          <w:rFonts w:ascii="Arial" w:hAnsi="Arial"/>
          <w:sz w:val="22"/>
          <w:szCs w:val="22"/>
        </w:rPr>
      </w:pPr>
      <w:r w:rsidRPr="008B1A89">
        <w:rPr>
          <w:rFonts w:ascii="Arial" w:hAnsi="Arial"/>
          <w:sz w:val="22"/>
          <w:szCs w:val="22"/>
        </w:rPr>
        <w:t>se s povečevanjem velikosti KMG povečuje povprečna velikost GERK-ov</w:t>
      </w:r>
      <w:r w:rsidR="008074DA">
        <w:rPr>
          <w:rFonts w:ascii="Arial" w:hAnsi="Arial"/>
          <w:sz w:val="22"/>
          <w:szCs w:val="22"/>
        </w:rPr>
        <w:t xml:space="preserve"> in število GERK-ov</w:t>
      </w:r>
      <w:r w:rsidRPr="008B1A89">
        <w:rPr>
          <w:rFonts w:ascii="Arial" w:hAnsi="Arial"/>
          <w:sz w:val="22"/>
          <w:szCs w:val="22"/>
        </w:rPr>
        <w:t>,</w:t>
      </w:r>
    </w:p>
    <w:p w14:paraId="3FEFE213" w14:textId="0FD898AE" w:rsidR="00C00231" w:rsidRPr="00B80876" w:rsidRDefault="00C00231" w:rsidP="00B80876">
      <w:pPr>
        <w:pStyle w:val="Odstavekseznama"/>
        <w:numPr>
          <w:ilvl w:val="0"/>
          <w:numId w:val="141"/>
        </w:numPr>
        <w:spacing w:before="0" w:line="260" w:lineRule="atLeast"/>
        <w:ind w:left="357" w:hanging="357"/>
        <w:contextualSpacing/>
        <w:rPr>
          <w:rFonts w:ascii="Arial" w:hAnsi="Arial"/>
          <w:sz w:val="22"/>
          <w:szCs w:val="22"/>
        </w:rPr>
      </w:pPr>
      <w:r w:rsidRPr="00DA2C5A">
        <w:rPr>
          <w:rFonts w:ascii="Arial" w:hAnsi="Arial"/>
          <w:sz w:val="22"/>
          <w:szCs w:val="22"/>
        </w:rPr>
        <w:t>na KMG s sedežem KMG nad 600 m NMV raste povprečna velikost GERK-ov in pada število GERK-ov na KMG</w:t>
      </w:r>
      <w:r w:rsidRPr="00B80876">
        <w:rPr>
          <w:rFonts w:ascii="Arial" w:hAnsi="Arial"/>
          <w:sz w:val="22"/>
          <w:szCs w:val="22"/>
        </w:rPr>
        <w:t>,</w:t>
      </w:r>
    </w:p>
    <w:p w14:paraId="7F39FE2B" w14:textId="2A872A16" w:rsidR="007707B6" w:rsidRDefault="00C00231" w:rsidP="008074DA">
      <w:pPr>
        <w:pStyle w:val="Odstavekseznama"/>
        <w:numPr>
          <w:ilvl w:val="0"/>
          <w:numId w:val="141"/>
        </w:numPr>
        <w:spacing w:before="0" w:line="260" w:lineRule="atLeast"/>
        <w:ind w:left="357" w:hanging="357"/>
        <w:contextualSpacing/>
      </w:pPr>
      <w:r w:rsidRPr="008B1A89">
        <w:rPr>
          <w:rFonts w:ascii="Arial" w:hAnsi="Arial"/>
          <w:sz w:val="22"/>
          <w:szCs w:val="22"/>
        </w:rPr>
        <w:t>je največja povprečna velikost GERK-ov na območjih izven OMD, sledijo posebna območja (PO), hribovsko gorska</w:t>
      </w:r>
      <w:r w:rsidR="008074DA">
        <w:rPr>
          <w:rFonts w:ascii="Arial" w:hAnsi="Arial"/>
          <w:sz w:val="22"/>
          <w:szCs w:val="22"/>
        </w:rPr>
        <w:t xml:space="preserve"> območja (HGO) in druga območja</w:t>
      </w:r>
      <w:bookmarkStart w:id="90" w:name="_Ref54806914"/>
    </w:p>
    <w:p w14:paraId="55F3E676" w14:textId="77777777" w:rsidR="001551CF" w:rsidRDefault="001551CF" w:rsidP="008B1A89">
      <w:pPr>
        <w:pStyle w:val="SCslika"/>
      </w:pPr>
    </w:p>
    <w:p w14:paraId="2EFCEC63" w14:textId="4A6C9D75" w:rsidR="00C00231" w:rsidRDefault="00C00231" w:rsidP="008B1A89">
      <w:pPr>
        <w:pStyle w:val="SCslika"/>
      </w:pPr>
      <w:bookmarkStart w:id="91" w:name="_Toc86822698"/>
      <w:r w:rsidRPr="00A609A1">
        <w:t xml:space="preserve">Slika </w:t>
      </w:r>
      <w:r w:rsidR="00A87628">
        <w:fldChar w:fldCharType="begin"/>
      </w:r>
      <w:r w:rsidR="00A87628">
        <w:instrText xml:space="preserve"> SEQ Slika \* ARABIC </w:instrText>
      </w:r>
      <w:r w:rsidR="00A87628">
        <w:fldChar w:fldCharType="separate"/>
      </w:r>
      <w:r w:rsidR="0088117A">
        <w:t>26</w:t>
      </w:r>
      <w:r w:rsidR="00A87628">
        <w:fldChar w:fldCharType="end"/>
      </w:r>
      <w:bookmarkEnd w:id="90"/>
      <w:r w:rsidRPr="00A609A1">
        <w:t xml:space="preserve">: Št. </w:t>
      </w:r>
      <w:r>
        <w:t>GERK</w:t>
      </w:r>
      <w:r w:rsidRPr="00A609A1">
        <w:t>-ov na KMG in povprečna velikost G</w:t>
      </w:r>
      <w:r>
        <w:t>ERK</w:t>
      </w:r>
      <w:r w:rsidRPr="00A609A1">
        <w:t>-ov glede na velikost KMG</w:t>
      </w:r>
      <w:r>
        <w:t xml:space="preserve"> </w:t>
      </w:r>
      <w:r w:rsidRPr="00A609A1">
        <w:t>za celotno populacijo KMG za leto 2019, za Slovenijo (n= 89.167)</w:t>
      </w:r>
      <w:bookmarkEnd w:id="91"/>
    </w:p>
    <w:p w14:paraId="38056104" w14:textId="77777777" w:rsidR="00C00231" w:rsidRPr="00A609A1" w:rsidRDefault="00C00231" w:rsidP="00C00231">
      <w:pPr>
        <w:pStyle w:val="Slike"/>
        <w:pBdr>
          <w:top w:val="none" w:sz="0" w:space="0" w:color="auto"/>
          <w:left w:val="none" w:sz="0" w:space="0" w:color="auto"/>
          <w:bottom w:val="none" w:sz="0" w:space="0" w:color="auto"/>
          <w:right w:val="none" w:sz="0" w:space="0" w:color="auto"/>
        </w:pBdr>
      </w:pPr>
      <w:r w:rsidRPr="00A609A1">
        <w:drawing>
          <wp:inline distT="0" distB="0" distL="0" distR="0" wp14:anchorId="7E38D8D9" wp14:editId="65E3ED4C">
            <wp:extent cx="5760720" cy="2362200"/>
            <wp:effectExtent l="0" t="0" r="11430" b="0"/>
            <wp:docPr id="51" name="Grafikon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67A222" w14:textId="77777777" w:rsidR="00C00231" w:rsidRPr="00A609A1" w:rsidRDefault="00C00231" w:rsidP="00C00231">
      <w:pPr>
        <w:pStyle w:val="Vir"/>
      </w:pPr>
      <w:r w:rsidRPr="00A609A1">
        <w:t>Vir: MKGP [Sloj Gerk predtisk 2019]</w:t>
      </w:r>
    </w:p>
    <w:p w14:paraId="4D7BC0BB" w14:textId="77777777" w:rsidR="008B1A89" w:rsidRDefault="008B1A89" w:rsidP="008B1A89">
      <w:pPr>
        <w:pStyle w:val="SCslika"/>
      </w:pPr>
      <w:bookmarkStart w:id="92" w:name="_Ref54899584"/>
    </w:p>
    <w:p w14:paraId="525E296D" w14:textId="0439307A" w:rsidR="00C00231" w:rsidRPr="00CF34BA" w:rsidRDefault="00C00231" w:rsidP="008B1A89">
      <w:pPr>
        <w:pStyle w:val="SCslika"/>
      </w:pPr>
      <w:bookmarkStart w:id="93" w:name="_Toc86822699"/>
      <w:r w:rsidRPr="001863D0">
        <w:t xml:space="preserve">Slika </w:t>
      </w:r>
      <w:r w:rsidR="00A87628">
        <w:fldChar w:fldCharType="begin"/>
      </w:r>
      <w:r w:rsidR="00A87628">
        <w:instrText xml:space="preserve"> SEQ Slika \* ARABIC </w:instrText>
      </w:r>
      <w:r w:rsidR="00A87628">
        <w:fldChar w:fldCharType="separate"/>
      </w:r>
      <w:r w:rsidR="0088117A">
        <w:t>27</w:t>
      </w:r>
      <w:r w:rsidR="00A87628">
        <w:fldChar w:fldCharType="end"/>
      </w:r>
      <w:bookmarkEnd w:id="92"/>
      <w:r w:rsidRPr="001863D0">
        <w:t>: Št</w:t>
      </w:r>
      <w:r w:rsidRPr="00A609A1">
        <w:t>. G</w:t>
      </w:r>
      <w:r>
        <w:t>ERK</w:t>
      </w:r>
      <w:r w:rsidRPr="00A609A1">
        <w:t>-ov na KMG in povprečna velikost G</w:t>
      </w:r>
      <w:r>
        <w:t>ERK</w:t>
      </w:r>
      <w:r w:rsidRPr="00A609A1">
        <w:t>-ov glede na nadmorsko višino sedeža KMG, ki so oddali zbirno vlogo za leto 2019, za Slovenijo (n= 56.652)</w:t>
      </w:r>
      <w:bookmarkEnd w:id="93"/>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ook w:val="04A0" w:firstRow="1" w:lastRow="0" w:firstColumn="1" w:lastColumn="0" w:noHBand="0" w:noVBand="1"/>
      </w:tblPr>
      <w:tblGrid>
        <w:gridCol w:w="4894"/>
        <w:gridCol w:w="4168"/>
      </w:tblGrid>
      <w:tr w:rsidR="00C00231" w:rsidRPr="008A257D" w14:paraId="7A4BD91E" w14:textId="77777777" w:rsidTr="000F3AC4">
        <w:trPr>
          <w:trHeight w:val="4367"/>
        </w:trPr>
        <w:tc>
          <w:tcPr>
            <w:tcW w:w="4531" w:type="dxa"/>
          </w:tcPr>
          <w:p w14:paraId="01680EBF" w14:textId="77777777" w:rsidR="00C00231" w:rsidRPr="00A609A1" w:rsidRDefault="00C00231" w:rsidP="000F3AC4">
            <w:pPr>
              <w:ind w:left="357"/>
              <w:rPr>
                <w14:textOutline w14:w="9525" w14:cap="rnd" w14:cmpd="sng" w14:algn="ctr">
                  <w14:solidFill>
                    <w14:schemeClr w14:val="bg1">
                      <w14:lumMod w14:val="85000"/>
                    </w14:schemeClr>
                  </w14:solidFill>
                  <w14:prstDash w14:val="solid"/>
                  <w14:bevel/>
                </w14:textOutline>
              </w:rPr>
            </w:pPr>
            <w:r w:rsidRPr="0007362B">
              <w:rPr>
                <w:outline/>
                <w:noProof/>
                <w:color w:val="FFFFFF" w:themeColor="background1"/>
                <w:lang w:eastAsia="sl-SI"/>
                <w14:textOutline w14:w="9525" w14:cap="rnd" w14:cmpd="sng" w14:algn="ctr">
                  <w14:solidFill>
                    <w14:schemeClr w14:val="bg1">
                      <w14:lumMod w14:val="85000"/>
                    </w14:schemeClr>
                  </w14:solidFill>
                  <w14:prstDash w14:val="solid"/>
                  <w14:bevel/>
                </w14:textOutline>
                <w14:textFill>
                  <w14:noFill/>
                </w14:textFill>
              </w:rPr>
              <w:drawing>
                <wp:inline distT="0" distB="0" distL="0" distR="0" wp14:anchorId="74136F2C" wp14:editId="289CE0C6">
                  <wp:extent cx="2914650" cy="2476500"/>
                  <wp:effectExtent l="0" t="0" r="0" b="0"/>
                  <wp:docPr id="1631865544" name="Grafikon 1631865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531" w:type="dxa"/>
          </w:tcPr>
          <w:p w14:paraId="100A6831" w14:textId="77777777" w:rsidR="00C00231" w:rsidRPr="00A609A1" w:rsidRDefault="00C00231" w:rsidP="000F3AC4">
            <w:pPr>
              <w:rPr>
                <w14:textOutline w14:w="9525" w14:cap="rnd" w14:cmpd="sng" w14:algn="ctr">
                  <w14:solidFill>
                    <w14:schemeClr w14:val="bg1">
                      <w14:lumMod w14:val="85000"/>
                    </w14:schemeClr>
                  </w14:solidFill>
                  <w14:prstDash w14:val="solid"/>
                  <w14:bevel/>
                </w14:textOutline>
              </w:rPr>
            </w:pPr>
            <w:r w:rsidRPr="00A609A1">
              <w:rPr>
                <w:noProof/>
                <w:lang w:eastAsia="sl-SI"/>
                <w14:textOutline w14:w="9525" w14:cap="rnd" w14:cmpd="sng" w14:algn="ctr">
                  <w14:solidFill>
                    <w14:schemeClr w14:val="bg1">
                      <w14:lumMod w14:val="85000"/>
                    </w14:schemeClr>
                  </w14:solidFill>
                  <w14:prstDash w14:val="solid"/>
                  <w14:bevel/>
                </w14:textOutline>
              </w:rPr>
              <w:drawing>
                <wp:inline distT="0" distB="0" distL="0" distR="0" wp14:anchorId="2567D416" wp14:editId="1B4026C3">
                  <wp:extent cx="2654300" cy="2462985"/>
                  <wp:effectExtent l="0" t="0" r="0" b="0"/>
                  <wp:docPr id="1631865545" name="Grafikon 163186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4AD55DE1" w14:textId="3F192776" w:rsidR="00C00231" w:rsidRDefault="00C00231" w:rsidP="00C00231">
      <w:pPr>
        <w:pStyle w:val="Vir"/>
      </w:pPr>
      <w:r w:rsidRPr="00A609A1">
        <w:t xml:space="preserve">Vir: MKGP [Sloj Gerk predtisk 2019, RKG nadmorske višine sedeža KMG, RKG površine v OMD], ARSKTRP – oddana zbirna vloga) </w:t>
      </w:r>
    </w:p>
    <w:p w14:paraId="430BBB6D" w14:textId="77777777" w:rsidR="008B1A89" w:rsidRPr="00A609A1" w:rsidRDefault="008B1A89" w:rsidP="00C00231">
      <w:pPr>
        <w:pStyle w:val="Vir"/>
      </w:pPr>
    </w:p>
    <w:p w14:paraId="767F5A46" w14:textId="08A5724A" w:rsidR="00C00231" w:rsidRDefault="00C00231" w:rsidP="008B1A89">
      <w:r w:rsidRPr="00A609A1">
        <w:t xml:space="preserve">Glede na tip kmetovanja, ki je bil zaradi pomanjkanja novejših podatkov določen na osnovi </w:t>
      </w:r>
      <w:r w:rsidRPr="003F5CF7">
        <w:t xml:space="preserve">Standardnega prihodka za leto 2014, so imela v letu 2015 v </w:t>
      </w:r>
      <w:r w:rsidRPr="00EE6FCB">
        <w:t xml:space="preserve">povprečju največje </w:t>
      </w:r>
      <w:r w:rsidRPr="00EE6FCB">
        <w:lastRenderedPageBreak/>
        <w:t>GERK-e perutninska KMG (1,67 ha), nekoliko manjše pa prašičerejska (0,94 ha) in mlekarska (0,79 ha) KMG</w:t>
      </w:r>
      <w:r w:rsidRPr="003F5CF7">
        <w:t xml:space="preserve">. </w:t>
      </w:r>
      <w:r w:rsidRPr="00EE6FCB">
        <w:t xml:space="preserve">Najmanjše povprečne velikosti GERK-ov so imela KMG z mešano rastlinsko pridelavo (0,32 ha) in trajnimi nasadi (0,35 ha) </w:t>
      </w:r>
      <w:r w:rsidRPr="003F5CF7">
        <w:t>(</w:t>
      </w:r>
      <w:r w:rsidR="001863D0" w:rsidRPr="001863D0">
        <w:fldChar w:fldCharType="begin"/>
      </w:r>
      <w:r w:rsidR="001863D0" w:rsidRPr="001863D0">
        <w:instrText xml:space="preserve"> REF _Ref54807028 \h </w:instrText>
      </w:r>
      <w:r w:rsidR="001863D0">
        <w:instrText xml:space="preserve"> \* MERGEFORMAT </w:instrText>
      </w:r>
      <w:r w:rsidR="001863D0" w:rsidRPr="001863D0">
        <w:fldChar w:fldCharType="separate"/>
      </w:r>
      <w:r w:rsidR="0088117A" w:rsidRPr="00A609A1">
        <w:t xml:space="preserve">Slika </w:t>
      </w:r>
      <w:r w:rsidR="0088117A">
        <w:rPr>
          <w:noProof/>
        </w:rPr>
        <w:t>28</w:t>
      </w:r>
      <w:r w:rsidR="001863D0" w:rsidRPr="001863D0">
        <w:fldChar w:fldCharType="end"/>
      </w:r>
      <w:r w:rsidR="001863D0">
        <w:t>)</w:t>
      </w:r>
      <w:r w:rsidRPr="003F5CF7">
        <w:t>.</w:t>
      </w:r>
    </w:p>
    <w:p w14:paraId="0B97C75E" w14:textId="77777777" w:rsidR="007707B6" w:rsidRPr="00A609A1" w:rsidRDefault="007707B6" w:rsidP="007613FE">
      <w:pPr>
        <w:spacing w:before="0" w:line="260" w:lineRule="atLeast"/>
        <w:rPr>
          <w:sz w:val="20"/>
          <w:szCs w:val="20"/>
        </w:rPr>
      </w:pPr>
    </w:p>
    <w:p w14:paraId="0EB731F5" w14:textId="0773A0BF" w:rsidR="00C00231" w:rsidRPr="00A609A1" w:rsidRDefault="00C00231" w:rsidP="008B1A89">
      <w:pPr>
        <w:pStyle w:val="SCSlika0"/>
      </w:pPr>
      <w:bookmarkStart w:id="94" w:name="_Ref54807028"/>
      <w:bookmarkStart w:id="95" w:name="_Toc86822700"/>
      <w:r w:rsidRPr="00A609A1">
        <w:t xml:space="preserve">Slika </w:t>
      </w:r>
      <w:r w:rsidR="00A87628">
        <w:rPr>
          <w:noProof/>
        </w:rPr>
        <w:fldChar w:fldCharType="begin"/>
      </w:r>
      <w:r w:rsidR="00A87628">
        <w:rPr>
          <w:noProof/>
        </w:rPr>
        <w:instrText xml:space="preserve"> SEQ Slika \* ARABIC </w:instrText>
      </w:r>
      <w:r w:rsidR="00A87628">
        <w:rPr>
          <w:noProof/>
        </w:rPr>
        <w:fldChar w:fldCharType="separate"/>
      </w:r>
      <w:r w:rsidR="0088117A">
        <w:rPr>
          <w:noProof/>
        </w:rPr>
        <w:t>28</w:t>
      </w:r>
      <w:r w:rsidR="00A87628">
        <w:rPr>
          <w:noProof/>
        </w:rPr>
        <w:fldChar w:fldCharType="end"/>
      </w:r>
      <w:bookmarkEnd w:id="94"/>
      <w:r w:rsidRPr="00A609A1">
        <w:t>: Št. G</w:t>
      </w:r>
      <w:r>
        <w:t>ERK</w:t>
      </w:r>
      <w:r w:rsidRPr="00A609A1">
        <w:t>-ov na KMG in povprečna velikost G</w:t>
      </w:r>
      <w:r>
        <w:t>ERK</w:t>
      </w:r>
      <w:r w:rsidRPr="00A609A1">
        <w:t>-ov glede na združen tip kmetovanja iz Standardnega prihodka za leto 2014 in površin G</w:t>
      </w:r>
      <w:r>
        <w:t>ERK-ov</w:t>
      </w:r>
      <w:r w:rsidRPr="00A609A1">
        <w:t xml:space="preserve"> za leto 2015 (n=87.306)</w:t>
      </w:r>
      <w:bookmarkEnd w:id="95"/>
    </w:p>
    <w:p w14:paraId="250447AB" w14:textId="77777777" w:rsidR="00C00231" w:rsidRPr="00A609A1" w:rsidRDefault="00C00231" w:rsidP="00C00231">
      <w:pPr>
        <w:pStyle w:val="Slike"/>
        <w:pBdr>
          <w:top w:val="none" w:sz="0" w:space="0" w:color="auto"/>
          <w:left w:val="none" w:sz="0" w:space="0" w:color="auto"/>
          <w:bottom w:val="none" w:sz="0" w:space="0" w:color="auto"/>
          <w:right w:val="none" w:sz="0" w:space="0" w:color="auto"/>
        </w:pBdr>
      </w:pPr>
      <w:r w:rsidRPr="00A609A1">
        <w:drawing>
          <wp:inline distT="0" distB="0" distL="0" distR="0" wp14:anchorId="071BC75B" wp14:editId="4FBBB098">
            <wp:extent cx="5810250" cy="2743200"/>
            <wp:effectExtent l="0" t="0" r="0" b="0"/>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A4843D4" w14:textId="0EE72711" w:rsidR="00C00231" w:rsidRPr="00FC7B0F" w:rsidRDefault="00C00231" w:rsidP="00C00231">
      <w:pPr>
        <w:rPr>
          <w:sz w:val="16"/>
          <w:szCs w:val="16"/>
        </w:rPr>
      </w:pPr>
      <w:r w:rsidRPr="00A609A1">
        <w:rPr>
          <w:sz w:val="16"/>
          <w:szCs w:val="16"/>
        </w:rPr>
        <w:t>Vir: MKGP [Sloj Gerk predtisk 2015, Standardni prihodek 2014]</w:t>
      </w:r>
    </w:p>
    <w:p w14:paraId="6349D1DC" w14:textId="77777777" w:rsidR="007707B6" w:rsidRDefault="007707B6" w:rsidP="007613FE">
      <w:pPr>
        <w:pStyle w:val="Odstavek1"/>
      </w:pPr>
    </w:p>
    <w:p w14:paraId="681CEB6F" w14:textId="77777777" w:rsidR="007707B6" w:rsidRDefault="00C00231" w:rsidP="007613FE">
      <w:pPr>
        <w:pStyle w:val="Odstavek1"/>
      </w:pPr>
      <w:r>
        <w:t>Razdrobljenost kmetijskih zemljišč se naslavlja s spodbujanjem in financiranjem izvajanja zemljiških operacij (komasacij in a</w:t>
      </w:r>
      <w:r>
        <w:rPr>
          <w:lang w:val="x-none"/>
        </w:rPr>
        <w:t>gromelioracij</w:t>
      </w:r>
      <w:r>
        <w:t xml:space="preserve">). </w:t>
      </w:r>
      <w:r w:rsidRPr="006A6FAF">
        <w:t xml:space="preserve">Komasacije </w:t>
      </w:r>
      <w:r>
        <w:t>so vrsta agrarnih operacij, s katerimi</w:t>
      </w:r>
      <w:r w:rsidRPr="00A609A1">
        <w:rPr>
          <w:color w:val="000000" w:themeColor="text1"/>
        </w:rPr>
        <w:t xml:space="preserve"> se z</w:t>
      </w:r>
      <w:r w:rsidRPr="00A609A1">
        <w:rPr>
          <w:color w:val="000000" w:themeColor="text1"/>
          <w:lang w:val="x-none"/>
        </w:rPr>
        <w:t>emljišča na določenem območju lahko zložijo in ponovno razdelijo med prejšnje lastnike tako, da dobi vsak čimbolj zaokrožena zemlji</w:t>
      </w:r>
      <w:r>
        <w:rPr>
          <w:color w:val="000000" w:themeColor="text1"/>
        </w:rPr>
        <w:t xml:space="preserve">šča. </w:t>
      </w:r>
      <w:r>
        <w:t>Pomemben zagon je izvajanju komasacij dal Program razvoja podeželja 2007–2013 (PRP 2007–2013). S</w:t>
      </w:r>
      <w:r w:rsidRPr="006A6FAF">
        <w:t xml:space="preserve"> pomočjo PRP 2007–2013 </w:t>
      </w:r>
      <w:r>
        <w:t xml:space="preserve">je bilo </w:t>
      </w:r>
      <w:r w:rsidRPr="006A6FAF">
        <w:t xml:space="preserve">komasiranih </w:t>
      </w:r>
      <w:r>
        <w:t>10.014</w:t>
      </w:r>
      <w:r w:rsidRPr="006A6FAF">
        <w:t xml:space="preserve"> ha kmetijskih zemljišč</w:t>
      </w:r>
      <w:r>
        <w:t>.</w:t>
      </w:r>
    </w:p>
    <w:p w14:paraId="215F14CD" w14:textId="67EC1CE2" w:rsidR="00C00231" w:rsidRDefault="00C00231" w:rsidP="007613FE">
      <w:pPr>
        <w:pStyle w:val="Odstavek1"/>
      </w:pPr>
      <w:r>
        <w:t xml:space="preserve"> </w:t>
      </w:r>
    </w:p>
    <w:p w14:paraId="57ADCED1" w14:textId="1EA7D6C5" w:rsidR="00C00231" w:rsidRPr="00A7730B" w:rsidRDefault="00C00231" w:rsidP="008B1A89">
      <w:pPr>
        <w:pStyle w:val="SCSlika0"/>
      </w:pPr>
      <w:bookmarkStart w:id="96" w:name="_Toc86822701"/>
      <w:r w:rsidRPr="007C00D8">
        <w:rPr>
          <w:lang w:val="en-GB"/>
        </w:rPr>
        <w:lastRenderedPageBreak/>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29</w:t>
      </w:r>
      <w:r w:rsidR="00072AFA">
        <w:rPr>
          <w:noProof/>
        </w:rPr>
        <w:fldChar w:fldCharType="end"/>
      </w:r>
      <w:r w:rsidRPr="009F3567">
        <w:t>: Prostorska razporeditev izvedenih komasacij v programskem obdobju 2007–2013</w:t>
      </w:r>
      <w:bookmarkEnd w:id="96"/>
    </w:p>
    <w:p w14:paraId="41E419AB" w14:textId="77777777" w:rsidR="00C00231" w:rsidRDefault="00C00231" w:rsidP="00C00231">
      <w:pPr>
        <w:pStyle w:val="Telobesedila"/>
        <w:rPr>
          <w:sz w:val="20"/>
        </w:rPr>
      </w:pPr>
      <w:r>
        <w:rPr>
          <w:noProof/>
          <w:sz w:val="20"/>
        </w:rPr>
        <w:drawing>
          <wp:inline distT="0" distB="0" distL="0" distR="0" wp14:anchorId="6E729C72" wp14:editId="3DE8AA77">
            <wp:extent cx="3924300" cy="3091716"/>
            <wp:effectExtent l="0" t="0" r="0" b="0"/>
            <wp:docPr id="1631865550" name="Slika 1631865550" descr="Lisec_Primozi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c_Primozic0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9996" cy="3127717"/>
                    </a:xfrm>
                    <a:prstGeom prst="rect">
                      <a:avLst/>
                    </a:prstGeom>
                    <a:noFill/>
                    <a:ln>
                      <a:noFill/>
                    </a:ln>
                  </pic:spPr>
                </pic:pic>
              </a:graphicData>
            </a:graphic>
          </wp:inline>
        </w:drawing>
      </w:r>
    </w:p>
    <w:p w14:paraId="66B9849E" w14:textId="77777777" w:rsidR="00C00231" w:rsidRPr="009C1DF4" w:rsidRDefault="00C00231" w:rsidP="00C00231">
      <w:pPr>
        <w:autoSpaceDE w:val="0"/>
        <w:autoSpaceDN w:val="0"/>
        <w:adjustRightInd w:val="0"/>
        <w:spacing w:before="0"/>
        <w:rPr>
          <w:sz w:val="16"/>
          <w:szCs w:val="16"/>
        </w:rPr>
      </w:pPr>
      <w:r w:rsidRPr="00A7730B">
        <w:rPr>
          <w:sz w:val="16"/>
          <w:szCs w:val="16"/>
        </w:rPr>
        <w:t>Vir: MKGP</w:t>
      </w:r>
    </w:p>
    <w:p w14:paraId="762196E2" w14:textId="77777777" w:rsidR="00C00231" w:rsidRPr="009F3567" w:rsidRDefault="00C00231" w:rsidP="00C00231">
      <w:pPr>
        <w:autoSpaceDE w:val="0"/>
        <w:autoSpaceDN w:val="0"/>
        <w:adjustRightInd w:val="0"/>
        <w:spacing w:before="0"/>
        <w:rPr>
          <w:sz w:val="16"/>
          <w:szCs w:val="16"/>
        </w:rPr>
      </w:pPr>
      <w:r w:rsidRPr="009F3567">
        <w:rPr>
          <w:sz w:val="16"/>
          <w:szCs w:val="16"/>
        </w:rPr>
        <w:t>Op. Večina projektov v programskem obdobju 2014–2020 je še v teku, zato prostorskih podatkov ter analiz še ni mogoče izpeljati.</w:t>
      </w:r>
    </w:p>
    <w:p w14:paraId="79BB3969" w14:textId="77777777" w:rsidR="007707B6" w:rsidRDefault="007707B6" w:rsidP="007613FE">
      <w:pPr>
        <w:spacing w:before="0" w:line="260" w:lineRule="atLeast"/>
        <w:rPr>
          <w:sz w:val="20"/>
          <w:szCs w:val="20"/>
        </w:rPr>
      </w:pPr>
    </w:p>
    <w:p w14:paraId="01A6551D" w14:textId="2E021D7E" w:rsidR="00C00231" w:rsidRPr="00BB3F8A" w:rsidRDefault="00C00231" w:rsidP="008B1A89">
      <w:r>
        <w:t xml:space="preserve">S pomočjo PRP 2014–2020 so bile na komasacijskih območjih izvedene agromelioracije, in sicer na </w:t>
      </w:r>
      <w:r w:rsidRPr="006A6FAF">
        <w:t>3.</w:t>
      </w:r>
      <w:r w:rsidR="001E6F77">
        <w:t>631</w:t>
      </w:r>
      <w:r w:rsidRPr="006A6FAF">
        <w:t xml:space="preserve"> ha</w:t>
      </w:r>
      <w:r>
        <w:t xml:space="preserve"> (</w:t>
      </w:r>
      <w:r w:rsidR="001863D0">
        <w:t>stanje</w:t>
      </w:r>
      <w:r>
        <w:t xml:space="preserve"> 31.</w:t>
      </w:r>
      <w:r w:rsidRPr="006A6FAF">
        <w:t>12.20</w:t>
      </w:r>
      <w:r w:rsidR="001E6F77">
        <w:t>20</w:t>
      </w:r>
      <w:r>
        <w:t xml:space="preserve">). </w:t>
      </w:r>
      <w:r w:rsidRPr="00BB3F8A">
        <w:t>Agromelioracije izboljšujejo fizikalne, kemijske in biološke lastnosti tal ter izboljšujejo dostop na kmetijsko zemljišče.</w:t>
      </w:r>
    </w:p>
    <w:p w14:paraId="651BFA7F" w14:textId="1547FC10" w:rsidR="00C00231" w:rsidRPr="006A6FAF" w:rsidRDefault="00C00231" w:rsidP="008B1A89">
      <w:r w:rsidRPr="00A609A1">
        <w:t xml:space="preserve">Ker agromelioracije </w:t>
      </w:r>
      <w:r>
        <w:t>i</w:t>
      </w:r>
      <w:r w:rsidRPr="00A609A1">
        <w:t>n komasacije vodijo v združevanje lastniških</w:t>
      </w:r>
      <w:r w:rsidRPr="00153AA8">
        <w:t xml:space="preserve"> enot</w:t>
      </w:r>
      <w:r>
        <w:t xml:space="preserve">, lahko </w:t>
      </w:r>
      <w:r w:rsidRPr="00153AA8">
        <w:t>posledi</w:t>
      </w:r>
      <w:r>
        <w:t>č</w:t>
      </w:r>
      <w:r w:rsidRPr="00153AA8">
        <w:t xml:space="preserve">no </w:t>
      </w:r>
      <w:r>
        <w:t xml:space="preserve">prihaja do </w:t>
      </w:r>
      <w:r w:rsidRPr="00153AA8">
        <w:t>zmanjšanj</w:t>
      </w:r>
      <w:r>
        <w:t>a</w:t>
      </w:r>
      <w:r w:rsidRPr="00153AA8">
        <w:t xml:space="preserve"> mozai</w:t>
      </w:r>
      <w:r>
        <w:t xml:space="preserve">čnosti obdelave, krajinskih značilnosti…s tem pa do izgube biotske raznovrstnosti. </w:t>
      </w:r>
      <w:r w:rsidRPr="00A609A1">
        <w:rPr>
          <w:color w:val="000000" w:themeColor="text1"/>
        </w:rPr>
        <w:t xml:space="preserve">Z namenom upoštevanja okoljevarstva regulatorni okvir za uvajanje komasacij in agromelioracij </w:t>
      </w:r>
      <w:r>
        <w:rPr>
          <w:color w:val="000000" w:themeColor="text1"/>
        </w:rPr>
        <w:t xml:space="preserve">sicer </w:t>
      </w:r>
      <w:r w:rsidRPr="00A609A1">
        <w:rPr>
          <w:color w:val="000000" w:themeColor="text1"/>
        </w:rPr>
        <w:t>zahteva predhodn</w:t>
      </w:r>
      <w:r>
        <w:rPr>
          <w:color w:val="000000" w:themeColor="text1"/>
        </w:rPr>
        <w:t>o</w:t>
      </w:r>
      <w:r w:rsidRPr="00A609A1">
        <w:rPr>
          <w:color w:val="000000" w:themeColor="text1"/>
        </w:rPr>
        <w:t xml:space="preserve"> pridobitev ustreznih soglasij ali dovoljenj pristojnih organov</w:t>
      </w:r>
      <w:r>
        <w:rPr>
          <w:color w:val="000000" w:themeColor="text1"/>
        </w:rPr>
        <w:t>, in sicer zlasti, ko se</w:t>
      </w:r>
      <w:r w:rsidRPr="001C69AA">
        <w:rPr>
          <w:color w:val="000000" w:themeColor="text1"/>
        </w:rPr>
        <w:t xml:space="preserve"> </w:t>
      </w:r>
      <w:r w:rsidRPr="00A609A1">
        <w:rPr>
          <w:color w:val="000000" w:themeColor="text1"/>
        </w:rPr>
        <w:t>t</w:t>
      </w:r>
      <w:r>
        <w:rPr>
          <w:color w:val="000000" w:themeColor="text1"/>
        </w:rPr>
        <w:t>i</w:t>
      </w:r>
      <w:r w:rsidRPr="00A609A1">
        <w:rPr>
          <w:color w:val="000000" w:themeColor="text1"/>
        </w:rPr>
        <w:t xml:space="preserve"> poseg</w:t>
      </w:r>
      <w:r>
        <w:rPr>
          <w:color w:val="000000" w:themeColor="text1"/>
        </w:rPr>
        <w:t>i načrtujejo</w:t>
      </w:r>
      <w:r w:rsidRPr="00A609A1">
        <w:rPr>
          <w:color w:val="000000" w:themeColor="text1"/>
        </w:rPr>
        <w:t xml:space="preserve"> na območjih varovanj in omejitev po posebnih predpisih</w:t>
      </w:r>
      <w:r>
        <w:rPr>
          <w:color w:val="000000" w:themeColor="text1"/>
        </w:rPr>
        <w:t xml:space="preserve">. Kljub vsemu se kaže potreba po </w:t>
      </w:r>
      <w:r w:rsidRPr="00D55DDE">
        <w:rPr>
          <w:color w:val="000000" w:themeColor="text1"/>
        </w:rPr>
        <w:t>konceptualn</w:t>
      </w:r>
      <w:r>
        <w:rPr>
          <w:color w:val="000000" w:themeColor="text1"/>
        </w:rPr>
        <w:t>i zasnovi komasacij in agromelioracij na način</w:t>
      </w:r>
      <w:r w:rsidRPr="00D55DDE">
        <w:rPr>
          <w:color w:val="000000" w:themeColor="text1"/>
        </w:rPr>
        <w:t>, da bi omogočale ohranjanje krajinskih značilnosti in vzpostavljanje zelene arhitekture.</w:t>
      </w:r>
    </w:p>
    <w:p w14:paraId="7D65C67B" w14:textId="77777777" w:rsidR="00C00231" w:rsidRDefault="00C00231" w:rsidP="007613FE">
      <w:pPr>
        <w:spacing w:before="0" w:line="260" w:lineRule="atLeast"/>
        <w:rPr>
          <w:sz w:val="20"/>
          <w:szCs w:val="20"/>
        </w:rPr>
      </w:pPr>
      <w:bookmarkStart w:id="97" w:name="_Toc50099633"/>
    </w:p>
    <w:p w14:paraId="447C5B03" w14:textId="77777777" w:rsidR="00C00231" w:rsidRPr="008B1A89" w:rsidRDefault="00C00231" w:rsidP="005B2A49">
      <w:pPr>
        <w:pStyle w:val="Naslov2"/>
      </w:pPr>
      <w:bookmarkStart w:id="98" w:name="_Toc86822550"/>
      <w:r w:rsidRPr="008B1A89">
        <w:t>Dostop do kmetijskih zemljišč</w:t>
      </w:r>
      <w:bookmarkEnd w:id="97"/>
      <w:bookmarkEnd w:id="98"/>
    </w:p>
    <w:p w14:paraId="31E2327F" w14:textId="77777777" w:rsidR="00D910CE" w:rsidRPr="008B1A89" w:rsidRDefault="00D910CE" w:rsidP="007613FE">
      <w:pPr>
        <w:spacing w:before="0" w:line="260" w:lineRule="atLeast"/>
        <w:rPr>
          <w:szCs w:val="20"/>
        </w:rPr>
      </w:pPr>
      <w:bookmarkStart w:id="99" w:name="_Toc42320906"/>
      <w:bookmarkStart w:id="100" w:name="_Toc42322016"/>
      <w:bookmarkStart w:id="101" w:name="_Toc46412208"/>
      <w:bookmarkStart w:id="102" w:name="_Toc46479423"/>
      <w:bookmarkStart w:id="103" w:name="_Toc42320907"/>
      <w:bookmarkStart w:id="104" w:name="_Toc42322017"/>
      <w:bookmarkStart w:id="105" w:name="_Toc46412209"/>
      <w:bookmarkStart w:id="106" w:name="_Toc46479424"/>
      <w:bookmarkStart w:id="107" w:name="_Toc42320908"/>
      <w:bookmarkStart w:id="108" w:name="_Toc42322018"/>
      <w:bookmarkStart w:id="109" w:name="_Toc46412210"/>
      <w:bookmarkStart w:id="110" w:name="_Toc46479425"/>
      <w:bookmarkStart w:id="111" w:name="_Toc42320915"/>
      <w:bookmarkStart w:id="112" w:name="_Toc42322025"/>
      <w:bookmarkStart w:id="113" w:name="_Toc46412211"/>
      <w:bookmarkStart w:id="114" w:name="_Toc4647942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71BC6584" w14:textId="22323148" w:rsidR="00C00231" w:rsidRPr="008B1A89" w:rsidRDefault="00C00231" w:rsidP="007613FE">
      <w:pPr>
        <w:spacing w:before="0" w:line="260" w:lineRule="atLeast"/>
        <w:rPr>
          <w:szCs w:val="20"/>
        </w:rPr>
      </w:pPr>
      <w:r w:rsidRPr="008B1A89">
        <w:rPr>
          <w:szCs w:val="20"/>
        </w:rPr>
        <w:t xml:space="preserve">Razpoložljive površine kmetijskih zemljišč so temeljno proizvajalno sredstvo na kmetijskem gospodarstvu, ki pa je v Sloveniji dostopno v izrazito omejenem obsegu. Velik del teh zemljišč se – kot že omenjeno </w:t>
      </w:r>
      <w:r w:rsidR="00F20823">
        <w:rPr>
          <w:szCs w:val="20"/>
        </w:rPr>
        <w:t>v predhodnih poglavjih in pa v analizi stanja za cilj 1</w:t>
      </w:r>
      <w:r w:rsidRPr="008B1A89">
        <w:rPr>
          <w:szCs w:val="20"/>
        </w:rPr>
        <w:t>– nahaja na OMD, kar pojasnjuje velik delež trajnega travinja v strukturi kmetijske rabe. Najbolj produktivna njivska zemljišča se koncentrirajo v ožjih ravninskih predelih in zlasti na SV Slovenije, pri tem pa se kmetijstvo v prostoru srečuje s pritiski in interesi drugih gospodarskih sektorjev (npr. razvoj prometne infrastrukture, gradnja naselij…).</w:t>
      </w:r>
    </w:p>
    <w:p w14:paraId="30AFC8C9" w14:textId="77777777" w:rsidR="00D910CE" w:rsidRPr="008B1A89" w:rsidRDefault="00D910CE" w:rsidP="007613FE">
      <w:pPr>
        <w:spacing w:before="0" w:line="260" w:lineRule="atLeast"/>
        <w:rPr>
          <w:szCs w:val="20"/>
        </w:rPr>
      </w:pPr>
    </w:p>
    <w:p w14:paraId="638F7A94" w14:textId="3DAB74F2" w:rsidR="00C00231" w:rsidRPr="008B1A89" w:rsidRDefault="00C00231" w:rsidP="007613FE">
      <w:pPr>
        <w:spacing w:before="0" w:line="260" w:lineRule="atLeast"/>
        <w:rPr>
          <w:szCs w:val="20"/>
        </w:rPr>
      </w:pPr>
      <w:r w:rsidRPr="008B1A89">
        <w:rPr>
          <w:szCs w:val="20"/>
        </w:rPr>
        <w:lastRenderedPageBreak/>
        <w:t xml:space="preserve">Po podatkih SURS (2016) so kmetijska zemljišča v letu 2016 pokrivala 476.682 ha (okoli 35 % površine Slovenije). Vrednostno predstavljajo nekaj manj kot 6 % slovenskega nepremičninskega fonda oziroma 8,6 </w:t>
      </w:r>
      <w:r w:rsidR="00D53725" w:rsidRPr="008B1A89">
        <w:rPr>
          <w:szCs w:val="20"/>
        </w:rPr>
        <w:t>mrd</w:t>
      </w:r>
      <w:r w:rsidRPr="008B1A89">
        <w:rPr>
          <w:szCs w:val="20"/>
        </w:rPr>
        <w:t xml:space="preserve"> EUR</w:t>
      </w:r>
      <w:r w:rsidR="00D53725" w:rsidRPr="008B1A89">
        <w:rPr>
          <w:szCs w:val="20"/>
        </w:rPr>
        <w:t>.</w:t>
      </w:r>
    </w:p>
    <w:p w14:paraId="75B247D2" w14:textId="77777777" w:rsidR="00D910CE" w:rsidRPr="008B1A89" w:rsidRDefault="00D910CE" w:rsidP="007613FE">
      <w:pPr>
        <w:spacing w:before="0" w:line="260" w:lineRule="atLeast"/>
        <w:rPr>
          <w:szCs w:val="20"/>
        </w:rPr>
      </w:pPr>
    </w:p>
    <w:p w14:paraId="125E62E6" w14:textId="6C556816" w:rsidR="00C00231" w:rsidRPr="008B1A89" w:rsidRDefault="00C00231" w:rsidP="007613FE">
      <w:pPr>
        <w:spacing w:before="0" w:line="260" w:lineRule="atLeast"/>
        <w:rPr>
          <w:szCs w:val="20"/>
        </w:rPr>
      </w:pPr>
      <w:r w:rsidRPr="008B1A89">
        <w:rPr>
          <w:szCs w:val="20"/>
        </w:rPr>
        <w:t>Trg kmetijskih zemljišč je v Sloveniji delno reguliran, saj zakonodaja zanje določa javno objavo prodajnih ponudb in predkupno pravico subjektov. Na tak način se omejuje nakupe kupcev, ki ne opravljajo kmetijske dejavnosti in kmetijskih zemljišč ne kupujejo za njihovo osnovno rabo, temveč za druge, bodisi špekulativne, naložbene ali rekreativne namene in so za njih pripravljeni plačati tudi višjo ceno. Taka regulacija omogoča konkurenco kmetov za kmetijska zemljišča, ki se bodo kot taka tudi dejansko uporabljala.</w:t>
      </w:r>
    </w:p>
    <w:p w14:paraId="238705BC" w14:textId="77777777" w:rsidR="00D910CE" w:rsidRPr="008B1A89" w:rsidRDefault="00D910CE" w:rsidP="007613FE">
      <w:pPr>
        <w:spacing w:before="0" w:line="260" w:lineRule="atLeast"/>
        <w:rPr>
          <w:szCs w:val="20"/>
        </w:rPr>
      </w:pPr>
    </w:p>
    <w:p w14:paraId="4A04D0F2" w14:textId="77777777" w:rsidR="00C00231" w:rsidRPr="008B1A89" w:rsidRDefault="00C00231" w:rsidP="007613FE">
      <w:pPr>
        <w:spacing w:before="0" w:line="260" w:lineRule="atLeast"/>
        <w:rPr>
          <w:szCs w:val="20"/>
        </w:rPr>
      </w:pPr>
      <w:r w:rsidRPr="008B1A89">
        <w:rPr>
          <w:szCs w:val="20"/>
        </w:rPr>
        <w:t xml:space="preserve">V Sloveniji je bil v obdobju od leta 2011 do 2019 prisoten močan trend rasti obsega trgovanja z zemljišči na splošno, kar je bila posledica gospodarske rasti in rasti nepremičninskega trga v tem obdobju.  </w:t>
      </w:r>
      <w:r w:rsidRPr="008B1A89">
        <w:rPr>
          <w:szCs w:val="20"/>
          <w:lang w:val="en-GB"/>
        </w:rPr>
        <w:t>Na povpraševanje in ponudbo na trgu kmetijskih zemljišč najbolj vplivajo regionalni, naravno pogojeni dejavniki, kot so mikroklima, konfiguracija terena, kakovost prsti in podobno.</w:t>
      </w:r>
    </w:p>
    <w:p w14:paraId="35D0A104" w14:textId="77777777" w:rsidR="00C00231" w:rsidRDefault="00C00231" w:rsidP="007613FE">
      <w:pPr>
        <w:spacing w:before="0" w:line="260" w:lineRule="atLeast"/>
        <w:rPr>
          <w:sz w:val="20"/>
          <w:szCs w:val="20"/>
        </w:rPr>
      </w:pPr>
    </w:p>
    <w:p w14:paraId="1FBDECC6" w14:textId="6204D7C6" w:rsidR="00C00231" w:rsidRPr="00F468EA" w:rsidRDefault="00C00231" w:rsidP="008B1A89">
      <w:pPr>
        <w:pStyle w:val="SCSlika0"/>
      </w:pPr>
      <w:bookmarkStart w:id="115" w:name="_Toc86822702"/>
      <w:r w:rsidRPr="009D387C">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30</w:t>
      </w:r>
      <w:r w:rsidR="009F2591">
        <w:rPr>
          <w:noProof/>
        </w:rPr>
        <w:fldChar w:fldCharType="end"/>
      </w:r>
      <w:r w:rsidRPr="009D387C">
        <w:t>:</w:t>
      </w:r>
      <w:r w:rsidRPr="009F3567">
        <w:t xml:space="preserve"> Evidentirano število kupoprodaj in prodane površine za kmetijska in gozdna zemljišča (v hektarih), Slovenija, 2011–2019</w:t>
      </w:r>
      <w:bookmarkEnd w:id="115"/>
    </w:p>
    <w:p w14:paraId="543124FF" w14:textId="36A5D446" w:rsidR="00C00231" w:rsidRDefault="00C00231" w:rsidP="00C00231">
      <w:pPr>
        <w:rPr>
          <w:sz w:val="20"/>
          <w:szCs w:val="20"/>
        </w:rPr>
      </w:pPr>
      <w:r>
        <w:rPr>
          <w:noProof/>
          <w:lang w:eastAsia="sl-SI"/>
        </w:rPr>
        <w:drawing>
          <wp:inline distT="0" distB="0" distL="0" distR="0" wp14:anchorId="21E0642F" wp14:editId="38702775">
            <wp:extent cx="5760720" cy="2439670"/>
            <wp:effectExtent l="0" t="0" r="11430" b="17780"/>
            <wp:docPr id="1631865592" name="Grafikon 1631865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6525E5" w14:textId="77777777" w:rsidR="00C00231" w:rsidRPr="00AC0C12" w:rsidRDefault="00C00231" w:rsidP="00C00231">
      <w:pPr>
        <w:rPr>
          <w:sz w:val="16"/>
          <w:szCs w:val="16"/>
        </w:rPr>
      </w:pPr>
      <w:r w:rsidRPr="00AC0C12">
        <w:rPr>
          <w:sz w:val="16"/>
          <w:szCs w:val="16"/>
        </w:rPr>
        <w:t>Vir: Periodična poročila o slovenskem trgu nepremičnin</w:t>
      </w:r>
      <w:r>
        <w:rPr>
          <w:sz w:val="16"/>
          <w:szCs w:val="16"/>
        </w:rPr>
        <w:t>.</w:t>
      </w:r>
      <w:r w:rsidRPr="00AC0C12">
        <w:rPr>
          <w:sz w:val="16"/>
          <w:szCs w:val="16"/>
        </w:rPr>
        <w:t xml:space="preserve"> </w:t>
      </w:r>
      <w:r>
        <w:rPr>
          <w:sz w:val="16"/>
          <w:szCs w:val="16"/>
        </w:rPr>
        <w:t>D</w:t>
      </w:r>
      <w:r w:rsidRPr="00AC0C12">
        <w:rPr>
          <w:sz w:val="16"/>
          <w:szCs w:val="16"/>
        </w:rPr>
        <w:t xml:space="preserve">ostopno na: </w:t>
      </w:r>
      <w:hyperlink r:id="rId53" w:history="1">
        <w:r w:rsidRPr="00AC0C12">
          <w:rPr>
            <w:sz w:val="16"/>
            <w:szCs w:val="16"/>
          </w:rPr>
          <w:t>http://www.trgnepremicnin.si/sl/vsebine-portala/periodicna-porocila</w:t>
        </w:r>
      </w:hyperlink>
      <w:r w:rsidRPr="00AC0C12">
        <w:rPr>
          <w:sz w:val="16"/>
          <w:szCs w:val="16"/>
        </w:rPr>
        <w:t>. Op. Podatki o površini prodanih kmetijskih oz. gozdnih zemljišč v letu 2011 niso podani.</w:t>
      </w:r>
    </w:p>
    <w:p w14:paraId="25C0F6DB" w14:textId="77777777" w:rsidR="00CC740A" w:rsidRDefault="00CC740A" w:rsidP="007613FE">
      <w:pPr>
        <w:spacing w:before="0" w:line="260" w:lineRule="atLeast"/>
        <w:rPr>
          <w:sz w:val="20"/>
          <w:szCs w:val="20"/>
        </w:rPr>
      </w:pPr>
    </w:p>
    <w:p w14:paraId="4F6BCB89" w14:textId="0E0FC668" w:rsidR="00C00231" w:rsidRPr="008B1A89" w:rsidRDefault="00C00231" w:rsidP="007613FE">
      <w:pPr>
        <w:spacing w:before="0" w:line="260" w:lineRule="atLeast"/>
        <w:rPr>
          <w:szCs w:val="20"/>
        </w:rPr>
      </w:pPr>
      <w:r w:rsidRPr="008B1A89">
        <w:rPr>
          <w:szCs w:val="20"/>
        </w:rPr>
        <w:t>Največ kupoprodaj kmetijskih zemljišč se izvede na pomurskem območju, kjer je gostota kmetijskih zemljišč največja in tudi sicer predstavlja najbolj agrarno območje v državi. Kmetijska zemljišča v Sloveniji so leta 2019 dosegla rekordno ceno, povprečna cena kmetijskega zemljišča je znašala 1,56 EUR/m</w:t>
      </w:r>
      <w:r w:rsidRPr="008B1A89">
        <w:rPr>
          <w:szCs w:val="20"/>
          <w:vertAlign w:val="superscript"/>
        </w:rPr>
        <w:t>2</w:t>
      </w:r>
      <w:r w:rsidRPr="008B1A89">
        <w:rPr>
          <w:szCs w:val="20"/>
        </w:rPr>
        <w:t xml:space="preserve"> in je bila v primerjavi z letom 2015 višja za 11 %.</w:t>
      </w:r>
      <w:r w:rsidRPr="008B1A89">
        <w:rPr>
          <w:sz w:val="24"/>
        </w:rPr>
        <w:t xml:space="preserve"> </w:t>
      </w:r>
      <w:r w:rsidRPr="008B1A89">
        <w:rPr>
          <w:rStyle w:val="A7"/>
          <w:sz w:val="22"/>
          <w:szCs w:val="20"/>
        </w:rPr>
        <w:t>(</w:t>
      </w:r>
      <w:r w:rsidRPr="008B1A89">
        <w:rPr>
          <w:szCs w:val="20"/>
        </w:rPr>
        <w:t xml:space="preserve">Geodetska uprava Republike Slovenije, 2020). </w:t>
      </w:r>
    </w:p>
    <w:p w14:paraId="0E3B3310" w14:textId="77777777" w:rsidR="00CC740A" w:rsidRPr="008B1A89" w:rsidRDefault="00CC740A" w:rsidP="007613FE">
      <w:pPr>
        <w:spacing w:before="0" w:line="260" w:lineRule="atLeast"/>
        <w:rPr>
          <w:szCs w:val="20"/>
        </w:rPr>
      </w:pPr>
    </w:p>
    <w:p w14:paraId="756C1EA8" w14:textId="77777777" w:rsidR="00C00231" w:rsidRPr="008B1A89" w:rsidRDefault="00C00231" w:rsidP="007613FE">
      <w:pPr>
        <w:pStyle w:val="Pripombabesedilo"/>
        <w:spacing w:before="0" w:line="260" w:lineRule="atLeast"/>
        <w:rPr>
          <w:rFonts w:ascii="Arial" w:hAnsi="Arial"/>
          <w:sz w:val="22"/>
        </w:rPr>
      </w:pPr>
      <w:r w:rsidRPr="008B1A89">
        <w:rPr>
          <w:rFonts w:ascii="Arial" w:hAnsi="Arial"/>
          <w:sz w:val="22"/>
        </w:rPr>
        <w:t>Povprečna cena njiv v Sloveniji, ki so bile prodane v letu 2019, je znašala 18.752 EUR/ha, povprečna cena trajnih travnikov in pašnikov pa 18.015 EUR/ha. (SURS, 2020)</w:t>
      </w:r>
    </w:p>
    <w:p w14:paraId="40E5330E" w14:textId="77777777" w:rsidR="00CC740A" w:rsidRPr="008B1A89" w:rsidRDefault="00CC740A" w:rsidP="007613FE">
      <w:pPr>
        <w:spacing w:before="0" w:line="260" w:lineRule="atLeast"/>
        <w:rPr>
          <w:szCs w:val="20"/>
        </w:rPr>
      </w:pPr>
    </w:p>
    <w:p w14:paraId="4FE115B5" w14:textId="3A134F34" w:rsidR="00C00231" w:rsidRPr="008B1A89" w:rsidRDefault="00C00231" w:rsidP="007613FE">
      <w:pPr>
        <w:spacing w:before="0" w:line="260" w:lineRule="atLeast"/>
        <w:rPr>
          <w:szCs w:val="20"/>
        </w:rPr>
      </w:pPr>
      <w:r w:rsidRPr="008B1A89">
        <w:rPr>
          <w:szCs w:val="20"/>
        </w:rPr>
        <w:t>Iz raziskave (</w:t>
      </w:r>
      <w:r w:rsidRPr="008B1A89">
        <w:rPr>
          <w:i/>
          <w:szCs w:val="20"/>
        </w:rPr>
        <w:t>fi compass</w:t>
      </w:r>
      <w:r w:rsidRPr="008B1A89">
        <w:rPr>
          <w:szCs w:val="20"/>
        </w:rPr>
        <w:t>, 2020) je razvidno, da dostop do zemlje predstavlja težavo slovenskim kmetijskim gospodarstvom, s čimer lahko vsaj delno pojasnimo rast cen kmetijskih zemljišč v zadnjih letih.</w:t>
      </w:r>
    </w:p>
    <w:p w14:paraId="11D24287" w14:textId="77777777" w:rsidR="00CC740A" w:rsidRPr="008B1A89" w:rsidRDefault="00CC740A" w:rsidP="007613FE">
      <w:pPr>
        <w:spacing w:before="0" w:line="260" w:lineRule="atLeast"/>
        <w:rPr>
          <w:szCs w:val="20"/>
        </w:rPr>
      </w:pPr>
    </w:p>
    <w:p w14:paraId="3E73FF6D" w14:textId="438125A9" w:rsidR="0036007A" w:rsidRPr="008B1A89" w:rsidRDefault="00C00231" w:rsidP="007613FE">
      <w:pPr>
        <w:pStyle w:val="Pripombabesedilo"/>
        <w:spacing w:before="0" w:line="260" w:lineRule="atLeast"/>
        <w:rPr>
          <w:rFonts w:ascii="Arial" w:hAnsi="Arial"/>
          <w:sz w:val="22"/>
        </w:rPr>
      </w:pPr>
      <w:r w:rsidRPr="008B1A89">
        <w:rPr>
          <w:rFonts w:ascii="Arial" w:hAnsi="Arial"/>
          <w:sz w:val="22"/>
        </w:rPr>
        <w:t>Tudi druge raziskave (Potočnik Slavič et al, 2017) kažejo, da problem dostopnosti ustreznih kmetijskih površin na ravni individualne kmetije postaja vse bolj akuten problem slovenskega kmeta. V strukturi KZU najeta zemljišča namreč predstavljajo kar tretjino vseh KZU.</w:t>
      </w:r>
      <w:r w:rsidR="0036007A" w:rsidRPr="008B1A89">
        <w:rPr>
          <w:rFonts w:ascii="Arial" w:hAnsi="Arial"/>
          <w:sz w:val="22"/>
        </w:rPr>
        <w:t xml:space="preserve"> Načrtovanje razvoja dejavnosti na ravni kmetije je v takšnih razmerah, ko kmet nima zagotovljenega osnovnega pridelovalnega vira (ustreznih površin zemljišč)</w:t>
      </w:r>
      <w:r w:rsidR="00CC740A" w:rsidRPr="008B1A89">
        <w:rPr>
          <w:rFonts w:ascii="Arial" w:hAnsi="Arial"/>
          <w:sz w:val="22"/>
        </w:rPr>
        <w:t>,</w:t>
      </w:r>
      <w:r w:rsidR="0036007A" w:rsidRPr="008B1A89">
        <w:rPr>
          <w:rFonts w:ascii="Arial" w:hAnsi="Arial"/>
          <w:sz w:val="22"/>
        </w:rPr>
        <w:t xml:space="preserve"> veliko bolj tvegano. </w:t>
      </w:r>
    </w:p>
    <w:p w14:paraId="580C09A9" w14:textId="77777777" w:rsidR="00CC740A" w:rsidRPr="008B1A89" w:rsidRDefault="00CC740A" w:rsidP="007613FE">
      <w:pPr>
        <w:pStyle w:val="Pripombabesedilo"/>
        <w:spacing w:before="0" w:line="260" w:lineRule="atLeast"/>
        <w:rPr>
          <w:rFonts w:ascii="Arial" w:hAnsi="Arial"/>
          <w:sz w:val="22"/>
        </w:rPr>
      </w:pPr>
    </w:p>
    <w:p w14:paraId="7597995F" w14:textId="7DAFB051" w:rsidR="00C00231" w:rsidRPr="008B1A89" w:rsidRDefault="00C00231" w:rsidP="007613FE">
      <w:pPr>
        <w:pStyle w:val="Pripombabesedilo"/>
        <w:spacing w:before="0" w:line="260" w:lineRule="atLeast"/>
        <w:rPr>
          <w:rFonts w:ascii="Arial" w:hAnsi="Arial"/>
          <w:sz w:val="22"/>
          <w:lang w:eastAsia="sl-SI"/>
        </w:rPr>
      </w:pPr>
      <w:r w:rsidRPr="008B1A89">
        <w:rPr>
          <w:rFonts w:ascii="Arial" w:hAnsi="Arial"/>
          <w:sz w:val="22"/>
        </w:rPr>
        <w:t xml:space="preserve">Možnosti najema kmetijskih zemljišč se med regijami pomembno razlikujejo. Medtem ko kmetijska gospodarstva v Zasavski in Koroški regiji pretežno kmetujejo na lastnih zemljiščih, </w:t>
      </w:r>
      <w:r w:rsidRPr="008B1A89">
        <w:rPr>
          <w:rFonts w:ascii="Arial" w:hAnsi="Arial"/>
          <w:sz w:val="22"/>
          <w:lang w:eastAsia="sl-SI"/>
        </w:rPr>
        <w:t xml:space="preserve">pa kmetijsko najpomembnejša Pomurska regija, ki poleg Podravske in Savinjske regije razpolaga z največjim obsegom KZU, izrazito odstopa po visokem deležu KZU v najemu (39 %). V Obalno-kraški regiji je delež kmetijskih zemljišč v najemu najvišji med vsemi slovenskimi regijami (43 %). </w:t>
      </w:r>
      <w:r w:rsidR="0070241B" w:rsidRPr="008B1A89">
        <w:rPr>
          <w:rFonts w:ascii="Arial" w:hAnsi="Arial"/>
          <w:sz w:val="22"/>
        </w:rPr>
        <w:t>(Potočnik Slavič et al, 2017)</w:t>
      </w:r>
    </w:p>
    <w:p w14:paraId="3FA134CD" w14:textId="77777777" w:rsidR="00CC740A" w:rsidRPr="008B1A89" w:rsidRDefault="00CC740A" w:rsidP="007613FE">
      <w:pPr>
        <w:pStyle w:val="Pripombabesedilo"/>
        <w:spacing w:before="0" w:line="260" w:lineRule="atLeast"/>
        <w:rPr>
          <w:rFonts w:ascii="Arial" w:hAnsi="Arial"/>
          <w:sz w:val="22"/>
        </w:rPr>
      </w:pPr>
    </w:p>
    <w:p w14:paraId="5135FD95" w14:textId="2449D5F1" w:rsidR="007B5768" w:rsidRPr="008B1A89" w:rsidRDefault="00C00231" w:rsidP="007613FE">
      <w:pPr>
        <w:pStyle w:val="Pripombabesedilo"/>
        <w:spacing w:before="0" w:line="260" w:lineRule="atLeast"/>
        <w:rPr>
          <w:rFonts w:ascii="Arial" w:hAnsi="Arial"/>
          <w:sz w:val="22"/>
        </w:rPr>
      </w:pPr>
      <w:r w:rsidRPr="008B1A89">
        <w:rPr>
          <w:rFonts w:ascii="Arial" w:hAnsi="Arial"/>
          <w:sz w:val="22"/>
        </w:rPr>
        <w:t xml:space="preserve">Povprečna letna zakupnina za njive ter trajne travnike in pašnike je v 2019 znašala 141,05 EUR/ha in je bila za 1,8 % višja kot leta 2015. (SURS, 2020). </w:t>
      </w:r>
      <w:r w:rsidR="007B5768" w:rsidRPr="008B1A89">
        <w:rPr>
          <w:rFonts w:ascii="Arial" w:hAnsi="Arial"/>
          <w:sz w:val="22"/>
        </w:rPr>
        <w:t xml:space="preserve">Največ zakupa se opravi preko Sklada kmetijskih zemljišč in gozdov RS, ki ima za 52.365 ha sklenjenih zakupnih pogodb.   </w:t>
      </w:r>
    </w:p>
    <w:p w14:paraId="084464DD" w14:textId="77777777" w:rsidR="00CC740A" w:rsidRPr="008B1A89" w:rsidRDefault="00CC740A" w:rsidP="007613FE">
      <w:pPr>
        <w:spacing w:before="0" w:line="260" w:lineRule="atLeast"/>
        <w:rPr>
          <w:szCs w:val="20"/>
        </w:rPr>
      </w:pPr>
    </w:p>
    <w:p w14:paraId="1E2DFD9F" w14:textId="34F07850" w:rsidR="007B5768" w:rsidRPr="008B1A89" w:rsidRDefault="007B5768" w:rsidP="007613FE">
      <w:pPr>
        <w:spacing w:before="0" w:line="260" w:lineRule="atLeast"/>
        <w:rPr>
          <w:szCs w:val="20"/>
        </w:rPr>
      </w:pPr>
      <w:r w:rsidRPr="008B1A89">
        <w:rPr>
          <w:szCs w:val="20"/>
        </w:rPr>
        <w:t>Velika ovira pri upravljanju s kmetijskimi zemljišči (zakup, nakup, prodaja) je tudi solastnina kmetijskih zemljišč. Velik del solastnine nastaja v postopkih dedovanja kmetijskih gospodarstev ter v postopkih denacionalizacije. Tako prihajamo do primerov, kjer je na posamezni zemljiški parceli tudi po več kot 100 solastnikov.</w:t>
      </w:r>
    </w:p>
    <w:p w14:paraId="0C80651E" w14:textId="77777777" w:rsidR="007B5768" w:rsidRDefault="007B5768" w:rsidP="007613FE">
      <w:pPr>
        <w:spacing w:before="0" w:line="260" w:lineRule="atLeast"/>
        <w:rPr>
          <w:sz w:val="20"/>
          <w:szCs w:val="20"/>
        </w:rPr>
      </w:pPr>
    </w:p>
    <w:p w14:paraId="728DD817" w14:textId="77777777" w:rsidR="00C00231" w:rsidRPr="00304C05" w:rsidRDefault="00C00231" w:rsidP="005B2A49">
      <w:pPr>
        <w:pStyle w:val="Naslov2"/>
      </w:pPr>
      <w:bookmarkStart w:id="116" w:name="_Toc86822551"/>
      <w:r w:rsidRPr="00304C05">
        <w:t>Proizvodni potencial in produktivnost kmetijskih zemljišč</w:t>
      </w:r>
      <w:bookmarkEnd w:id="116"/>
    </w:p>
    <w:p w14:paraId="03E8318E" w14:textId="77777777" w:rsidR="00C00231" w:rsidRPr="00304C05" w:rsidRDefault="00C00231" w:rsidP="007613FE">
      <w:pPr>
        <w:spacing w:before="0" w:line="260" w:lineRule="atLeast"/>
        <w:rPr>
          <w:szCs w:val="22"/>
          <w:u w:val="single"/>
        </w:rPr>
      </w:pPr>
    </w:p>
    <w:p w14:paraId="3148F402" w14:textId="24EBC4C3" w:rsidR="00C00231" w:rsidRPr="00304C05" w:rsidRDefault="00C00231" w:rsidP="007613FE">
      <w:pPr>
        <w:spacing w:before="0" w:line="260" w:lineRule="atLeast"/>
        <w:rPr>
          <w:i/>
          <w:szCs w:val="22"/>
          <w:u w:val="single"/>
        </w:rPr>
      </w:pPr>
      <w:r w:rsidRPr="00304C05">
        <w:rPr>
          <w:i/>
          <w:szCs w:val="22"/>
          <w:u w:val="single"/>
        </w:rPr>
        <w:t>Dejavniki, ki vplivajo na proizvodni potencial KZU</w:t>
      </w:r>
    </w:p>
    <w:p w14:paraId="2EF96D94" w14:textId="77777777" w:rsidR="00CC740A" w:rsidRPr="00304C05" w:rsidRDefault="00CC740A" w:rsidP="007613FE">
      <w:pPr>
        <w:spacing w:before="0" w:line="260" w:lineRule="atLeast"/>
        <w:rPr>
          <w:szCs w:val="22"/>
        </w:rPr>
      </w:pPr>
    </w:p>
    <w:p w14:paraId="56C5B74F" w14:textId="3A5A22E5" w:rsidR="00C00231" w:rsidRPr="00304C05" w:rsidRDefault="00C00231" w:rsidP="007613FE">
      <w:pPr>
        <w:spacing w:before="0" w:line="260" w:lineRule="atLeast"/>
        <w:rPr>
          <w:szCs w:val="22"/>
        </w:rPr>
      </w:pPr>
      <w:r w:rsidRPr="00304C05">
        <w:rPr>
          <w:szCs w:val="22"/>
        </w:rPr>
        <w:t xml:space="preserve">Na produktivnost kmetijskih zemljišč vplivajo številni dejavniki, kot so: nadmorska višina, kakovost tal (prsti), podnebne razmere, nagibi, tehnologije obdelave zemljišč ter učinkovitosti delovne sile, ustrezna raba glede na primernost zemljišča za gojenje posamezne kulture ter izboljšave kmetijskih zemljišč, kot so že omenjene komasacije in agromelioracije ter obstoj namakalnih sistemov, kar je podrobneje opisano v analizi stanja za cilj 4.     </w:t>
      </w:r>
    </w:p>
    <w:p w14:paraId="28B999D3" w14:textId="77777777" w:rsidR="00CC740A" w:rsidRPr="00304C05" w:rsidRDefault="00CC740A" w:rsidP="007613FE">
      <w:pPr>
        <w:spacing w:before="0" w:line="260" w:lineRule="atLeast"/>
        <w:rPr>
          <w:szCs w:val="22"/>
        </w:rPr>
      </w:pPr>
    </w:p>
    <w:p w14:paraId="28A11540" w14:textId="07036801" w:rsidR="00C00231" w:rsidRPr="00304C05" w:rsidRDefault="00C00231" w:rsidP="007613FE">
      <w:pPr>
        <w:spacing w:before="0" w:line="260" w:lineRule="atLeast"/>
        <w:rPr>
          <w:szCs w:val="22"/>
        </w:rPr>
      </w:pPr>
      <w:r w:rsidRPr="00304C05">
        <w:rPr>
          <w:szCs w:val="22"/>
        </w:rPr>
        <w:t>Glede na klimatske razmere v Sloveniji je intenzivna rastlinska kmetijska pridelava možna do okoli 600 metrov nadmorske višine (Ur.l. RS, št. 47/2008). Na kmetijskih zemljiščih teh območij je možna pridelava trave, detelj, krompirja, ozimnih žit, koruze, zelenjadnic, hmelja, sadnih vrst in vinske trte. Površina območij do 600 metrov nadmorske višine obsega 1.323.848 ha oziroma 65% površine Slovenije. (Pintar M., Mlakar A., Grčman H., Glavan M., Zupan M., 2015)</w:t>
      </w:r>
    </w:p>
    <w:p w14:paraId="3DC31804" w14:textId="77777777" w:rsidR="00CC740A" w:rsidRPr="00304C05" w:rsidRDefault="00CC740A" w:rsidP="007613FE">
      <w:pPr>
        <w:spacing w:before="0" w:line="260" w:lineRule="atLeast"/>
        <w:rPr>
          <w:szCs w:val="22"/>
        </w:rPr>
      </w:pPr>
    </w:p>
    <w:p w14:paraId="13727E2B" w14:textId="0C8BDB28" w:rsidR="00C00231" w:rsidRPr="00304C05" w:rsidRDefault="00C00231" w:rsidP="007613FE">
      <w:pPr>
        <w:spacing w:before="0" w:line="260" w:lineRule="atLeast"/>
        <w:rPr>
          <w:szCs w:val="22"/>
        </w:rPr>
      </w:pPr>
      <w:r w:rsidRPr="00304C05">
        <w:rPr>
          <w:szCs w:val="22"/>
        </w:rPr>
        <w:t>Glede na nagib veljajo za najboljša zemljišča tista z do 11</w:t>
      </w:r>
      <w:r w:rsidR="00F20823">
        <w:rPr>
          <w:szCs w:val="22"/>
        </w:rPr>
        <w:t xml:space="preserve"> </w:t>
      </w:r>
      <w:r w:rsidRPr="00304C05">
        <w:rPr>
          <w:szCs w:val="22"/>
        </w:rPr>
        <w:t>% nagiba. Pri tem se kot pomemben element upošteva možnost strojne obdelave. Tako za ta zemljišča velja, da je možna neomejene uporaba vse kmetijske tehnike, saj je zemljišče ravno do rahlo valovito, z veliko nosilnostjo tal. Zemljišč vseh vrst rab z do 11 % nagiba je v Sloveniji 30,58 % oziroma 620.003 ha. (ibid.)</w:t>
      </w:r>
    </w:p>
    <w:p w14:paraId="6041179D" w14:textId="77777777" w:rsidR="00CC740A" w:rsidRPr="00304C05" w:rsidRDefault="00CC740A" w:rsidP="007613FE">
      <w:pPr>
        <w:spacing w:before="0" w:line="260" w:lineRule="atLeast"/>
        <w:rPr>
          <w:szCs w:val="22"/>
        </w:rPr>
      </w:pPr>
    </w:p>
    <w:p w14:paraId="402C57D2" w14:textId="487C366F" w:rsidR="00C00231" w:rsidRPr="00304C05" w:rsidRDefault="00C00231" w:rsidP="007613FE">
      <w:pPr>
        <w:spacing w:before="0" w:line="260" w:lineRule="atLeast"/>
        <w:rPr>
          <w:szCs w:val="22"/>
        </w:rPr>
      </w:pPr>
      <w:r w:rsidRPr="00304C05">
        <w:rPr>
          <w:szCs w:val="22"/>
        </w:rPr>
        <w:lastRenderedPageBreak/>
        <w:t xml:space="preserve">Celoviteje oceno proizvodne sposobnosti kmetijskih zemljišč podaja podatek </w:t>
      </w:r>
      <w:r w:rsidRPr="00304C05">
        <w:rPr>
          <w:i/>
          <w:szCs w:val="22"/>
        </w:rPr>
        <w:t xml:space="preserve">o </w:t>
      </w:r>
      <w:r w:rsidRPr="00304C05">
        <w:rPr>
          <w:szCs w:val="22"/>
        </w:rPr>
        <w:t>boniteti zemljišča, ki se določi v obliki bonitetnih točk. Zemljišč vseh vrst rabe z boniteto, večjo od 35, je v Sloveniji 549.264 ha oziroma 27,09 %. Zemljišč vseh vrst rabe z boniteto, večjo od 50, je v Sloveniji 237.723 ha oziroma 11,73 %. (ibid.)</w:t>
      </w:r>
      <w:r w:rsidR="00CC740A" w:rsidRPr="00304C05">
        <w:rPr>
          <w:szCs w:val="22"/>
        </w:rPr>
        <w:t xml:space="preserve"> </w:t>
      </w:r>
      <w:r w:rsidRPr="00304C05">
        <w:rPr>
          <w:szCs w:val="22"/>
        </w:rPr>
        <w:t xml:space="preserve">Te se izračunajo na podlagi lastnosti tal, klime, reliefa in posebnih vplivov (skalovitost, poplavnost, sušnost, ekspozicija, odprtost in zaprtost, zasenčenost in vetrovnost, za gozdna zemljišča pa skalovitost, poplavnost in sušnost). Zakon, ki ureja kmetijska zemljišča, navaja boniteto kmetijskih zemljišč, višjo od 35, kot tisto, ki je osnova za oblikovanje območij trajno varovanih zemljišč. Iz tega gre sklepati, da bonitete, višje od 35, že omogočajo primerne pridelovalne pogoje za klasično intenzivno kmetijstvo. </w:t>
      </w:r>
    </w:p>
    <w:p w14:paraId="2A972049" w14:textId="77777777" w:rsidR="00C00231" w:rsidRPr="00304C05" w:rsidRDefault="00C00231" w:rsidP="007613FE">
      <w:pPr>
        <w:spacing w:before="0" w:line="260" w:lineRule="atLeast"/>
        <w:rPr>
          <w:szCs w:val="22"/>
        </w:rPr>
      </w:pPr>
    </w:p>
    <w:p w14:paraId="02BE5815" w14:textId="77777777" w:rsidR="00C00231" w:rsidRPr="00304C05" w:rsidRDefault="00C00231" w:rsidP="007613FE">
      <w:pPr>
        <w:spacing w:before="0" w:line="260" w:lineRule="atLeast"/>
        <w:rPr>
          <w:i/>
          <w:szCs w:val="22"/>
          <w:u w:val="single"/>
        </w:rPr>
      </w:pPr>
      <w:r w:rsidRPr="00304C05">
        <w:rPr>
          <w:i/>
          <w:szCs w:val="22"/>
          <w:u w:val="single"/>
        </w:rPr>
        <w:t>Gibanje hektarskih donosov za izbrane kulture</w:t>
      </w:r>
    </w:p>
    <w:p w14:paraId="4F2FEEC8" w14:textId="77777777" w:rsidR="00CC740A" w:rsidRPr="00304C05" w:rsidRDefault="00CC740A" w:rsidP="007613FE">
      <w:pPr>
        <w:spacing w:before="0" w:line="260" w:lineRule="atLeast"/>
        <w:rPr>
          <w:szCs w:val="22"/>
        </w:rPr>
      </w:pPr>
    </w:p>
    <w:p w14:paraId="5B45BCA6" w14:textId="6086274A" w:rsidR="00C00231" w:rsidRPr="00304C05" w:rsidRDefault="00C00231" w:rsidP="008B1A89">
      <w:pPr>
        <w:rPr>
          <w:szCs w:val="22"/>
        </w:rPr>
      </w:pPr>
      <w:r w:rsidRPr="00304C05">
        <w:rPr>
          <w:szCs w:val="22"/>
        </w:rPr>
        <w:t>Iz prikaza (</w:t>
      </w:r>
      <w:r w:rsidR="000346FC" w:rsidRPr="00304C05">
        <w:rPr>
          <w:szCs w:val="22"/>
        </w:rPr>
        <w:fldChar w:fldCharType="begin"/>
      </w:r>
      <w:r w:rsidR="000346FC" w:rsidRPr="00304C05">
        <w:rPr>
          <w:szCs w:val="22"/>
        </w:rPr>
        <w:instrText xml:space="preserve"> REF _Ref54811100 \h  \* MERGEFORMAT </w:instrText>
      </w:r>
      <w:r w:rsidR="000346FC" w:rsidRPr="00304C05">
        <w:rPr>
          <w:szCs w:val="22"/>
        </w:rPr>
      </w:r>
      <w:r w:rsidR="000346FC" w:rsidRPr="00304C05">
        <w:rPr>
          <w:szCs w:val="22"/>
        </w:rPr>
        <w:fldChar w:fldCharType="separate"/>
      </w:r>
      <w:r w:rsidR="0088117A" w:rsidRPr="0088117A">
        <w:rPr>
          <w:szCs w:val="22"/>
        </w:rPr>
        <w:t>Slika</w:t>
      </w:r>
      <w:r w:rsidR="0088117A" w:rsidRPr="0088117A">
        <w:rPr>
          <w:noProof/>
          <w:szCs w:val="22"/>
        </w:rPr>
        <w:t xml:space="preserve"> 31</w:t>
      </w:r>
      <w:r w:rsidR="000346FC" w:rsidRPr="00304C05">
        <w:rPr>
          <w:szCs w:val="22"/>
        </w:rPr>
        <w:fldChar w:fldCharType="end"/>
      </w:r>
      <w:r w:rsidR="00CC740A" w:rsidRPr="00304C05">
        <w:rPr>
          <w:szCs w:val="22"/>
        </w:rPr>
        <w:t xml:space="preserve">, </w:t>
      </w:r>
      <w:r w:rsidR="00CC740A" w:rsidRPr="00304C05">
        <w:rPr>
          <w:szCs w:val="22"/>
        </w:rPr>
        <w:fldChar w:fldCharType="begin"/>
      </w:r>
      <w:r w:rsidR="00CC740A" w:rsidRPr="00304C05">
        <w:rPr>
          <w:szCs w:val="22"/>
        </w:rPr>
        <w:instrText xml:space="preserve"> REF _Ref54811103 \h  \* MERGEFORMAT </w:instrText>
      </w:r>
      <w:r w:rsidR="00CC740A" w:rsidRPr="00304C05">
        <w:rPr>
          <w:szCs w:val="22"/>
        </w:rPr>
      </w:r>
      <w:r w:rsidR="00CC740A" w:rsidRPr="00304C05">
        <w:rPr>
          <w:szCs w:val="22"/>
        </w:rPr>
        <w:fldChar w:fldCharType="separate"/>
      </w:r>
      <w:r w:rsidR="0088117A" w:rsidRPr="0088117A">
        <w:rPr>
          <w:szCs w:val="22"/>
        </w:rPr>
        <w:t>Slika 32</w:t>
      </w:r>
      <w:r w:rsidR="00CC740A" w:rsidRPr="00304C05">
        <w:rPr>
          <w:szCs w:val="22"/>
        </w:rPr>
        <w:fldChar w:fldCharType="end"/>
      </w:r>
      <w:r w:rsidRPr="00304C05">
        <w:rPr>
          <w:szCs w:val="22"/>
        </w:rPr>
        <w:t xml:space="preserve">) je razvidno, da se v obdobju 2005-2018 hektarski donosi niso bistveno spremenili. Večja nihanja </w:t>
      </w:r>
      <w:r w:rsidR="007B5768" w:rsidRPr="00304C05">
        <w:rPr>
          <w:szCs w:val="22"/>
        </w:rPr>
        <w:t>med</w:t>
      </w:r>
      <w:r w:rsidRPr="00304C05">
        <w:rPr>
          <w:szCs w:val="22"/>
        </w:rPr>
        <w:t xml:space="preserve"> posamezni</w:t>
      </w:r>
      <w:r w:rsidR="007B5768" w:rsidRPr="00304C05">
        <w:rPr>
          <w:szCs w:val="22"/>
        </w:rPr>
        <w:t>mi</w:t>
      </w:r>
      <w:r w:rsidRPr="00304C05">
        <w:rPr>
          <w:szCs w:val="22"/>
        </w:rPr>
        <w:t xml:space="preserve"> leti so posledica neugodnih vremenskih razmer. Obe dejstvi po eni strani izpostavljata premajhno odpornost slovenskega kmetijstva na vedno pogostejše neugodne vremenske razmere (zlasti suše, pozebe, toče…), ki so posledica podnebnih sprememb</w:t>
      </w:r>
      <w:r w:rsidR="00CC740A" w:rsidRPr="00304C05">
        <w:rPr>
          <w:rStyle w:val="Sprotnaopomba-sklic"/>
          <w:sz w:val="22"/>
          <w:szCs w:val="22"/>
        </w:rPr>
        <w:footnoteReference w:id="13"/>
      </w:r>
      <w:r w:rsidRPr="00304C05">
        <w:rPr>
          <w:szCs w:val="22"/>
        </w:rPr>
        <w:t xml:space="preserve">, hkrati pa prepočasen tehnološki razvoj, kar prav tako vpliva na produktivnost kmetijskih zemljišč. </w:t>
      </w:r>
    </w:p>
    <w:p w14:paraId="1D630DCB" w14:textId="77777777" w:rsidR="00C00231" w:rsidRPr="00304C05" w:rsidRDefault="00C00231" w:rsidP="007613FE">
      <w:pPr>
        <w:spacing w:before="0" w:line="260" w:lineRule="atLeast"/>
        <w:rPr>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6"/>
      </w:tblGrid>
      <w:tr w:rsidR="00C00231" w14:paraId="21413397" w14:textId="77777777" w:rsidTr="000F3AC4">
        <w:trPr>
          <w:trHeight w:val="283"/>
        </w:trPr>
        <w:tc>
          <w:tcPr>
            <w:tcW w:w="4531" w:type="dxa"/>
          </w:tcPr>
          <w:p w14:paraId="7C14D4EC" w14:textId="3320B295" w:rsidR="00C00231" w:rsidRPr="00304C05" w:rsidRDefault="00C00231" w:rsidP="00304C05">
            <w:pPr>
              <w:pStyle w:val="SCSlika0"/>
            </w:pPr>
            <w:bookmarkStart w:id="117" w:name="_Ref54811100"/>
            <w:bookmarkStart w:id="118" w:name="_Toc86822703"/>
            <w:r w:rsidRPr="00304C05">
              <w:t xml:space="preserve">Slika </w:t>
            </w:r>
            <w:r w:rsidRPr="00304C05">
              <w:fldChar w:fldCharType="begin"/>
            </w:r>
            <w:r w:rsidRPr="00304C05">
              <w:instrText xml:space="preserve"> SEQ Slika \* ARABIC </w:instrText>
            </w:r>
            <w:r w:rsidRPr="00304C05">
              <w:fldChar w:fldCharType="separate"/>
            </w:r>
            <w:r w:rsidR="0088117A">
              <w:rPr>
                <w:noProof/>
              </w:rPr>
              <w:t>31</w:t>
            </w:r>
            <w:r w:rsidRPr="00304C05">
              <w:fldChar w:fldCharType="end"/>
            </w:r>
            <w:bookmarkEnd w:id="117"/>
            <w:r w:rsidRPr="00304C05">
              <w:t>: Gibanje hektarskih donosov pri nekaterih ključnih kulturah v rastlinski pridelavi 2005–2018</w:t>
            </w:r>
            <w:bookmarkEnd w:id="118"/>
          </w:p>
        </w:tc>
        <w:tc>
          <w:tcPr>
            <w:tcW w:w="4531" w:type="dxa"/>
          </w:tcPr>
          <w:p w14:paraId="46395A12" w14:textId="3C6EF102" w:rsidR="00C00231" w:rsidRPr="00304C05" w:rsidRDefault="00C00231" w:rsidP="00304C05">
            <w:pPr>
              <w:pStyle w:val="SCSlika0"/>
            </w:pPr>
            <w:bookmarkStart w:id="119" w:name="_Ref54811103"/>
            <w:bookmarkStart w:id="120" w:name="_Toc86822704"/>
            <w:r w:rsidRPr="00304C05">
              <w:t xml:space="preserve">Slika </w:t>
            </w:r>
            <w:r w:rsidRPr="00304C05">
              <w:fldChar w:fldCharType="begin"/>
            </w:r>
            <w:r w:rsidRPr="00304C05">
              <w:instrText xml:space="preserve"> SEQ Slika \* ARABIC </w:instrText>
            </w:r>
            <w:r w:rsidRPr="00304C05">
              <w:fldChar w:fldCharType="separate"/>
            </w:r>
            <w:r w:rsidR="0088117A">
              <w:rPr>
                <w:noProof/>
              </w:rPr>
              <w:t>32</w:t>
            </w:r>
            <w:r w:rsidRPr="00304C05">
              <w:fldChar w:fldCharType="end"/>
            </w:r>
            <w:bookmarkEnd w:id="119"/>
            <w:r w:rsidRPr="00304C05">
              <w:t>: Gibanje hektarskih donosov pri nekaterih vrstah sadja, 2005–2018</w:t>
            </w:r>
            <w:bookmarkEnd w:id="120"/>
          </w:p>
        </w:tc>
      </w:tr>
      <w:tr w:rsidR="00C00231" w14:paraId="5DFA4E47" w14:textId="77777777" w:rsidTr="000F3AC4">
        <w:trPr>
          <w:trHeight w:val="4232"/>
        </w:trPr>
        <w:tc>
          <w:tcPr>
            <w:tcW w:w="4531" w:type="dxa"/>
          </w:tcPr>
          <w:p w14:paraId="5D64F388" w14:textId="77777777" w:rsidR="00C00231" w:rsidRDefault="00C00231" w:rsidP="000F3AC4">
            <w:pPr>
              <w:keepNext/>
              <w:keepLines/>
              <w:spacing w:line="240" w:lineRule="auto"/>
              <w:contextualSpacing/>
              <w:rPr>
                <w:szCs w:val="20"/>
              </w:rPr>
            </w:pPr>
          </w:p>
          <w:p w14:paraId="04DF93C8" w14:textId="0E6A38ED" w:rsidR="00C00231" w:rsidRDefault="00C00231" w:rsidP="000F3AC4">
            <w:pPr>
              <w:keepNext/>
              <w:keepLines/>
              <w:spacing w:line="240" w:lineRule="auto"/>
              <w:contextualSpacing/>
              <w:rPr>
                <w:szCs w:val="20"/>
              </w:rPr>
            </w:pPr>
            <w:r w:rsidRPr="00523562">
              <w:rPr>
                <w:noProof/>
                <w:szCs w:val="20"/>
                <w:lang w:eastAsia="sl-SI"/>
              </w:rPr>
              <w:drawing>
                <wp:inline distT="0" distB="0" distL="0" distR="0" wp14:anchorId="41A678D0" wp14:editId="2A759E14">
                  <wp:extent cx="2684033" cy="2522220"/>
                  <wp:effectExtent l="0" t="0" r="2540" b="11430"/>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531" w:type="dxa"/>
          </w:tcPr>
          <w:p w14:paraId="10351E4D" w14:textId="77777777" w:rsidR="00C00231" w:rsidRDefault="00C00231" w:rsidP="000F3AC4">
            <w:pPr>
              <w:keepNext/>
              <w:keepLines/>
              <w:spacing w:line="240" w:lineRule="auto"/>
              <w:contextualSpacing/>
              <w:rPr>
                <w:szCs w:val="20"/>
              </w:rPr>
            </w:pPr>
          </w:p>
          <w:p w14:paraId="60D81DC1" w14:textId="670CDBD0" w:rsidR="00C00231" w:rsidRDefault="00C00231" w:rsidP="000F3AC4">
            <w:pPr>
              <w:keepNext/>
              <w:keepLines/>
              <w:spacing w:line="240" w:lineRule="auto"/>
              <w:contextualSpacing/>
              <w:rPr>
                <w:szCs w:val="20"/>
              </w:rPr>
            </w:pPr>
            <w:r w:rsidRPr="00523562">
              <w:rPr>
                <w:noProof/>
                <w:szCs w:val="20"/>
                <w:lang w:eastAsia="sl-SI"/>
              </w:rPr>
              <w:drawing>
                <wp:inline distT="0" distB="0" distL="0" distR="0" wp14:anchorId="7D3E28EC" wp14:editId="54B4E6C3">
                  <wp:extent cx="2785931" cy="2522220"/>
                  <wp:effectExtent l="0" t="0" r="14605" b="11430"/>
                  <wp:docPr id="62" name="Grafikon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C00231" w14:paraId="4251E2BD" w14:textId="77777777" w:rsidTr="000F3AC4">
        <w:trPr>
          <w:trHeight w:val="154"/>
        </w:trPr>
        <w:tc>
          <w:tcPr>
            <w:tcW w:w="4531" w:type="dxa"/>
          </w:tcPr>
          <w:p w14:paraId="6699D979" w14:textId="77777777" w:rsidR="00C00231" w:rsidRPr="00251920" w:rsidRDefault="00C00231" w:rsidP="000346FC">
            <w:pPr>
              <w:keepNext/>
              <w:keepLines/>
              <w:spacing w:line="240" w:lineRule="auto"/>
              <w:contextualSpacing/>
              <w:rPr>
                <w:sz w:val="16"/>
                <w:szCs w:val="20"/>
              </w:rPr>
            </w:pPr>
            <w:r w:rsidRPr="00251920">
              <w:rPr>
                <w:sz w:val="16"/>
                <w:szCs w:val="20"/>
              </w:rPr>
              <w:t>Vir: SURS</w:t>
            </w:r>
          </w:p>
          <w:p w14:paraId="3738F570" w14:textId="77777777" w:rsidR="00C00231" w:rsidRDefault="00C00231" w:rsidP="000F3AC4">
            <w:pPr>
              <w:keepNext/>
              <w:keepLines/>
              <w:spacing w:line="240" w:lineRule="auto"/>
              <w:contextualSpacing/>
              <w:rPr>
                <w:szCs w:val="20"/>
              </w:rPr>
            </w:pPr>
          </w:p>
        </w:tc>
        <w:tc>
          <w:tcPr>
            <w:tcW w:w="4531" w:type="dxa"/>
          </w:tcPr>
          <w:p w14:paraId="1F2C948B" w14:textId="77777777" w:rsidR="00C00231" w:rsidRPr="00523562" w:rsidRDefault="00C00231" w:rsidP="000F3AC4">
            <w:pPr>
              <w:keepNext/>
              <w:keepLines/>
              <w:spacing w:line="240" w:lineRule="auto"/>
              <w:contextualSpacing/>
              <w:rPr>
                <w:sz w:val="16"/>
                <w:szCs w:val="20"/>
              </w:rPr>
            </w:pPr>
            <w:r>
              <w:rPr>
                <w:sz w:val="16"/>
                <w:szCs w:val="20"/>
              </w:rPr>
              <w:t>V</w:t>
            </w:r>
            <w:r w:rsidRPr="00523562">
              <w:rPr>
                <w:sz w:val="16"/>
                <w:szCs w:val="20"/>
              </w:rPr>
              <w:t>ir: SURS</w:t>
            </w:r>
          </w:p>
          <w:p w14:paraId="0C4B5D95" w14:textId="77777777" w:rsidR="00C00231" w:rsidRDefault="00C00231" w:rsidP="000F3AC4">
            <w:pPr>
              <w:keepNext/>
              <w:keepLines/>
              <w:spacing w:line="240" w:lineRule="auto"/>
              <w:contextualSpacing/>
              <w:rPr>
                <w:szCs w:val="20"/>
              </w:rPr>
            </w:pPr>
          </w:p>
        </w:tc>
      </w:tr>
    </w:tbl>
    <w:p w14:paraId="5A743CAF" w14:textId="77777777" w:rsidR="00C00231" w:rsidRDefault="00C00231" w:rsidP="007613FE">
      <w:pPr>
        <w:pStyle w:val="1"/>
        <w:spacing w:before="0"/>
      </w:pPr>
    </w:p>
    <w:p w14:paraId="3848DF1D" w14:textId="77777777" w:rsidR="00C00231" w:rsidRPr="00304C05" w:rsidRDefault="00C00231" w:rsidP="007613FE">
      <w:pPr>
        <w:spacing w:before="0" w:line="260" w:lineRule="atLeast"/>
        <w:rPr>
          <w:i/>
          <w:szCs w:val="20"/>
          <w:u w:val="single"/>
        </w:rPr>
      </w:pPr>
      <w:r w:rsidRPr="00304C05">
        <w:rPr>
          <w:i/>
          <w:szCs w:val="20"/>
          <w:u w:val="single"/>
        </w:rPr>
        <w:t>Produktivost kmetijskih zemljišč, izražena z bruto dodano vrednostjo na hektar KZU</w:t>
      </w:r>
    </w:p>
    <w:p w14:paraId="10E3292C" w14:textId="77777777" w:rsidR="00CC740A" w:rsidRPr="00304C05" w:rsidRDefault="00CC740A" w:rsidP="007613FE">
      <w:pPr>
        <w:spacing w:before="0" w:line="260" w:lineRule="atLeast"/>
        <w:rPr>
          <w:szCs w:val="20"/>
        </w:rPr>
      </w:pPr>
    </w:p>
    <w:p w14:paraId="3B5876DA" w14:textId="6738A240" w:rsidR="00F679A2" w:rsidRDefault="00C00231" w:rsidP="00F679A2">
      <w:r w:rsidRPr="00304C05">
        <w:rPr>
          <w:szCs w:val="20"/>
        </w:rPr>
        <w:t>Ob donosu na hektar KZU se za merjenje produktivnosti zemlje uporablja tudi primerjava bruto dodane vrednosti na hektar KZU. V Sloveniji je bruto dodana vrednost na hektar KZU v letu 2016 znašala 987 EUR/ha KZU, kar je dober odstotek več kot leta 2005 in pomeni, da ostaja približno enaka.</w:t>
      </w:r>
      <w:r w:rsidR="00F679A2">
        <w:rPr>
          <w:szCs w:val="20"/>
        </w:rPr>
        <w:t xml:space="preserve"> </w:t>
      </w:r>
    </w:p>
    <w:p w14:paraId="70CA0934" w14:textId="77777777" w:rsidR="00F679A2" w:rsidRDefault="00F679A2" w:rsidP="007613FE">
      <w:pPr>
        <w:spacing w:before="0" w:line="260" w:lineRule="atLeast"/>
        <w:rPr>
          <w:sz w:val="20"/>
          <w:szCs w:val="20"/>
        </w:rPr>
      </w:pPr>
    </w:p>
    <w:p w14:paraId="6D5127DB" w14:textId="59142CF2" w:rsidR="00C00231" w:rsidRPr="00A7730B" w:rsidRDefault="00C00231" w:rsidP="00304C05">
      <w:pPr>
        <w:pStyle w:val="SCSlika0"/>
      </w:pPr>
      <w:bookmarkStart w:id="121" w:name="_Toc86822705"/>
      <w:r w:rsidRPr="009D387C">
        <w:rPr>
          <w:szCs w:val="20"/>
        </w:rPr>
        <w:lastRenderedPageBreak/>
        <w:t xml:space="preserve">Slika </w:t>
      </w:r>
      <w:r w:rsidRPr="009D387C">
        <w:rPr>
          <w:szCs w:val="20"/>
        </w:rPr>
        <w:fldChar w:fldCharType="begin"/>
      </w:r>
      <w:r w:rsidRPr="009D387C">
        <w:rPr>
          <w:szCs w:val="20"/>
        </w:rPr>
        <w:instrText xml:space="preserve"> SEQ Slika \* ARABIC </w:instrText>
      </w:r>
      <w:r w:rsidRPr="009D387C">
        <w:rPr>
          <w:szCs w:val="20"/>
        </w:rPr>
        <w:fldChar w:fldCharType="separate"/>
      </w:r>
      <w:r w:rsidR="0088117A">
        <w:rPr>
          <w:noProof/>
          <w:szCs w:val="20"/>
        </w:rPr>
        <w:t>33</w:t>
      </w:r>
      <w:r w:rsidRPr="009D387C">
        <w:rPr>
          <w:szCs w:val="20"/>
        </w:rPr>
        <w:fldChar w:fldCharType="end"/>
      </w:r>
      <w:r w:rsidRPr="009F3567">
        <w:t xml:space="preserve">: Bruto dodana vrednost na hektar KZU, v </w:t>
      </w:r>
      <w:r>
        <w:t>EUR</w:t>
      </w:r>
      <w:r w:rsidRPr="009F3567">
        <w:t>, 2016</w:t>
      </w:r>
      <w:bookmarkEnd w:id="121"/>
    </w:p>
    <w:p w14:paraId="5D72FCC2" w14:textId="6FCDE4FC" w:rsidR="00C00231" w:rsidRDefault="00C00231" w:rsidP="00C00231">
      <w:pPr>
        <w:rPr>
          <w:sz w:val="20"/>
          <w:szCs w:val="20"/>
        </w:rPr>
      </w:pPr>
      <w:r>
        <w:rPr>
          <w:noProof/>
          <w:lang w:eastAsia="sl-SI"/>
        </w:rPr>
        <w:drawing>
          <wp:inline distT="0" distB="0" distL="0" distR="0" wp14:anchorId="3B059896" wp14:editId="51A251AD">
            <wp:extent cx="5776856" cy="1947134"/>
            <wp:effectExtent l="0" t="0" r="14605" b="15240"/>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F579697" w14:textId="77777777" w:rsidR="00C00231" w:rsidRPr="00B33BE3" w:rsidRDefault="00C00231" w:rsidP="00C00231">
      <w:pPr>
        <w:spacing w:line="240" w:lineRule="auto"/>
        <w:rPr>
          <w:sz w:val="16"/>
          <w:szCs w:val="16"/>
          <w:lang w:eastAsia="sl-SI"/>
        </w:rPr>
      </w:pPr>
      <w:r>
        <w:rPr>
          <w:sz w:val="16"/>
          <w:szCs w:val="16"/>
        </w:rPr>
        <w:t>Vir</w:t>
      </w:r>
      <w:r w:rsidRPr="00B33BE3">
        <w:rPr>
          <w:sz w:val="16"/>
          <w:szCs w:val="16"/>
        </w:rPr>
        <w:t xml:space="preserve">: Eurostat, preračun MKGP (Main farm land use by NUTS 2 regions [ef_lus_main]) in </w:t>
      </w:r>
      <w:r w:rsidRPr="00B33BE3">
        <w:rPr>
          <w:sz w:val="16"/>
          <w:szCs w:val="16"/>
          <w:lang w:eastAsia="sl-SI"/>
        </w:rPr>
        <w:t>Economic accounts for agriculture - values at current prices [aact_eaa01]</w:t>
      </w:r>
    </w:p>
    <w:p w14:paraId="37039405" w14:textId="5B7E704D" w:rsidR="00C00231" w:rsidRDefault="00C00231" w:rsidP="007613FE">
      <w:pPr>
        <w:spacing w:before="0" w:line="260" w:lineRule="atLeast"/>
        <w:rPr>
          <w:sz w:val="20"/>
          <w:szCs w:val="20"/>
        </w:rPr>
      </w:pPr>
    </w:p>
    <w:p w14:paraId="1CA71337" w14:textId="4E37C7A1" w:rsidR="00F679A2" w:rsidRDefault="00F679A2" w:rsidP="007613FE">
      <w:pPr>
        <w:spacing w:before="0" w:line="260" w:lineRule="atLeast"/>
        <w:rPr>
          <w:sz w:val="20"/>
          <w:szCs w:val="20"/>
        </w:rPr>
      </w:pPr>
    </w:p>
    <w:p w14:paraId="4CF2385D" w14:textId="7439A8F9" w:rsidR="00F679A2" w:rsidRPr="005B2A49" w:rsidRDefault="00FC732C" w:rsidP="005B2A49">
      <w:pPr>
        <w:pStyle w:val="Naslov2"/>
      </w:pPr>
      <w:bookmarkStart w:id="122" w:name="_Toc86822552"/>
      <w:r w:rsidRPr="005B2A49">
        <w:t>Ključne ugotovitve</w:t>
      </w:r>
      <w:bookmarkEnd w:id="122"/>
    </w:p>
    <w:p w14:paraId="36675C4E" w14:textId="0C94CACB" w:rsidR="00FC732C" w:rsidRDefault="00FC732C" w:rsidP="005B2A49">
      <w:pPr>
        <w:rPr>
          <w:lang w:eastAsia="en-US"/>
        </w:rPr>
      </w:pPr>
    </w:p>
    <w:p w14:paraId="0AD9D41E"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Kmetijska zemljišča so v Sloveniji razpoložljiva v izrazito omejenem obsegu, skoncentrirana so na sorazmerno omejenost ravninskega sveta, v katerem kmetijstvu konkurirajo tudi drugi interesi: promet, industrija, širjenje naselij itd. Prevladujoči del kmetijskih zemljišč v Sloveniji (76,2 % vseh KZU) je uvrščen v OMD, iz česar izhaja izrazito omejen izbor možnih proizvodnih usmeritev na teh območjih (prevladuje govedoreja, drobnica). </w:t>
      </w:r>
    </w:p>
    <w:p w14:paraId="61AB46A2"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Slabše pridelovalne razmere na OMD vplivajo na manjšo proizvodno sposobnost kmetij, manjši izbor kultur in proizvodnih usmeritev ter dražijo pridelavo, kar vpliva na nižjo raven produktivnosti in s tem posledično tudi konkurenčnosti kmetij na teh območjih.</w:t>
      </w:r>
    </w:p>
    <w:p w14:paraId="02C1967D"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Za uravnotežen razvoj kmetijstva se zaradi težjih pogojev pridelave na OMD kmetijam, ki dosegajo višje število točk, omogočajo možnosti za pridobitev podpor za izvedbo naložb oziroma višje sofinanciranje naložb. V slovenskem kmetijstvu je izrazit strukturni problem velika razdrobljenost kmetijskih zemljišč in majhnost posamezne enote rabe (GERK-a).</w:t>
      </w:r>
    </w:p>
    <w:p w14:paraId="57B6E086"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Poleg izrazite zemljiške razdrobljenosti obdelovalnih površin posameznih kmetijskih gospodarstev je velika ovira pri upravljanju s kmetijskimi zemljišči (zakup, nakup, prodaja) tudi solastnina kmetijskih zemljišč. </w:t>
      </w:r>
    </w:p>
    <w:p w14:paraId="1DD0477B"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Komasacije in agromelioracije so v zadnjih dveh programskih obdobjih (2007-2013, 2014-2020) doživele večji razmah, kar je pozitivno z vidika produktivnosti. Ob tem pa se pojavljajo okoljevarstvena vprašanja, zlasti v povezavi z ohranjanjem biotske raznovrstnosti. </w:t>
      </w:r>
    </w:p>
    <w:p w14:paraId="5A52F926"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Hektarski donosi pri nekaterih ključnih kulturah v rastlinski pridelavi pa tudi bruto dodana vrednost na ha KZU se bistveno ne spreminjajo. Večja nihanja med posameznimi leti so posledica neugodnih vremenskih razmer. To kaže na majhno odpornost slovenskega kmetijstva na vedno pogostejše neugodne vremenske razmere (zlasti suše, pozebe, toče…), ki so posledica podnebnih sprememb, hkrati pa tudi na relativno počasen tehnološki razvoj, ki prav tako vpliva na produktivnost kmetijskih zemljišč. </w:t>
      </w:r>
    </w:p>
    <w:p w14:paraId="43348485" w14:textId="7E756A6C" w:rsidR="00FC732C" w:rsidRDefault="00FC732C" w:rsidP="005B2A49">
      <w:pPr>
        <w:rPr>
          <w:lang w:eastAsia="en-US"/>
        </w:rPr>
      </w:pPr>
    </w:p>
    <w:p w14:paraId="54F087A6" w14:textId="7F84CC3C" w:rsidR="00421F08" w:rsidRPr="009F3567" w:rsidRDefault="00CC18A4" w:rsidP="00304C05">
      <w:pPr>
        <w:pStyle w:val="Naslov1"/>
      </w:pPr>
      <w:bookmarkStart w:id="123" w:name="_Toc51019239"/>
      <w:bookmarkStart w:id="124" w:name="_Toc51056006"/>
      <w:bookmarkStart w:id="125" w:name="_Toc51057427"/>
      <w:bookmarkStart w:id="126" w:name="_Toc51058844"/>
      <w:bookmarkStart w:id="127" w:name="_Toc51060260"/>
      <w:bookmarkStart w:id="128" w:name="_Toc51061676"/>
      <w:bookmarkStart w:id="129" w:name="_Toc51063092"/>
      <w:bookmarkStart w:id="130" w:name="_Toc51064525"/>
      <w:bookmarkStart w:id="131" w:name="_Toc51065940"/>
      <w:bookmarkStart w:id="132" w:name="_Toc51067988"/>
      <w:bookmarkStart w:id="133" w:name="_Toc51105004"/>
      <w:bookmarkStart w:id="134" w:name="_Toc51106432"/>
      <w:bookmarkStart w:id="135" w:name="_Toc51108755"/>
      <w:bookmarkStart w:id="136" w:name="_Toc51019240"/>
      <w:bookmarkStart w:id="137" w:name="_Toc51056007"/>
      <w:bookmarkStart w:id="138" w:name="_Toc51057428"/>
      <w:bookmarkStart w:id="139" w:name="_Toc51058845"/>
      <w:bookmarkStart w:id="140" w:name="_Toc51060261"/>
      <w:bookmarkStart w:id="141" w:name="_Toc51061677"/>
      <w:bookmarkStart w:id="142" w:name="_Toc51063093"/>
      <w:bookmarkStart w:id="143" w:name="_Toc51064526"/>
      <w:bookmarkStart w:id="144" w:name="_Toc51065941"/>
      <w:bookmarkStart w:id="145" w:name="_Toc51067989"/>
      <w:bookmarkStart w:id="146" w:name="_Toc51105005"/>
      <w:bookmarkStart w:id="147" w:name="_Toc51106433"/>
      <w:bookmarkStart w:id="148" w:name="_Toc51108756"/>
      <w:bookmarkStart w:id="149" w:name="_Toc51019241"/>
      <w:bookmarkStart w:id="150" w:name="_Toc51056008"/>
      <w:bookmarkStart w:id="151" w:name="_Toc51057429"/>
      <w:bookmarkStart w:id="152" w:name="_Toc51058846"/>
      <w:bookmarkStart w:id="153" w:name="_Toc51060262"/>
      <w:bookmarkStart w:id="154" w:name="_Toc51061678"/>
      <w:bookmarkStart w:id="155" w:name="_Toc51063094"/>
      <w:bookmarkStart w:id="156" w:name="_Toc51064527"/>
      <w:bookmarkStart w:id="157" w:name="_Toc51065942"/>
      <w:bookmarkStart w:id="158" w:name="_Toc51067990"/>
      <w:bookmarkStart w:id="159" w:name="_Toc51105006"/>
      <w:bookmarkStart w:id="160" w:name="_Toc51106434"/>
      <w:bookmarkStart w:id="161" w:name="_Toc51108757"/>
      <w:bookmarkStart w:id="162" w:name="_Toc51019242"/>
      <w:bookmarkStart w:id="163" w:name="_Toc51056009"/>
      <w:bookmarkStart w:id="164" w:name="_Toc51057430"/>
      <w:bookmarkStart w:id="165" w:name="_Toc51058847"/>
      <w:bookmarkStart w:id="166" w:name="_Toc51060263"/>
      <w:bookmarkStart w:id="167" w:name="_Toc51061679"/>
      <w:bookmarkStart w:id="168" w:name="_Toc51063095"/>
      <w:bookmarkStart w:id="169" w:name="_Toc51064528"/>
      <w:bookmarkStart w:id="170" w:name="_Toc51065943"/>
      <w:bookmarkStart w:id="171" w:name="_Toc51067991"/>
      <w:bookmarkStart w:id="172" w:name="_Toc51105007"/>
      <w:bookmarkStart w:id="173" w:name="_Toc51106435"/>
      <w:bookmarkStart w:id="174" w:name="_Toc51108758"/>
      <w:bookmarkStart w:id="175" w:name="_Toc51019243"/>
      <w:bookmarkStart w:id="176" w:name="_Toc51056010"/>
      <w:bookmarkStart w:id="177" w:name="_Toc51057431"/>
      <w:bookmarkStart w:id="178" w:name="_Toc51058848"/>
      <w:bookmarkStart w:id="179" w:name="_Toc51060264"/>
      <w:bookmarkStart w:id="180" w:name="_Toc51061680"/>
      <w:bookmarkStart w:id="181" w:name="_Toc51063096"/>
      <w:bookmarkStart w:id="182" w:name="_Toc51064529"/>
      <w:bookmarkStart w:id="183" w:name="_Toc51065944"/>
      <w:bookmarkStart w:id="184" w:name="_Toc51067992"/>
      <w:bookmarkStart w:id="185" w:name="_Toc51105008"/>
      <w:bookmarkStart w:id="186" w:name="_Toc51106436"/>
      <w:bookmarkStart w:id="187" w:name="_Toc51108759"/>
      <w:bookmarkStart w:id="188" w:name="_Toc51019244"/>
      <w:bookmarkStart w:id="189" w:name="_Toc51056011"/>
      <w:bookmarkStart w:id="190" w:name="_Toc51057432"/>
      <w:bookmarkStart w:id="191" w:name="_Toc51058849"/>
      <w:bookmarkStart w:id="192" w:name="_Toc51060265"/>
      <w:bookmarkStart w:id="193" w:name="_Toc51061681"/>
      <w:bookmarkStart w:id="194" w:name="_Toc51063097"/>
      <w:bookmarkStart w:id="195" w:name="_Toc51064530"/>
      <w:bookmarkStart w:id="196" w:name="_Toc51065945"/>
      <w:bookmarkStart w:id="197" w:name="_Toc51067993"/>
      <w:bookmarkStart w:id="198" w:name="_Toc51105009"/>
      <w:bookmarkStart w:id="199" w:name="_Toc51106437"/>
      <w:bookmarkStart w:id="200" w:name="_Toc51108760"/>
      <w:bookmarkStart w:id="201" w:name="_Toc51019245"/>
      <w:bookmarkStart w:id="202" w:name="_Toc51056012"/>
      <w:bookmarkStart w:id="203" w:name="_Toc51057433"/>
      <w:bookmarkStart w:id="204" w:name="_Toc51058850"/>
      <w:bookmarkStart w:id="205" w:name="_Toc51060266"/>
      <w:bookmarkStart w:id="206" w:name="_Toc51061682"/>
      <w:bookmarkStart w:id="207" w:name="_Toc51063098"/>
      <w:bookmarkStart w:id="208" w:name="_Toc51064531"/>
      <w:bookmarkStart w:id="209" w:name="_Toc51065946"/>
      <w:bookmarkStart w:id="210" w:name="_Toc51067994"/>
      <w:bookmarkStart w:id="211" w:name="_Toc51105010"/>
      <w:bookmarkStart w:id="212" w:name="_Toc51106438"/>
      <w:bookmarkStart w:id="213" w:name="_Toc51108761"/>
      <w:bookmarkStart w:id="214" w:name="_Toc51019246"/>
      <w:bookmarkStart w:id="215" w:name="_Toc51056013"/>
      <w:bookmarkStart w:id="216" w:name="_Toc51057434"/>
      <w:bookmarkStart w:id="217" w:name="_Toc51058851"/>
      <w:bookmarkStart w:id="218" w:name="_Toc51060267"/>
      <w:bookmarkStart w:id="219" w:name="_Toc51061683"/>
      <w:bookmarkStart w:id="220" w:name="_Toc51063099"/>
      <w:bookmarkStart w:id="221" w:name="_Toc51064532"/>
      <w:bookmarkStart w:id="222" w:name="_Toc51065947"/>
      <w:bookmarkStart w:id="223" w:name="_Toc51067995"/>
      <w:bookmarkStart w:id="224" w:name="_Toc51105011"/>
      <w:bookmarkStart w:id="225" w:name="_Toc51106439"/>
      <w:bookmarkStart w:id="226" w:name="_Toc51108762"/>
      <w:bookmarkStart w:id="227" w:name="_Toc51019247"/>
      <w:bookmarkStart w:id="228" w:name="_Toc51056014"/>
      <w:bookmarkStart w:id="229" w:name="_Toc51057435"/>
      <w:bookmarkStart w:id="230" w:name="_Toc51058852"/>
      <w:bookmarkStart w:id="231" w:name="_Toc51060268"/>
      <w:bookmarkStart w:id="232" w:name="_Toc51061684"/>
      <w:bookmarkStart w:id="233" w:name="_Toc51063100"/>
      <w:bookmarkStart w:id="234" w:name="_Toc51064533"/>
      <w:bookmarkStart w:id="235" w:name="_Toc51065948"/>
      <w:bookmarkStart w:id="236" w:name="_Toc51067996"/>
      <w:bookmarkStart w:id="237" w:name="_Toc51105012"/>
      <w:bookmarkStart w:id="238" w:name="_Toc51106440"/>
      <w:bookmarkStart w:id="239" w:name="_Toc51108763"/>
      <w:bookmarkStart w:id="240" w:name="_Toc51019248"/>
      <w:bookmarkStart w:id="241" w:name="_Toc51056015"/>
      <w:bookmarkStart w:id="242" w:name="_Toc51057436"/>
      <w:bookmarkStart w:id="243" w:name="_Toc51058853"/>
      <w:bookmarkStart w:id="244" w:name="_Toc51060269"/>
      <w:bookmarkStart w:id="245" w:name="_Toc51061685"/>
      <w:bookmarkStart w:id="246" w:name="_Toc51063101"/>
      <w:bookmarkStart w:id="247" w:name="_Toc51064534"/>
      <w:bookmarkStart w:id="248" w:name="_Toc51065949"/>
      <w:bookmarkStart w:id="249" w:name="_Toc51067997"/>
      <w:bookmarkStart w:id="250" w:name="_Toc51105013"/>
      <w:bookmarkStart w:id="251" w:name="_Toc51106441"/>
      <w:bookmarkStart w:id="252" w:name="_Toc51108764"/>
      <w:bookmarkStart w:id="253" w:name="_Toc51019249"/>
      <w:bookmarkStart w:id="254" w:name="_Toc51056016"/>
      <w:bookmarkStart w:id="255" w:name="_Toc51057437"/>
      <w:bookmarkStart w:id="256" w:name="_Toc51058854"/>
      <w:bookmarkStart w:id="257" w:name="_Toc51060270"/>
      <w:bookmarkStart w:id="258" w:name="_Toc51061686"/>
      <w:bookmarkStart w:id="259" w:name="_Toc51063102"/>
      <w:bookmarkStart w:id="260" w:name="_Toc51064535"/>
      <w:bookmarkStart w:id="261" w:name="_Toc51065950"/>
      <w:bookmarkStart w:id="262" w:name="_Toc51067998"/>
      <w:bookmarkStart w:id="263" w:name="_Toc51105014"/>
      <w:bookmarkStart w:id="264" w:name="_Toc51106442"/>
      <w:bookmarkStart w:id="265" w:name="_Toc51108765"/>
      <w:bookmarkStart w:id="266" w:name="_Toc51019250"/>
      <w:bookmarkStart w:id="267" w:name="_Toc51056017"/>
      <w:bookmarkStart w:id="268" w:name="_Toc51057438"/>
      <w:bookmarkStart w:id="269" w:name="_Toc51058855"/>
      <w:bookmarkStart w:id="270" w:name="_Toc51060271"/>
      <w:bookmarkStart w:id="271" w:name="_Toc51061687"/>
      <w:bookmarkStart w:id="272" w:name="_Toc51063103"/>
      <w:bookmarkStart w:id="273" w:name="_Toc51064536"/>
      <w:bookmarkStart w:id="274" w:name="_Toc51065951"/>
      <w:bookmarkStart w:id="275" w:name="_Toc51067999"/>
      <w:bookmarkStart w:id="276" w:name="_Toc51105015"/>
      <w:bookmarkStart w:id="277" w:name="_Toc51106443"/>
      <w:bookmarkStart w:id="278" w:name="_Toc51108766"/>
      <w:bookmarkStart w:id="279" w:name="_Toc51019251"/>
      <w:bookmarkStart w:id="280" w:name="_Toc51056018"/>
      <w:bookmarkStart w:id="281" w:name="_Toc51057439"/>
      <w:bookmarkStart w:id="282" w:name="_Toc51058856"/>
      <w:bookmarkStart w:id="283" w:name="_Toc51060272"/>
      <w:bookmarkStart w:id="284" w:name="_Toc51061688"/>
      <w:bookmarkStart w:id="285" w:name="_Toc51063104"/>
      <w:bookmarkStart w:id="286" w:name="_Toc51064537"/>
      <w:bookmarkStart w:id="287" w:name="_Toc51065952"/>
      <w:bookmarkStart w:id="288" w:name="_Toc51068000"/>
      <w:bookmarkStart w:id="289" w:name="_Toc51105016"/>
      <w:bookmarkStart w:id="290" w:name="_Toc51106444"/>
      <w:bookmarkStart w:id="291" w:name="_Toc51108767"/>
      <w:bookmarkStart w:id="292" w:name="_Toc51019252"/>
      <w:bookmarkStart w:id="293" w:name="_Toc51056019"/>
      <w:bookmarkStart w:id="294" w:name="_Toc51057440"/>
      <w:bookmarkStart w:id="295" w:name="_Toc51058857"/>
      <w:bookmarkStart w:id="296" w:name="_Toc51060273"/>
      <w:bookmarkStart w:id="297" w:name="_Toc51061689"/>
      <w:bookmarkStart w:id="298" w:name="_Toc51063105"/>
      <w:bookmarkStart w:id="299" w:name="_Toc51064538"/>
      <w:bookmarkStart w:id="300" w:name="_Toc51065953"/>
      <w:bookmarkStart w:id="301" w:name="_Toc51068001"/>
      <w:bookmarkStart w:id="302" w:name="_Toc51105017"/>
      <w:bookmarkStart w:id="303" w:name="_Toc51106445"/>
      <w:bookmarkStart w:id="304" w:name="_Toc51108768"/>
      <w:bookmarkStart w:id="305" w:name="_Toc51019253"/>
      <w:bookmarkStart w:id="306" w:name="_Toc51056020"/>
      <w:bookmarkStart w:id="307" w:name="_Toc51057441"/>
      <w:bookmarkStart w:id="308" w:name="_Toc51058858"/>
      <w:bookmarkStart w:id="309" w:name="_Toc51060274"/>
      <w:bookmarkStart w:id="310" w:name="_Toc51061690"/>
      <w:bookmarkStart w:id="311" w:name="_Toc51063106"/>
      <w:bookmarkStart w:id="312" w:name="_Toc51064539"/>
      <w:bookmarkStart w:id="313" w:name="_Toc51065954"/>
      <w:bookmarkStart w:id="314" w:name="_Toc51068002"/>
      <w:bookmarkStart w:id="315" w:name="_Toc51105018"/>
      <w:bookmarkStart w:id="316" w:name="_Toc51106446"/>
      <w:bookmarkStart w:id="317" w:name="_Toc51108769"/>
      <w:bookmarkStart w:id="318" w:name="_Toc51019255"/>
      <w:bookmarkStart w:id="319" w:name="_Toc51056022"/>
      <w:bookmarkStart w:id="320" w:name="_Toc51057443"/>
      <w:bookmarkStart w:id="321" w:name="_Toc51058860"/>
      <w:bookmarkStart w:id="322" w:name="_Toc51060276"/>
      <w:bookmarkStart w:id="323" w:name="_Toc51061692"/>
      <w:bookmarkStart w:id="324" w:name="_Toc51063108"/>
      <w:bookmarkStart w:id="325" w:name="_Toc51064541"/>
      <w:bookmarkStart w:id="326" w:name="_Toc51065956"/>
      <w:bookmarkStart w:id="327" w:name="_Toc51068004"/>
      <w:bookmarkStart w:id="328" w:name="_Toc51105020"/>
      <w:bookmarkStart w:id="329" w:name="_Toc51106448"/>
      <w:bookmarkStart w:id="330" w:name="_Toc51108771"/>
      <w:bookmarkStart w:id="331" w:name="_Toc51019256"/>
      <w:bookmarkStart w:id="332" w:name="_Toc51056023"/>
      <w:bookmarkStart w:id="333" w:name="_Toc51057444"/>
      <w:bookmarkStart w:id="334" w:name="_Toc51058861"/>
      <w:bookmarkStart w:id="335" w:name="_Toc51060277"/>
      <w:bookmarkStart w:id="336" w:name="_Toc51061693"/>
      <w:bookmarkStart w:id="337" w:name="_Toc51063109"/>
      <w:bookmarkStart w:id="338" w:name="_Toc51064542"/>
      <w:bookmarkStart w:id="339" w:name="_Toc51065957"/>
      <w:bookmarkStart w:id="340" w:name="_Toc51068005"/>
      <w:bookmarkStart w:id="341" w:name="_Toc51105021"/>
      <w:bookmarkStart w:id="342" w:name="_Toc51106449"/>
      <w:bookmarkStart w:id="343" w:name="_Toc51108772"/>
      <w:bookmarkStart w:id="344" w:name="_Toc51019257"/>
      <w:bookmarkStart w:id="345" w:name="_Toc51056024"/>
      <w:bookmarkStart w:id="346" w:name="_Toc51057445"/>
      <w:bookmarkStart w:id="347" w:name="_Toc51058862"/>
      <w:bookmarkStart w:id="348" w:name="_Toc51060278"/>
      <w:bookmarkStart w:id="349" w:name="_Toc51061694"/>
      <w:bookmarkStart w:id="350" w:name="_Toc51063110"/>
      <w:bookmarkStart w:id="351" w:name="_Toc51064543"/>
      <w:bookmarkStart w:id="352" w:name="_Toc51065958"/>
      <w:bookmarkStart w:id="353" w:name="_Toc51068006"/>
      <w:bookmarkStart w:id="354" w:name="_Toc51105022"/>
      <w:bookmarkStart w:id="355" w:name="_Toc51106450"/>
      <w:bookmarkStart w:id="356" w:name="_Toc51108773"/>
      <w:bookmarkStart w:id="357" w:name="_Toc51019258"/>
      <w:bookmarkStart w:id="358" w:name="_Toc51056025"/>
      <w:bookmarkStart w:id="359" w:name="_Toc51057446"/>
      <w:bookmarkStart w:id="360" w:name="_Toc51058863"/>
      <w:bookmarkStart w:id="361" w:name="_Toc51060279"/>
      <w:bookmarkStart w:id="362" w:name="_Toc51061695"/>
      <w:bookmarkStart w:id="363" w:name="_Toc51063111"/>
      <w:bookmarkStart w:id="364" w:name="_Toc51064544"/>
      <w:bookmarkStart w:id="365" w:name="_Toc51065959"/>
      <w:bookmarkStart w:id="366" w:name="_Toc51068007"/>
      <w:bookmarkStart w:id="367" w:name="_Toc51105023"/>
      <w:bookmarkStart w:id="368" w:name="_Toc51106451"/>
      <w:bookmarkStart w:id="369" w:name="_Toc51108774"/>
      <w:bookmarkStart w:id="370" w:name="_Toc51019259"/>
      <w:bookmarkStart w:id="371" w:name="_Toc51056026"/>
      <w:bookmarkStart w:id="372" w:name="_Toc51057447"/>
      <w:bookmarkStart w:id="373" w:name="_Toc51058864"/>
      <w:bookmarkStart w:id="374" w:name="_Toc51060280"/>
      <w:bookmarkStart w:id="375" w:name="_Toc51061696"/>
      <w:bookmarkStart w:id="376" w:name="_Toc51063112"/>
      <w:bookmarkStart w:id="377" w:name="_Toc51064545"/>
      <w:bookmarkStart w:id="378" w:name="_Toc51065960"/>
      <w:bookmarkStart w:id="379" w:name="_Toc51068008"/>
      <w:bookmarkStart w:id="380" w:name="_Toc51105024"/>
      <w:bookmarkStart w:id="381" w:name="_Toc51106452"/>
      <w:bookmarkStart w:id="382" w:name="_Toc51108775"/>
      <w:bookmarkStart w:id="383" w:name="_Toc51019261"/>
      <w:bookmarkStart w:id="384" w:name="_Toc51056028"/>
      <w:bookmarkStart w:id="385" w:name="_Toc51057449"/>
      <w:bookmarkStart w:id="386" w:name="_Toc51058866"/>
      <w:bookmarkStart w:id="387" w:name="_Toc51060282"/>
      <w:bookmarkStart w:id="388" w:name="_Toc51061698"/>
      <w:bookmarkStart w:id="389" w:name="_Toc51063114"/>
      <w:bookmarkStart w:id="390" w:name="_Toc51064547"/>
      <w:bookmarkStart w:id="391" w:name="_Toc51065962"/>
      <w:bookmarkStart w:id="392" w:name="_Toc51068010"/>
      <w:bookmarkStart w:id="393" w:name="_Toc51105026"/>
      <w:bookmarkStart w:id="394" w:name="_Toc51106454"/>
      <w:bookmarkStart w:id="395" w:name="_Toc51108777"/>
      <w:bookmarkStart w:id="396" w:name="_Toc51019266"/>
      <w:bookmarkStart w:id="397" w:name="_Toc51056033"/>
      <w:bookmarkStart w:id="398" w:name="_Toc51057454"/>
      <w:bookmarkStart w:id="399" w:name="_Toc51058871"/>
      <w:bookmarkStart w:id="400" w:name="_Toc51060287"/>
      <w:bookmarkStart w:id="401" w:name="_Toc51061703"/>
      <w:bookmarkStart w:id="402" w:name="_Toc51063119"/>
      <w:bookmarkStart w:id="403" w:name="_Toc51064552"/>
      <w:bookmarkStart w:id="404" w:name="_Toc51065967"/>
      <w:bookmarkStart w:id="405" w:name="_Toc51068015"/>
      <w:bookmarkStart w:id="406" w:name="_Toc51105031"/>
      <w:bookmarkStart w:id="407" w:name="_Toc51106459"/>
      <w:bookmarkStart w:id="408" w:name="_Toc51108782"/>
      <w:bookmarkStart w:id="409" w:name="_Toc51019268"/>
      <w:bookmarkStart w:id="410" w:name="_Toc51056035"/>
      <w:bookmarkStart w:id="411" w:name="_Toc51057456"/>
      <w:bookmarkStart w:id="412" w:name="_Toc51058873"/>
      <w:bookmarkStart w:id="413" w:name="_Toc51060289"/>
      <w:bookmarkStart w:id="414" w:name="_Toc51061705"/>
      <w:bookmarkStart w:id="415" w:name="_Toc51063121"/>
      <w:bookmarkStart w:id="416" w:name="_Toc51064554"/>
      <w:bookmarkStart w:id="417" w:name="_Toc51065969"/>
      <w:bookmarkStart w:id="418" w:name="_Toc51068017"/>
      <w:bookmarkStart w:id="419" w:name="_Toc51105033"/>
      <w:bookmarkStart w:id="420" w:name="_Toc51106461"/>
      <w:bookmarkStart w:id="421" w:name="_Toc51108784"/>
      <w:bookmarkStart w:id="422" w:name="_Toc51019270"/>
      <w:bookmarkStart w:id="423" w:name="_Toc51056037"/>
      <w:bookmarkStart w:id="424" w:name="_Toc51057458"/>
      <w:bookmarkStart w:id="425" w:name="_Toc51058875"/>
      <w:bookmarkStart w:id="426" w:name="_Toc51060291"/>
      <w:bookmarkStart w:id="427" w:name="_Toc51061707"/>
      <w:bookmarkStart w:id="428" w:name="_Toc51063123"/>
      <w:bookmarkStart w:id="429" w:name="_Toc51064556"/>
      <w:bookmarkStart w:id="430" w:name="_Toc51065971"/>
      <w:bookmarkStart w:id="431" w:name="_Toc51068019"/>
      <w:bookmarkStart w:id="432" w:name="_Toc51105035"/>
      <w:bookmarkStart w:id="433" w:name="_Toc51106463"/>
      <w:bookmarkStart w:id="434" w:name="_Toc51108786"/>
      <w:bookmarkStart w:id="435" w:name="_Toc51019272"/>
      <w:bookmarkStart w:id="436" w:name="_Toc51056039"/>
      <w:bookmarkStart w:id="437" w:name="_Toc51057460"/>
      <w:bookmarkStart w:id="438" w:name="_Toc51058877"/>
      <w:bookmarkStart w:id="439" w:name="_Toc51060293"/>
      <w:bookmarkStart w:id="440" w:name="_Toc51061709"/>
      <w:bookmarkStart w:id="441" w:name="_Toc51063125"/>
      <w:bookmarkStart w:id="442" w:name="_Toc51064558"/>
      <w:bookmarkStart w:id="443" w:name="_Toc51065973"/>
      <w:bookmarkStart w:id="444" w:name="_Toc51068021"/>
      <w:bookmarkStart w:id="445" w:name="_Toc51105037"/>
      <w:bookmarkStart w:id="446" w:name="_Toc51106465"/>
      <w:bookmarkStart w:id="447" w:name="_Toc51108788"/>
      <w:bookmarkStart w:id="448" w:name="_Toc51019274"/>
      <w:bookmarkStart w:id="449" w:name="_Toc51056041"/>
      <w:bookmarkStart w:id="450" w:name="_Toc51057462"/>
      <w:bookmarkStart w:id="451" w:name="_Toc51058879"/>
      <w:bookmarkStart w:id="452" w:name="_Toc51060295"/>
      <w:bookmarkStart w:id="453" w:name="_Toc51061711"/>
      <w:bookmarkStart w:id="454" w:name="_Toc51063127"/>
      <w:bookmarkStart w:id="455" w:name="_Toc51064560"/>
      <w:bookmarkStart w:id="456" w:name="_Toc51065975"/>
      <w:bookmarkStart w:id="457" w:name="_Toc51068023"/>
      <w:bookmarkStart w:id="458" w:name="_Toc51105039"/>
      <w:bookmarkStart w:id="459" w:name="_Toc51106467"/>
      <w:bookmarkStart w:id="460" w:name="_Toc51108790"/>
      <w:bookmarkStart w:id="461" w:name="_Toc51019275"/>
      <w:bookmarkStart w:id="462" w:name="_Toc51056042"/>
      <w:bookmarkStart w:id="463" w:name="_Toc51057463"/>
      <w:bookmarkStart w:id="464" w:name="_Toc51058880"/>
      <w:bookmarkStart w:id="465" w:name="_Toc51060296"/>
      <w:bookmarkStart w:id="466" w:name="_Toc51061712"/>
      <w:bookmarkStart w:id="467" w:name="_Toc51063128"/>
      <w:bookmarkStart w:id="468" w:name="_Toc51064561"/>
      <w:bookmarkStart w:id="469" w:name="_Toc51065976"/>
      <w:bookmarkStart w:id="470" w:name="_Toc51068024"/>
      <w:bookmarkStart w:id="471" w:name="_Toc51105040"/>
      <w:bookmarkStart w:id="472" w:name="_Toc51106468"/>
      <w:bookmarkStart w:id="473" w:name="_Toc51108791"/>
      <w:bookmarkStart w:id="474" w:name="_Toc51019276"/>
      <w:bookmarkStart w:id="475" w:name="_Toc51056043"/>
      <w:bookmarkStart w:id="476" w:name="_Toc51057464"/>
      <w:bookmarkStart w:id="477" w:name="_Toc51058881"/>
      <w:bookmarkStart w:id="478" w:name="_Toc51060297"/>
      <w:bookmarkStart w:id="479" w:name="_Toc51061713"/>
      <w:bookmarkStart w:id="480" w:name="_Toc51063129"/>
      <w:bookmarkStart w:id="481" w:name="_Toc51064562"/>
      <w:bookmarkStart w:id="482" w:name="_Toc51065977"/>
      <w:bookmarkStart w:id="483" w:name="_Toc51068025"/>
      <w:bookmarkStart w:id="484" w:name="_Toc51105041"/>
      <w:bookmarkStart w:id="485" w:name="_Toc51106469"/>
      <w:bookmarkStart w:id="486" w:name="_Toc51108792"/>
      <w:bookmarkStart w:id="487" w:name="_Toc51019277"/>
      <w:bookmarkStart w:id="488" w:name="_Toc51056044"/>
      <w:bookmarkStart w:id="489" w:name="_Toc51057465"/>
      <w:bookmarkStart w:id="490" w:name="_Toc51058882"/>
      <w:bookmarkStart w:id="491" w:name="_Toc51060298"/>
      <w:bookmarkStart w:id="492" w:name="_Toc51061714"/>
      <w:bookmarkStart w:id="493" w:name="_Toc51063130"/>
      <w:bookmarkStart w:id="494" w:name="_Toc51064563"/>
      <w:bookmarkStart w:id="495" w:name="_Toc51065978"/>
      <w:bookmarkStart w:id="496" w:name="_Toc51068026"/>
      <w:bookmarkStart w:id="497" w:name="_Toc51105042"/>
      <w:bookmarkStart w:id="498" w:name="_Toc51106470"/>
      <w:bookmarkStart w:id="499" w:name="_Toc51108793"/>
      <w:bookmarkStart w:id="500" w:name="_Toc51019278"/>
      <w:bookmarkStart w:id="501" w:name="_Toc51056045"/>
      <w:bookmarkStart w:id="502" w:name="_Toc51057466"/>
      <w:bookmarkStart w:id="503" w:name="_Toc51058883"/>
      <w:bookmarkStart w:id="504" w:name="_Toc51060299"/>
      <w:bookmarkStart w:id="505" w:name="_Toc51061715"/>
      <w:bookmarkStart w:id="506" w:name="_Toc51063131"/>
      <w:bookmarkStart w:id="507" w:name="_Toc51064564"/>
      <w:bookmarkStart w:id="508" w:name="_Toc51065979"/>
      <w:bookmarkStart w:id="509" w:name="_Toc51068027"/>
      <w:bookmarkStart w:id="510" w:name="_Toc51105043"/>
      <w:bookmarkStart w:id="511" w:name="_Toc51106471"/>
      <w:bookmarkStart w:id="512" w:name="_Toc51108794"/>
      <w:bookmarkStart w:id="513" w:name="_Toc51019281"/>
      <w:bookmarkStart w:id="514" w:name="_Toc51056048"/>
      <w:bookmarkStart w:id="515" w:name="_Toc51057469"/>
      <w:bookmarkStart w:id="516" w:name="_Toc51058886"/>
      <w:bookmarkStart w:id="517" w:name="_Toc51060302"/>
      <w:bookmarkStart w:id="518" w:name="_Toc51061718"/>
      <w:bookmarkStart w:id="519" w:name="_Toc51063134"/>
      <w:bookmarkStart w:id="520" w:name="_Toc51064567"/>
      <w:bookmarkStart w:id="521" w:name="_Toc51065982"/>
      <w:bookmarkStart w:id="522" w:name="_Toc51068030"/>
      <w:bookmarkStart w:id="523" w:name="_Toc51105046"/>
      <w:bookmarkStart w:id="524" w:name="_Toc51106474"/>
      <w:bookmarkStart w:id="525" w:name="_Toc51108797"/>
      <w:bookmarkStart w:id="526" w:name="_Toc51019283"/>
      <w:bookmarkStart w:id="527" w:name="_Toc51056050"/>
      <w:bookmarkStart w:id="528" w:name="_Toc51057471"/>
      <w:bookmarkStart w:id="529" w:name="_Toc51058888"/>
      <w:bookmarkStart w:id="530" w:name="_Toc51060304"/>
      <w:bookmarkStart w:id="531" w:name="_Toc51061720"/>
      <w:bookmarkStart w:id="532" w:name="_Toc51063136"/>
      <w:bookmarkStart w:id="533" w:name="_Toc51064569"/>
      <w:bookmarkStart w:id="534" w:name="_Toc51065984"/>
      <w:bookmarkStart w:id="535" w:name="_Toc51068032"/>
      <w:bookmarkStart w:id="536" w:name="_Toc51105048"/>
      <w:bookmarkStart w:id="537" w:name="_Toc51106476"/>
      <w:bookmarkStart w:id="538" w:name="_Toc51108799"/>
      <w:bookmarkStart w:id="539" w:name="_Toc51019284"/>
      <w:bookmarkStart w:id="540" w:name="_Toc51056051"/>
      <w:bookmarkStart w:id="541" w:name="_Toc51057472"/>
      <w:bookmarkStart w:id="542" w:name="_Toc51058889"/>
      <w:bookmarkStart w:id="543" w:name="_Toc51060305"/>
      <w:bookmarkStart w:id="544" w:name="_Toc51061721"/>
      <w:bookmarkStart w:id="545" w:name="_Toc51063137"/>
      <w:bookmarkStart w:id="546" w:name="_Toc51064570"/>
      <w:bookmarkStart w:id="547" w:name="_Toc51065985"/>
      <w:bookmarkStart w:id="548" w:name="_Toc51068033"/>
      <w:bookmarkStart w:id="549" w:name="_Toc51105049"/>
      <w:bookmarkStart w:id="550" w:name="_Toc51106477"/>
      <w:bookmarkStart w:id="551" w:name="_Toc51108800"/>
      <w:bookmarkStart w:id="552" w:name="_Toc51019285"/>
      <w:bookmarkStart w:id="553" w:name="_Toc51056052"/>
      <w:bookmarkStart w:id="554" w:name="_Toc51057473"/>
      <w:bookmarkStart w:id="555" w:name="_Toc51058890"/>
      <w:bookmarkStart w:id="556" w:name="_Toc51060306"/>
      <w:bookmarkStart w:id="557" w:name="_Toc51061722"/>
      <w:bookmarkStart w:id="558" w:name="_Toc51063138"/>
      <w:bookmarkStart w:id="559" w:name="_Toc51064571"/>
      <w:bookmarkStart w:id="560" w:name="_Toc51065986"/>
      <w:bookmarkStart w:id="561" w:name="_Toc51068034"/>
      <w:bookmarkStart w:id="562" w:name="_Toc51105050"/>
      <w:bookmarkStart w:id="563" w:name="_Toc51106478"/>
      <w:bookmarkStart w:id="564" w:name="_Toc51108801"/>
      <w:bookmarkStart w:id="565" w:name="_Toc40952507"/>
      <w:bookmarkStart w:id="566" w:name="_Toc40952594"/>
      <w:bookmarkStart w:id="567" w:name="_Toc40952666"/>
      <w:bookmarkStart w:id="568" w:name="_Toc40952738"/>
      <w:bookmarkStart w:id="569" w:name="_Toc40952810"/>
      <w:bookmarkStart w:id="570" w:name="_Toc40952989"/>
      <w:bookmarkStart w:id="571" w:name="_Toc40956673"/>
      <w:bookmarkStart w:id="572" w:name="_Toc40959262"/>
      <w:bookmarkStart w:id="573" w:name="_Toc40952508"/>
      <w:bookmarkStart w:id="574" w:name="_Toc40952595"/>
      <w:bookmarkStart w:id="575" w:name="_Toc40952667"/>
      <w:bookmarkStart w:id="576" w:name="_Toc40952739"/>
      <w:bookmarkStart w:id="577" w:name="_Toc40952811"/>
      <w:bookmarkStart w:id="578" w:name="_Toc40952990"/>
      <w:bookmarkStart w:id="579" w:name="_Toc40956674"/>
      <w:bookmarkStart w:id="580" w:name="_Toc40959263"/>
      <w:bookmarkStart w:id="581" w:name="_Toc40952509"/>
      <w:bookmarkStart w:id="582" w:name="_Toc40952596"/>
      <w:bookmarkStart w:id="583" w:name="_Toc40952668"/>
      <w:bookmarkStart w:id="584" w:name="_Toc40952740"/>
      <w:bookmarkStart w:id="585" w:name="_Toc40952812"/>
      <w:bookmarkStart w:id="586" w:name="_Toc40952991"/>
      <w:bookmarkStart w:id="587" w:name="_Toc40956675"/>
      <w:bookmarkStart w:id="588" w:name="_Toc40959264"/>
      <w:bookmarkStart w:id="589" w:name="_Toc51019286"/>
      <w:bookmarkStart w:id="590" w:name="_Toc51056053"/>
      <w:bookmarkStart w:id="591" w:name="_Toc51057474"/>
      <w:bookmarkStart w:id="592" w:name="_Toc51058891"/>
      <w:bookmarkStart w:id="593" w:name="_Toc51060307"/>
      <w:bookmarkStart w:id="594" w:name="_Toc51061723"/>
      <w:bookmarkStart w:id="595" w:name="_Toc51063139"/>
      <w:bookmarkStart w:id="596" w:name="_Toc51064572"/>
      <w:bookmarkStart w:id="597" w:name="_Toc51065987"/>
      <w:bookmarkStart w:id="598" w:name="_Toc51068035"/>
      <w:bookmarkStart w:id="599" w:name="_Toc51105051"/>
      <w:bookmarkStart w:id="600" w:name="_Toc51106479"/>
      <w:bookmarkStart w:id="601" w:name="_Toc51108802"/>
      <w:bookmarkStart w:id="602" w:name="_Toc51019287"/>
      <w:bookmarkStart w:id="603" w:name="_Toc51056054"/>
      <w:bookmarkStart w:id="604" w:name="_Toc51057475"/>
      <w:bookmarkStart w:id="605" w:name="_Toc51058892"/>
      <w:bookmarkStart w:id="606" w:name="_Toc51060308"/>
      <w:bookmarkStart w:id="607" w:name="_Toc51061724"/>
      <w:bookmarkStart w:id="608" w:name="_Toc51063140"/>
      <w:bookmarkStart w:id="609" w:name="_Toc51064573"/>
      <w:bookmarkStart w:id="610" w:name="_Toc51065988"/>
      <w:bookmarkStart w:id="611" w:name="_Toc51068036"/>
      <w:bookmarkStart w:id="612" w:name="_Toc51105052"/>
      <w:bookmarkStart w:id="613" w:name="_Toc51106480"/>
      <w:bookmarkStart w:id="614" w:name="_Toc51108803"/>
      <w:bookmarkStart w:id="615" w:name="_Toc51019288"/>
      <w:bookmarkStart w:id="616" w:name="_Toc51056055"/>
      <w:bookmarkStart w:id="617" w:name="_Toc51057476"/>
      <w:bookmarkStart w:id="618" w:name="_Toc51058893"/>
      <w:bookmarkStart w:id="619" w:name="_Toc51060309"/>
      <w:bookmarkStart w:id="620" w:name="_Toc51061725"/>
      <w:bookmarkStart w:id="621" w:name="_Toc51063141"/>
      <w:bookmarkStart w:id="622" w:name="_Toc51064574"/>
      <w:bookmarkStart w:id="623" w:name="_Toc51065989"/>
      <w:bookmarkStart w:id="624" w:name="_Toc51068037"/>
      <w:bookmarkStart w:id="625" w:name="_Toc51105053"/>
      <w:bookmarkStart w:id="626" w:name="_Toc51106481"/>
      <w:bookmarkStart w:id="627" w:name="_Toc51108804"/>
      <w:bookmarkStart w:id="628" w:name="_Toc51019289"/>
      <w:bookmarkStart w:id="629" w:name="_Toc51056056"/>
      <w:bookmarkStart w:id="630" w:name="_Toc51057477"/>
      <w:bookmarkStart w:id="631" w:name="_Toc51058894"/>
      <w:bookmarkStart w:id="632" w:name="_Toc51060310"/>
      <w:bookmarkStart w:id="633" w:name="_Toc51061726"/>
      <w:bookmarkStart w:id="634" w:name="_Toc51063142"/>
      <w:bookmarkStart w:id="635" w:name="_Toc51064575"/>
      <w:bookmarkStart w:id="636" w:name="_Toc51065990"/>
      <w:bookmarkStart w:id="637" w:name="_Toc51068038"/>
      <w:bookmarkStart w:id="638" w:name="_Toc51105054"/>
      <w:bookmarkStart w:id="639" w:name="_Toc51106482"/>
      <w:bookmarkStart w:id="640" w:name="_Toc51108805"/>
      <w:bookmarkStart w:id="641" w:name="_Toc51019290"/>
      <w:bookmarkStart w:id="642" w:name="_Toc51056057"/>
      <w:bookmarkStart w:id="643" w:name="_Toc51057478"/>
      <w:bookmarkStart w:id="644" w:name="_Toc51058895"/>
      <w:bookmarkStart w:id="645" w:name="_Toc51060311"/>
      <w:bookmarkStart w:id="646" w:name="_Toc51061727"/>
      <w:bookmarkStart w:id="647" w:name="_Toc51063143"/>
      <w:bookmarkStart w:id="648" w:name="_Toc51064576"/>
      <w:bookmarkStart w:id="649" w:name="_Toc51065991"/>
      <w:bookmarkStart w:id="650" w:name="_Toc51068039"/>
      <w:bookmarkStart w:id="651" w:name="_Toc51105055"/>
      <w:bookmarkStart w:id="652" w:name="_Toc51106483"/>
      <w:bookmarkStart w:id="653" w:name="_Toc51108806"/>
      <w:bookmarkStart w:id="654" w:name="_Toc51019291"/>
      <w:bookmarkStart w:id="655" w:name="_Toc51056058"/>
      <w:bookmarkStart w:id="656" w:name="_Toc51057479"/>
      <w:bookmarkStart w:id="657" w:name="_Toc51058896"/>
      <w:bookmarkStart w:id="658" w:name="_Toc51060312"/>
      <w:bookmarkStart w:id="659" w:name="_Toc51061728"/>
      <w:bookmarkStart w:id="660" w:name="_Toc51063144"/>
      <w:bookmarkStart w:id="661" w:name="_Toc51064577"/>
      <w:bookmarkStart w:id="662" w:name="_Toc51065992"/>
      <w:bookmarkStart w:id="663" w:name="_Toc51068040"/>
      <w:bookmarkStart w:id="664" w:name="_Toc51105056"/>
      <w:bookmarkStart w:id="665" w:name="_Toc51106484"/>
      <w:bookmarkStart w:id="666" w:name="_Toc51108807"/>
      <w:bookmarkStart w:id="667" w:name="_Toc51019292"/>
      <w:bookmarkStart w:id="668" w:name="_Toc51056059"/>
      <w:bookmarkStart w:id="669" w:name="_Toc51057480"/>
      <w:bookmarkStart w:id="670" w:name="_Toc51058897"/>
      <w:bookmarkStart w:id="671" w:name="_Toc51060313"/>
      <w:bookmarkStart w:id="672" w:name="_Toc51061729"/>
      <w:bookmarkStart w:id="673" w:name="_Toc51063145"/>
      <w:bookmarkStart w:id="674" w:name="_Toc51064578"/>
      <w:bookmarkStart w:id="675" w:name="_Toc51065993"/>
      <w:bookmarkStart w:id="676" w:name="_Toc51068041"/>
      <w:bookmarkStart w:id="677" w:name="_Toc51105057"/>
      <w:bookmarkStart w:id="678" w:name="_Toc51106485"/>
      <w:bookmarkStart w:id="679" w:name="_Toc51108808"/>
      <w:bookmarkStart w:id="680" w:name="_Toc51019293"/>
      <w:bookmarkStart w:id="681" w:name="_Toc51056060"/>
      <w:bookmarkStart w:id="682" w:name="_Toc51057481"/>
      <w:bookmarkStart w:id="683" w:name="_Toc51058898"/>
      <w:bookmarkStart w:id="684" w:name="_Toc51060314"/>
      <w:bookmarkStart w:id="685" w:name="_Toc51061730"/>
      <w:bookmarkStart w:id="686" w:name="_Toc51063146"/>
      <w:bookmarkStart w:id="687" w:name="_Toc51064579"/>
      <w:bookmarkStart w:id="688" w:name="_Toc51065994"/>
      <w:bookmarkStart w:id="689" w:name="_Toc51068042"/>
      <w:bookmarkStart w:id="690" w:name="_Toc51105058"/>
      <w:bookmarkStart w:id="691" w:name="_Toc51106486"/>
      <w:bookmarkStart w:id="692" w:name="_Toc51108809"/>
      <w:bookmarkStart w:id="693" w:name="_Toc51019294"/>
      <w:bookmarkStart w:id="694" w:name="_Toc51056061"/>
      <w:bookmarkStart w:id="695" w:name="_Toc51057482"/>
      <w:bookmarkStart w:id="696" w:name="_Toc51058899"/>
      <w:bookmarkStart w:id="697" w:name="_Toc51060315"/>
      <w:bookmarkStart w:id="698" w:name="_Toc51061731"/>
      <w:bookmarkStart w:id="699" w:name="_Toc51063147"/>
      <w:bookmarkStart w:id="700" w:name="_Toc51064580"/>
      <w:bookmarkStart w:id="701" w:name="_Toc51065995"/>
      <w:bookmarkStart w:id="702" w:name="_Toc51068043"/>
      <w:bookmarkStart w:id="703" w:name="_Toc51105059"/>
      <w:bookmarkStart w:id="704" w:name="_Toc51106487"/>
      <w:bookmarkStart w:id="705" w:name="_Toc51108810"/>
      <w:bookmarkStart w:id="706" w:name="_Toc51019296"/>
      <w:bookmarkStart w:id="707" w:name="_Toc51056063"/>
      <w:bookmarkStart w:id="708" w:name="_Toc51057484"/>
      <w:bookmarkStart w:id="709" w:name="_Toc51058901"/>
      <w:bookmarkStart w:id="710" w:name="_Toc51060317"/>
      <w:bookmarkStart w:id="711" w:name="_Toc51061733"/>
      <w:bookmarkStart w:id="712" w:name="_Toc51063149"/>
      <w:bookmarkStart w:id="713" w:name="_Toc51064582"/>
      <w:bookmarkStart w:id="714" w:name="_Toc51065997"/>
      <w:bookmarkStart w:id="715" w:name="_Toc51068045"/>
      <w:bookmarkStart w:id="716" w:name="_Toc51105061"/>
      <w:bookmarkStart w:id="717" w:name="_Toc51106489"/>
      <w:bookmarkStart w:id="718" w:name="_Toc51108812"/>
      <w:bookmarkStart w:id="719" w:name="_Toc51019297"/>
      <w:bookmarkStart w:id="720" w:name="_Toc51056064"/>
      <w:bookmarkStart w:id="721" w:name="_Toc51057485"/>
      <w:bookmarkStart w:id="722" w:name="_Toc51058902"/>
      <w:bookmarkStart w:id="723" w:name="_Toc51060318"/>
      <w:bookmarkStart w:id="724" w:name="_Toc51061734"/>
      <w:bookmarkStart w:id="725" w:name="_Toc51063150"/>
      <w:bookmarkStart w:id="726" w:name="_Toc51064583"/>
      <w:bookmarkStart w:id="727" w:name="_Toc51065998"/>
      <w:bookmarkStart w:id="728" w:name="_Toc51068046"/>
      <w:bookmarkStart w:id="729" w:name="_Toc51105062"/>
      <w:bookmarkStart w:id="730" w:name="_Toc51106490"/>
      <w:bookmarkStart w:id="731" w:name="_Toc51108813"/>
      <w:bookmarkStart w:id="732" w:name="_Toc51019298"/>
      <w:bookmarkStart w:id="733" w:name="_Toc51056065"/>
      <w:bookmarkStart w:id="734" w:name="_Toc51057486"/>
      <w:bookmarkStart w:id="735" w:name="_Toc51058903"/>
      <w:bookmarkStart w:id="736" w:name="_Toc51060319"/>
      <w:bookmarkStart w:id="737" w:name="_Toc51061735"/>
      <w:bookmarkStart w:id="738" w:name="_Toc51063151"/>
      <w:bookmarkStart w:id="739" w:name="_Toc51064584"/>
      <w:bookmarkStart w:id="740" w:name="_Toc51065999"/>
      <w:bookmarkStart w:id="741" w:name="_Toc51068047"/>
      <w:bookmarkStart w:id="742" w:name="_Toc51105063"/>
      <w:bookmarkStart w:id="743" w:name="_Toc51106491"/>
      <w:bookmarkStart w:id="744" w:name="_Toc51108814"/>
      <w:bookmarkStart w:id="745" w:name="_Toc51019299"/>
      <w:bookmarkStart w:id="746" w:name="_Toc51056066"/>
      <w:bookmarkStart w:id="747" w:name="_Toc51057487"/>
      <w:bookmarkStart w:id="748" w:name="_Toc51058904"/>
      <w:bookmarkStart w:id="749" w:name="_Toc51060320"/>
      <w:bookmarkStart w:id="750" w:name="_Toc51061736"/>
      <w:bookmarkStart w:id="751" w:name="_Toc51063152"/>
      <w:bookmarkStart w:id="752" w:name="_Toc51064585"/>
      <w:bookmarkStart w:id="753" w:name="_Toc51066000"/>
      <w:bookmarkStart w:id="754" w:name="_Toc51068048"/>
      <w:bookmarkStart w:id="755" w:name="_Toc51105064"/>
      <w:bookmarkStart w:id="756" w:name="_Toc51106492"/>
      <w:bookmarkStart w:id="757" w:name="_Toc51108815"/>
      <w:bookmarkStart w:id="758" w:name="_Toc51019300"/>
      <w:bookmarkStart w:id="759" w:name="_Toc51056067"/>
      <w:bookmarkStart w:id="760" w:name="_Toc51057488"/>
      <w:bookmarkStart w:id="761" w:name="_Toc51058905"/>
      <w:bookmarkStart w:id="762" w:name="_Toc51060321"/>
      <w:bookmarkStart w:id="763" w:name="_Toc51061737"/>
      <w:bookmarkStart w:id="764" w:name="_Toc51063153"/>
      <w:bookmarkStart w:id="765" w:name="_Toc51064586"/>
      <w:bookmarkStart w:id="766" w:name="_Toc51066001"/>
      <w:bookmarkStart w:id="767" w:name="_Toc51068049"/>
      <w:bookmarkStart w:id="768" w:name="_Toc51105065"/>
      <w:bookmarkStart w:id="769" w:name="_Toc51106493"/>
      <w:bookmarkStart w:id="770" w:name="_Toc51108816"/>
      <w:bookmarkStart w:id="771" w:name="_Toc51019302"/>
      <w:bookmarkStart w:id="772" w:name="_Toc51056069"/>
      <w:bookmarkStart w:id="773" w:name="_Toc51057490"/>
      <w:bookmarkStart w:id="774" w:name="_Toc51058907"/>
      <w:bookmarkStart w:id="775" w:name="_Toc51060323"/>
      <w:bookmarkStart w:id="776" w:name="_Toc51061739"/>
      <w:bookmarkStart w:id="777" w:name="_Toc51063155"/>
      <w:bookmarkStart w:id="778" w:name="_Toc51064588"/>
      <w:bookmarkStart w:id="779" w:name="_Toc51066003"/>
      <w:bookmarkStart w:id="780" w:name="_Toc51068051"/>
      <w:bookmarkStart w:id="781" w:name="_Toc51105067"/>
      <w:bookmarkStart w:id="782" w:name="_Toc51106495"/>
      <w:bookmarkStart w:id="783" w:name="_Toc51108818"/>
      <w:bookmarkStart w:id="784" w:name="_Toc51019303"/>
      <w:bookmarkStart w:id="785" w:name="_Toc51056070"/>
      <w:bookmarkStart w:id="786" w:name="_Toc51057491"/>
      <w:bookmarkStart w:id="787" w:name="_Toc51058908"/>
      <w:bookmarkStart w:id="788" w:name="_Toc51060324"/>
      <w:bookmarkStart w:id="789" w:name="_Toc51061740"/>
      <w:bookmarkStart w:id="790" w:name="_Toc51063156"/>
      <w:bookmarkStart w:id="791" w:name="_Toc51064589"/>
      <w:bookmarkStart w:id="792" w:name="_Toc51066004"/>
      <w:bookmarkStart w:id="793" w:name="_Toc51068052"/>
      <w:bookmarkStart w:id="794" w:name="_Toc51105068"/>
      <w:bookmarkStart w:id="795" w:name="_Toc51106496"/>
      <w:bookmarkStart w:id="796" w:name="_Toc51108819"/>
      <w:bookmarkStart w:id="797" w:name="_Toc51019304"/>
      <w:bookmarkStart w:id="798" w:name="_Toc51056071"/>
      <w:bookmarkStart w:id="799" w:name="_Toc51057492"/>
      <w:bookmarkStart w:id="800" w:name="_Toc51058909"/>
      <w:bookmarkStart w:id="801" w:name="_Toc51060325"/>
      <w:bookmarkStart w:id="802" w:name="_Toc51061741"/>
      <w:bookmarkStart w:id="803" w:name="_Toc51063157"/>
      <w:bookmarkStart w:id="804" w:name="_Toc51064590"/>
      <w:bookmarkStart w:id="805" w:name="_Toc51066005"/>
      <w:bookmarkStart w:id="806" w:name="_Toc51068053"/>
      <w:bookmarkStart w:id="807" w:name="_Toc51105069"/>
      <w:bookmarkStart w:id="808" w:name="_Toc51106497"/>
      <w:bookmarkStart w:id="809" w:name="_Toc51108820"/>
      <w:bookmarkStart w:id="810" w:name="_Toc51019306"/>
      <w:bookmarkStart w:id="811" w:name="_Toc51056073"/>
      <w:bookmarkStart w:id="812" w:name="_Toc51057494"/>
      <w:bookmarkStart w:id="813" w:name="_Toc51058911"/>
      <w:bookmarkStart w:id="814" w:name="_Toc51060327"/>
      <w:bookmarkStart w:id="815" w:name="_Toc51061743"/>
      <w:bookmarkStart w:id="816" w:name="_Toc51063159"/>
      <w:bookmarkStart w:id="817" w:name="_Toc51064592"/>
      <w:bookmarkStart w:id="818" w:name="_Toc51066007"/>
      <w:bookmarkStart w:id="819" w:name="_Toc51068055"/>
      <w:bookmarkStart w:id="820" w:name="_Toc51105071"/>
      <w:bookmarkStart w:id="821" w:name="_Toc51106499"/>
      <w:bookmarkStart w:id="822" w:name="_Toc51108822"/>
      <w:bookmarkStart w:id="823" w:name="_Toc51019309"/>
      <w:bookmarkStart w:id="824" w:name="_Toc51056076"/>
      <w:bookmarkStart w:id="825" w:name="_Toc51057497"/>
      <w:bookmarkStart w:id="826" w:name="_Toc51058914"/>
      <w:bookmarkStart w:id="827" w:name="_Toc51060330"/>
      <w:bookmarkStart w:id="828" w:name="_Toc51061746"/>
      <w:bookmarkStart w:id="829" w:name="_Toc51063162"/>
      <w:bookmarkStart w:id="830" w:name="_Toc51064595"/>
      <w:bookmarkStart w:id="831" w:name="_Toc51066010"/>
      <w:bookmarkStart w:id="832" w:name="_Toc51068058"/>
      <w:bookmarkStart w:id="833" w:name="_Toc51105074"/>
      <w:bookmarkStart w:id="834" w:name="_Toc51106502"/>
      <w:bookmarkStart w:id="835" w:name="_Toc51108825"/>
      <w:bookmarkStart w:id="836" w:name="_Toc51019310"/>
      <w:bookmarkStart w:id="837" w:name="_Toc51056077"/>
      <w:bookmarkStart w:id="838" w:name="_Toc51057498"/>
      <w:bookmarkStart w:id="839" w:name="_Toc51058915"/>
      <w:bookmarkStart w:id="840" w:name="_Toc51060331"/>
      <w:bookmarkStart w:id="841" w:name="_Toc51061747"/>
      <w:bookmarkStart w:id="842" w:name="_Toc51063163"/>
      <w:bookmarkStart w:id="843" w:name="_Toc51064596"/>
      <w:bookmarkStart w:id="844" w:name="_Toc51066011"/>
      <w:bookmarkStart w:id="845" w:name="_Toc51068059"/>
      <w:bookmarkStart w:id="846" w:name="_Toc51105075"/>
      <w:bookmarkStart w:id="847" w:name="_Toc51106503"/>
      <w:bookmarkStart w:id="848" w:name="_Toc51108826"/>
      <w:bookmarkStart w:id="849" w:name="_Toc51019311"/>
      <w:bookmarkStart w:id="850" w:name="_Toc51056078"/>
      <w:bookmarkStart w:id="851" w:name="_Toc51057499"/>
      <w:bookmarkStart w:id="852" w:name="_Toc51058916"/>
      <w:bookmarkStart w:id="853" w:name="_Toc51060332"/>
      <w:bookmarkStart w:id="854" w:name="_Toc51061748"/>
      <w:bookmarkStart w:id="855" w:name="_Toc51063164"/>
      <w:bookmarkStart w:id="856" w:name="_Toc51064597"/>
      <w:bookmarkStart w:id="857" w:name="_Toc51066012"/>
      <w:bookmarkStart w:id="858" w:name="_Toc51068060"/>
      <w:bookmarkStart w:id="859" w:name="_Toc51105076"/>
      <w:bookmarkStart w:id="860" w:name="_Toc51106504"/>
      <w:bookmarkStart w:id="861" w:name="_Toc51108827"/>
      <w:bookmarkStart w:id="862" w:name="_Toc51019312"/>
      <w:bookmarkStart w:id="863" w:name="_Toc51056079"/>
      <w:bookmarkStart w:id="864" w:name="_Toc51057500"/>
      <w:bookmarkStart w:id="865" w:name="_Toc51058917"/>
      <w:bookmarkStart w:id="866" w:name="_Toc51060333"/>
      <w:bookmarkStart w:id="867" w:name="_Toc51061749"/>
      <w:bookmarkStart w:id="868" w:name="_Toc51063165"/>
      <w:bookmarkStart w:id="869" w:name="_Toc51064598"/>
      <w:bookmarkStart w:id="870" w:name="_Toc51066013"/>
      <w:bookmarkStart w:id="871" w:name="_Toc51068061"/>
      <w:bookmarkStart w:id="872" w:name="_Toc51105077"/>
      <w:bookmarkStart w:id="873" w:name="_Toc51106505"/>
      <w:bookmarkStart w:id="874" w:name="_Toc51108828"/>
      <w:bookmarkStart w:id="875" w:name="_Toc51019313"/>
      <w:bookmarkStart w:id="876" w:name="_Toc51056080"/>
      <w:bookmarkStart w:id="877" w:name="_Toc51057501"/>
      <w:bookmarkStart w:id="878" w:name="_Toc51058918"/>
      <w:bookmarkStart w:id="879" w:name="_Toc51060334"/>
      <w:bookmarkStart w:id="880" w:name="_Toc51061750"/>
      <w:bookmarkStart w:id="881" w:name="_Toc51063166"/>
      <w:bookmarkStart w:id="882" w:name="_Toc51064599"/>
      <w:bookmarkStart w:id="883" w:name="_Toc51066014"/>
      <w:bookmarkStart w:id="884" w:name="_Toc51068062"/>
      <w:bookmarkStart w:id="885" w:name="_Toc51105078"/>
      <w:bookmarkStart w:id="886" w:name="_Toc51106506"/>
      <w:bookmarkStart w:id="887" w:name="_Toc51108829"/>
      <w:bookmarkStart w:id="888" w:name="_Toc51019328"/>
      <w:bookmarkStart w:id="889" w:name="_Toc51056095"/>
      <w:bookmarkStart w:id="890" w:name="_Toc51057516"/>
      <w:bookmarkStart w:id="891" w:name="_Toc51058933"/>
      <w:bookmarkStart w:id="892" w:name="_Toc51060349"/>
      <w:bookmarkStart w:id="893" w:name="_Toc51061765"/>
      <w:bookmarkStart w:id="894" w:name="_Toc51063181"/>
      <w:bookmarkStart w:id="895" w:name="_Toc51064614"/>
      <w:bookmarkStart w:id="896" w:name="_Toc51066029"/>
      <w:bookmarkStart w:id="897" w:name="_Toc51068077"/>
      <w:bookmarkStart w:id="898" w:name="_Toc51105093"/>
      <w:bookmarkStart w:id="899" w:name="_Toc51106521"/>
      <w:bookmarkStart w:id="900" w:name="_Toc51108844"/>
      <w:bookmarkStart w:id="901" w:name="_Toc51019329"/>
      <w:bookmarkStart w:id="902" w:name="_Toc51056096"/>
      <w:bookmarkStart w:id="903" w:name="_Toc51057517"/>
      <w:bookmarkStart w:id="904" w:name="_Toc51058934"/>
      <w:bookmarkStart w:id="905" w:name="_Toc51060350"/>
      <w:bookmarkStart w:id="906" w:name="_Toc51061766"/>
      <w:bookmarkStart w:id="907" w:name="_Toc51063182"/>
      <w:bookmarkStart w:id="908" w:name="_Toc51064615"/>
      <w:bookmarkStart w:id="909" w:name="_Toc51066030"/>
      <w:bookmarkStart w:id="910" w:name="_Toc51068078"/>
      <w:bookmarkStart w:id="911" w:name="_Toc51105094"/>
      <w:bookmarkStart w:id="912" w:name="_Toc51106522"/>
      <w:bookmarkStart w:id="913" w:name="_Toc51108845"/>
      <w:bookmarkStart w:id="914" w:name="_Toc51019330"/>
      <w:bookmarkStart w:id="915" w:name="_Toc51056097"/>
      <w:bookmarkStart w:id="916" w:name="_Toc51057518"/>
      <w:bookmarkStart w:id="917" w:name="_Toc51058935"/>
      <w:bookmarkStart w:id="918" w:name="_Toc51060351"/>
      <w:bookmarkStart w:id="919" w:name="_Toc51061767"/>
      <w:bookmarkStart w:id="920" w:name="_Toc51063183"/>
      <w:bookmarkStart w:id="921" w:name="_Toc51064616"/>
      <w:bookmarkStart w:id="922" w:name="_Toc51066031"/>
      <w:bookmarkStart w:id="923" w:name="_Toc51068079"/>
      <w:bookmarkStart w:id="924" w:name="_Toc51105095"/>
      <w:bookmarkStart w:id="925" w:name="_Toc51106523"/>
      <w:bookmarkStart w:id="926" w:name="_Toc51108846"/>
      <w:bookmarkStart w:id="927" w:name="_Toc51019331"/>
      <w:bookmarkStart w:id="928" w:name="_Toc51056098"/>
      <w:bookmarkStart w:id="929" w:name="_Toc51057519"/>
      <w:bookmarkStart w:id="930" w:name="_Toc51058936"/>
      <w:bookmarkStart w:id="931" w:name="_Toc51060352"/>
      <w:bookmarkStart w:id="932" w:name="_Toc51061768"/>
      <w:bookmarkStart w:id="933" w:name="_Toc51063184"/>
      <w:bookmarkStart w:id="934" w:name="_Toc51064617"/>
      <w:bookmarkStart w:id="935" w:name="_Toc51066032"/>
      <w:bookmarkStart w:id="936" w:name="_Toc51068080"/>
      <w:bookmarkStart w:id="937" w:name="_Toc51105096"/>
      <w:bookmarkStart w:id="938" w:name="_Toc51106524"/>
      <w:bookmarkStart w:id="939" w:name="_Toc51108847"/>
      <w:bookmarkStart w:id="940" w:name="_Toc51019332"/>
      <w:bookmarkStart w:id="941" w:name="_Toc51056099"/>
      <w:bookmarkStart w:id="942" w:name="_Toc51057520"/>
      <w:bookmarkStart w:id="943" w:name="_Toc51058937"/>
      <w:bookmarkStart w:id="944" w:name="_Toc51060353"/>
      <w:bookmarkStart w:id="945" w:name="_Toc51061769"/>
      <w:bookmarkStart w:id="946" w:name="_Toc51063185"/>
      <w:bookmarkStart w:id="947" w:name="_Toc51064618"/>
      <w:bookmarkStart w:id="948" w:name="_Toc51066033"/>
      <w:bookmarkStart w:id="949" w:name="_Toc51068081"/>
      <w:bookmarkStart w:id="950" w:name="_Toc51105097"/>
      <w:bookmarkStart w:id="951" w:name="_Toc51106525"/>
      <w:bookmarkStart w:id="952" w:name="_Toc51108848"/>
      <w:bookmarkStart w:id="953" w:name="_Toc51019333"/>
      <w:bookmarkStart w:id="954" w:name="_Toc51056100"/>
      <w:bookmarkStart w:id="955" w:name="_Toc51057521"/>
      <w:bookmarkStart w:id="956" w:name="_Toc51058938"/>
      <w:bookmarkStart w:id="957" w:name="_Toc51060354"/>
      <w:bookmarkStart w:id="958" w:name="_Toc51061770"/>
      <w:bookmarkStart w:id="959" w:name="_Toc51063186"/>
      <w:bookmarkStart w:id="960" w:name="_Toc51064619"/>
      <w:bookmarkStart w:id="961" w:name="_Toc51066034"/>
      <w:bookmarkStart w:id="962" w:name="_Toc51068082"/>
      <w:bookmarkStart w:id="963" w:name="_Toc51105098"/>
      <w:bookmarkStart w:id="964" w:name="_Toc51106526"/>
      <w:bookmarkStart w:id="965" w:name="_Toc51108849"/>
      <w:bookmarkStart w:id="966" w:name="_Toc51019334"/>
      <w:bookmarkStart w:id="967" w:name="_Toc51056101"/>
      <w:bookmarkStart w:id="968" w:name="_Toc51057522"/>
      <w:bookmarkStart w:id="969" w:name="_Toc51058939"/>
      <w:bookmarkStart w:id="970" w:name="_Toc51060355"/>
      <w:bookmarkStart w:id="971" w:name="_Toc51061771"/>
      <w:bookmarkStart w:id="972" w:name="_Toc51063187"/>
      <w:bookmarkStart w:id="973" w:name="_Toc51064620"/>
      <w:bookmarkStart w:id="974" w:name="_Toc51066035"/>
      <w:bookmarkStart w:id="975" w:name="_Toc51068083"/>
      <w:bookmarkStart w:id="976" w:name="_Toc51105099"/>
      <w:bookmarkStart w:id="977" w:name="_Toc51106527"/>
      <w:bookmarkStart w:id="978" w:name="_Toc51108850"/>
      <w:bookmarkStart w:id="979" w:name="_Toc51019336"/>
      <w:bookmarkStart w:id="980" w:name="_Toc51056103"/>
      <w:bookmarkStart w:id="981" w:name="_Toc51057524"/>
      <w:bookmarkStart w:id="982" w:name="_Toc51058941"/>
      <w:bookmarkStart w:id="983" w:name="_Toc51060357"/>
      <w:bookmarkStart w:id="984" w:name="_Toc51061773"/>
      <w:bookmarkStart w:id="985" w:name="_Toc51063189"/>
      <w:bookmarkStart w:id="986" w:name="_Toc51064622"/>
      <w:bookmarkStart w:id="987" w:name="_Toc51066037"/>
      <w:bookmarkStart w:id="988" w:name="_Toc51068085"/>
      <w:bookmarkStart w:id="989" w:name="_Toc51105101"/>
      <w:bookmarkStart w:id="990" w:name="_Toc51106529"/>
      <w:bookmarkStart w:id="991" w:name="_Toc51108852"/>
      <w:bookmarkStart w:id="992" w:name="_Toc51019337"/>
      <w:bookmarkStart w:id="993" w:name="_Toc51056104"/>
      <w:bookmarkStart w:id="994" w:name="_Toc51057525"/>
      <w:bookmarkStart w:id="995" w:name="_Toc51058942"/>
      <w:bookmarkStart w:id="996" w:name="_Toc51060358"/>
      <w:bookmarkStart w:id="997" w:name="_Toc51061774"/>
      <w:bookmarkStart w:id="998" w:name="_Toc51063190"/>
      <w:bookmarkStart w:id="999" w:name="_Toc51064623"/>
      <w:bookmarkStart w:id="1000" w:name="_Toc51066038"/>
      <w:bookmarkStart w:id="1001" w:name="_Toc51068086"/>
      <w:bookmarkStart w:id="1002" w:name="_Toc51105102"/>
      <w:bookmarkStart w:id="1003" w:name="_Toc51106530"/>
      <w:bookmarkStart w:id="1004" w:name="_Toc51108853"/>
      <w:bookmarkStart w:id="1005" w:name="_Toc31673149"/>
      <w:bookmarkStart w:id="1006" w:name="_Toc31673988"/>
      <w:bookmarkStart w:id="1007" w:name="_Toc31674830"/>
      <w:bookmarkStart w:id="1008" w:name="_Toc31673150"/>
      <w:bookmarkStart w:id="1009" w:name="_Toc31673989"/>
      <w:bookmarkStart w:id="1010" w:name="_Toc31674831"/>
      <w:bookmarkStart w:id="1011" w:name="_Toc51019338"/>
      <w:bookmarkStart w:id="1012" w:name="_Toc51056105"/>
      <w:bookmarkStart w:id="1013" w:name="_Toc51057526"/>
      <w:bookmarkStart w:id="1014" w:name="_Toc51058943"/>
      <w:bookmarkStart w:id="1015" w:name="_Toc51060359"/>
      <w:bookmarkStart w:id="1016" w:name="_Toc51061775"/>
      <w:bookmarkStart w:id="1017" w:name="_Toc51063191"/>
      <w:bookmarkStart w:id="1018" w:name="_Toc51064624"/>
      <w:bookmarkStart w:id="1019" w:name="_Toc51066039"/>
      <w:bookmarkStart w:id="1020" w:name="_Toc51068087"/>
      <w:bookmarkStart w:id="1021" w:name="_Toc51105103"/>
      <w:bookmarkStart w:id="1022" w:name="_Toc51106531"/>
      <w:bookmarkStart w:id="1023" w:name="_Toc51108854"/>
      <w:bookmarkStart w:id="1024" w:name="_Toc51019339"/>
      <w:bookmarkStart w:id="1025" w:name="_Toc51056106"/>
      <w:bookmarkStart w:id="1026" w:name="_Toc51057527"/>
      <w:bookmarkStart w:id="1027" w:name="_Toc51058944"/>
      <w:bookmarkStart w:id="1028" w:name="_Toc51060360"/>
      <w:bookmarkStart w:id="1029" w:name="_Toc51061776"/>
      <w:bookmarkStart w:id="1030" w:name="_Toc51063192"/>
      <w:bookmarkStart w:id="1031" w:name="_Toc51064625"/>
      <w:bookmarkStart w:id="1032" w:name="_Toc51066040"/>
      <w:bookmarkStart w:id="1033" w:name="_Toc51068088"/>
      <w:bookmarkStart w:id="1034" w:name="_Toc51105104"/>
      <w:bookmarkStart w:id="1035" w:name="_Toc51106532"/>
      <w:bookmarkStart w:id="1036" w:name="_Toc51108855"/>
      <w:bookmarkStart w:id="1037" w:name="_Toc51019341"/>
      <w:bookmarkStart w:id="1038" w:name="_Toc51056108"/>
      <w:bookmarkStart w:id="1039" w:name="_Toc51057529"/>
      <w:bookmarkStart w:id="1040" w:name="_Toc51058946"/>
      <w:bookmarkStart w:id="1041" w:name="_Toc51060362"/>
      <w:bookmarkStart w:id="1042" w:name="_Toc51061778"/>
      <w:bookmarkStart w:id="1043" w:name="_Toc51063194"/>
      <w:bookmarkStart w:id="1044" w:name="_Toc51064627"/>
      <w:bookmarkStart w:id="1045" w:name="_Toc51066042"/>
      <w:bookmarkStart w:id="1046" w:name="_Toc51068090"/>
      <w:bookmarkStart w:id="1047" w:name="_Toc51105106"/>
      <w:bookmarkStart w:id="1048" w:name="_Toc51106534"/>
      <w:bookmarkStart w:id="1049" w:name="_Toc51108857"/>
      <w:bookmarkStart w:id="1050" w:name="_Toc51019343"/>
      <w:bookmarkStart w:id="1051" w:name="_Toc51056110"/>
      <w:bookmarkStart w:id="1052" w:name="_Toc51057531"/>
      <w:bookmarkStart w:id="1053" w:name="_Toc51058948"/>
      <w:bookmarkStart w:id="1054" w:name="_Toc51060364"/>
      <w:bookmarkStart w:id="1055" w:name="_Toc51061780"/>
      <w:bookmarkStart w:id="1056" w:name="_Toc51063196"/>
      <w:bookmarkStart w:id="1057" w:name="_Toc51064629"/>
      <w:bookmarkStart w:id="1058" w:name="_Toc51066044"/>
      <w:bookmarkStart w:id="1059" w:name="_Toc51068092"/>
      <w:bookmarkStart w:id="1060" w:name="_Toc51105108"/>
      <w:bookmarkStart w:id="1061" w:name="_Toc51106536"/>
      <w:bookmarkStart w:id="1062" w:name="_Toc51108859"/>
      <w:bookmarkStart w:id="1063" w:name="_Toc51019345"/>
      <w:bookmarkStart w:id="1064" w:name="_Toc51056112"/>
      <w:bookmarkStart w:id="1065" w:name="_Toc51057533"/>
      <w:bookmarkStart w:id="1066" w:name="_Toc51058950"/>
      <w:bookmarkStart w:id="1067" w:name="_Toc51060366"/>
      <w:bookmarkStart w:id="1068" w:name="_Toc51061782"/>
      <w:bookmarkStart w:id="1069" w:name="_Toc51063198"/>
      <w:bookmarkStart w:id="1070" w:name="_Toc51064631"/>
      <w:bookmarkStart w:id="1071" w:name="_Toc51066046"/>
      <w:bookmarkStart w:id="1072" w:name="_Toc51068094"/>
      <w:bookmarkStart w:id="1073" w:name="_Toc51105110"/>
      <w:bookmarkStart w:id="1074" w:name="_Toc51106538"/>
      <w:bookmarkStart w:id="1075" w:name="_Toc51108861"/>
      <w:bookmarkStart w:id="1076" w:name="_Toc51019347"/>
      <w:bookmarkStart w:id="1077" w:name="_Toc51056114"/>
      <w:bookmarkStart w:id="1078" w:name="_Toc51057535"/>
      <w:bookmarkStart w:id="1079" w:name="_Toc51058952"/>
      <w:bookmarkStart w:id="1080" w:name="_Toc51060368"/>
      <w:bookmarkStart w:id="1081" w:name="_Toc51061784"/>
      <w:bookmarkStart w:id="1082" w:name="_Toc51063200"/>
      <w:bookmarkStart w:id="1083" w:name="_Toc51064633"/>
      <w:bookmarkStart w:id="1084" w:name="_Toc51066048"/>
      <w:bookmarkStart w:id="1085" w:name="_Toc51068096"/>
      <w:bookmarkStart w:id="1086" w:name="_Toc51105112"/>
      <w:bookmarkStart w:id="1087" w:name="_Toc51106540"/>
      <w:bookmarkStart w:id="1088" w:name="_Toc51108863"/>
      <w:bookmarkStart w:id="1089" w:name="_Toc51019348"/>
      <w:bookmarkStart w:id="1090" w:name="_Toc51056115"/>
      <w:bookmarkStart w:id="1091" w:name="_Toc51057536"/>
      <w:bookmarkStart w:id="1092" w:name="_Toc51058953"/>
      <w:bookmarkStart w:id="1093" w:name="_Toc51060369"/>
      <w:bookmarkStart w:id="1094" w:name="_Toc51061785"/>
      <w:bookmarkStart w:id="1095" w:name="_Toc51063201"/>
      <w:bookmarkStart w:id="1096" w:name="_Toc51064634"/>
      <w:bookmarkStart w:id="1097" w:name="_Toc51066049"/>
      <w:bookmarkStart w:id="1098" w:name="_Toc51068097"/>
      <w:bookmarkStart w:id="1099" w:name="_Toc51105113"/>
      <w:bookmarkStart w:id="1100" w:name="_Toc51106541"/>
      <w:bookmarkStart w:id="1101" w:name="_Toc51108864"/>
      <w:bookmarkStart w:id="1102" w:name="_Toc51019349"/>
      <w:bookmarkStart w:id="1103" w:name="_Toc51056116"/>
      <w:bookmarkStart w:id="1104" w:name="_Toc51057537"/>
      <w:bookmarkStart w:id="1105" w:name="_Toc51058954"/>
      <w:bookmarkStart w:id="1106" w:name="_Toc51060370"/>
      <w:bookmarkStart w:id="1107" w:name="_Toc51061786"/>
      <w:bookmarkStart w:id="1108" w:name="_Toc51063202"/>
      <w:bookmarkStart w:id="1109" w:name="_Toc51064635"/>
      <w:bookmarkStart w:id="1110" w:name="_Toc51066050"/>
      <w:bookmarkStart w:id="1111" w:name="_Toc51068098"/>
      <w:bookmarkStart w:id="1112" w:name="_Toc51105114"/>
      <w:bookmarkStart w:id="1113" w:name="_Toc51106542"/>
      <w:bookmarkStart w:id="1114" w:name="_Toc51108865"/>
      <w:bookmarkStart w:id="1115" w:name="_Toc51019350"/>
      <w:bookmarkStart w:id="1116" w:name="_Toc51056117"/>
      <w:bookmarkStart w:id="1117" w:name="_Toc51057538"/>
      <w:bookmarkStart w:id="1118" w:name="_Toc51058955"/>
      <w:bookmarkStart w:id="1119" w:name="_Toc51060371"/>
      <w:bookmarkStart w:id="1120" w:name="_Toc51061787"/>
      <w:bookmarkStart w:id="1121" w:name="_Toc51063203"/>
      <w:bookmarkStart w:id="1122" w:name="_Toc51064636"/>
      <w:bookmarkStart w:id="1123" w:name="_Toc51066051"/>
      <w:bookmarkStart w:id="1124" w:name="_Toc51068099"/>
      <w:bookmarkStart w:id="1125" w:name="_Toc51105115"/>
      <w:bookmarkStart w:id="1126" w:name="_Toc51106543"/>
      <w:bookmarkStart w:id="1127" w:name="_Toc51108866"/>
      <w:bookmarkStart w:id="1128" w:name="_Toc51019351"/>
      <w:bookmarkStart w:id="1129" w:name="_Toc51056118"/>
      <w:bookmarkStart w:id="1130" w:name="_Toc51057539"/>
      <w:bookmarkStart w:id="1131" w:name="_Toc51058956"/>
      <w:bookmarkStart w:id="1132" w:name="_Toc51060372"/>
      <w:bookmarkStart w:id="1133" w:name="_Toc51061788"/>
      <w:bookmarkStart w:id="1134" w:name="_Toc51063204"/>
      <w:bookmarkStart w:id="1135" w:name="_Toc51064637"/>
      <w:bookmarkStart w:id="1136" w:name="_Toc51066052"/>
      <w:bookmarkStart w:id="1137" w:name="_Toc51068100"/>
      <w:bookmarkStart w:id="1138" w:name="_Toc51105116"/>
      <w:bookmarkStart w:id="1139" w:name="_Toc51106544"/>
      <w:bookmarkStart w:id="1140" w:name="_Toc51108867"/>
      <w:bookmarkStart w:id="1141" w:name="_Toc51019352"/>
      <w:bookmarkStart w:id="1142" w:name="_Toc51056119"/>
      <w:bookmarkStart w:id="1143" w:name="_Toc51057540"/>
      <w:bookmarkStart w:id="1144" w:name="_Toc51058957"/>
      <w:bookmarkStart w:id="1145" w:name="_Toc51060373"/>
      <w:bookmarkStart w:id="1146" w:name="_Toc51061789"/>
      <w:bookmarkStart w:id="1147" w:name="_Toc51063205"/>
      <w:bookmarkStart w:id="1148" w:name="_Toc51064638"/>
      <w:bookmarkStart w:id="1149" w:name="_Toc51066053"/>
      <w:bookmarkStart w:id="1150" w:name="_Toc51068101"/>
      <w:bookmarkStart w:id="1151" w:name="_Toc51105117"/>
      <w:bookmarkStart w:id="1152" w:name="_Toc51106545"/>
      <w:bookmarkStart w:id="1153" w:name="_Toc51108868"/>
      <w:bookmarkStart w:id="1154" w:name="_Toc51019353"/>
      <w:bookmarkStart w:id="1155" w:name="_Toc51056120"/>
      <w:bookmarkStart w:id="1156" w:name="_Toc51057541"/>
      <w:bookmarkStart w:id="1157" w:name="_Toc51058958"/>
      <w:bookmarkStart w:id="1158" w:name="_Toc51060374"/>
      <w:bookmarkStart w:id="1159" w:name="_Toc51061790"/>
      <w:bookmarkStart w:id="1160" w:name="_Toc51063206"/>
      <w:bookmarkStart w:id="1161" w:name="_Toc51064639"/>
      <w:bookmarkStart w:id="1162" w:name="_Toc51066054"/>
      <w:bookmarkStart w:id="1163" w:name="_Toc51068102"/>
      <w:bookmarkStart w:id="1164" w:name="_Toc51105118"/>
      <w:bookmarkStart w:id="1165" w:name="_Toc51106546"/>
      <w:bookmarkStart w:id="1166" w:name="_Toc51108869"/>
      <w:bookmarkStart w:id="1167" w:name="_Toc51019354"/>
      <w:bookmarkStart w:id="1168" w:name="_Toc51056121"/>
      <w:bookmarkStart w:id="1169" w:name="_Toc51057542"/>
      <w:bookmarkStart w:id="1170" w:name="_Toc51058959"/>
      <w:bookmarkStart w:id="1171" w:name="_Toc51060375"/>
      <w:bookmarkStart w:id="1172" w:name="_Toc51061791"/>
      <w:bookmarkStart w:id="1173" w:name="_Toc51063207"/>
      <w:bookmarkStart w:id="1174" w:name="_Toc51064640"/>
      <w:bookmarkStart w:id="1175" w:name="_Toc51066055"/>
      <w:bookmarkStart w:id="1176" w:name="_Toc51068103"/>
      <w:bookmarkStart w:id="1177" w:name="_Toc51105119"/>
      <w:bookmarkStart w:id="1178" w:name="_Toc51106547"/>
      <w:bookmarkStart w:id="1179" w:name="_Toc51108870"/>
      <w:bookmarkStart w:id="1180" w:name="_Toc51019356"/>
      <w:bookmarkStart w:id="1181" w:name="_Toc51056123"/>
      <w:bookmarkStart w:id="1182" w:name="_Toc51057544"/>
      <w:bookmarkStart w:id="1183" w:name="_Toc51058961"/>
      <w:bookmarkStart w:id="1184" w:name="_Toc51060377"/>
      <w:bookmarkStart w:id="1185" w:name="_Toc51061793"/>
      <w:bookmarkStart w:id="1186" w:name="_Toc51063209"/>
      <w:bookmarkStart w:id="1187" w:name="_Toc51064642"/>
      <w:bookmarkStart w:id="1188" w:name="_Toc51066057"/>
      <w:bookmarkStart w:id="1189" w:name="_Toc51068105"/>
      <w:bookmarkStart w:id="1190" w:name="_Toc51105121"/>
      <w:bookmarkStart w:id="1191" w:name="_Toc51106549"/>
      <w:bookmarkStart w:id="1192" w:name="_Toc51108872"/>
      <w:bookmarkStart w:id="1193" w:name="_Toc51019357"/>
      <w:bookmarkStart w:id="1194" w:name="_Toc51056124"/>
      <w:bookmarkStart w:id="1195" w:name="_Toc51057545"/>
      <w:bookmarkStart w:id="1196" w:name="_Toc51058962"/>
      <w:bookmarkStart w:id="1197" w:name="_Toc51060378"/>
      <w:bookmarkStart w:id="1198" w:name="_Toc51061794"/>
      <w:bookmarkStart w:id="1199" w:name="_Toc51063210"/>
      <w:bookmarkStart w:id="1200" w:name="_Toc51064643"/>
      <w:bookmarkStart w:id="1201" w:name="_Toc51066058"/>
      <w:bookmarkStart w:id="1202" w:name="_Toc51068106"/>
      <w:bookmarkStart w:id="1203" w:name="_Toc51105122"/>
      <w:bookmarkStart w:id="1204" w:name="_Toc51106550"/>
      <w:bookmarkStart w:id="1205" w:name="_Toc51108873"/>
      <w:bookmarkStart w:id="1206" w:name="_Toc51019358"/>
      <w:bookmarkStart w:id="1207" w:name="_Toc51056125"/>
      <w:bookmarkStart w:id="1208" w:name="_Toc51057546"/>
      <w:bookmarkStart w:id="1209" w:name="_Toc51058963"/>
      <w:bookmarkStart w:id="1210" w:name="_Toc51060379"/>
      <w:bookmarkStart w:id="1211" w:name="_Toc51061795"/>
      <w:bookmarkStart w:id="1212" w:name="_Toc51063211"/>
      <w:bookmarkStart w:id="1213" w:name="_Toc51064644"/>
      <w:bookmarkStart w:id="1214" w:name="_Toc51066059"/>
      <w:bookmarkStart w:id="1215" w:name="_Toc51068107"/>
      <w:bookmarkStart w:id="1216" w:name="_Toc51105123"/>
      <w:bookmarkStart w:id="1217" w:name="_Toc51106551"/>
      <w:bookmarkStart w:id="1218" w:name="_Toc51108874"/>
      <w:bookmarkStart w:id="1219" w:name="_Toc51019359"/>
      <w:bookmarkStart w:id="1220" w:name="_Toc51056126"/>
      <w:bookmarkStart w:id="1221" w:name="_Toc51057547"/>
      <w:bookmarkStart w:id="1222" w:name="_Toc51058964"/>
      <w:bookmarkStart w:id="1223" w:name="_Toc51060380"/>
      <w:bookmarkStart w:id="1224" w:name="_Toc51061796"/>
      <w:bookmarkStart w:id="1225" w:name="_Toc51063212"/>
      <w:bookmarkStart w:id="1226" w:name="_Toc51064645"/>
      <w:bookmarkStart w:id="1227" w:name="_Toc51066060"/>
      <w:bookmarkStart w:id="1228" w:name="_Toc51068108"/>
      <w:bookmarkStart w:id="1229" w:name="_Toc51105124"/>
      <w:bookmarkStart w:id="1230" w:name="_Toc51106552"/>
      <w:bookmarkStart w:id="1231" w:name="_Toc51108875"/>
      <w:bookmarkStart w:id="1232" w:name="_Toc51019360"/>
      <w:bookmarkStart w:id="1233" w:name="_Toc51056127"/>
      <w:bookmarkStart w:id="1234" w:name="_Toc51057548"/>
      <w:bookmarkStart w:id="1235" w:name="_Toc51058965"/>
      <w:bookmarkStart w:id="1236" w:name="_Toc51060381"/>
      <w:bookmarkStart w:id="1237" w:name="_Toc51061797"/>
      <w:bookmarkStart w:id="1238" w:name="_Toc51063213"/>
      <w:bookmarkStart w:id="1239" w:name="_Toc51064646"/>
      <w:bookmarkStart w:id="1240" w:name="_Toc51066061"/>
      <w:bookmarkStart w:id="1241" w:name="_Toc51068109"/>
      <w:bookmarkStart w:id="1242" w:name="_Toc51105125"/>
      <w:bookmarkStart w:id="1243" w:name="_Toc51106553"/>
      <w:bookmarkStart w:id="1244" w:name="_Toc51108876"/>
      <w:bookmarkStart w:id="1245" w:name="_Toc51019361"/>
      <w:bookmarkStart w:id="1246" w:name="_Toc51056128"/>
      <w:bookmarkStart w:id="1247" w:name="_Toc51057549"/>
      <w:bookmarkStart w:id="1248" w:name="_Toc51058966"/>
      <w:bookmarkStart w:id="1249" w:name="_Toc51060382"/>
      <w:bookmarkStart w:id="1250" w:name="_Toc51061798"/>
      <w:bookmarkStart w:id="1251" w:name="_Toc51063214"/>
      <w:bookmarkStart w:id="1252" w:name="_Toc51064647"/>
      <w:bookmarkStart w:id="1253" w:name="_Toc51066062"/>
      <w:bookmarkStart w:id="1254" w:name="_Toc51068110"/>
      <w:bookmarkStart w:id="1255" w:name="_Toc51105126"/>
      <w:bookmarkStart w:id="1256" w:name="_Toc51106554"/>
      <w:bookmarkStart w:id="1257" w:name="_Toc51108877"/>
      <w:bookmarkStart w:id="1258" w:name="_Toc51019362"/>
      <w:bookmarkStart w:id="1259" w:name="_Toc51056129"/>
      <w:bookmarkStart w:id="1260" w:name="_Toc51057550"/>
      <w:bookmarkStart w:id="1261" w:name="_Toc51058967"/>
      <w:bookmarkStart w:id="1262" w:name="_Toc51060383"/>
      <w:bookmarkStart w:id="1263" w:name="_Toc51061799"/>
      <w:bookmarkStart w:id="1264" w:name="_Toc51063215"/>
      <w:bookmarkStart w:id="1265" w:name="_Toc51064648"/>
      <w:bookmarkStart w:id="1266" w:name="_Toc51066063"/>
      <w:bookmarkStart w:id="1267" w:name="_Toc51068111"/>
      <w:bookmarkStart w:id="1268" w:name="_Toc51105127"/>
      <w:bookmarkStart w:id="1269" w:name="_Toc51106555"/>
      <w:bookmarkStart w:id="1270" w:name="_Toc51108878"/>
      <w:bookmarkStart w:id="1271" w:name="_Toc51019364"/>
      <w:bookmarkStart w:id="1272" w:name="_Toc51056131"/>
      <w:bookmarkStart w:id="1273" w:name="_Toc51057552"/>
      <w:bookmarkStart w:id="1274" w:name="_Toc51058969"/>
      <w:bookmarkStart w:id="1275" w:name="_Toc51060385"/>
      <w:bookmarkStart w:id="1276" w:name="_Toc51061801"/>
      <w:bookmarkStart w:id="1277" w:name="_Toc51063217"/>
      <w:bookmarkStart w:id="1278" w:name="_Toc51064650"/>
      <w:bookmarkStart w:id="1279" w:name="_Toc51066065"/>
      <w:bookmarkStart w:id="1280" w:name="_Toc51068113"/>
      <w:bookmarkStart w:id="1281" w:name="_Toc51105129"/>
      <w:bookmarkStart w:id="1282" w:name="_Toc51106557"/>
      <w:bookmarkStart w:id="1283" w:name="_Toc51108880"/>
      <w:bookmarkStart w:id="1284" w:name="_Toc51019366"/>
      <w:bookmarkStart w:id="1285" w:name="_Toc51056133"/>
      <w:bookmarkStart w:id="1286" w:name="_Toc51057554"/>
      <w:bookmarkStart w:id="1287" w:name="_Toc51058971"/>
      <w:bookmarkStart w:id="1288" w:name="_Toc51060387"/>
      <w:bookmarkStart w:id="1289" w:name="_Toc51061803"/>
      <w:bookmarkStart w:id="1290" w:name="_Toc51063219"/>
      <w:bookmarkStart w:id="1291" w:name="_Toc51064652"/>
      <w:bookmarkStart w:id="1292" w:name="_Toc51066067"/>
      <w:bookmarkStart w:id="1293" w:name="_Toc51068115"/>
      <w:bookmarkStart w:id="1294" w:name="_Toc51105131"/>
      <w:bookmarkStart w:id="1295" w:name="_Toc51106559"/>
      <w:bookmarkStart w:id="1296" w:name="_Toc51108882"/>
      <w:bookmarkStart w:id="1297" w:name="_Toc51019367"/>
      <w:bookmarkStart w:id="1298" w:name="_Toc51056134"/>
      <w:bookmarkStart w:id="1299" w:name="_Toc51057555"/>
      <w:bookmarkStart w:id="1300" w:name="_Toc51058972"/>
      <w:bookmarkStart w:id="1301" w:name="_Toc51060388"/>
      <w:bookmarkStart w:id="1302" w:name="_Toc51061804"/>
      <w:bookmarkStart w:id="1303" w:name="_Toc51063220"/>
      <w:bookmarkStart w:id="1304" w:name="_Toc51064653"/>
      <w:bookmarkStart w:id="1305" w:name="_Toc51066068"/>
      <w:bookmarkStart w:id="1306" w:name="_Toc51068116"/>
      <w:bookmarkStart w:id="1307" w:name="_Toc51105132"/>
      <w:bookmarkStart w:id="1308" w:name="_Toc51106560"/>
      <w:bookmarkStart w:id="1309" w:name="_Toc51108883"/>
      <w:bookmarkStart w:id="1310" w:name="_Toc51019368"/>
      <w:bookmarkStart w:id="1311" w:name="_Toc51056135"/>
      <w:bookmarkStart w:id="1312" w:name="_Toc51057556"/>
      <w:bookmarkStart w:id="1313" w:name="_Toc51058973"/>
      <w:bookmarkStart w:id="1314" w:name="_Toc51060389"/>
      <w:bookmarkStart w:id="1315" w:name="_Toc51061805"/>
      <w:bookmarkStart w:id="1316" w:name="_Toc51063221"/>
      <w:bookmarkStart w:id="1317" w:name="_Toc51064654"/>
      <w:bookmarkStart w:id="1318" w:name="_Toc51066069"/>
      <w:bookmarkStart w:id="1319" w:name="_Toc51068117"/>
      <w:bookmarkStart w:id="1320" w:name="_Toc51105133"/>
      <w:bookmarkStart w:id="1321" w:name="_Toc51106561"/>
      <w:bookmarkStart w:id="1322" w:name="_Toc51108884"/>
      <w:bookmarkStart w:id="1323" w:name="_Toc51019369"/>
      <w:bookmarkStart w:id="1324" w:name="_Toc51056136"/>
      <w:bookmarkStart w:id="1325" w:name="_Toc51057557"/>
      <w:bookmarkStart w:id="1326" w:name="_Toc51058974"/>
      <w:bookmarkStart w:id="1327" w:name="_Toc51060390"/>
      <w:bookmarkStart w:id="1328" w:name="_Toc51061806"/>
      <w:bookmarkStart w:id="1329" w:name="_Toc51063222"/>
      <w:bookmarkStart w:id="1330" w:name="_Toc51064655"/>
      <w:bookmarkStart w:id="1331" w:name="_Toc51066070"/>
      <w:bookmarkStart w:id="1332" w:name="_Toc51068118"/>
      <w:bookmarkStart w:id="1333" w:name="_Toc51105134"/>
      <w:bookmarkStart w:id="1334" w:name="_Toc51106562"/>
      <w:bookmarkStart w:id="1335" w:name="_Toc51108885"/>
      <w:bookmarkStart w:id="1336" w:name="_Toc51019370"/>
      <w:bookmarkStart w:id="1337" w:name="_Toc51056137"/>
      <w:bookmarkStart w:id="1338" w:name="_Toc51057558"/>
      <w:bookmarkStart w:id="1339" w:name="_Toc51058975"/>
      <w:bookmarkStart w:id="1340" w:name="_Toc51060391"/>
      <w:bookmarkStart w:id="1341" w:name="_Toc51061807"/>
      <w:bookmarkStart w:id="1342" w:name="_Toc51063223"/>
      <w:bookmarkStart w:id="1343" w:name="_Toc51064656"/>
      <w:bookmarkStart w:id="1344" w:name="_Toc51066071"/>
      <w:bookmarkStart w:id="1345" w:name="_Toc51068119"/>
      <w:bookmarkStart w:id="1346" w:name="_Toc51105135"/>
      <w:bookmarkStart w:id="1347" w:name="_Toc51106563"/>
      <w:bookmarkStart w:id="1348" w:name="_Toc51108886"/>
      <w:bookmarkStart w:id="1349" w:name="_Toc51019371"/>
      <w:bookmarkStart w:id="1350" w:name="_Toc51056138"/>
      <w:bookmarkStart w:id="1351" w:name="_Toc51057559"/>
      <w:bookmarkStart w:id="1352" w:name="_Toc51058976"/>
      <w:bookmarkStart w:id="1353" w:name="_Toc51060392"/>
      <w:bookmarkStart w:id="1354" w:name="_Toc51061808"/>
      <w:bookmarkStart w:id="1355" w:name="_Toc51063224"/>
      <w:bookmarkStart w:id="1356" w:name="_Toc51064657"/>
      <w:bookmarkStart w:id="1357" w:name="_Toc51066072"/>
      <w:bookmarkStart w:id="1358" w:name="_Toc51068120"/>
      <w:bookmarkStart w:id="1359" w:name="_Toc51105136"/>
      <w:bookmarkStart w:id="1360" w:name="_Toc51106564"/>
      <w:bookmarkStart w:id="1361" w:name="_Toc51108887"/>
      <w:bookmarkStart w:id="1362" w:name="_Toc51019372"/>
      <w:bookmarkStart w:id="1363" w:name="_Toc51056139"/>
      <w:bookmarkStart w:id="1364" w:name="_Toc51057560"/>
      <w:bookmarkStart w:id="1365" w:name="_Toc51058977"/>
      <w:bookmarkStart w:id="1366" w:name="_Toc51060393"/>
      <w:bookmarkStart w:id="1367" w:name="_Toc51061809"/>
      <w:bookmarkStart w:id="1368" w:name="_Toc51063225"/>
      <w:bookmarkStart w:id="1369" w:name="_Toc51064658"/>
      <w:bookmarkStart w:id="1370" w:name="_Toc51066073"/>
      <w:bookmarkStart w:id="1371" w:name="_Toc51068121"/>
      <w:bookmarkStart w:id="1372" w:name="_Toc51105137"/>
      <w:bookmarkStart w:id="1373" w:name="_Toc51106565"/>
      <w:bookmarkStart w:id="1374" w:name="_Toc51108888"/>
      <w:bookmarkStart w:id="1375" w:name="_Toc51019373"/>
      <w:bookmarkStart w:id="1376" w:name="_Toc51056140"/>
      <w:bookmarkStart w:id="1377" w:name="_Toc51057561"/>
      <w:bookmarkStart w:id="1378" w:name="_Toc51058978"/>
      <w:bookmarkStart w:id="1379" w:name="_Toc51060394"/>
      <w:bookmarkStart w:id="1380" w:name="_Toc51061810"/>
      <w:bookmarkStart w:id="1381" w:name="_Toc51063226"/>
      <w:bookmarkStart w:id="1382" w:name="_Toc51064659"/>
      <w:bookmarkStart w:id="1383" w:name="_Toc51066074"/>
      <w:bookmarkStart w:id="1384" w:name="_Toc51068122"/>
      <w:bookmarkStart w:id="1385" w:name="_Toc51105138"/>
      <w:bookmarkStart w:id="1386" w:name="_Toc51106566"/>
      <w:bookmarkStart w:id="1387" w:name="_Toc51108889"/>
      <w:bookmarkStart w:id="1388" w:name="_Toc51019374"/>
      <w:bookmarkStart w:id="1389" w:name="_Toc51056141"/>
      <w:bookmarkStart w:id="1390" w:name="_Toc51057562"/>
      <w:bookmarkStart w:id="1391" w:name="_Toc51058979"/>
      <w:bookmarkStart w:id="1392" w:name="_Toc51060395"/>
      <w:bookmarkStart w:id="1393" w:name="_Toc51061811"/>
      <w:bookmarkStart w:id="1394" w:name="_Toc51063227"/>
      <w:bookmarkStart w:id="1395" w:name="_Toc51064660"/>
      <w:bookmarkStart w:id="1396" w:name="_Toc51066075"/>
      <w:bookmarkStart w:id="1397" w:name="_Toc51068123"/>
      <w:bookmarkStart w:id="1398" w:name="_Toc51105139"/>
      <w:bookmarkStart w:id="1399" w:name="_Toc51106567"/>
      <w:bookmarkStart w:id="1400" w:name="_Toc51108890"/>
      <w:bookmarkStart w:id="1401" w:name="_Toc51019376"/>
      <w:bookmarkStart w:id="1402" w:name="_Toc51056143"/>
      <w:bookmarkStart w:id="1403" w:name="_Toc51057564"/>
      <w:bookmarkStart w:id="1404" w:name="_Toc51058981"/>
      <w:bookmarkStart w:id="1405" w:name="_Toc51060397"/>
      <w:bookmarkStart w:id="1406" w:name="_Toc51061813"/>
      <w:bookmarkStart w:id="1407" w:name="_Toc51063229"/>
      <w:bookmarkStart w:id="1408" w:name="_Toc51064662"/>
      <w:bookmarkStart w:id="1409" w:name="_Toc51066077"/>
      <w:bookmarkStart w:id="1410" w:name="_Toc51068125"/>
      <w:bookmarkStart w:id="1411" w:name="_Toc51105141"/>
      <w:bookmarkStart w:id="1412" w:name="_Toc51106569"/>
      <w:bookmarkStart w:id="1413" w:name="_Toc51108892"/>
      <w:bookmarkStart w:id="1414" w:name="_Toc51019378"/>
      <w:bookmarkStart w:id="1415" w:name="_Toc51056145"/>
      <w:bookmarkStart w:id="1416" w:name="_Toc51057566"/>
      <w:bookmarkStart w:id="1417" w:name="_Toc51058983"/>
      <w:bookmarkStart w:id="1418" w:name="_Toc51060399"/>
      <w:bookmarkStart w:id="1419" w:name="_Toc51061815"/>
      <w:bookmarkStart w:id="1420" w:name="_Toc51063231"/>
      <w:bookmarkStart w:id="1421" w:name="_Toc51064664"/>
      <w:bookmarkStart w:id="1422" w:name="_Toc51066079"/>
      <w:bookmarkStart w:id="1423" w:name="_Toc51068127"/>
      <w:bookmarkStart w:id="1424" w:name="_Toc51105143"/>
      <w:bookmarkStart w:id="1425" w:name="_Toc51106571"/>
      <w:bookmarkStart w:id="1426" w:name="_Toc51108894"/>
      <w:bookmarkStart w:id="1427" w:name="_Toc51019379"/>
      <w:bookmarkStart w:id="1428" w:name="_Toc51056146"/>
      <w:bookmarkStart w:id="1429" w:name="_Toc51057567"/>
      <w:bookmarkStart w:id="1430" w:name="_Toc51058984"/>
      <w:bookmarkStart w:id="1431" w:name="_Toc51060400"/>
      <w:bookmarkStart w:id="1432" w:name="_Toc51061816"/>
      <w:bookmarkStart w:id="1433" w:name="_Toc51063232"/>
      <w:bookmarkStart w:id="1434" w:name="_Toc51064665"/>
      <w:bookmarkStart w:id="1435" w:name="_Toc51066080"/>
      <w:bookmarkStart w:id="1436" w:name="_Toc51068128"/>
      <w:bookmarkStart w:id="1437" w:name="_Toc51105144"/>
      <w:bookmarkStart w:id="1438" w:name="_Toc51106572"/>
      <w:bookmarkStart w:id="1439" w:name="_Toc51108895"/>
      <w:bookmarkStart w:id="1440" w:name="_Toc51019381"/>
      <w:bookmarkStart w:id="1441" w:name="_Toc51056148"/>
      <w:bookmarkStart w:id="1442" w:name="_Toc51057569"/>
      <w:bookmarkStart w:id="1443" w:name="_Toc51058986"/>
      <w:bookmarkStart w:id="1444" w:name="_Toc51060402"/>
      <w:bookmarkStart w:id="1445" w:name="_Toc51061818"/>
      <w:bookmarkStart w:id="1446" w:name="_Toc51063234"/>
      <w:bookmarkStart w:id="1447" w:name="_Toc51064667"/>
      <w:bookmarkStart w:id="1448" w:name="_Toc51066082"/>
      <w:bookmarkStart w:id="1449" w:name="_Toc51068130"/>
      <w:bookmarkStart w:id="1450" w:name="_Toc51105146"/>
      <w:bookmarkStart w:id="1451" w:name="_Toc51106574"/>
      <w:bookmarkStart w:id="1452" w:name="_Toc51108897"/>
      <w:bookmarkStart w:id="1453" w:name="_Toc51019382"/>
      <w:bookmarkStart w:id="1454" w:name="_Toc51056149"/>
      <w:bookmarkStart w:id="1455" w:name="_Toc51057570"/>
      <w:bookmarkStart w:id="1456" w:name="_Toc51058987"/>
      <w:bookmarkStart w:id="1457" w:name="_Toc51060403"/>
      <w:bookmarkStart w:id="1458" w:name="_Toc51061819"/>
      <w:bookmarkStart w:id="1459" w:name="_Toc51063235"/>
      <w:bookmarkStart w:id="1460" w:name="_Toc51064668"/>
      <w:bookmarkStart w:id="1461" w:name="_Toc51066083"/>
      <w:bookmarkStart w:id="1462" w:name="_Toc51068131"/>
      <w:bookmarkStart w:id="1463" w:name="_Toc51105147"/>
      <w:bookmarkStart w:id="1464" w:name="_Toc51106575"/>
      <w:bookmarkStart w:id="1465" w:name="_Toc51108898"/>
      <w:bookmarkStart w:id="1466" w:name="_Toc51019383"/>
      <w:bookmarkStart w:id="1467" w:name="_Toc51056150"/>
      <w:bookmarkStart w:id="1468" w:name="_Toc51057571"/>
      <w:bookmarkStart w:id="1469" w:name="_Toc51058988"/>
      <w:bookmarkStart w:id="1470" w:name="_Toc51060404"/>
      <w:bookmarkStart w:id="1471" w:name="_Toc51061820"/>
      <w:bookmarkStart w:id="1472" w:name="_Toc51063236"/>
      <w:bookmarkStart w:id="1473" w:name="_Toc51064669"/>
      <w:bookmarkStart w:id="1474" w:name="_Toc51066084"/>
      <w:bookmarkStart w:id="1475" w:name="_Toc51068132"/>
      <w:bookmarkStart w:id="1476" w:name="_Toc51105148"/>
      <w:bookmarkStart w:id="1477" w:name="_Toc51106576"/>
      <w:bookmarkStart w:id="1478" w:name="_Toc51108899"/>
      <w:bookmarkStart w:id="1479" w:name="_Toc51019385"/>
      <w:bookmarkStart w:id="1480" w:name="_Toc51056152"/>
      <w:bookmarkStart w:id="1481" w:name="_Toc51057573"/>
      <w:bookmarkStart w:id="1482" w:name="_Toc51058990"/>
      <w:bookmarkStart w:id="1483" w:name="_Toc51060406"/>
      <w:bookmarkStart w:id="1484" w:name="_Toc51061822"/>
      <w:bookmarkStart w:id="1485" w:name="_Toc51063238"/>
      <w:bookmarkStart w:id="1486" w:name="_Toc51064671"/>
      <w:bookmarkStart w:id="1487" w:name="_Toc51066086"/>
      <w:bookmarkStart w:id="1488" w:name="_Toc51068134"/>
      <w:bookmarkStart w:id="1489" w:name="_Toc51105150"/>
      <w:bookmarkStart w:id="1490" w:name="_Toc51106578"/>
      <w:bookmarkStart w:id="1491" w:name="_Toc51108901"/>
      <w:bookmarkStart w:id="1492" w:name="_Toc51019386"/>
      <w:bookmarkStart w:id="1493" w:name="_Toc51056153"/>
      <w:bookmarkStart w:id="1494" w:name="_Toc51057574"/>
      <w:bookmarkStart w:id="1495" w:name="_Toc51058991"/>
      <w:bookmarkStart w:id="1496" w:name="_Toc51060407"/>
      <w:bookmarkStart w:id="1497" w:name="_Toc51061823"/>
      <w:bookmarkStart w:id="1498" w:name="_Toc51063239"/>
      <w:bookmarkStart w:id="1499" w:name="_Toc51064672"/>
      <w:bookmarkStart w:id="1500" w:name="_Toc51066087"/>
      <w:bookmarkStart w:id="1501" w:name="_Toc51068135"/>
      <w:bookmarkStart w:id="1502" w:name="_Toc51105151"/>
      <w:bookmarkStart w:id="1503" w:name="_Toc51106579"/>
      <w:bookmarkStart w:id="1504" w:name="_Toc51108902"/>
      <w:bookmarkStart w:id="1505" w:name="_Toc51019387"/>
      <w:bookmarkStart w:id="1506" w:name="_Toc51056154"/>
      <w:bookmarkStart w:id="1507" w:name="_Toc51057575"/>
      <w:bookmarkStart w:id="1508" w:name="_Toc51058992"/>
      <w:bookmarkStart w:id="1509" w:name="_Toc51060408"/>
      <w:bookmarkStart w:id="1510" w:name="_Toc51061824"/>
      <w:bookmarkStart w:id="1511" w:name="_Toc51063240"/>
      <w:bookmarkStart w:id="1512" w:name="_Toc51064673"/>
      <w:bookmarkStart w:id="1513" w:name="_Toc51066088"/>
      <w:bookmarkStart w:id="1514" w:name="_Toc51068136"/>
      <w:bookmarkStart w:id="1515" w:name="_Toc51105152"/>
      <w:bookmarkStart w:id="1516" w:name="_Toc51106580"/>
      <w:bookmarkStart w:id="1517" w:name="_Toc51108903"/>
      <w:bookmarkStart w:id="1518" w:name="_Toc42064700"/>
      <w:bookmarkStart w:id="1519" w:name="_Toc51019388"/>
      <w:bookmarkStart w:id="1520" w:name="_Toc51056155"/>
      <w:bookmarkStart w:id="1521" w:name="_Toc51057576"/>
      <w:bookmarkStart w:id="1522" w:name="_Toc51058993"/>
      <w:bookmarkStart w:id="1523" w:name="_Toc51060409"/>
      <w:bookmarkStart w:id="1524" w:name="_Toc51061825"/>
      <w:bookmarkStart w:id="1525" w:name="_Toc51063241"/>
      <w:bookmarkStart w:id="1526" w:name="_Toc51064674"/>
      <w:bookmarkStart w:id="1527" w:name="_Toc51066089"/>
      <w:bookmarkStart w:id="1528" w:name="_Toc51068137"/>
      <w:bookmarkStart w:id="1529" w:name="_Toc51105153"/>
      <w:bookmarkStart w:id="1530" w:name="_Toc51106581"/>
      <w:bookmarkStart w:id="1531" w:name="_Toc51108904"/>
      <w:bookmarkStart w:id="1532" w:name="_Toc51019389"/>
      <w:bookmarkStart w:id="1533" w:name="_Toc51056156"/>
      <w:bookmarkStart w:id="1534" w:name="_Toc51057577"/>
      <w:bookmarkStart w:id="1535" w:name="_Toc51058994"/>
      <w:bookmarkStart w:id="1536" w:name="_Toc51060410"/>
      <w:bookmarkStart w:id="1537" w:name="_Toc51061826"/>
      <w:bookmarkStart w:id="1538" w:name="_Toc51063242"/>
      <w:bookmarkStart w:id="1539" w:name="_Toc51064675"/>
      <w:bookmarkStart w:id="1540" w:name="_Toc51066090"/>
      <w:bookmarkStart w:id="1541" w:name="_Toc51068138"/>
      <w:bookmarkStart w:id="1542" w:name="_Toc51105154"/>
      <w:bookmarkStart w:id="1543" w:name="_Toc51106582"/>
      <w:bookmarkStart w:id="1544" w:name="_Toc51108905"/>
      <w:bookmarkStart w:id="1545" w:name="_Toc51019391"/>
      <w:bookmarkStart w:id="1546" w:name="_Toc51056158"/>
      <w:bookmarkStart w:id="1547" w:name="_Toc51057579"/>
      <w:bookmarkStart w:id="1548" w:name="_Toc51058996"/>
      <w:bookmarkStart w:id="1549" w:name="_Toc51060412"/>
      <w:bookmarkStart w:id="1550" w:name="_Toc51061828"/>
      <w:bookmarkStart w:id="1551" w:name="_Toc51063244"/>
      <w:bookmarkStart w:id="1552" w:name="_Toc51064677"/>
      <w:bookmarkStart w:id="1553" w:name="_Toc51066092"/>
      <w:bookmarkStart w:id="1554" w:name="_Toc51068140"/>
      <w:bookmarkStart w:id="1555" w:name="_Toc51105156"/>
      <w:bookmarkStart w:id="1556" w:name="_Toc51106584"/>
      <w:bookmarkStart w:id="1557" w:name="_Toc51108907"/>
      <w:bookmarkStart w:id="1558" w:name="_Toc51019393"/>
      <w:bookmarkStart w:id="1559" w:name="_Toc51056160"/>
      <w:bookmarkStart w:id="1560" w:name="_Toc51057581"/>
      <w:bookmarkStart w:id="1561" w:name="_Toc51058998"/>
      <w:bookmarkStart w:id="1562" w:name="_Toc51060414"/>
      <w:bookmarkStart w:id="1563" w:name="_Toc51061830"/>
      <w:bookmarkStart w:id="1564" w:name="_Toc51063246"/>
      <w:bookmarkStart w:id="1565" w:name="_Toc51064679"/>
      <w:bookmarkStart w:id="1566" w:name="_Toc51066094"/>
      <w:bookmarkStart w:id="1567" w:name="_Toc51068142"/>
      <w:bookmarkStart w:id="1568" w:name="_Toc51105158"/>
      <w:bookmarkStart w:id="1569" w:name="_Toc51106586"/>
      <w:bookmarkStart w:id="1570" w:name="_Toc51108909"/>
      <w:bookmarkStart w:id="1571" w:name="_Toc51019395"/>
      <w:bookmarkStart w:id="1572" w:name="_Toc51056162"/>
      <w:bookmarkStart w:id="1573" w:name="_Toc51057583"/>
      <w:bookmarkStart w:id="1574" w:name="_Toc51059000"/>
      <w:bookmarkStart w:id="1575" w:name="_Toc51060416"/>
      <w:bookmarkStart w:id="1576" w:name="_Toc51061832"/>
      <w:bookmarkStart w:id="1577" w:name="_Toc51063248"/>
      <w:bookmarkStart w:id="1578" w:name="_Toc51064681"/>
      <w:bookmarkStart w:id="1579" w:name="_Toc51066096"/>
      <w:bookmarkStart w:id="1580" w:name="_Toc51068144"/>
      <w:bookmarkStart w:id="1581" w:name="_Toc51105160"/>
      <w:bookmarkStart w:id="1582" w:name="_Toc51106588"/>
      <w:bookmarkStart w:id="1583" w:name="_Toc51108911"/>
      <w:bookmarkStart w:id="1584" w:name="_Toc51019396"/>
      <w:bookmarkStart w:id="1585" w:name="_Toc51056163"/>
      <w:bookmarkStart w:id="1586" w:name="_Toc51057584"/>
      <w:bookmarkStart w:id="1587" w:name="_Toc51059001"/>
      <w:bookmarkStart w:id="1588" w:name="_Toc51060417"/>
      <w:bookmarkStart w:id="1589" w:name="_Toc51061833"/>
      <w:bookmarkStart w:id="1590" w:name="_Toc51063249"/>
      <w:bookmarkStart w:id="1591" w:name="_Toc51064682"/>
      <w:bookmarkStart w:id="1592" w:name="_Toc51066097"/>
      <w:bookmarkStart w:id="1593" w:name="_Toc51068145"/>
      <w:bookmarkStart w:id="1594" w:name="_Toc51105161"/>
      <w:bookmarkStart w:id="1595" w:name="_Toc51106589"/>
      <w:bookmarkStart w:id="1596" w:name="_Toc51108912"/>
      <w:bookmarkStart w:id="1597" w:name="_Toc51019398"/>
      <w:bookmarkStart w:id="1598" w:name="_Toc51056165"/>
      <w:bookmarkStart w:id="1599" w:name="_Toc51057586"/>
      <w:bookmarkStart w:id="1600" w:name="_Toc51059003"/>
      <w:bookmarkStart w:id="1601" w:name="_Toc51060419"/>
      <w:bookmarkStart w:id="1602" w:name="_Toc51061835"/>
      <w:bookmarkStart w:id="1603" w:name="_Toc51063251"/>
      <w:bookmarkStart w:id="1604" w:name="_Toc51064684"/>
      <w:bookmarkStart w:id="1605" w:name="_Toc51066099"/>
      <w:bookmarkStart w:id="1606" w:name="_Toc51068147"/>
      <w:bookmarkStart w:id="1607" w:name="_Toc51105163"/>
      <w:bookmarkStart w:id="1608" w:name="_Toc51106591"/>
      <w:bookmarkStart w:id="1609" w:name="_Toc51108914"/>
      <w:bookmarkStart w:id="1610" w:name="_Toc51019399"/>
      <w:bookmarkStart w:id="1611" w:name="_Toc51056166"/>
      <w:bookmarkStart w:id="1612" w:name="_Toc51057587"/>
      <w:bookmarkStart w:id="1613" w:name="_Toc51059004"/>
      <w:bookmarkStart w:id="1614" w:name="_Toc51060420"/>
      <w:bookmarkStart w:id="1615" w:name="_Toc51061836"/>
      <w:bookmarkStart w:id="1616" w:name="_Toc51063252"/>
      <w:bookmarkStart w:id="1617" w:name="_Toc51064685"/>
      <w:bookmarkStart w:id="1618" w:name="_Toc51066100"/>
      <w:bookmarkStart w:id="1619" w:name="_Toc51068148"/>
      <w:bookmarkStart w:id="1620" w:name="_Toc51105164"/>
      <w:bookmarkStart w:id="1621" w:name="_Toc51106592"/>
      <w:bookmarkStart w:id="1622" w:name="_Toc51108915"/>
      <w:bookmarkStart w:id="1623" w:name="_Toc51019400"/>
      <w:bookmarkStart w:id="1624" w:name="_Toc51056167"/>
      <w:bookmarkStart w:id="1625" w:name="_Toc51057588"/>
      <w:bookmarkStart w:id="1626" w:name="_Toc51059005"/>
      <w:bookmarkStart w:id="1627" w:name="_Toc51060421"/>
      <w:bookmarkStart w:id="1628" w:name="_Toc51061837"/>
      <w:bookmarkStart w:id="1629" w:name="_Toc51063253"/>
      <w:bookmarkStart w:id="1630" w:name="_Toc51064686"/>
      <w:bookmarkStart w:id="1631" w:name="_Toc51066101"/>
      <w:bookmarkStart w:id="1632" w:name="_Toc51068149"/>
      <w:bookmarkStart w:id="1633" w:name="_Toc51105165"/>
      <w:bookmarkStart w:id="1634" w:name="_Toc51106593"/>
      <w:bookmarkStart w:id="1635" w:name="_Toc51108916"/>
      <w:bookmarkStart w:id="1636" w:name="_Toc51019401"/>
      <w:bookmarkStart w:id="1637" w:name="_Toc51056168"/>
      <w:bookmarkStart w:id="1638" w:name="_Toc51057589"/>
      <w:bookmarkStart w:id="1639" w:name="_Toc51059006"/>
      <w:bookmarkStart w:id="1640" w:name="_Toc51060422"/>
      <w:bookmarkStart w:id="1641" w:name="_Toc51061838"/>
      <w:bookmarkStart w:id="1642" w:name="_Toc51063254"/>
      <w:bookmarkStart w:id="1643" w:name="_Toc51064687"/>
      <w:bookmarkStart w:id="1644" w:name="_Toc51066102"/>
      <w:bookmarkStart w:id="1645" w:name="_Toc51068150"/>
      <w:bookmarkStart w:id="1646" w:name="_Toc51105166"/>
      <w:bookmarkStart w:id="1647" w:name="_Toc51106594"/>
      <w:bookmarkStart w:id="1648" w:name="_Toc51108917"/>
      <w:bookmarkStart w:id="1649" w:name="_Toc51019402"/>
      <w:bookmarkStart w:id="1650" w:name="_Toc51056169"/>
      <w:bookmarkStart w:id="1651" w:name="_Toc51057590"/>
      <w:bookmarkStart w:id="1652" w:name="_Toc51059007"/>
      <w:bookmarkStart w:id="1653" w:name="_Toc51060423"/>
      <w:bookmarkStart w:id="1654" w:name="_Toc51061839"/>
      <w:bookmarkStart w:id="1655" w:name="_Toc51063255"/>
      <w:bookmarkStart w:id="1656" w:name="_Toc51064688"/>
      <w:bookmarkStart w:id="1657" w:name="_Toc51066103"/>
      <w:bookmarkStart w:id="1658" w:name="_Toc51068151"/>
      <w:bookmarkStart w:id="1659" w:name="_Toc51105167"/>
      <w:bookmarkStart w:id="1660" w:name="_Toc51106595"/>
      <w:bookmarkStart w:id="1661" w:name="_Toc51108918"/>
      <w:bookmarkStart w:id="1662" w:name="_Toc51019404"/>
      <w:bookmarkStart w:id="1663" w:name="_Toc51056171"/>
      <w:bookmarkStart w:id="1664" w:name="_Toc51057592"/>
      <w:bookmarkStart w:id="1665" w:name="_Toc51059009"/>
      <w:bookmarkStart w:id="1666" w:name="_Toc51060425"/>
      <w:bookmarkStart w:id="1667" w:name="_Toc51061841"/>
      <w:bookmarkStart w:id="1668" w:name="_Toc51063257"/>
      <w:bookmarkStart w:id="1669" w:name="_Toc51064690"/>
      <w:bookmarkStart w:id="1670" w:name="_Toc51066105"/>
      <w:bookmarkStart w:id="1671" w:name="_Toc51068153"/>
      <w:bookmarkStart w:id="1672" w:name="_Toc51105169"/>
      <w:bookmarkStart w:id="1673" w:name="_Toc51106597"/>
      <w:bookmarkStart w:id="1674" w:name="_Toc51108920"/>
      <w:bookmarkStart w:id="1675" w:name="_Toc51019405"/>
      <w:bookmarkStart w:id="1676" w:name="_Toc51056172"/>
      <w:bookmarkStart w:id="1677" w:name="_Toc51057593"/>
      <w:bookmarkStart w:id="1678" w:name="_Toc51059010"/>
      <w:bookmarkStart w:id="1679" w:name="_Toc51060426"/>
      <w:bookmarkStart w:id="1680" w:name="_Toc51061842"/>
      <w:bookmarkStart w:id="1681" w:name="_Toc51063258"/>
      <w:bookmarkStart w:id="1682" w:name="_Toc51064691"/>
      <w:bookmarkStart w:id="1683" w:name="_Toc51066106"/>
      <w:bookmarkStart w:id="1684" w:name="_Toc51068154"/>
      <w:bookmarkStart w:id="1685" w:name="_Toc51105170"/>
      <w:bookmarkStart w:id="1686" w:name="_Toc51106598"/>
      <w:bookmarkStart w:id="1687" w:name="_Toc51108921"/>
      <w:bookmarkStart w:id="1688" w:name="_Toc51019406"/>
      <w:bookmarkStart w:id="1689" w:name="_Toc51056173"/>
      <w:bookmarkStart w:id="1690" w:name="_Toc51057594"/>
      <w:bookmarkStart w:id="1691" w:name="_Toc51059011"/>
      <w:bookmarkStart w:id="1692" w:name="_Toc51060427"/>
      <w:bookmarkStart w:id="1693" w:name="_Toc51061843"/>
      <w:bookmarkStart w:id="1694" w:name="_Toc51063259"/>
      <w:bookmarkStart w:id="1695" w:name="_Toc51064692"/>
      <w:bookmarkStart w:id="1696" w:name="_Toc51066107"/>
      <w:bookmarkStart w:id="1697" w:name="_Toc51068155"/>
      <w:bookmarkStart w:id="1698" w:name="_Toc51105171"/>
      <w:bookmarkStart w:id="1699" w:name="_Toc51106599"/>
      <w:bookmarkStart w:id="1700" w:name="_Toc51108922"/>
      <w:bookmarkStart w:id="1701" w:name="_Toc51019407"/>
      <w:bookmarkStart w:id="1702" w:name="_Toc51056174"/>
      <w:bookmarkStart w:id="1703" w:name="_Toc51057595"/>
      <w:bookmarkStart w:id="1704" w:name="_Toc51059012"/>
      <w:bookmarkStart w:id="1705" w:name="_Toc51060428"/>
      <w:bookmarkStart w:id="1706" w:name="_Toc51061844"/>
      <w:bookmarkStart w:id="1707" w:name="_Toc51063260"/>
      <w:bookmarkStart w:id="1708" w:name="_Toc51064693"/>
      <w:bookmarkStart w:id="1709" w:name="_Toc51066108"/>
      <w:bookmarkStart w:id="1710" w:name="_Toc51068156"/>
      <w:bookmarkStart w:id="1711" w:name="_Toc51105172"/>
      <w:bookmarkStart w:id="1712" w:name="_Toc51106600"/>
      <w:bookmarkStart w:id="1713" w:name="_Toc51108923"/>
      <w:bookmarkStart w:id="1714" w:name="_Toc51019408"/>
      <w:bookmarkStart w:id="1715" w:name="_Toc51056175"/>
      <w:bookmarkStart w:id="1716" w:name="_Toc51057596"/>
      <w:bookmarkStart w:id="1717" w:name="_Toc51059013"/>
      <w:bookmarkStart w:id="1718" w:name="_Toc51060429"/>
      <w:bookmarkStart w:id="1719" w:name="_Toc51061845"/>
      <w:bookmarkStart w:id="1720" w:name="_Toc51063261"/>
      <w:bookmarkStart w:id="1721" w:name="_Toc51064694"/>
      <w:bookmarkStart w:id="1722" w:name="_Toc51066109"/>
      <w:bookmarkStart w:id="1723" w:name="_Toc51068157"/>
      <w:bookmarkStart w:id="1724" w:name="_Toc51105173"/>
      <w:bookmarkStart w:id="1725" w:name="_Toc51106601"/>
      <w:bookmarkStart w:id="1726" w:name="_Toc51108924"/>
      <w:bookmarkStart w:id="1727" w:name="_Toc51019409"/>
      <w:bookmarkStart w:id="1728" w:name="_Toc51056176"/>
      <w:bookmarkStart w:id="1729" w:name="_Toc51057597"/>
      <w:bookmarkStart w:id="1730" w:name="_Toc51059014"/>
      <w:bookmarkStart w:id="1731" w:name="_Toc51060430"/>
      <w:bookmarkStart w:id="1732" w:name="_Toc51061846"/>
      <w:bookmarkStart w:id="1733" w:name="_Toc51063262"/>
      <w:bookmarkStart w:id="1734" w:name="_Toc51064695"/>
      <w:bookmarkStart w:id="1735" w:name="_Toc51066110"/>
      <w:bookmarkStart w:id="1736" w:name="_Toc51068158"/>
      <w:bookmarkStart w:id="1737" w:name="_Toc51105174"/>
      <w:bookmarkStart w:id="1738" w:name="_Toc51106602"/>
      <w:bookmarkStart w:id="1739" w:name="_Toc51108925"/>
      <w:bookmarkStart w:id="1740" w:name="_Toc51019411"/>
      <w:bookmarkStart w:id="1741" w:name="_Toc51056178"/>
      <w:bookmarkStart w:id="1742" w:name="_Toc51057599"/>
      <w:bookmarkStart w:id="1743" w:name="_Toc51059016"/>
      <w:bookmarkStart w:id="1744" w:name="_Toc51060432"/>
      <w:bookmarkStart w:id="1745" w:name="_Toc51061848"/>
      <w:bookmarkStart w:id="1746" w:name="_Toc51063264"/>
      <w:bookmarkStart w:id="1747" w:name="_Toc51064697"/>
      <w:bookmarkStart w:id="1748" w:name="_Toc51066112"/>
      <w:bookmarkStart w:id="1749" w:name="_Toc51068160"/>
      <w:bookmarkStart w:id="1750" w:name="_Toc51105176"/>
      <w:bookmarkStart w:id="1751" w:name="_Toc51106604"/>
      <w:bookmarkStart w:id="1752" w:name="_Toc51108927"/>
      <w:bookmarkStart w:id="1753" w:name="_Toc51019413"/>
      <w:bookmarkStart w:id="1754" w:name="_Toc51056180"/>
      <w:bookmarkStart w:id="1755" w:name="_Toc51057601"/>
      <w:bookmarkStart w:id="1756" w:name="_Toc51059018"/>
      <w:bookmarkStart w:id="1757" w:name="_Toc51060434"/>
      <w:bookmarkStart w:id="1758" w:name="_Toc51061850"/>
      <w:bookmarkStart w:id="1759" w:name="_Toc51063266"/>
      <w:bookmarkStart w:id="1760" w:name="_Toc51064699"/>
      <w:bookmarkStart w:id="1761" w:name="_Toc51066114"/>
      <w:bookmarkStart w:id="1762" w:name="_Toc51068162"/>
      <w:bookmarkStart w:id="1763" w:name="_Toc51105178"/>
      <w:bookmarkStart w:id="1764" w:name="_Toc51106606"/>
      <w:bookmarkStart w:id="1765" w:name="_Toc51108929"/>
      <w:bookmarkStart w:id="1766" w:name="_Toc51019414"/>
      <w:bookmarkStart w:id="1767" w:name="_Toc51056181"/>
      <w:bookmarkStart w:id="1768" w:name="_Toc51057602"/>
      <w:bookmarkStart w:id="1769" w:name="_Toc51059019"/>
      <w:bookmarkStart w:id="1770" w:name="_Toc51060435"/>
      <w:bookmarkStart w:id="1771" w:name="_Toc51061851"/>
      <w:bookmarkStart w:id="1772" w:name="_Toc51063267"/>
      <w:bookmarkStart w:id="1773" w:name="_Toc51064700"/>
      <w:bookmarkStart w:id="1774" w:name="_Toc51066115"/>
      <w:bookmarkStart w:id="1775" w:name="_Toc51068163"/>
      <w:bookmarkStart w:id="1776" w:name="_Toc51105179"/>
      <w:bookmarkStart w:id="1777" w:name="_Toc51106607"/>
      <w:bookmarkStart w:id="1778" w:name="_Toc51108930"/>
      <w:bookmarkStart w:id="1779" w:name="_Toc51019415"/>
      <w:bookmarkStart w:id="1780" w:name="_Toc51056182"/>
      <w:bookmarkStart w:id="1781" w:name="_Toc51057603"/>
      <w:bookmarkStart w:id="1782" w:name="_Toc51059020"/>
      <w:bookmarkStart w:id="1783" w:name="_Toc51060436"/>
      <w:bookmarkStart w:id="1784" w:name="_Toc51061852"/>
      <w:bookmarkStart w:id="1785" w:name="_Toc51063268"/>
      <w:bookmarkStart w:id="1786" w:name="_Toc51064701"/>
      <w:bookmarkStart w:id="1787" w:name="_Toc51066116"/>
      <w:bookmarkStart w:id="1788" w:name="_Toc51068164"/>
      <w:bookmarkStart w:id="1789" w:name="_Toc51105180"/>
      <w:bookmarkStart w:id="1790" w:name="_Toc51106608"/>
      <w:bookmarkStart w:id="1791" w:name="_Toc51108931"/>
      <w:bookmarkStart w:id="1792" w:name="_Toc51019416"/>
      <w:bookmarkStart w:id="1793" w:name="_Toc51056183"/>
      <w:bookmarkStart w:id="1794" w:name="_Toc51057604"/>
      <w:bookmarkStart w:id="1795" w:name="_Toc51059021"/>
      <w:bookmarkStart w:id="1796" w:name="_Toc51060437"/>
      <w:bookmarkStart w:id="1797" w:name="_Toc51061853"/>
      <w:bookmarkStart w:id="1798" w:name="_Toc51063269"/>
      <w:bookmarkStart w:id="1799" w:name="_Toc51064702"/>
      <w:bookmarkStart w:id="1800" w:name="_Toc51066117"/>
      <w:bookmarkStart w:id="1801" w:name="_Toc51068165"/>
      <w:bookmarkStart w:id="1802" w:name="_Toc51105181"/>
      <w:bookmarkStart w:id="1803" w:name="_Toc51106609"/>
      <w:bookmarkStart w:id="1804" w:name="_Toc51108932"/>
      <w:bookmarkStart w:id="1805" w:name="_Toc51019417"/>
      <w:bookmarkStart w:id="1806" w:name="_Toc51056184"/>
      <w:bookmarkStart w:id="1807" w:name="_Toc51057605"/>
      <w:bookmarkStart w:id="1808" w:name="_Toc51059022"/>
      <w:bookmarkStart w:id="1809" w:name="_Toc51060438"/>
      <w:bookmarkStart w:id="1810" w:name="_Toc51061854"/>
      <w:bookmarkStart w:id="1811" w:name="_Toc51063270"/>
      <w:bookmarkStart w:id="1812" w:name="_Toc51064703"/>
      <w:bookmarkStart w:id="1813" w:name="_Toc51066118"/>
      <w:bookmarkStart w:id="1814" w:name="_Toc51068166"/>
      <w:bookmarkStart w:id="1815" w:name="_Toc51105182"/>
      <w:bookmarkStart w:id="1816" w:name="_Toc51106610"/>
      <w:bookmarkStart w:id="1817" w:name="_Toc51108933"/>
      <w:bookmarkStart w:id="1818" w:name="_Toc51019418"/>
      <w:bookmarkStart w:id="1819" w:name="_Toc51056185"/>
      <w:bookmarkStart w:id="1820" w:name="_Toc51057606"/>
      <w:bookmarkStart w:id="1821" w:name="_Toc51059023"/>
      <w:bookmarkStart w:id="1822" w:name="_Toc51060439"/>
      <w:bookmarkStart w:id="1823" w:name="_Toc51061855"/>
      <w:bookmarkStart w:id="1824" w:name="_Toc51063271"/>
      <w:bookmarkStart w:id="1825" w:name="_Toc51064704"/>
      <w:bookmarkStart w:id="1826" w:name="_Toc51066119"/>
      <w:bookmarkStart w:id="1827" w:name="_Toc51068167"/>
      <w:bookmarkStart w:id="1828" w:name="_Toc51105183"/>
      <w:bookmarkStart w:id="1829" w:name="_Toc51106611"/>
      <w:bookmarkStart w:id="1830" w:name="_Toc51108934"/>
      <w:bookmarkStart w:id="1831" w:name="_Toc51019419"/>
      <w:bookmarkStart w:id="1832" w:name="_Toc51056186"/>
      <w:bookmarkStart w:id="1833" w:name="_Toc51057607"/>
      <w:bookmarkStart w:id="1834" w:name="_Toc51059024"/>
      <w:bookmarkStart w:id="1835" w:name="_Toc51060440"/>
      <w:bookmarkStart w:id="1836" w:name="_Toc51061856"/>
      <w:bookmarkStart w:id="1837" w:name="_Toc51063272"/>
      <w:bookmarkStart w:id="1838" w:name="_Toc51064705"/>
      <w:bookmarkStart w:id="1839" w:name="_Toc51066120"/>
      <w:bookmarkStart w:id="1840" w:name="_Toc51068168"/>
      <w:bookmarkStart w:id="1841" w:name="_Toc51105184"/>
      <w:bookmarkStart w:id="1842" w:name="_Toc51106612"/>
      <w:bookmarkStart w:id="1843" w:name="_Toc51108935"/>
      <w:bookmarkStart w:id="1844" w:name="_Toc51019420"/>
      <w:bookmarkStart w:id="1845" w:name="_Toc51056187"/>
      <w:bookmarkStart w:id="1846" w:name="_Toc51057608"/>
      <w:bookmarkStart w:id="1847" w:name="_Toc51059025"/>
      <w:bookmarkStart w:id="1848" w:name="_Toc51060441"/>
      <w:bookmarkStart w:id="1849" w:name="_Toc51061857"/>
      <w:bookmarkStart w:id="1850" w:name="_Toc51063273"/>
      <w:bookmarkStart w:id="1851" w:name="_Toc51064706"/>
      <w:bookmarkStart w:id="1852" w:name="_Toc51066121"/>
      <w:bookmarkStart w:id="1853" w:name="_Toc51068169"/>
      <w:bookmarkStart w:id="1854" w:name="_Toc51105185"/>
      <w:bookmarkStart w:id="1855" w:name="_Toc51106613"/>
      <w:bookmarkStart w:id="1856" w:name="_Toc51108936"/>
      <w:bookmarkStart w:id="1857" w:name="_Toc51019421"/>
      <w:bookmarkStart w:id="1858" w:name="_Toc51056188"/>
      <w:bookmarkStart w:id="1859" w:name="_Toc51057609"/>
      <w:bookmarkStart w:id="1860" w:name="_Toc51059026"/>
      <w:bookmarkStart w:id="1861" w:name="_Toc51060442"/>
      <w:bookmarkStart w:id="1862" w:name="_Toc51061858"/>
      <w:bookmarkStart w:id="1863" w:name="_Toc51063274"/>
      <w:bookmarkStart w:id="1864" w:name="_Toc51064707"/>
      <w:bookmarkStart w:id="1865" w:name="_Toc51066122"/>
      <w:bookmarkStart w:id="1866" w:name="_Toc51068170"/>
      <w:bookmarkStart w:id="1867" w:name="_Toc51105186"/>
      <w:bookmarkStart w:id="1868" w:name="_Toc51106614"/>
      <w:bookmarkStart w:id="1869" w:name="_Toc51108937"/>
      <w:bookmarkStart w:id="1870" w:name="_Toc51019422"/>
      <w:bookmarkStart w:id="1871" w:name="_Toc51056189"/>
      <w:bookmarkStart w:id="1872" w:name="_Toc51057610"/>
      <w:bookmarkStart w:id="1873" w:name="_Toc51059027"/>
      <w:bookmarkStart w:id="1874" w:name="_Toc51060443"/>
      <w:bookmarkStart w:id="1875" w:name="_Toc51061859"/>
      <w:bookmarkStart w:id="1876" w:name="_Toc51063275"/>
      <w:bookmarkStart w:id="1877" w:name="_Toc51064708"/>
      <w:bookmarkStart w:id="1878" w:name="_Toc51066123"/>
      <w:bookmarkStart w:id="1879" w:name="_Toc51068171"/>
      <w:bookmarkStart w:id="1880" w:name="_Toc51105187"/>
      <w:bookmarkStart w:id="1881" w:name="_Toc51106615"/>
      <w:bookmarkStart w:id="1882" w:name="_Toc51108938"/>
      <w:bookmarkStart w:id="1883" w:name="_Toc51019423"/>
      <w:bookmarkStart w:id="1884" w:name="_Toc51056190"/>
      <w:bookmarkStart w:id="1885" w:name="_Toc51057611"/>
      <w:bookmarkStart w:id="1886" w:name="_Toc51059028"/>
      <w:bookmarkStart w:id="1887" w:name="_Toc51060444"/>
      <w:bookmarkStart w:id="1888" w:name="_Toc51061860"/>
      <w:bookmarkStart w:id="1889" w:name="_Toc51063276"/>
      <w:bookmarkStart w:id="1890" w:name="_Toc51064709"/>
      <w:bookmarkStart w:id="1891" w:name="_Toc51066124"/>
      <w:bookmarkStart w:id="1892" w:name="_Toc51068172"/>
      <w:bookmarkStart w:id="1893" w:name="_Toc51105188"/>
      <w:bookmarkStart w:id="1894" w:name="_Toc51106616"/>
      <w:bookmarkStart w:id="1895" w:name="_Toc51108939"/>
      <w:bookmarkStart w:id="1896" w:name="_Toc51019424"/>
      <w:bookmarkStart w:id="1897" w:name="_Toc51056191"/>
      <w:bookmarkStart w:id="1898" w:name="_Toc51057612"/>
      <w:bookmarkStart w:id="1899" w:name="_Toc51059029"/>
      <w:bookmarkStart w:id="1900" w:name="_Toc51060445"/>
      <w:bookmarkStart w:id="1901" w:name="_Toc51061861"/>
      <w:bookmarkStart w:id="1902" w:name="_Toc51063277"/>
      <w:bookmarkStart w:id="1903" w:name="_Toc51064710"/>
      <w:bookmarkStart w:id="1904" w:name="_Toc51066125"/>
      <w:bookmarkStart w:id="1905" w:name="_Toc51068173"/>
      <w:bookmarkStart w:id="1906" w:name="_Toc51105189"/>
      <w:bookmarkStart w:id="1907" w:name="_Toc51106617"/>
      <w:bookmarkStart w:id="1908" w:name="_Toc51108940"/>
      <w:bookmarkStart w:id="1909" w:name="_Toc51019425"/>
      <w:bookmarkStart w:id="1910" w:name="_Toc51056192"/>
      <w:bookmarkStart w:id="1911" w:name="_Toc51057613"/>
      <w:bookmarkStart w:id="1912" w:name="_Toc51059030"/>
      <w:bookmarkStart w:id="1913" w:name="_Toc51060446"/>
      <w:bookmarkStart w:id="1914" w:name="_Toc51061862"/>
      <w:bookmarkStart w:id="1915" w:name="_Toc51063278"/>
      <w:bookmarkStart w:id="1916" w:name="_Toc51064711"/>
      <w:bookmarkStart w:id="1917" w:name="_Toc51066126"/>
      <w:bookmarkStart w:id="1918" w:name="_Toc51068174"/>
      <w:bookmarkStart w:id="1919" w:name="_Toc51105190"/>
      <w:bookmarkStart w:id="1920" w:name="_Toc51106618"/>
      <w:bookmarkStart w:id="1921" w:name="_Toc51108941"/>
      <w:bookmarkStart w:id="1922" w:name="_Toc51019426"/>
      <w:bookmarkStart w:id="1923" w:name="_Toc51056193"/>
      <w:bookmarkStart w:id="1924" w:name="_Toc51057614"/>
      <w:bookmarkStart w:id="1925" w:name="_Toc51059031"/>
      <w:bookmarkStart w:id="1926" w:name="_Toc51060447"/>
      <w:bookmarkStart w:id="1927" w:name="_Toc51061863"/>
      <w:bookmarkStart w:id="1928" w:name="_Toc51063279"/>
      <w:bookmarkStart w:id="1929" w:name="_Toc51064712"/>
      <w:bookmarkStart w:id="1930" w:name="_Toc51066127"/>
      <w:bookmarkStart w:id="1931" w:name="_Toc51068175"/>
      <w:bookmarkStart w:id="1932" w:name="_Toc51105191"/>
      <w:bookmarkStart w:id="1933" w:name="_Toc51106619"/>
      <w:bookmarkStart w:id="1934" w:name="_Toc51108942"/>
      <w:bookmarkStart w:id="1935" w:name="_Toc51019427"/>
      <w:bookmarkStart w:id="1936" w:name="_Toc51056194"/>
      <w:bookmarkStart w:id="1937" w:name="_Toc51057615"/>
      <w:bookmarkStart w:id="1938" w:name="_Toc51059032"/>
      <w:bookmarkStart w:id="1939" w:name="_Toc51060448"/>
      <w:bookmarkStart w:id="1940" w:name="_Toc51061864"/>
      <w:bookmarkStart w:id="1941" w:name="_Toc51063280"/>
      <w:bookmarkStart w:id="1942" w:name="_Toc51064713"/>
      <w:bookmarkStart w:id="1943" w:name="_Toc51066128"/>
      <w:bookmarkStart w:id="1944" w:name="_Toc51068176"/>
      <w:bookmarkStart w:id="1945" w:name="_Toc51105192"/>
      <w:bookmarkStart w:id="1946" w:name="_Toc51106620"/>
      <w:bookmarkStart w:id="1947" w:name="_Toc51108943"/>
      <w:bookmarkStart w:id="1948" w:name="_Toc51019428"/>
      <w:bookmarkStart w:id="1949" w:name="_Toc51056195"/>
      <w:bookmarkStart w:id="1950" w:name="_Toc51057616"/>
      <w:bookmarkStart w:id="1951" w:name="_Toc51059033"/>
      <w:bookmarkStart w:id="1952" w:name="_Toc51060449"/>
      <w:bookmarkStart w:id="1953" w:name="_Toc51061865"/>
      <w:bookmarkStart w:id="1954" w:name="_Toc51063281"/>
      <w:bookmarkStart w:id="1955" w:name="_Toc51064714"/>
      <w:bookmarkStart w:id="1956" w:name="_Toc51066129"/>
      <w:bookmarkStart w:id="1957" w:name="_Toc51068177"/>
      <w:bookmarkStart w:id="1958" w:name="_Toc51105193"/>
      <w:bookmarkStart w:id="1959" w:name="_Toc51106621"/>
      <w:bookmarkStart w:id="1960" w:name="_Toc51108944"/>
      <w:bookmarkStart w:id="1961" w:name="_Toc51019429"/>
      <w:bookmarkStart w:id="1962" w:name="_Toc51056196"/>
      <w:bookmarkStart w:id="1963" w:name="_Toc51057617"/>
      <w:bookmarkStart w:id="1964" w:name="_Toc51059034"/>
      <w:bookmarkStart w:id="1965" w:name="_Toc51060450"/>
      <w:bookmarkStart w:id="1966" w:name="_Toc51061866"/>
      <w:bookmarkStart w:id="1967" w:name="_Toc51063282"/>
      <w:bookmarkStart w:id="1968" w:name="_Toc51064715"/>
      <w:bookmarkStart w:id="1969" w:name="_Toc51066130"/>
      <w:bookmarkStart w:id="1970" w:name="_Toc51068178"/>
      <w:bookmarkStart w:id="1971" w:name="_Toc51105194"/>
      <w:bookmarkStart w:id="1972" w:name="_Toc51106622"/>
      <w:bookmarkStart w:id="1973" w:name="_Toc51108945"/>
      <w:bookmarkStart w:id="1974" w:name="_Toc51019430"/>
      <w:bookmarkStart w:id="1975" w:name="_Toc51056197"/>
      <w:bookmarkStart w:id="1976" w:name="_Toc51057618"/>
      <w:bookmarkStart w:id="1977" w:name="_Toc51059035"/>
      <w:bookmarkStart w:id="1978" w:name="_Toc51060451"/>
      <w:bookmarkStart w:id="1979" w:name="_Toc51061867"/>
      <w:bookmarkStart w:id="1980" w:name="_Toc51063283"/>
      <w:bookmarkStart w:id="1981" w:name="_Toc51064716"/>
      <w:bookmarkStart w:id="1982" w:name="_Toc51066131"/>
      <w:bookmarkStart w:id="1983" w:name="_Toc51068179"/>
      <w:bookmarkStart w:id="1984" w:name="_Toc51105195"/>
      <w:bookmarkStart w:id="1985" w:name="_Toc51106623"/>
      <w:bookmarkStart w:id="1986" w:name="_Toc51108946"/>
      <w:bookmarkStart w:id="1987" w:name="_Toc51019434"/>
      <w:bookmarkStart w:id="1988" w:name="_Toc51056201"/>
      <w:bookmarkStart w:id="1989" w:name="_Toc51057622"/>
      <w:bookmarkStart w:id="1990" w:name="_Toc51059039"/>
      <w:bookmarkStart w:id="1991" w:name="_Toc51060455"/>
      <w:bookmarkStart w:id="1992" w:name="_Toc51061871"/>
      <w:bookmarkStart w:id="1993" w:name="_Toc51063287"/>
      <w:bookmarkStart w:id="1994" w:name="_Toc51064720"/>
      <w:bookmarkStart w:id="1995" w:name="_Toc51066135"/>
      <w:bookmarkStart w:id="1996" w:name="_Toc51068183"/>
      <w:bookmarkStart w:id="1997" w:name="_Toc51105199"/>
      <w:bookmarkStart w:id="1998" w:name="_Toc51106627"/>
      <w:bookmarkStart w:id="1999" w:name="_Toc51108950"/>
      <w:bookmarkStart w:id="2000" w:name="_Toc51019458"/>
      <w:bookmarkStart w:id="2001" w:name="_Toc51056225"/>
      <w:bookmarkStart w:id="2002" w:name="_Toc51057646"/>
      <w:bookmarkStart w:id="2003" w:name="_Toc51059063"/>
      <w:bookmarkStart w:id="2004" w:name="_Toc51060479"/>
      <w:bookmarkStart w:id="2005" w:name="_Toc51061895"/>
      <w:bookmarkStart w:id="2006" w:name="_Toc51063311"/>
      <w:bookmarkStart w:id="2007" w:name="_Toc51064744"/>
      <w:bookmarkStart w:id="2008" w:name="_Toc51066159"/>
      <w:bookmarkStart w:id="2009" w:name="_Toc51068207"/>
      <w:bookmarkStart w:id="2010" w:name="_Toc51105223"/>
      <w:bookmarkStart w:id="2011" w:name="_Toc51106651"/>
      <w:bookmarkStart w:id="2012" w:name="_Toc51108974"/>
      <w:bookmarkStart w:id="2013" w:name="_Toc51019459"/>
      <w:bookmarkStart w:id="2014" w:name="_Toc51056226"/>
      <w:bookmarkStart w:id="2015" w:name="_Toc51057647"/>
      <w:bookmarkStart w:id="2016" w:name="_Toc51059064"/>
      <w:bookmarkStart w:id="2017" w:name="_Toc51060480"/>
      <w:bookmarkStart w:id="2018" w:name="_Toc51061896"/>
      <w:bookmarkStart w:id="2019" w:name="_Toc51063312"/>
      <w:bookmarkStart w:id="2020" w:name="_Toc51064745"/>
      <w:bookmarkStart w:id="2021" w:name="_Toc51066160"/>
      <w:bookmarkStart w:id="2022" w:name="_Toc51068208"/>
      <w:bookmarkStart w:id="2023" w:name="_Toc51105224"/>
      <w:bookmarkStart w:id="2024" w:name="_Toc51106652"/>
      <w:bookmarkStart w:id="2025" w:name="_Toc51108975"/>
      <w:bookmarkStart w:id="2026" w:name="_Toc51019461"/>
      <w:bookmarkStart w:id="2027" w:name="_Toc51056228"/>
      <w:bookmarkStart w:id="2028" w:name="_Toc51057649"/>
      <w:bookmarkStart w:id="2029" w:name="_Toc51059066"/>
      <w:bookmarkStart w:id="2030" w:name="_Toc51060482"/>
      <w:bookmarkStart w:id="2031" w:name="_Toc51061898"/>
      <w:bookmarkStart w:id="2032" w:name="_Toc51063314"/>
      <w:bookmarkStart w:id="2033" w:name="_Toc51064747"/>
      <w:bookmarkStart w:id="2034" w:name="_Toc51066162"/>
      <w:bookmarkStart w:id="2035" w:name="_Toc51068210"/>
      <w:bookmarkStart w:id="2036" w:name="_Toc51105226"/>
      <w:bookmarkStart w:id="2037" w:name="_Toc51106654"/>
      <w:bookmarkStart w:id="2038" w:name="_Toc51108977"/>
      <w:bookmarkStart w:id="2039" w:name="_Toc51019462"/>
      <w:bookmarkStart w:id="2040" w:name="_Toc51056229"/>
      <w:bookmarkStart w:id="2041" w:name="_Toc51057650"/>
      <w:bookmarkStart w:id="2042" w:name="_Toc51059067"/>
      <w:bookmarkStart w:id="2043" w:name="_Toc51060483"/>
      <w:bookmarkStart w:id="2044" w:name="_Toc51061899"/>
      <w:bookmarkStart w:id="2045" w:name="_Toc51063315"/>
      <w:bookmarkStart w:id="2046" w:name="_Toc51064748"/>
      <w:bookmarkStart w:id="2047" w:name="_Toc51066163"/>
      <w:bookmarkStart w:id="2048" w:name="_Toc51068211"/>
      <w:bookmarkStart w:id="2049" w:name="_Toc51105227"/>
      <w:bookmarkStart w:id="2050" w:name="_Toc51106655"/>
      <w:bookmarkStart w:id="2051" w:name="_Toc51108978"/>
      <w:bookmarkStart w:id="2052" w:name="_Toc51019463"/>
      <w:bookmarkStart w:id="2053" w:name="_Toc51056230"/>
      <w:bookmarkStart w:id="2054" w:name="_Toc51057651"/>
      <w:bookmarkStart w:id="2055" w:name="_Toc51059068"/>
      <w:bookmarkStart w:id="2056" w:name="_Toc51060484"/>
      <w:bookmarkStart w:id="2057" w:name="_Toc51061900"/>
      <w:bookmarkStart w:id="2058" w:name="_Toc51063316"/>
      <w:bookmarkStart w:id="2059" w:name="_Toc51064749"/>
      <w:bookmarkStart w:id="2060" w:name="_Toc51066164"/>
      <w:bookmarkStart w:id="2061" w:name="_Toc51068212"/>
      <w:bookmarkStart w:id="2062" w:name="_Toc51105228"/>
      <w:bookmarkStart w:id="2063" w:name="_Toc51106656"/>
      <w:bookmarkStart w:id="2064" w:name="_Toc51108979"/>
      <w:bookmarkStart w:id="2065" w:name="_Toc51019464"/>
      <w:bookmarkStart w:id="2066" w:name="_Toc51056231"/>
      <w:bookmarkStart w:id="2067" w:name="_Toc51057652"/>
      <w:bookmarkStart w:id="2068" w:name="_Toc51059069"/>
      <w:bookmarkStart w:id="2069" w:name="_Toc51060485"/>
      <w:bookmarkStart w:id="2070" w:name="_Toc51061901"/>
      <w:bookmarkStart w:id="2071" w:name="_Toc51063317"/>
      <w:bookmarkStart w:id="2072" w:name="_Toc51064750"/>
      <w:bookmarkStart w:id="2073" w:name="_Toc51066165"/>
      <w:bookmarkStart w:id="2074" w:name="_Toc51068213"/>
      <w:bookmarkStart w:id="2075" w:name="_Toc51105229"/>
      <w:bookmarkStart w:id="2076" w:name="_Toc51106657"/>
      <w:bookmarkStart w:id="2077" w:name="_Toc51108980"/>
      <w:bookmarkStart w:id="2078" w:name="_Toc51019465"/>
      <w:bookmarkStart w:id="2079" w:name="_Toc51056232"/>
      <w:bookmarkStart w:id="2080" w:name="_Toc51057653"/>
      <w:bookmarkStart w:id="2081" w:name="_Toc51059070"/>
      <w:bookmarkStart w:id="2082" w:name="_Toc51060486"/>
      <w:bookmarkStart w:id="2083" w:name="_Toc51061902"/>
      <w:bookmarkStart w:id="2084" w:name="_Toc51063318"/>
      <w:bookmarkStart w:id="2085" w:name="_Toc51064751"/>
      <w:bookmarkStart w:id="2086" w:name="_Toc51066166"/>
      <w:bookmarkStart w:id="2087" w:name="_Toc51068214"/>
      <w:bookmarkStart w:id="2088" w:name="_Toc51105230"/>
      <w:bookmarkStart w:id="2089" w:name="_Toc51106658"/>
      <w:bookmarkStart w:id="2090" w:name="_Toc51108981"/>
      <w:bookmarkStart w:id="2091" w:name="_Toc51019467"/>
      <w:bookmarkStart w:id="2092" w:name="_Toc51056234"/>
      <w:bookmarkStart w:id="2093" w:name="_Toc51057655"/>
      <w:bookmarkStart w:id="2094" w:name="_Toc51059072"/>
      <w:bookmarkStart w:id="2095" w:name="_Toc51060488"/>
      <w:bookmarkStart w:id="2096" w:name="_Toc51061904"/>
      <w:bookmarkStart w:id="2097" w:name="_Toc51063320"/>
      <w:bookmarkStart w:id="2098" w:name="_Toc51064753"/>
      <w:bookmarkStart w:id="2099" w:name="_Toc51066168"/>
      <w:bookmarkStart w:id="2100" w:name="_Toc51068216"/>
      <w:bookmarkStart w:id="2101" w:name="_Toc51105232"/>
      <w:bookmarkStart w:id="2102" w:name="_Toc51106660"/>
      <w:bookmarkStart w:id="2103" w:name="_Toc51108983"/>
      <w:bookmarkStart w:id="2104" w:name="_Toc51019468"/>
      <w:bookmarkStart w:id="2105" w:name="_Toc51056235"/>
      <w:bookmarkStart w:id="2106" w:name="_Toc51057656"/>
      <w:bookmarkStart w:id="2107" w:name="_Toc51059073"/>
      <w:bookmarkStart w:id="2108" w:name="_Toc51060489"/>
      <w:bookmarkStart w:id="2109" w:name="_Toc51061905"/>
      <w:bookmarkStart w:id="2110" w:name="_Toc51063321"/>
      <w:bookmarkStart w:id="2111" w:name="_Toc51064754"/>
      <w:bookmarkStart w:id="2112" w:name="_Toc51066169"/>
      <w:bookmarkStart w:id="2113" w:name="_Toc51068217"/>
      <w:bookmarkStart w:id="2114" w:name="_Toc51105233"/>
      <w:bookmarkStart w:id="2115" w:name="_Toc51106661"/>
      <w:bookmarkStart w:id="2116" w:name="_Toc51108984"/>
      <w:bookmarkStart w:id="2117" w:name="_Toc51019472"/>
      <w:bookmarkStart w:id="2118" w:name="_Toc51056239"/>
      <w:bookmarkStart w:id="2119" w:name="_Toc51057660"/>
      <w:bookmarkStart w:id="2120" w:name="_Toc51059077"/>
      <w:bookmarkStart w:id="2121" w:name="_Toc51060493"/>
      <w:bookmarkStart w:id="2122" w:name="_Toc51061909"/>
      <w:bookmarkStart w:id="2123" w:name="_Toc51063325"/>
      <w:bookmarkStart w:id="2124" w:name="_Toc51064758"/>
      <w:bookmarkStart w:id="2125" w:name="_Toc51066173"/>
      <w:bookmarkStart w:id="2126" w:name="_Toc51068221"/>
      <w:bookmarkStart w:id="2127" w:name="_Toc51105237"/>
      <w:bookmarkStart w:id="2128" w:name="_Toc51106665"/>
      <w:bookmarkStart w:id="2129" w:name="_Toc51108988"/>
      <w:bookmarkStart w:id="2130" w:name="_Toc51019538"/>
      <w:bookmarkStart w:id="2131" w:name="_Toc51056305"/>
      <w:bookmarkStart w:id="2132" w:name="_Toc51057726"/>
      <w:bookmarkStart w:id="2133" w:name="_Toc51059143"/>
      <w:bookmarkStart w:id="2134" w:name="_Toc51060559"/>
      <w:bookmarkStart w:id="2135" w:name="_Toc51061975"/>
      <w:bookmarkStart w:id="2136" w:name="_Toc51063391"/>
      <w:bookmarkStart w:id="2137" w:name="_Toc51064824"/>
      <w:bookmarkStart w:id="2138" w:name="_Toc51066239"/>
      <w:bookmarkStart w:id="2139" w:name="_Toc51068287"/>
      <w:bookmarkStart w:id="2140" w:name="_Toc51105303"/>
      <w:bookmarkStart w:id="2141" w:name="_Toc51106731"/>
      <w:bookmarkStart w:id="2142" w:name="_Toc51109054"/>
      <w:bookmarkStart w:id="2143" w:name="_Toc51019539"/>
      <w:bookmarkStart w:id="2144" w:name="_Toc51056306"/>
      <w:bookmarkStart w:id="2145" w:name="_Toc51057727"/>
      <w:bookmarkStart w:id="2146" w:name="_Toc51059144"/>
      <w:bookmarkStart w:id="2147" w:name="_Toc51060560"/>
      <w:bookmarkStart w:id="2148" w:name="_Toc51061976"/>
      <w:bookmarkStart w:id="2149" w:name="_Toc51063392"/>
      <w:bookmarkStart w:id="2150" w:name="_Toc51064825"/>
      <w:bookmarkStart w:id="2151" w:name="_Toc51066240"/>
      <w:bookmarkStart w:id="2152" w:name="_Toc51068288"/>
      <w:bookmarkStart w:id="2153" w:name="_Toc51105304"/>
      <w:bookmarkStart w:id="2154" w:name="_Toc51106732"/>
      <w:bookmarkStart w:id="2155" w:name="_Toc51109055"/>
      <w:bookmarkStart w:id="2156" w:name="_Toc51019540"/>
      <w:bookmarkStart w:id="2157" w:name="_Toc51056307"/>
      <w:bookmarkStart w:id="2158" w:name="_Toc51057728"/>
      <w:bookmarkStart w:id="2159" w:name="_Toc51059145"/>
      <w:bookmarkStart w:id="2160" w:name="_Toc51060561"/>
      <w:bookmarkStart w:id="2161" w:name="_Toc51061977"/>
      <w:bookmarkStart w:id="2162" w:name="_Toc51063393"/>
      <w:bookmarkStart w:id="2163" w:name="_Toc51064826"/>
      <w:bookmarkStart w:id="2164" w:name="_Toc51066241"/>
      <w:bookmarkStart w:id="2165" w:name="_Toc51068289"/>
      <w:bookmarkStart w:id="2166" w:name="_Toc51105305"/>
      <w:bookmarkStart w:id="2167" w:name="_Toc51106733"/>
      <w:bookmarkStart w:id="2168" w:name="_Toc51109056"/>
      <w:bookmarkStart w:id="2169" w:name="_Toc51019541"/>
      <w:bookmarkStart w:id="2170" w:name="_Toc51056308"/>
      <w:bookmarkStart w:id="2171" w:name="_Toc51057729"/>
      <w:bookmarkStart w:id="2172" w:name="_Toc51059146"/>
      <w:bookmarkStart w:id="2173" w:name="_Toc51060562"/>
      <w:bookmarkStart w:id="2174" w:name="_Toc51061978"/>
      <w:bookmarkStart w:id="2175" w:name="_Toc51063394"/>
      <w:bookmarkStart w:id="2176" w:name="_Toc51064827"/>
      <w:bookmarkStart w:id="2177" w:name="_Toc51066242"/>
      <w:bookmarkStart w:id="2178" w:name="_Toc51068290"/>
      <w:bookmarkStart w:id="2179" w:name="_Toc51105306"/>
      <w:bookmarkStart w:id="2180" w:name="_Toc51106734"/>
      <w:bookmarkStart w:id="2181" w:name="_Toc51109057"/>
      <w:bookmarkStart w:id="2182" w:name="_Toc51019542"/>
      <w:bookmarkStart w:id="2183" w:name="_Toc51056309"/>
      <w:bookmarkStart w:id="2184" w:name="_Toc51057730"/>
      <w:bookmarkStart w:id="2185" w:name="_Toc51059147"/>
      <w:bookmarkStart w:id="2186" w:name="_Toc51060563"/>
      <w:bookmarkStart w:id="2187" w:name="_Toc51061979"/>
      <w:bookmarkStart w:id="2188" w:name="_Toc51063395"/>
      <w:bookmarkStart w:id="2189" w:name="_Toc51064828"/>
      <w:bookmarkStart w:id="2190" w:name="_Toc51066243"/>
      <w:bookmarkStart w:id="2191" w:name="_Toc51068291"/>
      <w:bookmarkStart w:id="2192" w:name="_Toc51105307"/>
      <w:bookmarkStart w:id="2193" w:name="_Toc51106735"/>
      <w:bookmarkStart w:id="2194" w:name="_Toc51109058"/>
      <w:bookmarkStart w:id="2195" w:name="_Toc51019543"/>
      <w:bookmarkStart w:id="2196" w:name="_Toc51056310"/>
      <w:bookmarkStart w:id="2197" w:name="_Toc51057731"/>
      <w:bookmarkStart w:id="2198" w:name="_Toc51059148"/>
      <w:bookmarkStart w:id="2199" w:name="_Toc51060564"/>
      <w:bookmarkStart w:id="2200" w:name="_Toc51061980"/>
      <w:bookmarkStart w:id="2201" w:name="_Toc51063396"/>
      <w:bookmarkStart w:id="2202" w:name="_Toc51064829"/>
      <w:bookmarkStart w:id="2203" w:name="_Toc51066244"/>
      <w:bookmarkStart w:id="2204" w:name="_Toc51068292"/>
      <w:bookmarkStart w:id="2205" w:name="_Toc51105308"/>
      <w:bookmarkStart w:id="2206" w:name="_Toc51106736"/>
      <w:bookmarkStart w:id="2207" w:name="_Toc51109059"/>
      <w:bookmarkStart w:id="2208" w:name="_Toc51019544"/>
      <w:bookmarkStart w:id="2209" w:name="_Toc51056311"/>
      <w:bookmarkStart w:id="2210" w:name="_Toc51057732"/>
      <w:bookmarkStart w:id="2211" w:name="_Toc51059149"/>
      <w:bookmarkStart w:id="2212" w:name="_Toc51060565"/>
      <w:bookmarkStart w:id="2213" w:name="_Toc51061981"/>
      <w:bookmarkStart w:id="2214" w:name="_Toc51063397"/>
      <w:bookmarkStart w:id="2215" w:name="_Toc51064830"/>
      <w:bookmarkStart w:id="2216" w:name="_Toc51066245"/>
      <w:bookmarkStart w:id="2217" w:name="_Toc51068293"/>
      <w:bookmarkStart w:id="2218" w:name="_Toc51105309"/>
      <w:bookmarkStart w:id="2219" w:name="_Toc51106737"/>
      <w:bookmarkStart w:id="2220" w:name="_Toc51109060"/>
      <w:bookmarkStart w:id="2221" w:name="_Toc51019545"/>
      <w:bookmarkStart w:id="2222" w:name="_Toc51056312"/>
      <w:bookmarkStart w:id="2223" w:name="_Toc51057733"/>
      <w:bookmarkStart w:id="2224" w:name="_Toc51059150"/>
      <w:bookmarkStart w:id="2225" w:name="_Toc51060566"/>
      <w:bookmarkStart w:id="2226" w:name="_Toc51061982"/>
      <w:bookmarkStart w:id="2227" w:name="_Toc51063398"/>
      <w:bookmarkStart w:id="2228" w:name="_Toc51064831"/>
      <w:bookmarkStart w:id="2229" w:name="_Toc51066246"/>
      <w:bookmarkStart w:id="2230" w:name="_Toc51068294"/>
      <w:bookmarkStart w:id="2231" w:name="_Toc51105310"/>
      <w:bookmarkStart w:id="2232" w:name="_Toc51106738"/>
      <w:bookmarkStart w:id="2233" w:name="_Toc51109061"/>
      <w:bookmarkStart w:id="2234" w:name="_Toc51019546"/>
      <w:bookmarkStart w:id="2235" w:name="_Toc51056313"/>
      <w:bookmarkStart w:id="2236" w:name="_Toc51057734"/>
      <w:bookmarkStart w:id="2237" w:name="_Toc51059151"/>
      <w:bookmarkStart w:id="2238" w:name="_Toc51060567"/>
      <w:bookmarkStart w:id="2239" w:name="_Toc51061983"/>
      <w:bookmarkStart w:id="2240" w:name="_Toc51063399"/>
      <w:bookmarkStart w:id="2241" w:name="_Toc51064832"/>
      <w:bookmarkStart w:id="2242" w:name="_Toc51066247"/>
      <w:bookmarkStart w:id="2243" w:name="_Toc51068295"/>
      <w:bookmarkStart w:id="2244" w:name="_Toc51105311"/>
      <w:bookmarkStart w:id="2245" w:name="_Toc51106739"/>
      <w:bookmarkStart w:id="2246" w:name="_Toc51109062"/>
      <w:bookmarkStart w:id="2247" w:name="_Toc51019547"/>
      <w:bookmarkStart w:id="2248" w:name="_Toc51056314"/>
      <w:bookmarkStart w:id="2249" w:name="_Toc51057735"/>
      <w:bookmarkStart w:id="2250" w:name="_Toc51059152"/>
      <w:bookmarkStart w:id="2251" w:name="_Toc51060568"/>
      <w:bookmarkStart w:id="2252" w:name="_Toc51061984"/>
      <w:bookmarkStart w:id="2253" w:name="_Toc51063400"/>
      <w:bookmarkStart w:id="2254" w:name="_Toc51064833"/>
      <w:bookmarkStart w:id="2255" w:name="_Toc51066248"/>
      <w:bookmarkStart w:id="2256" w:name="_Toc51068296"/>
      <w:bookmarkStart w:id="2257" w:name="_Toc51105312"/>
      <w:bookmarkStart w:id="2258" w:name="_Toc51106740"/>
      <w:bookmarkStart w:id="2259" w:name="_Toc51109063"/>
      <w:bookmarkStart w:id="2260" w:name="_Toc51019548"/>
      <w:bookmarkStart w:id="2261" w:name="_Toc51056315"/>
      <w:bookmarkStart w:id="2262" w:name="_Toc51057736"/>
      <w:bookmarkStart w:id="2263" w:name="_Toc51059153"/>
      <w:bookmarkStart w:id="2264" w:name="_Toc51060569"/>
      <w:bookmarkStart w:id="2265" w:name="_Toc51061985"/>
      <w:bookmarkStart w:id="2266" w:name="_Toc51063401"/>
      <w:bookmarkStart w:id="2267" w:name="_Toc51064834"/>
      <w:bookmarkStart w:id="2268" w:name="_Toc51066249"/>
      <w:bookmarkStart w:id="2269" w:name="_Toc51068297"/>
      <w:bookmarkStart w:id="2270" w:name="_Toc51105313"/>
      <w:bookmarkStart w:id="2271" w:name="_Toc51106741"/>
      <w:bookmarkStart w:id="2272" w:name="_Toc51109064"/>
      <w:bookmarkStart w:id="2273" w:name="_Toc51019549"/>
      <w:bookmarkStart w:id="2274" w:name="_Toc51056316"/>
      <w:bookmarkStart w:id="2275" w:name="_Toc51057737"/>
      <w:bookmarkStart w:id="2276" w:name="_Toc51059154"/>
      <w:bookmarkStart w:id="2277" w:name="_Toc51060570"/>
      <w:bookmarkStart w:id="2278" w:name="_Toc51061986"/>
      <w:bookmarkStart w:id="2279" w:name="_Toc51063402"/>
      <w:bookmarkStart w:id="2280" w:name="_Toc51064835"/>
      <w:bookmarkStart w:id="2281" w:name="_Toc51066250"/>
      <w:bookmarkStart w:id="2282" w:name="_Toc51068298"/>
      <w:bookmarkStart w:id="2283" w:name="_Toc51105314"/>
      <w:bookmarkStart w:id="2284" w:name="_Toc51106742"/>
      <w:bookmarkStart w:id="2285" w:name="_Toc51109065"/>
      <w:bookmarkStart w:id="2286" w:name="_Toc51019550"/>
      <w:bookmarkStart w:id="2287" w:name="_Toc51056317"/>
      <w:bookmarkStart w:id="2288" w:name="_Toc51057738"/>
      <w:bookmarkStart w:id="2289" w:name="_Toc51059155"/>
      <w:bookmarkStart w:id="2290" w:name="_Toc51060571"/>
      <w:bookmarkStart w:id="2291" w:name="_Toc51061987"/>
      <w:bookmarkStart w:id="2292" w:name="_Toc51063403"/>
      <w:bookmarkStart w:id="2293" w:name="_Toc51064836"/>
      <w:bookmarkStart w:id="2294" w:name="_Toc51066251"/>
      <w:bookmarkStart w:id="2295" w:name="_Toc51068299"/>
      <w:bookmarkStart w:id="2296" w:name="_Toc51105315"/>
      <w:bookmarkStart w:id="2297" w:name="_Toc51106743"/>
      <w:bookmarkStart w:id="2298" w:name="_Toc51109066"/>
      <w:bookmarkStart w:id="2299" w:name="_Toc51019551"/>
      <w:bookmarkStart w:id="2300" w:name="_Toc51056318"/>
      <w:bookmarkStart w:id="2301" w:name="_Toc51057739"/>
      <w:bookmarkStart w:id="2302" w:name="_Toc51059156"/>
      <w:bookmarkStart w:id="2303" w:name="_Toc51060572"/>
      <w:bookmarkStart w:id="2304" w:name="_Toc51061988"/>
      <w:bookmarkStart w:id="2305" w:name="_Toc51063404"/>
      <w:bookmarkStart w:id="2306" w:name="_Toc51064837"/>
      <w:bookmarkStart w:id="2307" w:name="_Toc51066252"/>
      <w:bookmarkStart w:id="2308" w:name="_Toc51068300"/>
      <w:bookmarkStart w:id="2309" w:name="_Toc51105316"/>
      <w:bookmarkStart w:id="2310" w:name="_Toc51106744"/>
      <w:bookmarkStart w:id="2311" w:name="_Toc51109067"/>
      <w:bookmarkStart w:id="2312" w:name="_Toc51019552"/>
      <w:bookmarkStart w:id="2313" w:name="_Toc51056319"/>
      <w:bookmarkStart w:id="2314" w:name="_Toc51057740"/>
      <w:bookmarkStart w:id="2315" w:name="_Toc51059157"/>
      <w:bookmarkStart w:id="2316" w:name="_Toc51060573"/>
      <w:bookmarkStart w:id="2317" w:name="_Toc51061989"/>
      <w:bookmarkStart w:id="2318" w:name="_Toc51063405"/>
      <w:bookmarkStart w:id="2319" w:name="_Toc51064838"/>
      <w:bookmarkStart w:id="2320" w:name="_Toc51066253"/>
      <w:bookmarkStart w:id="2321" w:name="_Toc51068301"/>
      <w:bookmarkStart w:id="2322" w:name="_Toc51105317"/>
      <w:bookmarkStart w:id="2323" w:name="_Toc51106745"/>
      <w:bookmarkStart w:id="2324" w:name="_Toc51109068"/>
      <w:bookmarkStart w:id="2325" w:name="_Toc51019553"/>
      <w:bookmarkStart w:id="2326" w:name="_Toc51056320"/>
      <w:bookmarkStart w:id="2327" w:name="_Toc51057741"/>
      <w:bookmarkStart w:id="2328" w:name="_Toc51059158"/>
      <w:bookmarkStart w:id="2329" w:name="_Toc51060574"/>
      <w:bookmarkStart w:id="2330" w:name="_Toc51061990"/>
      <w:bookmarkStart w:id="2331" w:name="_Toc51063406"/>
      <w:bookmarkStart w:id="2332" w:name="_Toc51064839"/>
      <w:bookmarkStart w:id="2333" w:name="_Toc51066254"/>
      <w:bookmarkStart w:id="2334" w:name="_Toc51068302"/>
      <w:bookmarkStart w:id="2335" w:name="_Toc51105318"/>
      <w:bookmarkStart w:id="2336" w:name="_Toc51106746"/>
      <w:bookmarkStart w:id="2337" w:name="_Toc51109069"/>
      <w:bookmarkStart w:id="2338" w:name="_Toc51019554"/>
      <w:bookmarkStart w:id="2339" w:name="_Toc51056321"/>
      <w:bookmarkStart w:id="2340" w:name="_Toc51057742"/>
      <w:bookmarkStart w:id="2341" w:name="_Toc51059159"/>
      <w:bookmarkStart w:id="2342" w:name="_Toc51060575"/>
      <w:bookmarkStart w:id="2343" w:name="_Toc51061991"/>
      <w:bookmarkStart w:id="2344" w:name="_Toc51063407"/>
      <w:bookmarkStart w:id="2345" w:name="_Toc51064840"/>
      <w:bookmarkStart w:id="2346" w:name="_Toc51066255"/>
      <w:bookmarkStart w:id="2347" w:name="_Toc51068303"/>
      <w:bookmarkStart w:id="2348" w:name="_Toc51105319"/>
      <w:bookmarkStart w:id="2349" w:name="_Toc51106747"/>
      <w:bookmarkStart w:id="2350" w:name="_Toc51109070"/>
      <w:bookmarkStart w:id="2351" w:name="_Toc51019555"/>
      <w:bookmarkStart w:id="2352" w:name="_Toc51056322"/>
      <w:bookmarkStart w:id="2353" w:name="_Toc51057743"/>
      <w:bookmarkStart w:id="2354" w:name="_Toc51059160"/>
      <w:bookmarkStart w:id="2355" w:name="_Toc51060576"/>
      <w:bookmarkStart w:id="2356" w:name="_Toc51061992"/>
      <w:bookmarkStart w:id="2357" w:name="_Toc51063408"/>
      <w:bookmarkStart w:id="2358" w:name="_Toc51064841"/>
      <w:bookmarkStart w:id="2359" w:name="_Toc51066256"/>
      <w:bookmarkStart w:id="2360" w:name="_Toc51068304"/>
      <w:bookmarkStart w:id="2361" w:name="_Toc51105320"/>
      <w:bookmarkStart w:id="2362" w:name="_Toc51106748"/>
      <w:bookmarkStart w:id="2363" w:name="_Toc51109071"/>
      <w:bookmarkStart w:id="2364" w:name="_Toc51019556"/>
      <w:bookmarkStart w:id="2365" w:name="_Toc51056323"/>
      <w:bookmarkStart w:id="2366" w:name="_Toc51057744"/>
      <w:bookmarkStart w:id="2367" w:name="_Toc51059161"/>
      <w:bookmarkStart w:id="2368" w:name="_Toc51060577"/>
      <w:bookmarkStart w:id="2369" w:name="_Toc51061993"/>
      <w:bookmarkStart w:id="2370" w:name="_Toc51063409"/>
      <w:bookmarkStart w:id="2371" w:name="_Toc51064842"/>
      <w:bookmarkStart w:id="2372" w:name="_Toc51066257"/>
      <w:bookmarkStart w:id="2373" w:name="_Toc51068305"/>
      <w:bookmarkStart w:id="2374" w:name="_Toc51105321"/>
      <w:bookmarkStart w:id="2375" w:name="_Toc51106749"/>
      <w:bookmarkStart w:id="2376" w:name="_Toc51109072"/>
      <w:bookmarkStart w:id="2377" w:name="_Toc51019557"/>
      <w:bookmarkStart w:id="2378" w:name="_Toc51056324"/>
      <w:bookmarkStart w:id="2379" w:name="_Toc51057745"/>
      <w:bookmarkStart w:id="2380" w:name="_Toc51059162"/>
      <w:bookmarkStart w:id="2381" w:name="_Toc51060578"/>
      <w:bookmarkStart w:id="2382" w:name="_Toc51061994"/>
      <w:bookmarkStart w:id="2383" w:name="_Toc51063410"/>
      <w:bookmarkStart w:id="2384" w:name="_Toc51064843"/>
      <w:bookmarkStart w:id="2385" w:name="_Toc51066258"/>
      <w:bookmarkStart w:id="2386" w:name="_Toc51068306"/>
      <w:bookmarkStart w:id="2387" w:name="_Toc51105322"/>
      <w:bookmarkStart w:id="2388" w:name="_Toc51106750"/>
      <w:bookmarkStart w:id="2389" w:name="_Toc51109073"/>
      <w:bookmarkStart w:id="2390" w:name="_Toc51019558"/>
      <w:bookmarkStart w:id="2391" w:name="_Toc51056325"/>
      <w:bookmarkStart w:id="2392" w:name="_Toc51057746"/>
      <w:bookmarkStart w:id="2393" w:name="_Toc51059163"/>
      <w:bookmarkStart w:id="2394" w:name="_Toc51060579"/>
      <w:bookmarkStart w:id="2395" w:name="_Toc51061995"/>
      <w:bookmarkStart w:id="2396" w:name="_Toc51063411"/>
      <w:bookmarkStart w:id="2397" w:name="_Toc51064844"/>
      <w:bookmarkStart w:id="2398" w:name="_Toc51066259"/>
      <w:bookmarkStart w:id="2399" w:name="_Toc51068307"/>
      <w:bookmarkStart w:id="2400" w:name="_Toc51105323"/>
      <w:bookmarkStart w:id="2401" w:name="_Toc51106751"/>
      <w:bookmarkStart w:id="2402" w:name="_Toc51109074"/>
      <w:bookmarkStart w:id="2403" w:name="_Toc51019562"/>
      <w:bookmarkStart w:id="2404" w:name="_Toc51056329"/>
      <w:bookmarkStart w:id="2405" w:name="_Toc51057750"/>
      <w:bookmarkStart w:id="2406" w:name="_Toc51059167"/>
      <w:bookmarkStart w:id="2407" w:name="_Toc51060583"/>
      <w:bookmarkStart w:id="2408" w:name="_Toc51061999"/>
      <w:bookmarkStart w:id="2409" w:name="_Toc51063415"/>
      <w:bookmarkStart w:id="2410" w:name="_Toc51064848"/>
      <w:bookmarkStart w:id="2411" w:name="_Toc51066263"/>
      <w:bookmarkStart w:id="2412" w:name="_Toc51068311"/>
      <w:bookmarkStart w:id="2413" w:name="_Toc51105327"/>
      <w:bookmarkStart w:id="2414" w:name="_Toc51106755"/>
      <w:bookmarkStart w:id="2415" w:name="_Toc51109078"/>
      <w:bookmarkStart w:id="2416" w:name="_Toc51019586"/>
      <w:bookmarkStart w:id="2417" w:name="_Toc51056353"/>
      <w:bookmarkStart w:id="2418" w:name="_Toc51057774"/>
      <w:bookmarkStart w:id="2419" w:name="_Toc51059191"/>
      <w:bookmarkStart w:id="2420" w:name="_Toc51060607"/>
      <w:bookmarkStart w:id="2421" w:name="_Toc51062023"/>
      <w:bookmarkStart w:id="2422" w:name="_Toc51063439"/>
      <w:bookmarkStart w:id="2423" w:name="_Toc51064872"/>
      <w:bookmarkStart w:id="2424" w:name="_Toc51066287"/>
      <w:bookmarkStart w:id="2425" w:name="_Toc51068335"/>
      <w:bookmarkStart w:id="2426" w:name="_Toc51105351"/>
      <w:bookmarkStart w:id="2427" w:name="_Toc51106779"/>
      <w:bookmarkStart w:id="2428" w:name="_Toc51109102"/>
      <w:bookmarkStart w:id="2429" w:name="_Toc51019587"/>
      <w:bookmarkStart w:id="2430" w:name="_Toc51056354"/>
      <w:bookmarkStart w:id="2431" w:name="_Toc51057775"/>
      <w:bookmarkStart w:id="2432" w:name="_Toc51059192"/>
      <w:bookmarkStart w:id="2433" w:name="_Toc51060608"/>
      <w:bookmarkStart w:id="2434" w:name="_Toc51062024"/>
      <w:bookmarkStart w:id="2435" w:name="_Toc51063440"/>
      <w:bookmarkStart w:id="2436" w:name="_Toc51064873"/>
      <w:bookmarkStart w:id="2437" w:name="_Toc51066288"/>
      <w:bookmarkStart w:id="2438" w:name="_Toc51068336"/>
      <w:bookmarkStart w:id="2439" w:name="_Toc51105352"/>
      <w:bookmarkStart w:id="2440" w:name="_Toc51106780"/>
      <w:bookmarkStart w:id="2441" w:name="_Toc51109103"/>
      <w:bookmarkStart w:id="2442" w:name="_Toc51019588"/>
      <w:bookmarkStart w:id="2443" w:name="_Toc51056355"/>
      <w:bookmarkStart w:id="2444" w:name="_Toc51057776"/>
      <w:bookmarkStart w:id="2445" w:name="_Toc51059193"/>
      <w:bookmarkStart w:id="2446" w:name="_Toc51060609"/>
      <w:bookmarkStart w:id="2447" w:name="_Toc51062025"/>
      <w:bookmarkStart w:id="2448" w:name="_Toc51063441"/>
      <w:bookmarkStart w:id="2449" w:name="_Toc51064874"/>
      <w:bookmarkStart w:id="2450" w:name="_Toc51066289"/>
      <w:bookmarkStart w:id="2451" w:name="_Toc51068337"/>
      <w:bookmarkStart w:id="2452" w:name="_Toc51105353"/>
      <w:bookmarkStart w:id="2453" w:name="_Toc51106781"/>
      <w:bookmarkStart w:id="2454" w:name="_Toc51109104"/>
      <w:bookmarkStart w:id="2455" w:name="_Toc51019589"/>
      <w:bookmarkStart w:id="2456" w:name="_Toc51056356"/>
      <w:bookmarkStart w:id="2457" w:name="_Toc51057777"/>
      <w:bookmarkStart w:id="2458" w:name="_Toc51059194"/>
      <w:bookmarkStart w:id="2459" w:name="_Toc51060610"/>
      <w:bookmarkStart w:id="2460" w:name="_Toc51062026"/>
      <w:bookmarkStart w:id="2461" w:name="_Toc51063442"/>
      <w:bookmarkStart w:id="2462" w:name="_Toc51064875"/>
      <w:bookmarkStart w:id="2463" w:name="_Toc51066290"/>
      <w:bookmarkStart w:id="2464" w:name="_Toc51068338"/>
      <w:bookmarkStart w:id="2465" w:name="_Toc51105354"/>
      <w:bookmarkStart w:id="2466" w:name="_Toc51106782"/>
      <w:bookmarkStart w:id="2467" w:name="_Toc51109105"/>
      <w:bookmarkStart w:id="2468" w:name="_Toc51019590"/>
      <w:bookmarkStart w:id="2469" w:name="_Toc51056357"/>
      <w:bookmarkStart w:id="2470" w:name="_Toc51057778"/>
      <w:bookmarkStart w:id="2471" w:name="_Toc51059195"/>
      <w:bookmarkStart w:id="2472" w:name="_Toc51060611"/>
      <w:bookmarkStart w:id="2473" w:name="_Toc51062027"/>
      <w:bookmarkStart w:id="2474" w:name="_Toc51063443"/>
      <w:bookmarkStart w:id="2475" w:name="_Toc51064876"/>
      <w:bookmarkStart w:id="2476" w:name="_Toc51066291"/>
      <w:bookmarkStart w:id="2477" w:name="_Toc51068339"/>
      <w:bookmarkStart w:id="2478" w:name="_Toc51105355"/>
      <w:bookmarkStart w:id="2479" w:name="_Toc51106783"/>
      <w:bookmarkStart w:id="2480" w:name="_Toc51109106"/>
      <w:bookmarkStart w:id="2481" w:name="_Toc51019591"/>
      <w:bookmarkStart w:id="2482" w:name="_Toc51056358"/>
      <w:bookmarkStart w:id="2483" w:name="_Toc51057779"/>
      <w:bookmarkStart w:id="2484" w:name="_Toc51059196"/>
      <w:bookmarkStart w:id="2485" w:name="_Toc51060612"/>
      <w:bookmarkStart w:id="2486" w:name="_Toc51062028"/>
      <w:bookmarkStart w:id="2487" w:name="_Toc51063444"/>
      <w:bookmarkStart w:id="2488" w:name="_Toc51064877"/>
      <w:bookmarkStart w:id="2489" w:name="_Toc51066292"/>
      <w:bookmarkStart w:id="2490" w:name="_Toc51068340"/>
      <w:bookmarkStart w:id="2491" w:name="_Toc51105356"/>
      <w:bookmarkStart w:id="2492" w:name="_Toc51106784"/>
      <w:bookmarkStart w:id="2493" w:name="_Toc51109107"/>
      <w:bookmarkStart w:id="2494" w:name="_Toc51019592"/>
      <w:bookmarkStart w:id="2495" w:name="_Toc51056359"/>
      <w:bookmarkStart w:id="2496" w:name="_Toc51057780"/>
      <w:bookmarkStart w:id="2497" w:name="_Toc51059197"/>
      <w:bookmarkStart w:id="2498" w:name="_Toc51060613"/>
      <w:bookmarkStart w:id="2499" w:name="_Toc51062029"/>
      <w:bookmarkStart w:id="2500" w:name="_Toc51063445"/>
      <w:bookmarkStart w:id="2501" w:name="_Toc51064878"/>
      <w:bookmarkStart w:id="2502" w:name="_Toc51066293"/>
      <w:bookmarkStart w:id="2503" w:name="_Toc51068341"/>
      <w:bookmarkStart w:id="2504" w:name="_Toc51105357"/>
      <w:bookmarkStart w:id="2505" w:name="_Toc51106785"/>
      <w:bookmarkStart w:id="2506" w:name="_Toc51109108"/>
      <w:bookmarkStart w:id="2507" w:name="_Toc51019593"/>
      <w:bookmarkStart w:id="2508" w:name="_Toc51056360"/>
      <w:bookmarkStart w:id="2509" w:name="_Toc51057781"/>
      <w:bookmarkStart w:id="2510" w:name="_Toc51059198"/>
      <w:bookmarkStart w:id="2511" w:name="_Toc51060614"/>
      <w:bookmarkStart w:id="2512" w:name="_Toc51062030"/>
      <w:bookmarkStart w:id="2513" w:name="_Toc51063446"/>
      <w:bookmarkStart w:id="2514" w:name="_Toc51064879"/>
      <w:bookmarkStart w:id="2515" w:name="_Toc51066294"/>
      <w:bookmarkStart w:id="2516" w:name="_Toc51068342"/>
      <w:bookmarkStart w:id="2517" w:name="_Toc51105358"/>
      <w:bookmarkStart w:id="2518" w:name="_Toc51106786"/>
      <w:bookmarkStart w:id="2519" w:name="_Toc51109109"/>
      <w:bookmarkStart w:id="2520" w:name="_Toc51019594"/>
      <w:bookmarkStart w:id="2521" w:name="_Toc51056361"/>
      <w:bookmarkStart w:id="2522" w:name="_Toc51057782"/>
      <w:bookmarkStart w:id="2523" w:name="_Toc51059199"/>
      <w:bookmarkStart w:id="2524" w:name="_Toc51060615"/>
      <w:bookmarkStart w:id="2525" w:name="_Toc51062031"/>
      <w:bookmarkStart w:id="2526" w:name="_Toc51063447"/>
      <w:bookmarkStart w:id="2527" w:name="_Toc51064880"/>
      <w:bookmarkStart w:id="2528" w:name="_Toc51066295"/>
      <w:bookmarkStart w:id="2529" w:name="_Toc51068343"/>
      <w:bookmarkStart w:id="2530" w:name="_Toc51105359"/>
      <w:bookmarkStart w:id="2531" w:name="_Toc51106787"/>
      <w:bookmarkStart w:id="2532" w:name="_Toc51109110"/>
      <w:bookmarkStart w:id="2533" w:name="_Toc51019595"/>
      <w:bookmarkStart w:id="2534" w:name="_Toc51056362"/>
      <w:bookmarkStart w:id="2535" w:name="_Toc51057783"/>
      <w:bookmarkStart w:id="2536" w:name="_Toc51059200"/>
      <w:bookmarkStart w:id="2537" w:name="_Toc51060616"/>
      <w:bookmarkStart w:id="2538" w:name="_Toc51062032"/>
      <w:bookmarkStart w:id="2539" w:name="_Toc51063448"/>
      <w:bookmarkStart w:id="2540" w:name="_Toc51064881"/>
      <w:bookmarkStart w:id="2541" w:name="_Toc51066296"/>
      <w:bookmarkStart w:id="2542" w:name="_Toc51068344"/>
      <w:bookmarkStart w:id="2543" w:name="_Toc51105360"/>
      <w:bookmarkStart w:id="2544" w:name="_Toc51106788"/>
      <w:bookmarkStart w:id="2545" w:name="_Toc51109111"/>
      <w:bookmarkStart w:id="2546" w:name="_Toc51019599"/>
      <w:bookmarkStart w:id="2547" w:name="_Toc51056366"/>
      <w:bookmarkStart w:id="2548" w:name="_Toc51057787"/>
      <w:bookmarkStart w:id="2549" w:name="_Toc51059204"/>
      <w:bookmarkStart w:id="2550" w:name="_Toc51060620"/>
      <w:bookmarkStart w:id="2551" w:name="_Toc51062036"/>
      <w:bookmarkStart w:id="2552" w:name="_Toc51063452"/>
      <w:bookmarkStart w:id="2553" w:name="_Toc51064885"/>
      <w:bookmarkStart w:id="2554" w:name="_Toc51066300"/>
      <w:bookmarkStart w:id="2555" w:name="_Toc51068348"/>
      <w:bookmarkStart w:id="2556" w:name="_Toc51105364"/>
      <w:bookmarkStart w:id="2557" w:name="_Toc51106792"/>
      <w:bookmarkStart w:id="2558" w:name="_Toc51109115"/>
      <w:bookmarkStart w:id="2559" w:name="_Toc51019653"/>
      <w:bookmarkStart w:id="2560" w:name="_Toc51056420"/>
      <w:bookmarkStart w:id="2561" w:name="_Toc51057841"/>
      <w:bookmarkStart w:id="2562" w:name="_Toc51059258"/>
      <w:bookmarkStart w:id="2563" w:name="_Toc51060674"/>
      <w:bookmarkStart w:id="2564" w:name="_Toc51062090"/>
      <w:bookmarkStart w:id="2565" w:name="_Toc51063506"/>
      <w:bookmarkStart w:id="2566" w:name="_Toc51064939"/>
      <w:bookmarkStart w:id="2567" w:name="_Toc51066354"/>
      <w:bookmarkStart w:id="2568" w:name="_Toc51068402"/>
      <w:bookmarkStart w:id="2569" w:name="_Toc51105418"/>
      <w:bookmarkStart w:id="2570" w:name="_Toc51106846"/>
      <w:bookmarkStart w:id="2571" w:name="_Toc51109169"/>
      <w:bookmarkStart w:id="2572" w:name="_Toc51019654"/>
      <w:bookmarkStart w:id="2573" w:name="_Toc51056421"/>
      <w:bookmarkStart w:id="2574" w:name="_Toc51057842"/>
      <w:bookmarkStart w:id="2575" w:name="_Toc51059259"/>
      <w:bookmarkStart w:id="2576" w:name="_Toc51060675"/>
      <w:bookmarkStart w:id="2577" w:name="_Toc51062091"/>
      <w:bookmarkStart w:id="2578" w:name="_Toc51063507"/>
      <w:bookmarkStart w:id="2579" w:name="_Toc51064940"/>
      <w:bookmarkStart w:id="2580" w:name="_Toc51066355"/>
      <w:bookmarkStart w:id="2581" w:name="_Toc51068403"/>
      <w:bookmarkStart w:id="2582" w:name="_Toc51105419"/>
      <w:bookmarkStart w:id="2583" w:name="_Toc51106847"/>
      <w:bookmarkStart w:id="2584" w:name="_Toc51109170"/>
      <w:bookmarkStart w:id="2585" w:name="_Toc51019656"/>
      <w:bookmarkStart w:id="2586" w:name="_Toc51056423"/>
      <w:bookmarkStart w:id="2587" w:name="_Toc51057844"/>
      <w:bookmarkStart w:id="2588" w:name="_Toc51059261"/>
      <w:bookmarkStart w:id="2589" w:name="_Toc51060677"/>
      <w:bookmarkStart w:id="2590" w:name="_Toc51062093"/>
      <w:bookmarkStart w:id="2591" w:name="_Toc51063509"/>
      <w:bookmarkStart w:id="2592" w:name="_Toc51064942"/>
      <w:bookmarkStart w:id="2593" w:name="_Toc51066357"/>
      <w:bookmarkStart w:id="2594" w:name="_Toc51068405"/>
      <w:bookmarkStart w:id="2595" w:name="_Toc51105421"/>
      <w:bookmarkStart w:id="2596" w:name="_Toc51106849"/>
      <w:bookmarkStart w:id="2597" w:name="_Toc51109172"/>
      <w:bookmarkStart w:id="2598" w:name="_Toc51019657"/>
      <w:bookmarkStart w:id="2599" w:name="_Toc51056424"/>
      <w:bookmarkStart w:id="2600" w:name="_Toc51057845"/>
      <w:bookmarkStart w:id="2601" w:name="_Toc51059262"/>
      <w:bookmarkStart w:id="2602" w:name="_Toc51060678"/>
      <w:bookmarkStart w:id="2603" w:name="_Toc51062094"/>
      <w:bookmarkStart w:id="2604" w:name="_Toc51063510"/>
      <w:bookmarkStart w:id="2605" w:name="_Toc51064943"/>
      <w:bookmarkStart w:id="2606" w:name="_Toc51066358"/>
      <w:bookmarkStart w:id="2607" w:name="_Toc51068406"/>
      <w:bookmarkStart w:id="2608" w:name="_Toc51105422"/>
      <w:bookmarkStart w:id="2609" w:name="_Toc51106850"/>
      <w:bookmarkStart w:id="2610" w:name="_Toc51109173"/>
      <w:bookmarkStart w:id="2611" w:name="_Toc51019658"/>
      <w:bookmarkStart w:id="2612" w:name="_Toc51056425"/>
      <w:bookmarkStart w:id="2613" w:name="_Toc51057846"/>
      <w:bookmarkStart w:id="2614" w:name="_Toc51059263"/>
      <w:bookmarkStart w:id="2615" w:name="_Toc51060679"/>
      <w:bookmarkStart w:id="2616" w:name="_Toc51062095"/>
      <w:bookmarkStart w:id="2617" w:name="_Toc51063511"/>
      <w:bookmarkStart w:id="2618" w:name="_Toc51064944"/>
      <w:bookmarkStart w:id="2619" w:name="_Toc51066359"/>
      <w:bookmarkStart w:id="2620" w:name="_Toc51068407"/>
      <w:bookmarkStart w:id="2621" w:name="_Toc51105423"/>
      <w:bookmarkStart w:id="2622" w:name="_Toc51106851"/>
      <w:bookmarkStart w:id="2623" w:name="_Toc51109174"/>
      <w:bookmarkStart w:id="2624" w:name="_Toc51019659"/>
      <w:bookmarkStart w:id="2625" w:name="_Toc51056426"/>
      <w:bookmarkStart w:id="2626" w:name="_Toc51057847"/>
      <w:bookmarkStart w:id="2627" w:name="_Toc51059264"/>
      <w:bookmarkStart w:id="2628" w:name="_Toc51060680"/>
      <w:bookmarkStart w:id="2629" w:name="_Toc51062096"/>
      <w:bookmarkStart w:id="2630" w:name="_Toc51063512"/>
      <w:bookmarkStart w:id="2631" w:name="_Toc51064945"/>
      <w:bookmarkStart w:id="2632" w:name="_Toc51066360"/>
      <w:bookmarkStart w:id="2633" w:name="_Toc51068408"/>
      <w:bookmarkStart w:id="2634" w:name="_Toc51105424"/>
      <w:bookmarkStart w:id="2635" w:name="_Toc51106852"/>
      <w:bookmarkStart w:id="2636" w:name="_Toc51109175"/>
      <w:bookmarkStart w:id="2637" w:name="_Toc51019660"/>
      <w:bookmarkStart w:id="2638" w:name="_Toc51056427"/>
      <w:bookmarkStart w:id="2639" w:name="_Toc51057848"/>
      <w:bookmarkStart w:id="2640" w:name="_Toc51059265"/>
      <w:bookmarkStart w:id="2641" w:name="_Toc51060681"/>
      <w:bookmarkStart w:id="2642" w:name="_Toc51062097"/>
      <w:bookmarkStart w:id="2643" w:name="_Toc51063513"/>
      <w:bookmarkStart w:id="2644" w:name="_Toc51064946"/>
      <w:bookmarkStart w:id="2645" w:name="_Toc51066361"/>
      <w:bookmarkStart w:id="2646" w:name="_Toc51068409"/>
      <w:bookmarkStart w:id="2647" w:name="_Toc51105425"/>
      <w:bookmarkStart w:id="2648" w:name="_Toc51106853"/>
      <w:bookmarkStart w:id="2649" w:name="_Toc51109176"/>
      <w:bookmarkStart w:id="2650" w:name="_Toc51019661"/>
      <w:bookmarkStart w:id="2651" w:name="_Toc51056428"/>
      <w:bookmarkStart w:id="2652" w:name="_Toc51057849"/>
      <w:bookmarkStart w:id="2653" w:name="_Toc51059266"/>
      <w:bookmarkStart w:id="2654" w:name="_Toc51060682"/>
      <w:bookmarkStart w:id="2655" w:name="_Toc51062098"/>
      <w:bookmarkStart w:id="2656" w:name="_Toc51063514"/>
      <w:bookmarkStart w:id="2657" w:name="_Toc51064947"/>
      <w:bookmarkStart w:id="2658" w:name="_Toc51066362"/>
      <w:bookmarkStart w:id="2659" w:name="_Toc51068410"/>
      <w:bookmarkStart w:id="2660" w:name="_Toc51105426"/>
      <w:bookmarkStart w:id="2661" w:name="_Toc51106854"/>
      <w:bookmarkStart w:id="2662" w:name="_Toc51109177"/>
      <w:bookmarkStart w:id="2663" w:name="_Toc51019662"/>
      <w:bookmarkStart w:id="2664" w:name="_Toc51056429"/>
      <w:bookmarkStart w:id="2665" w:name="_Toc51057850"/>
      <w:bookmarkStart w:id="2666" w:name="_Toc51059267"/>
      <w:bookmarkStart w:id="2667" w:name="_Toc51060683"/>
      <w:bookmarkStart w:id="2668" w:name="_Toc51062099"/>
      <w:bookmarkStart w:id="2669" w:name="_Toc51063515"/>
      <w:bookmarkStart w:id="2670" w:name="_Toc51064948"/>
      <w:bookmarkStart w:id="2671" w:name="_Toc51066363"/>
      <w:bookmarkStart w:id="2672" w:name="_Toc51068411"/>
      <w:bookmarkStart w:id="2673" w:name="_Toc51105427"/>
      <w:bookmarkStart w:id="2674" w:name="_Toc51106855"/>
      <w:bookmarkStart w:id="2675" w:name="_Toc51109178"/>
      <w:bookmarkStart w:id="2676" w:name="_Toc51019663"/>
      <w:bookmarkStart w:id="2677" w:name="_Toc51056430"/>
      <w:bookmarkStart w:id="2678" w:name="_Toc51057851"/>
      <w:bookmarkStart w:id="2679" w:name="_Toc51059268"/>
      <w:bookmarkStart w:id="2680" w:name="_Toc51060684"/>
      <w:bookmarkStart w:id="2681" w:name="_Toc51062100"/>
      <w:bookmarkStart w:id="2682" w:name="_Toc51063516"/>
      <w:bookmarkStart w:id="2683" w:name="_Toc51064949"/>
      <w:bookmarkStart w:id="2684" w:name="_Toc51066364"/>
      <w:bookmarkStart w:id="2685" w:name="_Toc51068412"/>
      <w:bookmarkStart w:id="2686" w:name="_Toc51105428"/>
      <w:bookmarkStart w:id="2687" w:name="_Toc51106856"/>
      <w:bookmarkStart w:id="2688" w:name="_Toc51109179"/>
      <w:bookmarkStart w:id="2689" w:name="_Toc51019664"/>
      <w:bookmarkStart w:id="2690" w:name="_Toc51056431"/>
      <w:bookmarkStart w:id="2691" w:name="_Toc51057852"/>
      <w:bookmarkStart w:id="2692" w:name="_Toc51059269"/>
      <w:bookmarkStart w:id="2693" w:name="_Toc51060685"/>
      <w:bookmarkStart w:id="2694" w:name="_Toc51062101"/>
      <w:bookmarkStart w:id="2695" w:name="_Toc51063517"/>
      <w:bookmarkStart w:id="2696" w:name="_Toc51064950"/>
      <w:bookmarkStart w:id="2697" w:name="_Toc51066365"/>
      <w:bookmarkStart w:id="2698" w:name="_Toc51068413"/>
      <w:bookmarkStart w:id="2699" w:name="_Toc51105429"/>
      <w:bookmarkStart w:id="2700" w:name="_Toc51106857"/>
      <w:bookmarkStart w:id="2701" w:name="_Toc51109180"/>
      <w:bookmarkStart w:id="2702" w:name="_Toc51019665"/>
      <w:bookmarkStart w:id="2703" w:name="_Toc51056432"/>
      <w:bookmarkStart w:id="2704" w:name="_Toc51057853"/>
      <w:bookmarkStart w:id="2705" w:name="_Toc51059270"/>
      <w:bookmarkStart w:id="2706" w:name="_Toc51060686"/>
      <w:bookmarkStart w:id="2707" w:name="_Toc51062102"/>
      <w:bookmarkStart w:id="2708" w:name="_Toc51063518"/>
      <w:bookmarkStart w:id="2709" w:name="_Toc51064951"/>
      <w:bookmarkStart w:id="2710" w:name="_Toc51066366"/>
      <w:bookmarkStart w:id="2711" w:name="_Toc51068414"/>
      <w:bookmarkStart w:id="2712" w:name="_Toc51105430"/>
      <w:bookmarkStart w:id="2713" w:name="_Toc51106858"/>
      <w:bookmarkStart w:id="2714" w:name="_Toc51109181"/>
      <w:bookmarkStart w:id="2715" w:name="_Toc51019666"/>
      <w:bookmarkStart w:id="2716" w:name="_Toc51056433"/>
      <w:bookmarkStart w:id="2717" w:name="_Toc51057854"/>
      <w:bookmarkStart w:id="2718" w:name="_Toc51059271"/>
      <w:bookmarkStart w:id="2719" w:name="_Toc51060687"/>
      <w:bookmarkStart w:id="2720" w:name="_Toc51062103"/>
      <w:bookmarkStart w:id="2721" w:name="_Toc51063519"/>
      <w:bookmarkStart w:id="2722" w:name="_Toc51064952"/>
      <w:bookmarkStart w:id="2723" w:name="_Toc51066367"/>
      <w:bookmarkStart w:id="2724" w:name="_Toc51068415"/>
      <w:bookmarkStart w:id="2725" w:name="_Toc51105431"/>
      <w:bookmarkStart w:id="2726" w:name="_Toc51106859"/>
      <w:bookmarkStart w:id="2727" w:name="_Toc51109182"/>
      <w:bookmarkStart w:id="2728" w:name="_Toc51019667"/>
      <w:bookmarkStart w:id="2729" w:name="_Toc51056434"/>
      <w:bookmarkStart w:id="2730" w:name="_Toc51057855"/>
      <w:bookmarkStart w:id="2731" w:name="_Toc51059272"/>
      <w:bookmarkStart w:id="2732" w:name="_Toc51060688"/>
      <w:bookmarkStart w:id="2733" w:name="_Toc51062104"/>
      <w:bookmarkStart w:id="2734" w:name="_Toc51063520"/>
      <w:bookmarkStart w:id="2735" w:name="_Toc51064953"/>
      <w:bookmarkStart w:id="2736" w:name="_Toc51066368"/>
      <w:bookmarkStart w:id="2737" w:name="_Toc51068416"/>
      <w:bookmarkStart w:id="2738" w:name="_Toc51105432"/>
      <w:bookmarkStart w:id="2739" w:name="_Toc51106860"/>
      <w:bookmarkStart w:id="2740" w:name="_Toc51109183"/>
      <w:bookmarkStart w:id="2741" w:name="_Toc51019668"/>
      <w:bookmarkStart w:id="2742" w:name="_Toc51056435"/>
      <w:bookmarkStart w:id="2743" w:name="_Toc51057856"/>
      <w:bookmarkStart w:id="2744" w:name="_Toc51059273"/>
      <w:bookmarkStart w:id="2745" w:name="_Toc51060689"/>
      <w:bookmarkStart w:id="2746" w:name="_Toc51062105"/>
      <w:bookmarkStart w:id="2747" w:name="_Toc51063521"/>
      <w:bookmarkStart w:id="2748" w:name="_Toc51064954"/>
      <w:bookmarkStart w:id="2749" w:name="_Toc51066369"/>
      <w:bookmarkStart w:id="2750" w:name="_Toc51068417"/>
      <w:bookmarkStart w:id="2751" w:name="_Toc51105433"/>
      <w:bookmarkStart w:id="2752" w:name="_Toc51106861"/>
      <w:bookmarkStart w:id="2753" w:name="_Toc51109184"/>
      <w:bookmarkStart w:id="2754" w:name="_Toc51019669"/>
      <w:bookmarkStart w:id="2755" w:name="_Toc51056436"/>
      <w:bookmarkStart w:id="2756" w:name="_Toc51057857"/>
      <w:bookmarkStart w:id="2757" w:name="_Toc51059274"/>
      <w:bookmarkStart w:id="2758" w:name="_Toc51060690"/>
      <w:bookmarkStart w:id="2759" w:name="_Toc51062106"/>
      <w:bookmarkStart w:id="2760" w:name="_Toc51063522"/>
      <w:bookmarkStart w:id="2761" w:name="_Toc51064955"/>
      <w:bookmarkStart w:id="2762" w:name="_Toc51066370"/>
      <w:bookmarkStart w:id="2763" w:name="_Toc51068418"/>
      <w:bookmarkStart w:id="2764" w:name="_Toc51105434"/>
      <w:bookmarkStart w:id="2765" w:name="_Toc51106862"/>
      <w:bookmarkStart w:id="2766" w:name="_Toc51109185"/>
      <w:bookmarkStart w:id="2767" w:name="_Toc51019670"/>
      <w:bookmarkStart w:id="2768" w:name="_Toc51056437"/>
      <w:bookmarkStart w:id="2769" w:name="_Toc51057858"/>
      <w:bookmarkStart w:id="2770" w:name="_Toc51059275"/>
      <w:bookmarkStart w:id="2771" w:name="_Toc51060691"/>
      <w:bookmarkStart w:id="2772" w:name="_Toc51062107"/>
      <w:bookmarkStart w:id="2773" w:name="_Toc51063523"/>
      <w:bookmarkStart w:id="2774" w:name="_Toc51064956"/>
      <w:bookmarkStart w:id="2775" w:name="_Toc51066371"/>
      <w:bookmarkStart w:id="2776" w:name="_Toc51068419"/>
      <w:bookmarkStart w:id="2777" w:name="_Toc51105435"/>
      <w:bookmarkStart w:id="2778" w:name="_Toc51106863"/>
      <w:bookmarkStart w:id="2779" w:name="_Toc51109186"/>
      <w:bookmarkStart w:id="2780" w:name="_Toc51019671"/>
      <w:bookmarkStart w:id="2781" w:name="_Toc51056438"/>
      <w:bookmarkStart w:id="2782" w:name="_Toc51057859"/>
      <w:bookmarkStart w:id="2783" w:name="_Toc51059276"/>
      <w:bookmarkStart w:id="2784" w:name="_Toc51060692"/>
      <w:bookmarkStart w:id="2785" w:name="_Toc51062108"/>
      <w:bookmarkStart w:id="2786" w:name="_Toc51063524"/>
      <w:bookmarkStart w:id="2787" w:name="_Toc51064957"/>
      <w:bookmarkStart w:id="2788" w:name="_Toc51066372"/>
      <w:bookmarkStart w:id="2789" w:name="_Toc51068420"/>
      <w:bookmarkStart w:id="2790" w:name="_Toc51105436"/>
      <w:bookmarkStart w:id="2791" w:name="_Toc51106864"/>
      <w:bookmarkStart w:id="2792" w:name="_Toc51109187"/>
      <w:bookmarkStart w:id="2793" w:name="_Toc51019672"/>
      <w:bookmarkStart w:id="2794" w:name="_Toc51056439"/>
      <w:bookmarkStart w:id="2795" w:name="_Toc51057860"/>
      <w:bookmarkStart w:id="2796" w:name="_Toc51059277"/>
      <w:bookmarkStart w:id="2797" w:name="_Toc51060693"/>
      <w:bookmarkStart w:id="2798" w:name="_Toc51062109"/>
      <w:bookmarkStart w:id="2799" w:name="_Toc51063525"/>
      <w:bookmarkStart w:id="2800" w:name="_Toc51064958"/>
      <w:bookmarkStart w:id="2801" w:name="_Toc51066373"/>
      <w:bookmarkStart w:id="2802" w:name="_Toc51068421"/>
      <w:bookmarkStart w:id="2803" w:name="_Toc51105437"/>
      <w:bookmarkStart w:id="2804" w:name="_Toc51106865"/>
      <w:bookmarkStart w:id="2805" w:name="_Toc51109188"/>
      <w:bookmarkStart w:id="2806" w:name="_Toc51019676"/>
      <w:bookmarkStart w:id="2807" w:name="_Toc51056443"/>
      <w:bookmarkStart w:id="2808" w:name="_Toc51057864"/>
      <w:bookmarkStart w:id="2809" w:name="_Toc51059281"/>
      <w:bookmarkStart w:id="2810" w:name="_Toc51060697"/>
      <w:bookmarkStart w:id="2811" w:name="_Toc51062113"/>
      <w:bookmarkStart w:id="2812" w:name="_Toc51063529"/>
      <w:bookmarkStart w:id="2813" w:name="_Toc51064962"/>
      <w:bookmarkStart w:id="2814" w:name="_Toc51066377"/>
      <w:bookmarkStart w:id="2815" w:name="_Toc51068425"/>
      <w:bookmarkStart w:id="2816" w:name="_Toc51105441"/>
      <w:bookmarkStart w:id="2817" w:name="_Toc51106869"/>
      <w:bookmarkStart w:id="2818" w:name="_Toc51109192"/>
      <w:bookmarkStart w:id="2819" w:name="_Toc51019707"/>
      <w:bookmarkStart w:id="2820" w:name="_Toc51056474"/>
      <w:bookmarkStart w:id="2821" w:name="_Toc51057895"/>
      <w:bookmarkStart w:id="2822" w:name="_Toc51059312"/>
      <w:bookmarkStart w:id="2823" w:name="_Toc51060728"/>
      <w:bookmarkStart w:id="2824" w:name="_Toc51062144"/>
      <w:bookmarkStart w:id="2825" w:name="_Toc51063560"/>
      <w:bookmarkStart w:id="2826" w:name="_Toc51064993"/>
      <w:bookmarkStart w:id="2827" w:name="_Toc51066408"/>
      <w:bookmarkStart w:id="2828" w:name="_Toc51068456"/>
      <w:bookmarkStart w:id="2829" w:name="_Toc51105472"/>
      <w:bookmarkStart w:id="2830" w:name="_Toc51106900"/>
      <w:bookmarkStart w:id="2831" w:name="_Toc51109223"/>
      <w:bookmarkStart w:id="2832" w:name="_Toc51019708"/>
      <w:bookmarkStart w:id="2833" w:name="_Toc51056475"/>
      <w:bookmarkStart w:id="2834" w:name="_Toc51057896"/>
      <w:bookmarkStart w:id="2835" w:name="_Toc51059313"/>
      <w:bookmarkStart w:id="2836" w:name="_Toc51060729"/>
      <w:bookmarkStart w:id="2837" w:name="_Toc51062145"/>
      <w:bookmarkStart w:id="2838" w:name="_Toc51063561"/>
      <w:bookmarkStart w:id="2839" w:name="_Toc51064994"/>
      <w:bookmarkStart w:id="2840" w:name="_Toc51066409"/>
      <w:bookmarkStart w:id="2841" w:name="_Toc51068457"/>
      <w:bookmarkStart w:id="2842" w:name="_Toc51105473"/>
      <w:bookmarkStart w:id="2843" w:name="_Toc51106901"/>
      <w:bookmarkStart w:id="2844" w:name="_Toc51109224"/>
      <w:bookmarkStart w:id="2845" w:name="_Toc51019709"/>
      <w:bookmarkStart w:id="2846" w:name="_Toc51056476"/>
      <w:bookmarkStart w:id="2847" w:name="_Toc51057897"/>
      <w:bookmarkStart w:id="2848" w:name="_Toc51059314"/>
      <w:bookmarkStart w:id="2849" w:name="_Toc51060730"/>
      <w:bookmarkStart w:id="2850" w:name="_Toc51062146"/>
      <w:bookmarkStart w:id="2851" w:name="_Toc51063562"/>
      <w:bookmarkStart w:id="2852" w:name="_Toc51064995"/>
      <w:bookmarkStart w:id="2853" w:name="_Toc51066410"/>
      <w:bookmarkStart w:id="2854" w:name="_Toc51068458"/>
      <w:bookmarkStart w:id="2855" w:name="_Toc51105474"/>
      <w:bookmarkStart w:id="2856" w:name="_Toc51106902"/>
      <w:bookmarkStart w:id="2857" w:name="_Toc51109225"/>
      <w:bookmarkStart w:id="2858" w:name="_Toc51019710"/>
      <w:bookmarkStart w:id="2859" w:name="_Toc51056477"/>
      <w:bookmarkStart w:id="2860" w:name="_Toc51057898"/>
      <w:bookmarkStart w:id="2861" w:name="_Toc51059315"/>
      <w:bookmarkStart w:id="2862" w:name="_Toc51060731"/>
      <w:bookmarkStart w:id="2863" w:name="_Toc51062147"/>
      <w:bookmarkStart w:id="2864" w:name="_Toc51063563"/>
      <w:bookmarkStart w:id="2865" w:name="_Toc51064996"/>
      <w:bookmarkStart w:id="2866" w:name="_Toc51066411"/>
      <w:bookmarkStart w:id="2867" w:name="_Toc51068459"/>
      <w:bookmarkStart w:id="2868" w:name="_Toc51105475"/>
      <w:bookmarkStart w:id="2869" w:name="_Toc51106903"/>
      <w:bookmarkStart w:id="2870" w:name="_Toc51109226"/>
      <w:bookmarkStart w:id="2871" w:name="_Toc51019711"/>
      <w:bookmarkStart w:id="2872" w:name="_Toc51056478"/>
      <w:bookmarkStart w:id="2873" w:name="_Toc51057899"/>
      <w:bookmarkStart w:id="2874" w:name="_Toc51059316"/>
      <w:bookmarkStart w:id="2875" w:name="_Toc51060732"/>
      <w:bookmarkStart w:id="2876" w:name="_Toc51062148"/>
      <w:bookmarkStart w:id="2877" w:name="_Toc51063564"/>
      <w:bookmarkStart w:id="2878" w:name="_Toc51064997"/>
      <w:bookmarkStart w:id="2879" w:name="_Toc51066412"/>
      <w:bookmarkStart w:id="2880" w:name="_Toc51068460"/>
      <w:bookmarkStart w:id="2881" w:name="_Toc51105476"/>
      <w:bookmarkStart w:id="2882" w:name="_Toc51106904"/>
      <w:bookmarkStart w:id="2883" w:name="_Toc51109227"/>
      <w:bookmarkStart w:id="2884" w:name="_Toc51019712"/>
      <w:bookmarkStart w:id="2885" w:name="_Toc51056479"/>
      <w:bookmarkStart w:id="2886" w:name="_Toc51057900"/>
      <w:bookmarkStart w:id="2887" w:name="_Toc51059317"/>
      <w:bookmarkStart w:id="2888" w:name="_Toc51060733"/>
      <w:bookmarkStart w:id="2889" w:name="_Toc51062149"/>
      <w:bookmarkStart w:id="2890" w:name="_Toc51063565"/>
      <w:bookmarkStart w:id="2891" w:name="_Toc51064998"/>
      <w:bookmarkStart w:id="2892" w:name="_Toc51066413"/>
      <w:bookmarkStart w:id="2893" w:name="_Toc51068461"/>
      <w:bookmarkStart w:id="2894" w:name="_Toc51105477"/>
      <w:bookmarkStart w:id="2895" w:name="_Toc51106905"/>
      <w:bookmarkStart w:id="2896" w:name="_Toc51109228"/>
      <w:bookmarkStart w:id="2897" w:name="_Toc51019713"/>
      <w:bookmarkStart w:id="2898" w:name="_Toc51056480"/>
      <w:bookmarkStart w:id="2899" w:name="_Toc51057901"/>
      <w:bookmarkStart w:id="2900" w:name="_Toc51059318"/>
      <w:bookmarkStart w:id="2901" w:name="_Toc51060734"/>
      <w:bookmarkStart w:id="2902" w:name="_Toc51062150"/>
      <w:bookmarkStart w:id="2903" w:name="_Toc51063566"/>
      <w:bookmarkStart w:id="2904" w:name="_Toc51064999"/>
      <w:bookmarkStart w:id="2905" w:name="_Toc51066414"/>
      <w:bookmarkStart w:id="2906" w:name="_Toc51068462"/>
      <w:bookmarkStart w:id="2907" w:name="_Toc51105478"/>
      <w:bookmarkStart w:id="2908" w:name="_Toc51106906"/>
      <w:bookmarkStart w:id="2909" w:name="_Toc51109229"/>
      <w:bookmarkStart w:id="2910" w:name="_Toc51019714"/>
      <w:bookmarkStart w:id="2911" w:name="_Toc51056481"/>
      <w:bookmarkStart w:id="2912" w:name="_Toc51057902"/>
      <w:bookmarkStart w:id="2913" w:name="_Toc51059319"/>
      <w:bookmarkStart w:id="2914" w:name="_Toc51060735"/>
      <w:bookmarkStart w:id="2915" w:name="_Toc51062151"/>
      <w:bookmarkStart w:id="2916" w:name="_Toc51063567"/>
      <w:bookmarkStart w:id="2917" w:name="_Toc51065000"/>
      <w:bookmarkStart w:id="2918" w:name="_Toc51066415"/>
      <w:bookmarkStart w:id="2919" w:name="_Toc51068463"/>
      <w:bookmarkStart w:id="2920" w:name="_Toc51105479"/>
      <w:bookmarkStart w:id="2921" w:name="_Toc51106907"/>
      <w:bookmarkStart w:id="2922" w:name="_Toc51109230"/>
      <w:bookmarkStart w:id="2923" w:name="_Toc51019715"/>
      <w:bookmarkStart w:id="2924" w:name="_Toc51056482"/>
      <w:bookmarkStart w:id="2925" w:name="_Toc51057903"/>
      <w:bookmarkStart w:id="2926" w:name="_Toc51059320"/>
      <w:bookmarkStart w:id="2927" w:name="_Toc51060736"/>
      <w:bookmarkStart w:id="2928" w:name="_Toc51062152"/>
      <w:bookmarkStart w:id="2929" w:name="_Toc51063568"/>
      <w:bookmarkStart w:id="2930" w:name="_Toc51065001"/>
      <w:bookmarkStart w:id="2931" w:name="_Toc51066416"/>
      <w:bookmarkStart w:id="2932" w:name="_Toc51068464"/>
      <w:bookmarkStart w:id="2933" w:name="_Toc51105480"/>
      <w:bookmarkStart w:id="2934" w:name="_Toc51106908"/>
      <w:bookmarkStart w:id="2935" w:name="_Toc51109231"/>
      <w:bookmarkStart w:id="2936" w:name="_Toc51019716"/>
      <w:bookmarkStart w:id="2937" w:name="_Toc51056483"/>
      <w:bookmarkStart w:id="2938" w:name="_Toc51057904"/>
      <w:bookmarkStart w:id="2939" w:name="_Toc51059321"/>
      <w:bookmarkStart w:id="2940" w:name="_Toc51060737"/>
      <w:bookmarkStart w:id="2941" w:name="_Toc51062153"/>
      <w:bookmarkStart w:id="2942" w:name="_Toc51063569"/>
      <w:bookmarkStart w:id="2943" w:name="_Toc51065002"/>
      <w:bookmarkStart w:id="2944" w:name="_Toc51066417"/>
      <w:bookmarkStart w:id="2945" w:name="_Toc51068465"/>
      <w:bookmarkStart w:id="2946" w:name="_Toc51105481"/>
      <w:bookmarkStart w:id="2947" w:name="_Toc51106909"/>
      <w:bookmarkStart w:id="2948" w:name="_Toc51109232"/>
      <w:bookmarkStart w:id="2949" w:name="_Toc51019718"/>
      <w:bookmarkStart w:id="2950" w:name="_Toc51056485"/>
      <w:bookmarkStart w:id="2951" w:name="_Toc51057906"/>
      <w:bookmarkStart w:id="2952" w:name="_Toc51059323"/>
      <w:bookmarkStart w:id="2953" w:name="_Toc51060739"/>
      <w:bookmarkStart w:id="2954" w:name="_Toc51062155"/>
      <w:bookmarkStart w:id="2955" w:name="_Toc51063571"/>
      <w:bookmarkStart w:id="2956" w:name="_Toc51065004"/>
      <w:bookmarkStart w:id="2957" w:name="_Toc51066419"/>
      <w:bookmarkStart w:id="2958" w:name="_Toc51068467"/>
      <w:bookmarkStart w:id="2959" w:name="_Toc51105483"/>
      <w:bookmarkStart w:id="2960" w:name="_Toc51106911"/>
      <w:bookmarkStart w:id="2961" w:name="_Toc51109234"/>
      <w:bookmarkStart w:id="2962" w:name="_Toc51019719"/>
      <w:bookmarkStart w:id="2963" w:name="_Toc51056486"/>
      <w:bookmarkStart w:id="2964" w:name="_Toc51057907"/>
      <w:bookmarkStart w:id="2965" w:name="_Toc51059324"/>
      <w:bookmarkStart w:id="2966" w:name="_Toc51060740"/>
      <w:bookmarkStart w:id="2967" w:name="_Toc51062156"/>
      <w:bookmarkStart w:id="2968" w:name="_Toc51063572"/>
      <w:bookmarkStart w:id="2969" w:name="_Toc51065005"/>
      <w:bookmarkStart w:id="2970" w:name="_Toc51066420"/>
      <w:bookmarkStart w:id="2971" w:name="_Toc51068468"/>
      <w:bookmarkStart w:id="2972" w:name="_Toc51105484"/>
      <w:bookmarkStart w:id="2973" w:name="_Toc51106912"/>
      <w:bookmarkStart w:id="2974" w:name="_Toc51109235"/>
      <w:bookmarkStart w:id="2975" w:name="_Toc51019721"/>
      <w:bookmarkStart w:id="2976" w:name="_Toc51056488"/>
      <w:bookmarkStart w:id="2977" w:name="_Toc51057909"/>
      <w:bookmarkStart w:id="2978" w:name="_Toc51059326"/>
      <w:bookmarkStart w:id="2979" w:name="_Toc51060742"/>
      <w:bookmarkStart w:id="2980" w:name="_Toc51062158"/>
      <w:bookmarkStart w:id="2981" w:name="_Toc51063574"/>
      <w:bookmarkStart w:id="2982" w:name="_Toc51065007"/>
      <w:bookmarkStart w:id="2983" w:name="_Toc51066422"/>
      <w:bookmarkStart w:id="2984" w:name="_Toc51068470"/>
      <w:bookmarkStart w:id="2985" w:name="_Toc51105486"/>
      <w:bookmarkStart w:id="2986" w:name="_Toc51106914"/>
      <w:bookmarkStart w:id="2987" w:name="_Toc51109237"/>
      <w:bookmarkStart w:id="2988" w:name="_Toc51019723"/>
      <w:bookmarkStart w:id="2989" w:name="_Toc51056490"/>
      <w:bookmarkStart w:id="2990" w:name="_Toc51057911"/>
      <w:bookmarkStart w:id="2991" w:name="_Toc51059328"/>
      <w:bookmarkStart w:id="2992" w:name="_Toc51060744"/>
      <w:bookmarkStart w:id="2993" w:name="_Toc51062160"/>
      <w:bookmarkStart w:id="2994" w:name="_Toc51063576"/>
      <w:bookmarkStart w:id="2995" w:name="_Toc51065009"/>
      <w:bookmarkStart w:id="2996" w:name="_Toc51066424"/>
      <w:bookmarkStart w:id="2997" w:name="_Toc51068472"/>
      <w:bookmarkStart w:id="2998" w:name="_Toc51105488"/>
      <w:bookmarkStart w:id="2999" w:name="_Toc51106916"/>
      <w:bookmarkStart w:id="3000" w:name="_Toc51109239"/>
      <w:bookmarkStart w:id="3001" w:name="_Toc51019725"/>
      <w:bookmarkStart w:id="3002" w:name="_Toc51056492"/>
      <w:bookmarkStart w:id="3003" w:name="_Toc51057913"/>
      <w:bookmarkStart w:id="3004" w:name="_Toc51059330"/>
      <w:bookmarkStart w:id="3005" w:name="_Toc51060746"/>
      <w:bookmarkStart w:id="3006" w:name="_Toc51062162"/>
      <w:bookmarkStart w:id="3007" w:name="_Toc51063578"/>
      <w:bookmarkStart w:id="3008" w:name="_Toc51065011"/>
      <w:bookmarkStart w:id="3009" w:name="_Toc51066426"/>
      <w:bookmarkStart w:id="3010" w:name="_Toc51068474"/>
      <w:bookmarkStart w:id="3011" w:name="_Toc51105490"/>
      <w:bookmarkStart w:id="3012" w:name="_Toc51106918"/>
      <w:bookmarkStart w:id="3013" w:name="_Toc51109241"/>
      <w:bookmarkStart w:id="3014" w:name="_Toc51019726"/>
      <w:bookmarkStart w:id="3015" w:name="_Toc51056493"/>
      <w:bookmarkStart w:id="3016" w:name="_Toc51057914"/>
      <w:bookmarkStart w:id="3017" w:name="_Toc51059331"/>
      <w:bookmarkStart w:id="3018" w:name="_Toc51060747"/>
      <w:bookmarkStart w:id="3019" w:name="_Toc51062163"/>
      <w:bookmarkStart w:id="3020" w:name="_Toc51063579"/>
      <w:bookmarkStart w:id="3021" w:name="_Toc51065012"/>
      <w:bookmarkStart w:id="3022" w:name="_Toc51066427"/>
      <w:bookmarkStart w:id="3023" w:name="_Toc51068475"/>
      <w:bookmarkStart w:id="3024" w:name="_Toc51105491"/>
      <w:bookmarkStart w:id="3025" w:name="_Toc51106919"/>
      <w:bookmarkStart w:id="3026" w:name="_Toc51109242"/>
      <w:bookmarkStart w:id="3027" w:name="_Toc51019728"/>
      <w:bookmarkStart w:id="3028" w:name="_Toc51056495"/>
      <w:bookmarkStart w:id="3029" w:name="_Toc51057916"/>
      <w:bookmarkStart w:id="3030" w:name="_Toc51059333"/>
      <w:bookmarkStart w:id="3031" w:name="_Toc51060749"/>
      <w:bookmarkStart w:id="3032" w:name="_Toc51062165"/>
      <w:bookmarkStart w:id="3033" w:name="_Toc51063581"/>
      <w:bookmarkStart w:id="3034" w:name="_Toc51065014"/>
      <w:bookmarkStart w:id="3035" w:name="_Toc51066429"/>
      <w:bookmarkStart w:id="3036" w:name="_Toc51068477"/>
      <w:bookmarkStart w:id="3037" w:name="_Toc51105493"/>
      <w:bookmarkStart w:id="3038" w:name="_Toc51106921"/>
      <w:bookmarkStart w:id="3039" w:name="_Toc51109244"/>
      <w:bookmarkStart w:id="3040" w:name="_Toc51019729"/>
      <w:bookmarkStart w:id="3041" w:name="_Toc51056496"/>
      <w:bookmarkStart w:id="3042" w:name="_Toc51057917"/>
      <w:bookmarkStart w:id="3043" w:name="_Toc51059334"/>
      <w:bookmarkStart w:id="3044" w:name="_Toc51060750"/>
      <w:bookmarkStart w:id="3045" w:name="_Toc51062166"/>
      <w:bookmarkStart w:id="3046" w:name="_Toc51063582"/>
      <w:bookmarkStart w:id="3047" w:name="_Toc51065015"/>
      <w:bookmarkStart w:id="3048" w:name="_Toc51066430"/>
      <w:bookmarkStart w:id="3049" w:name="_Toc51068478"/>
      <w:bookmarkStart w:id="3050" w:name="_Toc51105494"/>
      <w:bookmarkStart w:id="3051" w:name="_Toc51106922"/>
      <w:bookmarkStart w:id="3052" w:name="_Toc51109245"/>
      <w:bookmarkStart w:id="3053" w:name="_Toc8682255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r>
        <w:lastRenderedPageBreak/>
        <w:t xml:space="preserve">Učinkovitost </w:t>
      </w:r>
      <w:r w:rsidR="00F13942">
        <w:t xml:space="preserve">rabe inputov v kmetijski proizvodnji </w:t>
      </w:r>
      <w:r w:rsidR="00821817">
        <w:t>(vmesna po</w:t>
      </w:r>
      <w:r w:rsidR="00F13942">
        <w:t>trošnja</w:t>
      </w:r>
      <w:r w:rsidR="00821817">
        <w:t>)</w:t>
      </w:r>
      <w:bookmarkEnd w:id="3053"/>
    </w:p>
    <w:p w14:paraId="2A90CA8A" w14:textId="77777777" w:rsidR="00421F08" w:rsidRDefault="00421F08" w:rsidP="007613FE">
      <w:pPr>
        <w:pStyle w:val="1"/>
        <w:spacing w:before="0"/>
      </w:pPr>
    </w:p>
    <w:p w14:paraId="759CE3B8" w14:textId="77777777" w:rsidR="00FC732C" w:rsidRDefault="00FC732C" w:rsidP="007613FE">
      <w:pPr>
        <w:pStyle w:val="ZPtekst"/>
        <w:spacing w:before="0" w:line="260" w:lineRule="atLeast"/>
      </w:pPr>
    </w:p>
    <w:p w14:paraId="1908C64C" w14:textId="6515F784" w:rsidR="00FC732C" w:rsidRDefault="00FC732C" w:rsidP="005B2A49">
      <w:pPr>
        <w:pStyle w:val="Naslov2"/>
      </w:pPr>
      <w:bookmarkStart w:id="3054" w:name="_Toc86822554"/>
      <w:r>
        <w:rPr>
          <w:noProof/>
          <w:lang w:eastAsia="sl-SI"/>
        </w:rPr>
        <w:t>P</w:t>
      </w:r>
      <w:r w:rsidRPr="00304C05">
        <w:rPr>
          <w:noProof/>
          <w:lang w:eastAsia="sl-SI"/>
        </w:rPr>
        <w:t>rihodkovno-stroškovna struktura podjetniškega dohodka</w:t>
      </w:r>
      <w:bookmarkEnd w:id="3054"/>
    </w:p>
    <w:p w14:paraId="4DD05E3F" w14:textId="77777777" w:rsidR="00FC732C" w:rsidRDefault="00FC732C" w:rsidP="007613FE">
      <w:pPr>
        <w:pStyle w:val="ZPtekst"/>
        <w:spacing w:before="0" w:line="260" w:lineRule="atLeast"/>
      </w:pPr>
    </w:p>
    <w:p w14:paraId="6BDFABEF" w14:textId="514E8EFD" w:rsidR="003B7FDB" w:rsidRPr="00304C05" w:rsidRDefault="004D263E" w:rsidP="007613FE">
      <w:pPr>
        <w:pStyle w:val="ZPtekst"/>
        <w:spacing w:before="0" w:line="260" w:lineRule="atLeast"/>
        <w:rPr>
          <w:noProof/>
          <w:sz w:val="24"/>
          <w:lang w:eastAsia="sl-SI"/>
        </w:rPr>
      </w:pPr>
      <w:r w:rsidRPr="00304C05">
        <w:t>Donosnost kmetijskih gospodarstev in njihov podjetniški dohodek je odvisen tudi od stroškov proizvodnje. Na rast produktivnosti vplivajo tudi spremembe v kakovosti vhodnih materialov (surovin), ki so lahko posledica bodisi sprememb kakovosti posameznega vložka (posamezni učinek) ali pa</w:t>
      </w:r>
      <w:r w:rsidRPr="00304C05">
        <w:rPr>
          <w:szCs w:val="20"/>
          <w:lang w:eastAsia="en-US"/>
        </w:rPr>
        <w:t xml:space="preserve"> sprememb sestave le-teh v smeri učinkovitejših vložkov (strukturni učinek)</w:t>
      </w:r>
      <w:r w:rsidR="001859F5" w:rsidRPr="00304C05">
        <w:rPr>
          <w:szCs w:val="20"/>
          <w:lang w:eastAsia="en-US"/>
        </w:rPr>
        <w:t xml:space="preserve"> in učinkovitejša uporaba le-teh</w:t>
      </w:r>
      <w:r w:rsidRPr="00304C05">
        <w:rPr>
          <w:szCs w:val="20"/>
          <w:lang w:eastAsia="en-US"/>
        </w:rPr>
        <w:t>.</w:t>
      </w:r>
      <w:r w:rsidRPr="00304C05">
        <w:rPr>
          <w:noProof/>
          <w:sz w:val="24"/>
          <w:lang w:eastAsia="sl-SI"/>
        </w:rPr>
        <w:t xml:space="preserve"> </w:t>
      </w:r>
      <w:r w:rsidR="003B7FDB" w:rsidRPr="00304C05">
        <w:rPr>
          <w:noProof/>
          <w:szCs w:val="20"/>
          <w:lang w:eastAsia="sl-SI"/>
        </w:rPr>
        <w:t>Poleg produktivnosti zemljišč lahko tudi vmesna potrošnja daje približno oceno intenzivnosti kmetijske proizvodnje.</w:t>
      </w:r>
    </w:p>
    <w:p w14:paraId="4DC065FC" w14:textId="77777777" w:rsidR="003B7FDB" w:rsidRPr="00304C05" w:rsidRDefault="003B7FDB" w:rsidP="007613FE">
      <w:pPr>
        <w:pStyle w:val="ZPtekst"/>
        <w:spacing w:before="0" w:line="260" w:lineRule="atLeast"/>
        <w:rPr>
          <w:noProof/>
          <w:sz w:val="24"/>
          <w:lang w:eastAsia="sl-SI"/>
        </w:rPr>
      </w:pPr>
    </w:p>
    <w:p w14:paraId="316CF182" w14:textId="016AAF98" w:rsidR="003B7FDB" w:rsidRPr="00304C05" w:rsidRDefault="003B7FDB" w:rsidP="007613FE">
      <w:pPr>
        <w:pStyle w:val="ZPtekst"/>
        <w:spacing w:before="0" w:line="260" w:lineRule="atLeast"/>
        <w:rPr>
          <w:noProof/>
          <w:szCs w:val="20"/>
          <w:lang w:eastAsia="sl-SI"/>
        </w:rPr>
      </w:pPr>
      <w:r w:rsidRPr="00304C05">
        <w:rPr>
          <w:szCs w:val="20"/>
        </w:rPr>
        <w:t>Vmesno potrošnjo predstavljajo blago in storitve, ki se potrošijo v procesu kmetijske proizvodnje. V kmetijstvu zajema vmesna potrošnja nakupe surovin in pomožnih materialov, kot so živalska krma, energija, gorivo, olja in maziva, semena, gnojila in sredstva za izboljšanje tal, zaščito rastlin, veterinarske storitve, popravila in vzdrževanje stavb in opreme.</w:t>
      </w:r>
      <w:r w:rsidRPr="00304C05" w:rsidDel="0029768A">
        <w:rPr>
          <w:szCs w:val="20"/>
          <w:lang w:eastAsia="sl-SI"/>
        </w:rPr>
        <w:t xml:space="preserve"> </w:t>
      </w:r>
    </w:p>
    <w:p w14:paraId="1C00313F" w14:textId="77777777" w:rsidR="003B7FDB" w:rsidRPr="00304C05" w:rsidRDefault="003B7FDB" w:rsidP="007613FE">
      <w:pPr>
        <w:pStyle w:val="ZPtekst"/>
        <w:spacing w:before="0" w:line="260" w:lineRule="atLeast"/>
        <w:rPr>
          <w:szCs w:val="20"/>
        </w:rPr>
      </w:pPr>
    </w:p>
    <w:p w14:paraId="7D103991" w14:textId="7C96D417" w:rsidR="00E07320" w:rsidRPr="00304C05" w:rsidRDefault="00F839C7" w:rsidP="007613FE">
      <w:pPr>
        <w:pStyle w:val="ZPtekst"/>
        <w:spacing w:before="0" w:line="260" w:lineRule="atLeast"/>
        <w:rPr>
          <w:noProof/>
          <w:szCs w:val="20"/>
          <w:lang w:eastAsia="sl-SI"/>
        </w:rPr>
      </w:pPr>
      <w:r w:rsidRPr="00304C05">
        <w:rPr>
          <w:noProof/>
          <w:szCs w:val="20"/>
          <w:lang w:eastAsia="sl-SI"/>
        </w:rPr>
        <w:t xml:space="preserve">Kot je razvidno </w:t>
      </w:r>
      <w:r w:rsidR="00CC740A" w:rsidRPr="00304C05">
        <w:rPr>
          <w:noProof/>
          <w:szCs w:val="20"/>
          <w:lang w:eastAsia="sl-SI"/>
        </w:rPr>
        <w:t>iz prikaza (</w:t>
      </w:r>
      <w:r w:rsidR="000346FC" w:rsidRPr="00304C05">
        <w:rPr>
          <w:noProof/>
          <w:szCs w:val="20"/>
          <w:lang w:eastAsia="sl-SI"/>
        </w:rPr>
        <w:fldChar w:fldCharType="begin"/>
      </w:r>
      <w:r w:rsidR="000346FC" w:rsidRPr="00304C05">
        <w:rPr>
          <w:noProof/>
          <w:szCs w:val="20"/>
          <w:lang w:eastAsia="sl-SI"/>
        </w:rPr>
        <w:instrText xml:space="preserve"> REF _Ref54811219 \h  \* MERGEFORMAT </w:instrText>
      </w:r>
      <w:r w:rsidR="000346FC" w:rsidRPr="00304C05">
        <w:rPr>
          <w:noProof/>
          <w:szCs w:val="20"/>
          <w:lang w:eastAsia="sl-SI"/>
        </w:rPr>
      </w:r>
      <w:r w:rsidR="000346FC" w:rsidRPr="00304C05">
        <w:rPr>
          <w:noProof/>
          <w:szCs w:val="20"/>
          <w:lang w:eastAsia="sl-SI"/>
        </w:rPr>
        <w:fldChar w:fldCharType="separate"/>
      </w:r>
      <w:r w:rsidR="0088117A" w:rsidRPr="0088117A">
        <w:rPr>
          <w:noProof/>
          <w:szCs w:val="20"/>
          <w:lang w:eastAsia="sl-SI"/>
        </w:rPr>
        <w:t xml:space="preserve">Slika </w:t>
      </w:r>
      <w:r w:rsidR="0088117A">
        <w:rPr>
          <w:noProof/>
          <w:lang w:eastAsia="sl-SI"/>
        </w:rPr>
        <w:t>34</w:t>
      </w:r>
      <w:r w:rsidR="000346FC" w:rsidRPr="00304C05">
        <w:rPr>
          <w:noProof/>
          <w:szCs w:val="20"/>
          <w:lang w:eastAsia="sl-SI"/>
        </w:rPr>
        <w:fldChar w:fldCharType="end"/>
      </w:r>
      <w:r w:rsidR="00CC740A" w:rsidRPr="00304C05">
        <w:rPr>
          <w:noProof/>
          <w:szCs w:val="20"/>
          <w:lang w:eastAsia="sl-SI"/>
        </w:rPr>
        <w:t>)</w:t>
      </w:r>
      <w:r w:rsidRPr="00304C05">
        <w:rPr>
          <w:noProof/>
          <w:szCs w:val="20"/>
          <w:lang w:eastAsia="sl-SI"/>
        </w:rPr>
        <w:t xml:space="preserve">, kjer je prikazana prihodkovno-stroškovna struktura podjetniškega dohodka, </w:t>
      </w:r>
      <w:r w:rsidR="003C2BD6" w:rsidRPr="00304C05">
        <w:rPr>
          <w:noProof/>
          <w:szCs w:val="20"/>
          <w:lang w:eastAsia="sl-SI"/>
        </w:rPr>
        <w:t xml:space="preserve">imata v strukturi stroškov najvišji delež </w:t>
      </w:r>
      <w:r w:rsidR="003306D0" w:rsidRPr="00304C05">
        <w:rPr>
          <w:noProof/>
          <w:szCs w:val="20"/>
          <w:lang w:eastAsia="sl-SI"/>
        </w:rPr>
        <w:t>krma (34 %)</w:t>
      </w:r>
      <w:r w:rsidR="003B7FDB" w:rsidRPr="00304C05">
        <w:rPr>
          <w:noProof/>
          <w:szCs w:val="20"/>
          <w:lang w:eastAsia="sl-SI"/>
        </w:rPr>
        <w:t xml:space="preserve">, ki </w:t>
      </w:r>
      <w:r w:rsidR="00A6739E" w:rsidRPr="00304C05">
        <w:rPr>
          <w:noProof/>
          <w:szCs w:val="20"/>
          <w:lang w:eastAsia="sl-SI"/>
        </w:rPr>
        <w:t>je del vmesne potrošnje</w:t>
      </w:r>
      <w:r w:rsidR="003B7FDB" w:rsidRPr="00304C05">
        <w:rPr>
          <w:noProof/>
          <w:szCs w:val="20"/>
          <w:lang w:eastAsia="sl-SI"/>
        </w:rPr>
        <w:t>,</w:t>
      </w:r>
      <w:r w:rsidRPr="00304C05">
        <w:rPr>
          <w:noProof/>
          <w:szCs w:val="20"/>
          <w:lang w:eastAsia="sl-SI"/>
        </w:rPr>
        <w:t xml:space="preserve"> in </w:t>
      </w:r>
      <w:r w:rsidR="003306D0" w:rsidRPr="00304C05">
        <w:rPr>
          <w:noProof/>
          <w:szCs w:val="20"/>
          <w:lang w:eastAsia="sl-SI"/>
        </w:rPr>
        <w:t>potrošnja stalnega kapitala</w:t>
      </w:r>
      <w:r w:rsidR="003C2BD6" w:rsidRPr="00304C05">
        <w:rPr>
          <w:noProof/>
          <w:szCs w:val="20"/>
          <w:lang w:eastAsia="sl-SI"/>
        </w:rPr>
        <w:t xml:space="preserve"> (</w:t>
      </w:r>
      <w:r w:rsidR="003306D0" w:rsidRPr="00304C05">
        <w:rPr>
          <w:noProof/>
          <w:szCs w:val="20"/>
          <w:lang w:eastAsia="sl-SI"/>
        </w:rPr>
        <w:t>23</w:t>
      </w:r>
      <w:r w:rsidR="003C2BD6" w:rsidRPr="00304C05">
        <w:rPr>
          <w:noProof/>
          <w:szCs w:val="20"/>
          <w:lang w:eastAsia="sl-SI"/>
        </w:rPr>
        <w:t xml:space="preserve"> %)</w:t>
      </w:r>
      <w:r w:rsidR="00E07320" w:rsidRPr="00304C05">
        <w:rPr>
          <w:noProof/>
          <w:szCs w:val="20"/>
          <w:lang w:eastAsia="sl-SI"/>
        </w:rPr>
        <w:t xml:space="preserve">. </w:t>
      </w:r>
      <w:r w:rsidR="003306D0" w:rsidRPr="00304C05">
        <w:rPr>
          <w:noProof/>
          <w:szCs w:val="20"/>
          <w:lang w:eastAsia="sl-SI"/>
        </w:rPr>
        <w:t xml:space="preserve">V strukturi vmesne </w:t>
      </w:r>
      <w:r w:rsidR="003B7FDB" w:rsidRPr="00304C05">
        <w:rPr>
          <w:noProof/>
          <w:szCs w:val="20"/>
          <w:lang w:eastAsia="sl-SI"/>
        </w:rPr>
        <w:t xml:space="preserve">potrošnje pa </w:t>
      </w:r>
      <w:r w:rsidR="003306D0" w:rsidRPr="00304C05">
        <w:rPr>
          <w:noProof/>
          <w:szCs w:val="20"/>
          <w:lang w:eastAsia="sl-SI"/>
        </w:rPr>
        <w:t>imata</w:t>
      </w:r>
      <w:r w:rsidR="003C2BD6" w:rsidRPr="00304C05">
        <w:rPr>
          <w:noProof/>
          <w:szCs w:val="20"/>
          <w:lang w:eastAsia="sl-SI"/>
        </w:rPr>
        <w:t xml:space="preserve"> najvišji delež s</w:t>
      </w:r>
      <w:r w:rsidRPr="00304C05">
        <w:rPr>
          <w:noProof/>
          <w:szCs w:val="20"/>
          <w:lang w:eastAsia="sl-SI"/>
        </w:rPr>
        <w:t>troška krme in ener</w:t>
      </w:r>
      <w:r w:rsidR="003C2BD6" w:rsidRPr="00304C05">
        <w:rPr>
          <w:noProof/>
          <w:szCs w:val="20"/>
          <w:lang w:eastAsia="sl-SI"/>
        </w:rPr>
        <w:t xml:space="preserve">gije (66 </w:t>
      </w:r>
      <w:r w:rsidR="003306D0" w:rsidRPr="00304C05">
        <w:rPr>
          <w:noProof/>
          <w:szCs w:val="20"/>
          <w:lang w:eastAsia="sl-SI"/>
        </w:rPr>
        <w:t>%), pri čemer se n</w:t>
      </w:r>
      <w:r w:rsidR="00E07320" w:rsidRPr="00304C05">
        <w:rPr>
          <w:noProof/>
          <w:szCs w:val="20"/>
          <w:lang w:eastAsia="sl-SI"/>
        </w:rPr>
        <w:t xml:space="preserve">jun delež v obdobju 2005–2018 ni </w:t>
      </w:r>
      <w:r w:rsidR="009F2C57" w:rsidRPr="00304C05">
        <w:rPr>
          <w:noProof/>
          <w:szCs w:val="20"/>
          <w:lang w:eastAsia="sl-SI"/>
        </w:rPr>
        <w:t xml:space="preserve">bistveno </w:t>
      </w:r>
      <w:r w:rsidR="00E07320" w:rsidRPr="00304C05">
        <w:rPr>
          <w:noProof/>
          <w:szCs w:val="20"/>
          <w:lang w:eastAsia="sl-SI"/>
        </w:rPr>
        <w:t xml:space="preserve">spreminjal, prav tako so </w:t>
      </w:r>
      <w:r w:rsidR="00A6739E" w:rsidRPr="00304C05">
        <w:rPr>
          <w:noProof/>
          <w:szCs w:val="20"/>
          <w:lang w:eastAsia="sl-SI"/>
        </w:rPr>
        <w:t>v strukturi vmesne potrošnje</w:t>
      </w:r>
      <w:r w:rsidR="00252ACD" w:rsidRPr="00304C05">
        <w:rPr>
          <w:noProof/>
          <w:szCs w:val="20"/>
          <w:lang w:eastAsia="sl-SI"/>
        </w:rPr>
        <w:t xml:space="preserve"> </w:t>
      </w:r>
      <w:r w:rsidR="009F2C57" w:rsidRPr="00304C05">
        <w:rPr>
          <w:noProof/>
          <w:szCs w:val="20"/>
          <w:lang w:eastAsia="sl-SI"/>
        </w:rPr>
        <w:t xml:space="preserve">ostali </w:t>
      </w:r>
      <w:r w:rsidR="000346FC" w:rsidRPr="00304C05">
        <w:rPr>
          <w:noProof/>
          <w:szCs w:val="20"/>
          <w:lang w:eastAsia="sl-SI"/>
        </w:rPr>
        <w:t>relativno</w:t>
      </w:r>
      <w:r w:rsidR="009F2C57" w:rsidRPr="00304C05">
        <w:rPr>
          <w:noProof/>
          <w:szCs w:val="20"/>
          <w:lang w:eastAsia="sl-SI"/>
        </w:rPr>
        <w:t xml:space="preserve"> nespremenjeni tudi </w:t>
      </w:r>
      <w:r w:rsidR="00E07320" w:rsidRPr="00304C05">
        <w:rPr>
          <w:noProof/>
          <w:szCs w:val="20"/>
          <w:lang w:eastAsia="sl-SI"/>
        </w:rPr>
        <w:t xml:space="preserve">deleži ostalih vmesnih inputov. </w:t>
      </w:r>
    </w:p>
    <w:p w14:paraId="75974D83" w14:textId="77777777" w:rsidR="00D25F36" w:rsidRPr="00304C05" w:rsidRDefault="00D25F36" w:rsidP="007613FE">
      <w:pPr>
        <w:pStyle w:val="ZPtekst"/>
        <w:spacing w:before="0" w:line="260" w:lineRule="atLeast"/>
        <w:rPr>
          <w:noProof/>
          <w:sz w:val="24"/>
          <w:lang w:eastAsia="sl-SI"/>
        </w:rPr>
      </w:pPr>
    </w:p>
    <w:p w14:paraId="37D839E1" w14:textId="6C60F572" w:rsidR="00951FFA" w:rsidRDefault="00D25F36" w:rsidP="00304C05">
      <w:pPr>
        <w:pStyle w:val="SCSlika0"/>
        <w:rPr>
          <w:bCs/>
          <w:noProof/>
          <w:sz w:val="20"/>
          <w:lang w:eastAsia="sl-SI"/>
        </w:rPr>
      </w:pPr>
      <w:bookmarkStart w:id="3055" w:name="_Ref54811219"/>
      <w:bookmarkStart w:id="3056" w:name="_Toc86822706"/>
      <w:r w:rsidRPr="003B7FDB">
        <w:rPr>
          <w:noProof/>
          <w:lang w:eastAsia="sl-SI"/>
        </w:rPr>
        <w:lastRenderedPageBreak/>
        <w:t xml:space="preserve">Slika </w:t>
      </w:r>
      <w:r w:rsidRPr="0061009E">
        <w:rPr>
          <w:noProof/>
          <w:lang w:eastAsia="sl-SI"/>
        </w:rPr>
        <w:fldChar w:fldCharType="begin"/>
      </w:r>
      <w:r w:rsidRPr="003B7FDB">
        <w:rPr>
          <w:noProof/>
          <w:lang w:eastAsia="sl-SI"/>
        </w:rPr>
        <w:instrText xml:space="preserve"> SEQ Slika \* ARABIC </w:instrText>
      </w:r>
      <w:r w:rsidRPr="0061009E">
        <w:rPr>
          <w:noProof/>
          <w:lang w:eastAsia="sl-SI"/>
        </w:rPr>
        <w:fldChar w:fldCharType="separate"/>
      </w:r>
      <w:r w:rsidR="0088117A">
        <w:rPr>
          <w:noProof/>
          <w:lang w:eastAsia="sl-SI"/>
        </w:rPr>
        <w:t>34</w:t>
      </w:r>
      <w:r w:rsidRPr="0061009E">
        <w:rPr>
          <w:noProof/>
          <w:lang w:eastAsia="sl-SI"/>
        </w:rPr>
        <w:fldChar w:fldCharType="end"/>
      </w:r>
      <w:bookmarkEnd w:id="3055"/>
      <w:r w:rsidRPr="003B7FDB">
        <w:rPr>
          <w:noProof/>
          <w:lang w:eastAsia="sl-SI"/>
        </w:rPr>
        <w:t>: Prihodkov</w:t>
      </w:r>
      <w:r w:rsidR="00693A75" w:rsidRPr="003016E0">
        <w:rPr>
          <w:noProof/>
          <w:lang w:eastAsia="sl-SI"/>
        </w:rPr>
        <w:t>n</w:t>
      </w:r>
      <w:r w:rsidRPr="003B7FDB">
        <w:rPr>
          <w:noProof/>
          <w:lang w:eastAsia="sl-SI"/>
        </w:rPr>
        <w:t>o</w:t>
      </w:r>
      <w:r w:rsidR="00693A75" w:rsidRPr="003016E0">
        <w:rPr>
          <w:noProof/>
          <w:lang w:eastAsia="sl-SI"/>
        </w:rPr>
        <w:t>-</w:t>
      </w:r>
      <w:r w:rsidRPr="003016E0">
        <w:rPr>
          <w:lang w:eastAsia="sl-SI"/>
        </w:rPr>
        <w:t>stroškovna struktura podjetniškega dohodka, 2005</w:t>
      </w:r>
      <w:r w:rsidR="00821817" w:rsidRPr="003B7FDB">
        <w:rPr>
          <w:bCs/>
          <w:noProof/>
          <w:lang w:eastAsia="sl-SI"/>
        </w:rPr>
        <w:t>–</w:t>
      </w:r>
      <w:r w:rsidRPr="003016E0">
        <w:rPr>
          <w:lang w:eastAsia="sl-SI"/>
        </w:rPr>
        <w:t>2018, Slovenija, (realne cene), mio EUR</w:t>
      </w:r>
      <w:bookmarkEnd w:id="3056"/>
      <w:r w:rsidRPr="003016E0">
        <w:rPr>
          <w:lang w:eastAsia="sl-SI"/>
        </w:rPr>
        <w:t xml:space="preserve"> </w:t>
      </w:r>
    </w:p>
    <w:p w14:paraId="2ACB4A0A" w14:textId="329DCA67" w:rsidR="00951FFA" w:rsidRDefault="00951FFA" w:rsidP="00D25F36">
      <w:pPr>
        <w:pStyle w:val="ZPtekst"/>
        <w:rPr>
          <w:bCs/>
          <w:noProof/>
          <w:sz w:val="20"/>
          <w:lang w:eastAsia="sl-SI"/>
        </w:rPr>
      </w:pPr>
      <w:r>
        <w:rPr>
          <w:noProof/>
          <w:lang w:eastAsia="sl-SI"/>
        </w:rPr>
        <w:drawing>
          <wp:inline distT="0" distB="0" distL="0" distR="0" wp14:anchorId="1BC7A461" wp14:editId="0320318E">
            <wp:extent cx="5732145" cy="4629150"/>
            <wp:effectExtent l="0" t="0" r="1905"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D2CC731" w14:textId="1A4E93B2" w:rsidR="00D25F36" w:rsidRDefault="00D25F36" w:rsidP="00D25F36">
      <w:pPr>
        <w:pStyle w:val="ZPtekst"/>
        <w:spacing w:before="0" w:line="276" w:lineRule="auto"/>
        <w:rPr>
          <w:sz w:val="16"/>
          <w:szCs w:val="20"/>
        </w:rPr>
      </w:pPr>
      <w:r w:rsidRPr="0047652B">
        <w:rPr>
          <w:sz w:val="16"/>
          <w:szCs w:val="20"/>
        </w:rPr>
        <w:t>Vir: EUROSTAT, preračun</w:t>
      </w:r>
      <w:r>
        <w:rPr>
          <w:sz w:val="16"/>
          <w:szCs w:val="20"/>
        </w:rPr>
        <w:t xml:space="preserve"> MKGP.</w:t>
      </w:r>
    </w:p>
    <w:p w14:paraId="3988C13F" w14:textId="1342CB9A" w:rsidR="004D505D" w:rsidRDefault="004D505D" w:rsidP="007613FE">
      <w:pPr>
        <w:pStyle w:val="ZPtekst"/>
        <w:spacing w:before="0" w:line="260" w:lineRule="atLeast"/>
        <w:rPr>
          <w:sz w:val="20"/>
          <w:szCs w:val="20"/>
        </w:rPr>
      </w:pPr>
    </w:p>
    <w:p w14:paraId="3BB7EA6A" w14:textId="0D5E584F" w:rsidR="00421F08" w:rsidRDefault="007C5FCE" w:rsidP="00304C05">
      <w:pPr>
        <w:rPr>
          <w:lang w:eastAsia="en-US"/>
        </w:rPr>
      </w:pPr>
      <w:r>
        <w:rPr>
          <w:lang w:eastAsia="en-US"/>
        </w:rPr>
        <w:t>D</w:t>
      </w:r>
      <w:r w:rsidR="005035C5">
        <w:rPr>
          <w:lang w:eastAsia="en-US"/>
        </w:rPr>
        <w:t xml:space="preserve">elež vmesne potrošnje v celotni kmetijski proizvodnji </w:t>
      </w:r>
      <w:r w:rsidR="003B7FDB">
        <w:rPr>
          <w:lang w:eastAsia="en-US"/>
        </w:rPr>
        <w:t xml:space="preserve">se </w:t>
      </w:r>
      <w:r w:rsidR="005035C5">
        <w:rPr>
          <w:lang w:eastAsia="en-US"/>
        </w:rPr>
        <w:t xml:space="preserve">je </w:t>
      </w:r>
      <w:r w:rsidR="00F93A0D">
        <w:rPr>
          <w:lang w:eastAsia="en-US"/>
        </w:rPr>
        <w:t xml:space="preserve">v Sloveniji </w:t>
      </w:r>
      <w:r w:rsidR="005035C5">
        <w:rPr>
          <w:lang w:eastAsia="en-US"/>
        </w:rPr>
        <w:t>v obdobju 200</w:t>
      </w:r>
      <w:r w:rsidR="00DA3182">
        <w:rPr>
          <w:lang w:eastAsia="en-US"/>
        </w:rPr>
        <w:t>5</w:t>
      </w:r>
      <w:r w:rsidR="0074258D">
        <w:rPr>
          <w:lang w:eastAsia="en-US"/>
        </w:rPr>
        <w:t>–</w:t>
      </w:r>
      <w:r w:rsidR="005035C5">
        <w:rPr>
          <w:lang w:eastAsia="en-US"/>
        </w:rPr>
        <w:t>201</w:t>
      </w:r>
      <w:r w:rsidR="00F93A0D">
        <w:rPr>
          <w:lang w:eastAsia="en-US"/>
        </w:rPr>
        <w:t>6</w:t>
      </w:r>
      <w:r w:rsidR="005035C5">
        <w:rPr>
          <w:lang w:eastAsia="en-US"/>
        </w:rPr>
        <w:t xml:space="preserve"> </w:t>
      </w:r>
      <w:r w:rsidR="003B7FDB">
        <w:rPr>
          <w:lang w:eastAsia="en-US"/>
        </w:rPr>
        <w:t xml:space="preserve">gibal </w:t>
      </w:r>
      <w:r w:rsidR="005035C5">
        <w:rPr>
          <w:lang w:eastAsia="en-US"/>
        </w:rPr>
        <w:t>med 5</w:t>
      </w:r>
      <w:r w:rsidR="00DA3182">
        <w:rPr>
          <w:lang w:eastAsia="en-US"/>
        </w:rPr>
        <w:t>5</w:t>
      </w:r>
      <w:r w:rsidR="005035C5">
        <w:rPr>
          <w:lang w:eastAsia="en-US"/>
        </w:rPr>
        <w:t xml:space="preserve"> % in 6</w:t>
      </w:r>
      <w:r w:rsidR="00F93A0D">
        <w:rPr>
          <w:lang w:eastAsia="en-US"/>
        </w:rPr>
        <w:t>2</w:t>
      </w:r>
      <w:r w:rsidR="005035C5">
        <w:rPr>
          <w:lang w:eastAsia="en-US"/>
        </w:rPr>
        <w:t xml:space="preserve"> %</w:t>
      </w:r>
      <w:r w:rsidR="00F93A0D">
        <w:rPr>
          <w:lang w:eastAsia="en-US"/>
        </w:rPr>
        <w:t xml:space="preserve"> in je bil, razen v letu 2011, nad povprečjem </w:t>
      </w:r>
      <w:r w:rsidR="00653F73">
        <w:rPr>
          <w:lang w:eastAsia="en-US"/>
        </w:rPr>
        <w:t xml:space="preserve">tega deleža v </w:t>
      </w:r>
      <w:r w:rsidR="00F93A0D">
        <w:rPr>
          <w:lang w:eastAsia="en-US"/>
        </w:rPr>
        <w:t>EU-28</w:t>
      </w:r>
      <w:r w:rsidR="005035C5">
        <w:rPr>
          <w:lang w:eastAsia="en-US"/>
        </w:rPr>
        <w:t xml:space="preserve">. </w:t>
      </w:r>
    </w:p>
    <w:p w14:paraId="776E9833" w14:textId="77777777" w:rsidR="00CC740A" w:rsidRDefault="00CC740A" w:rsidP="00304C05">
      <w:pPr>
        <w:rPr>
          <w:lang w:eastAsia="en-US"/>
        </w:rPr>
      </w:pPr>
    </w:p>
    <w:p w14:paraId="19A8C937" w14:textId="672D5724" w:rsidR="007C00D8" w:rsidRDefault="007C00D8" w:rsidP="00304C05">
      <w:pPr>
        <w:pStyle w:val="SCSlika0"/>
        <w:rPr>
          <w:lang w:eastAsia="en-US"/>
        </w:rPr>
      </w:pPr>
      <w:bookmarkStart w:id="3057" w:name="_Toc86822707"/>
      <w:r>
        <w:lastRenderedPageBreak/>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35</w:t>
      </w:r>
      <w:r w:rsidR="009F2591">
        <w:rPr>
          <w:noProof/>
        </w:rPr>
        <w:fldChar w:fldCharType="end"/>
      </w:r>
      <w:r>
        <w:t xml:space="preserve">: </w:t>
      </w:r>
      <w:r w:rsidRPr="007C00D8">
        <w:t xml:space="preserve">Delež vmesne potrošnje v </w:t>
      </w:r>
      <w:r w:rsidR="003B7FDB">
        <w:t xml:space="preserve">celotni </w:t>
      </w:r>
      <w:r w:rsidRPr="007C00D8">
        <w:t>kmetijski proizvodnji (v stalnih cenah, 2005=100), Slovenij</w:t>
      </w:r>
      <w:r w:rsidR="003B7FDB">
        <w:t>a</w:t>
      </w:r>
      <w:r w:rsidRPr="007C00D8">
        <w:t xml:space="preserve"> in EU-28, 2005</w:t>
      </w:r>
      <w:r w:rsidR="008646A4">
        <w:t>–</w:t>
      </w:r>
      <w:r w:rsidRPr="007C00D8">
        <w:t>2016</w:t>
      </w:r>
      <w:bookmarkEnd w:id="3057"/>
      <w:r w:rsidRPr="007C00D8">
        <w:t xml:space="preserve"> </w:t>
      </w:r>
    </w:p>
    <w:p w14:paraId="7B3BFB40" w14:textId="77777777" w:rsidR="005035C5" w:rsidRDefault="00F93A0D" w:rsidP="009F3567">
      <w:pPr>
        <w:spacing w:line="276" w:lineRule="auto"/>
        <w:rPr>
          <w:sz w:val="20"/>
          <w:szCs w:val="20"/>
          <w:lang w:eastAsia="en-US"/>
        </w:rPr>
      </w:pPr>
      <w:r>
        <w:rPr>
          <w:noProof/>
          <w:lang w:eastAsia="sl-SI"/>
        </w:rPr>
        <w:drawing>
          <wp:inline distT="0" distB="0" distL="0" distR="0" wp14:anchorId="33D60612" wp14:editId="227075E2">
            <wp:extent cx="5698066" cy="2201333"/>
            <wp:effectExtent l="0" t="0" r="17145" b="8890"/>
            <wp:docPr id="50" name="Grafikon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722AFE6" w14:textId="77777777" w:rsidR="00653F73" w:rsidRDefault="00653F73" w:rsidP="009F3567">
      <w:pPr>
        <w:spacing w:before="0" w:line="276" w:lineRule="auto"/>
        <w:rPr>
          <w:sz w:val="16"/>
          <w:szCs w:val="16"/>
        </w:rPr>
      </w:pPr>
      <w:r w:rsidRPr="0047652B">
        <w:rPr>
          <w:sz w:val="16"/>
          <w:szCs w:val="16"/>
        </w:rPr>
        <w:t>Vir: Eurostat</w:t>
      </w:r>
    </w:p>
    <w:p w14:paraId="4F63F22D" w14:textId="3C594D9D" w:rsidR="00025B89" w:rsidRDefault="00025B89" w:rsidP="00304C05">
      <w:pPr>
        <w:rPr>
          <w:lang w:eastAsia="en-US"/>
        </w:rPr>
      </w:pPr>
      <w:r>
        <w:rPr>
          <w:lang w:eastAsia="en-US"/>
        </w:rPr>
        <w:t xml:space="preserve">V letu 2019 je znašal delež vmesne potrošnje v vrednosti celotne kmetijske proizvodnje (v tekočih cenah) 57 %, kar je na ravni povprečja EU-28. </w:t>
      </w:r>
    </w:p>
    <w:p w14:paraId="4903541B" w14:textId="77777777" w:rsidR="00A6739E" w:rsidRDefault="00A6739E" w:rsidP="00025B89">
      <w:pPr>
        <w:spacing w:line="276" w:lineRule="auto"/>
        <w:rPr>
          <w:sz w:val="20"/>
          <w:szCs w:val="20"/>
          <w:lang w:eastAsia="en-US"/>
        </w:rPr>
      </w:pPr>
    </w:p>
    <w:p w14:paraId="1C165E04" w14:textId="77ACB87C" w:rsidR="00CF7C01" w:rsidRPr="007C5FCE" w:rsidRDefault="00CF7C01" w:rsidP="00304C05">
      <w:pPr>
        <w:pStyle w:val="SCSlika0"/>
        <w:rPr>
          <w:lang w:eastAsia="en-US"/>
        </w:rPr>
      </w:pPr>
      <w:bookmarkStart w:id="3058" w:name="_Toc86822708"/>
      <w:r w:rsidRPr="007C5FCE">
        <w:rPr>
          <w:lang w:eastAsia="en-US"/>
        </w:rPr>
        <w:t xml:space="preserve">Slika </w:t>
      </w:r>
      <w:r w:rsidRPr="007C5FCE">
        <w:rPr>
          <w:lang w:eastAsia="en-US"/>
        </w:rPr>
        <w:fldChar w:fldCharType="begin"/>
      </w:r>
      <w:r w:rsidRPr="007C5FCE">
        <w:rPr>
          <w:lang w:eastAsia="en-US"/>
        </w:rPr>
        <w:instrText xml:space="preserve"> SEQ Slika \* ARABIC </w:instrText>
      </w:r>
      <w:r w:rsidRPr="007C5FCE">
        <w:rPr>
          <w:lang w:eastAsia="en-US"/>
        </w:rPr>
        <w:fldChar w:fldCharType="separate"/>
      </w:r>
      <w:r w:rsidR="0088117A">
        <w:rPr>
          <w:noProof/>
          <w:lang w:eastAsia="en-US"/>
        </w:rPr>
        <w:t>36</w:t>
      </w:r>
      <w:r w:rsidRPr="007C5FCE">
        <w:rPr>
          <w:lang w:eastAsia="en-US"/>
        </w:rPr>
        <w:fldChar w:fldCharType="end"/>
      </w:r>
      <w:r w:rsidRPr="007C5FCE">
        <w:rPr>
          <w:lang w:eastAsia="en-US"/>
        </w:rPr>
        <w:t>: Delež vmesne potrošnje v kmetijski proizvodnji, EU, leto 2</w:t>
      </w:r>
      <w:r>
        <w:rPr>
          <w:lang w:eastAsia="en-US"/>
        </w:rPr>
        <w:t>019</w:t>
      </w:r>
      <w:r w:rsidRPr="007C5FCE">
        <w:rPr>
          <w:lang w:eastAsia="en-US"/>
        </w:rPr>
        <w:t xml:space="preserve">, </w:t>
      </w:r>
      <w:r w:rsidR="00821817">
        <w:rPr>
          <w:lang w:eastAsia="en-US"/>
        </w:rPr>
        <w:t xml:space="preserve">v </w:t>
      </w:r>
      <w:r>
        <w:rPr>
          <w:lang w:eastAsia="en-US"/>
        </w:rPr>
        <w:t>tekoč</w:t>
      </w:r>
      <w:r w:rsidR="00821817">
        <w:rPr>
          <w:lang w:eastAsia="en-US"/>
        </w:rPr>
        <w:t>ih</w:t>
      </w:r>
      <w:r>
        <w:rPr>
          <w:lang w:eastAsia="en-US"/>
        </w:rPr>
        <w:t xml:space="preserve"> cen</w:t>
      </w:r>
      <w:r w:rsidR="00821817">
        <w:rPr>
          <w:lang w:eastAsia="en-US"/>
        </w:rPr>
        <w:t>ah</w:t>
      </w:r>
      <w:bookmarkEnd w:id="3058"/>
      <w:r w:rsidRPr="007C5FCE">
        <w:rPr>
          <w:lang w:eastAsia="en-US"/>
        </w:rPr>
        <w:t xml:space="preserve">  </w:t>
      </w:r>
    </w:p>
    <w:p w14:paraId="1ACFEB4F" w14:textId="77777777" w:rsidR="00CF7C01" w:rsidRDefault="00CF7C01" w:rsidP="00CF7C01">
      <w:pPr>
        <w:spacing w:line="276" w:lineRule="auto"/>
        <w:rPr>
          <w:sz w:val="20"/>
          <w:szCs w:val="20"/>
          <w:lang w:eastAsia="en-US"/>
        </w:rPr>
      </w:pPr>
      <w:r>
        <w:rPr>
          <w:noProof/>
          <w:lang w:eastAsia="sl-SI"/>
        </w:rPr>
        <w:drawing>
          <wp:inline distT="0" distB="0" distL="0" distR="0" wp14:anchorId="7BDBE222" wp14:editId="2823E424">
            <wp:extent cx="4648200" cy="4549140"/>
            <wp:effectExtent l="0" t="0" r="0" b="381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582F41E" w14:textId="6CA1E120" w:rsidR="00CF7C01" w:rsidRDefault="00CF7C01" w:rsidP="00CF7C01">
      <w:pPr>
        <w:spacing w:line="276" w:lineRule="auto"/>
        <w:rPr>
          <w:sz w:val="16"/>
          <w:szCs w:val="16"/>
          <w:lang w:eastAsia="en-US"/>
        </w:rPr>
      </w:pPr>
      <w:r w:rsidRPr="008720AC">
        <w:rPr>
          <w:sz w:val="16"/>
          <w:szCs w:val="16"/>
          <w:lang w:eastAsia="en-US"/>
        </w:rPr>
        <w:lastRenderedPageBreak/>
        <w:t>Vir: EUROSTAT</w:t>
      </w:r>
      <w:r w:rsidR="00535382">
        <w:rPr>
          <w:sz w:val="16"/>
          <w:szCs w:val="16"/>
          <w:lang w:eastAsia="en-US"/>
        </w:rPr>
        <w:t>.</w:t>
      </w:r>
    </w:p>
    <w:p w14:paraId="6F4F24D6" w14:textId="77777777" w:rsidR="00CC740A" w:rsidRDefault="00CC740A" w:rsidP="007613FE">
      <w:pPr>
        <w:spacing w:before="0" w:line="260" w:lineRule="atLeast"/>
        <w:rPr>
          <w:sz w:val="20"/>
          <w:szCs w:val="20"/>
          <w:lang w:eastAsia="en-US"/>
        </w:rPr>
      </w:pPr>
    </w:p>
    <w:p w14:paraId="6DC36F60" w14:textId="571C2F4B" w:rsidR="00A029F1" w:rsidRPr="00304C05" w:rsidRDefault="00A029F1" w:rsidP="007613FE">
      <w:pPr>
        <w:spacing w:before="0" w:line="260" w:lineRule="atLeast"/>
        <w:rPr>
          <w:szCs w:val="20"/>
          <w:lang w:eastAsia="en-US"/>
        </w:rPr>
      </w:pPr>
      <w:r w:rsidRPr="00304C05">
        <w:rPr>
          <w:szCs w:val="20"/>
          <w:lang w:eastAsia="en-US"/>
        </w:rPr>
        <w:t>V obdobju 2005</w:t>
      </w:r>
      <w:r w:rsidR="000346FC" w:rsidRPr="00304C05">
        <w:rPr>
          <w:szCs w:val="20"/>
          <w:lang w:eastAsia="en-US"/>
        </w:rPr>
        <w:t>–</w:t>
      </w:r>
      <w:r w:rsidRPr="00304C05">
        <w:rPr>
          <w:szCs w:val="20"/>
          <w:lang w:eastAsia="en-US"/>
        </w:rPr>
        <w:t>2019 je bilo gibanje obsega kmetijske proizvodnje v Sloveniji neenakomerno</w:t>
      </w:r>
      <w:r w:rsidR="00CF7848" w:rsidRPr="00304C05">
        <w:rPr>
          <w:szCs w:val="20"/>
          <w:lang w:eastAsia="en-US"/>
        </w:rPr>
        <w:t xml:space="preserve"> </w:t>
      </w:r>
      <w:r w:rsidRPr="00304C05">
        <w:rPr>
          <w:szCs w:val="20"/>
          <w:lang w:eastAsia="en-US"/>
        </w:rPr>
        <w:t>(</w:t>
      </w:r>
      <w:r w:rsidR="00B75320" w:rsidRPr="00304C05">
        <w:rPr>
          <w:szCs w:val="20"/>
          <w:lang w:eastAsia="en-US"/>
        </w:rPr>
        <w:t>zabeležena rast</w:t>
      </w:r>
      <w:r w:rsidR="00FC380A" w:rsidRPr="00304C05">
        <w:rPr>
          <w:szCs w:val="20"/>
          <w:lang w:eastAsia="en-US"/>
        </w:rPr>
        <w:t xml:space="preserve"> +</w:t>
      </w:r>
      <w:r w:rsidRPr="00304C05">
        <w:rPr>
          <w:szCs w:val="20"/>
          <w:lang w:eastAsia="en-US"/>
        </w:rPr>
        <w:t>3,7 %), medtem ko je bila rast obsega kmetijske proizvodnje v EU-28 razmeroma enakomerna (skupaj +</w:t>
      </w:r>
      <w:r w:rsidR="00FC380A" w:rsidRPr="00304C05">
        <w:rPr>
          <w:szCs w:val="20"/>
          <w:lang w:eastAsia="en-US"/>
        </w:rPr>
        <w:t xml:space="preserve">10,6 </w:t>
      </w:r>
      <w:r w:rsidRPr="00304C05">
        <w:rPr>
          <w:szCs w:val="20"/>
          <w:lang w:eastAsia="en-US"/>
        </w:rPr>
        <w:t xml:space="preserve">%). </w:t>
      </w:r>
      <w:r w:rsidR="00A33C70" w:rsidRPr="00304C05">
        <w:rPr>
          <w:szCs w:val="20"/>
          <w:lang w:eastAsia="en-US"/>
        </w:rPr>
        <w:t>V istem obdobju se je obseg v</w:t>
      </w:r>
      <w:r w:rsidRPr="00304C05">
        <w:rPr>
          <w:szCs w:val="20"/>
          <w:lang w:eastAsia="en-US"/>
        </w:rPr>
        <w:t xml:space="preserve">mesne potrošnje v </w:t>
      </w:r>
      <w:r w:rsidR="00A33C70" w:rsidRPr="00304C05">
        <w:rPr>
          <w:szCs w:val="20"/>
          <w:lang w:eastAsia="en-US"/>
        </w:rPr>
        <w:t>Sloveniji zmanjšal</w:t>
      </w:r>
      <w:r w:rsidRPr="00304C05">
        <w:rPr>
          <w:szCs w:val="20"/>
          <w:lang w:eastAsia="en-US"/>
        </w:rPr>
        <w:t xml:space="preserve"> za 9,5 %</w:t>
      </w:r>
      <w:r w:rsidR="00FC380A" w:rsidRPr="00304C05">
        <w:rPr>
          <w:szCs w:val="20"/>
          <w:lang w:eastAsia="en-US"/>
        </w:rPr>
        <w:t>, na nivoju EU-28 pa povečal za 6,7 %</w:t>
      </w:r>
      <w:r w:rsidR="00A33C70" w:rsidRPr="00304C05">
        <w:rPr>
          <w:szCs w:val="20"/>
          <w:lang w:eastAsia="en-US"/>
        </w:rPr>
        <w:t xml:space="preserve">. Za Slovenijo </w:t>
      </w:r>
      <w:r w:rsidR="00071D4F" w:rsidRPr="00304C05">
        <w:rPr>
          <w:szCs w:val="20"/>
          <w:lang w:eastAsia="en-US"/>
        </w:rPr>
        <w:t xml:space="preserve">zato </w:t>
      </w:r>
      <w:r w:rsidR="00A33C70" w:rsidRPr="00304C05">
        <w:rPr>
          <w:szCs w:val="20"/>
          <w:lang w:eastAsia="en-US"/>
        </w:rPr>
        <w:t xml:space="preserve">ne moremo trditi, da je rast kmetijske proizvodnje odraz rasti vmesne potrošnje (kar </w:t>
      </w:r>
      <w:r w:rsidR="00FC380A" w:rsidRPr="00304C05">
        <w:rPr>
          <w:szCs w:val="20"/>
          <w:lang w:eastAsia="en-US"/>
        </w:rPr>
        <w:t xml:space="preserve">sicer </w:t>
      </w:r>
      <w:r w:rsidR="00A33C70" w:rsidRPr="00304C05">
        <w:rPr>
          <w:szCs w:val="20"/>
          <w:lang w:eastAsia="en-US"/>
        </w:rPr>
        <w:t xml:space="preserve">velja na nivoju EU), temveč lahko iz </w:t>
      </w:r>
      <w:r w:rsidR="00FC380A" w:rsidRPr="00304C05">
        <w:rPr>
          <w:szCs w:val="20"/>
          <w:lang w:eastAsia="en-US"/>
        </w:rPr>
        <w:t>podatkov o gibanju obsega vmesne potrošnje v primerjavi z obsegom kmetijske proizvodnje</w:t>
      </w:r>
      <w:r w:rsidR="00A33C70" w:rsidRPr="00304C05">
        <w:rPr>
          <w:szCs w:val="20"/>
          <w:lang w:eastAsia="en-US"/>
        </w:rPr>
        <w:t xml:space="preserve"> sklepamo, da spremembe v obsegu vmesne potrošnje deloma odražajo spremembe v strukturi kmetijske proizvodnje, </w:t>
      </w:r>
      <w:r w:rsidR="00FC380A" w:rsidRPr="00304C05">
        <w:rPr>
          <w:szCs w:val="20"/>
          <w:lang w:eastAsia="en-US"/>
        </w:rPr>
        <w:t>deloma pa</w:t>
      </w:r>
      <w:r w:rsidR="00A33C70" w:rsidRPr="00304C05">
        <w:rPr>
          <w:szCs w:val="20"/>
          <w:lang w:eastAsia="en-US"/>
        </w:rPr>
        <w:t xml:space="preserve"> tudi večjo učinkovitost virov. </w:t>
      </w:r>
      <w:r w:rsidR="000346FC" w:rsidRPr="00304C05">
        <w:rPr>
          <w:szCs w:val="20"/>
          <w:lang w:eastAsia="en-US"/>
        </w:rPr>
        <w:t>(EUROSTAT, 2019)</w:t>
      </w:r>
    </w:p>
    <w:p w14:paraId="0F595B4B" w14:textId="77777777" w:rsidR="00CC740A" w:rsidRDefault="00CC740A" w:rsidP="007613FE">
      <w:pPr>
        <w:spacing w:before="0" w:line="260" w:lineRule="atLeast"/>
        <w:rPr>
          <w:sz w:val="20"/>
          <w:szCs w:val="20"/>
          <w:lang w:eastAsia="en-US"/>
        </w:rPr>
      </w:pPr>
    </w:p>
    <w:p w14:paraId="49347BD0" w14:textId="09A1F894" w:rsidR="007C5FCE" w:rsidRPr="007C5FCE" w:rsidRDefault="007C5FCE" w:rsidP="00304C05">
      <w:pPr>
        <w:pStyle w:val="SCSlika0"/>
        <w:rPr>
          <w:lang w:eastAsia="en-US"/>
        </w:rPr>
      </w:pPr>
      <w:bookmarkStart w:id="3059" w:name="_Toc86822709"/>
      <w:r w:rsidRPr="007C5FCE">
        <w:rPr>
          <w:lang w:eastAsia="en-US"/>
        </w:rPr>
        <w:t xml:space="preserve">Slika </w:t>
      </w:r>
      <w:r w:rsidRPr="007C5FCE">
        <w:rPr>
          <w:lang w:eastAsia="en-US"/>
        </w:rPr>
        <w:fldChar w:fldCharType="begin"/>
      </w:r>
      <w:r w:rsidRPr="007C5FCE">
        <w:rPr>
          <w:lang w:eastAsia="en-US"/>
        </w:rPr>
        <w:instrText xml:space="preserve"> SEQ Slika \* ARABIC </w:instrText>
      </w:r>
      <w:r w:rsidRPr="007C5FCE">
        <w:rPr>
          <w:lang w:eastAsia="en-US"/>
        </w:rPr>
        <w:fldChar w:fldCharType="separate"/>
      </w:r>
      <w:r w:rsidR="0088117A">
        <w:rPr>
          <w:noProof/>
          <w:lang w:eastAsia="en-US"/>
        </w:rPr>
        <w:t>37</w:t>
      </w:r>
      <w:r w:rsidRPr="007C5FCE">
        <w:rPr>
          <w:lang w:eastAsia="en-US"/>
        </w:rPr>
        <w:fldChar w:fldCharType="end"/>
      </w:r>
      <w:r w:rsidRPr="007C5FCE">
        <w:rPr>
          <w:lang w:eastAsia="en-US"/>
        </w:rPr>
        <w:t>: Indeks obsega kmetijske proizvodnje in vmesne potrošnje, Slovenija in EU-28, 2005</w:t>
      </w:r>
      <w:r w:rsidR="00071D4F">
        <w:rPr>
          <w:lang w:eastAsia="en-US"/>
        </w:rPr>
        <w:t>-</w:t>
      </w:r>
      <w:r w:rsidRPr="007C5FCE">
        <w:rPr>
          <w:lang w:eastAsia="en-US"/>
        </w:rPr>
        <w:t>2019, v stalnih cenah (2005=100)</w:t>
      </w:r>
      <w:bookmarkEnd w:id="3059"/>
      <w:r w:rsidRPr="007C5FCE">
        <w:rPr>
          <w:lang w:eastAsia="en-US"/>
        </w:rPr>
        <w:t xml:space="preserve">  </w:t>
      </w:r>
    </w:p>
    <w:p w14:paraId="19CC64E6" w14:textId="50B83F34" w:rsidR="00D01902" w:rsidRDefault="00D01902" w:rsidP="007C5FCE">
      <w:pPr>
        <w:spacing w:line="276" w:lineRule="auto"/>
        <w:rPr>
          <w:sz w:val="20"/>
          <w:szCs w:val="20"/>
          <w:lang w:eastAsia="en-US"/>
        </w:rPr>
      </w:pPr>
      <w:r>
        <w:rPr>
          <w:noProof/>
          <w:lang w:eastAsia="sl-SI"/>
        </w:rPr>
        <w:drawing>
          <wp:inline distT="0" distB="0" distL="0" distR="0" wp14:anchorId="6F242488" wp14:editId="1FC18A89">
            <wp:extent cx="5760720" cy="2369820"/>
            <wp:effectExtent l="0" t="0" r="11430" b="11430"/>
            <wp:docPr id="1631865552" name="Grafikon 1631865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2629381" w14:textId="6FAE18B2" w:rsidR="00FC380A" w:rsidRDefault="00FC380A" w:rsidP="00551D9B">
      <w:pPr>
        <w:spacing w:before="0" w:line="276" w:lineRule="auto"/>
        <w:rPr>
          <w:sz w:val="20"/>
          <w:szCs w:val="20"/>
          <w:highlight w:val="yellow"/>
          <w:lang w:eastAsia="en-US"/>
        </w:rPr>
      </w:pPr>
      <w:r w:rsidRPr="0047652B">
        <w:rPr>
          <w:sz w:val="16"/>
          <w:szCs w:val="16"/>
        </w:rPr>
        <w:t>Vir: Eurostat</w:t>
      </w:r>
      <w:r w:rsidR="000346FC">
        <w:rPr>
          <w:sz w:val="16"/>
          <w:szCs w:val="16"/>
        </w:rPr>
        <w:t xml:space="preserve">. </w:t>
      </w:r>
    </w:p>
    <w:p w14:paraId="36484E9F" w14:textId="77777777" w:rsidR="00025B89" w:rsidRDefault="00025B89" w:rsidP="007613FE">
      <w:pPr>
        <w:spacing w:before="0" w:line="260" w:lineRule="atLeast"/>
        <w:rPr>
          <w:sz w:val="20"/>
          <w:szCs w:val="20"/>
          <w:lang w:eastAsia="en-US"/>
        </w:rPr>
      </w:pPr>
    </w:p>
    <w:p w14:paraId="2C8A1C09" w14:textId="24E57D8E" w:rsidR="00025B89" w:rsidRPr="00304C05" w:rsidRDefault="00025B89" w:rsidP="007613FE">
      <w:pPr>
        <w:spacing w:before="0" w:line="260" w:lineRule="atLeast"/>
        <w:rPr>
          <w:szCs w:val="20"/>
          <w:lang w:eastAsia="en-US"/>
        </w:rPr>
      </w:pPr>
      <w:r w:rsidRPr="00304C05">
        <w:rPr>
          <w:szCs w:val="20"/>
          <w:lang w:eastAsia="en-US"/>
        </w:rPr>
        <w:t>Glede vrednosti vmesne potrošnje na hektar KZU kot pokazatelju uporabljenih tehnologij in proizvodnih stroškov med Slovenijo in povprečjem EU-28</w:t>
      </w:r>
      <w:r w:rsidR="00CC18A4" w:rsidRPr="00304C05">
        <w:rPr>
          <w:szCs w:val="20"/>
          <w:lang w:eastAsia="en-US"/>
        </w:rPr>
        <w:t xml:space="preserve"> ni večjih razlik</w:t>
      </w:r>
      <w:r w:rsidRPr="00304C05">
        <w:rPr>
          <w:szCs w:val="20"/>
          <w:lang w:eastAsia="en-US"/>
        </w:rPr>
        <w:t>. Vmesna potrošnja na hektar KZU</w:t>
      </w:r>
      <w:r w:rsidR="00B90461" w:rsidRPr="00304C05">
        <w:rPr>
          <w:rStyle w:val="Sprotnaopomba-sklic"/>
          <w:sz w:val="22"/>
          <w:lang w:eastAsia="en-US"/>
        </w:rPr>
        <w:footnoteReference w:id="14"/>
      </w:r>
      <w:r w:rsidRPr="00304C05">
        <w:rPr>
          <w:szCs w:val="20"/>
          <w:lang w:eastAsia="en-US"/>
        </w:rPr>
        <w:t xml:space="preserve"> je leta 2013 v Sloveniji znašala 1.014 EUR/ha oz. 94 % povprečja EU-28 (1.075 EUR/ha KZU), v letu 2016 pa je bila s 1.144 EUR/ha KZU </w:t>
      </w:r>
      <w:r w:rsidR="00B90461" w:rsidRPr="00304C05">
        <w:rPr>
          <w:szCs w:val="20"/>
          <w:lang w:eastAsia="en-US"/>
        </w:rPr>
        <w:t xml:space="preserve">za 3,4 % </w:t>
      </w:r>
      <w:r w:rsidRPr="00304C05">
        <w:rPr>
          <w:szCs w:val="20"/>
          <w:lang w:eastAsia="en-US"/>
        </w:rPr>
        <w:t xml:space="preserve">višja od povprečja EU-28 (1.106 EUR/ha KZU). </w:t>
      </w:r>
    </w:p>
    <w:p w14:paraId="130E7EAA" w14:textId="77777777" w:rsidR="00CC740A" w:rsidRPr="00304C05" w:rsidRDefault="00CC740A" w:rsidP="007613FE">
      <w:pPr>
        <w:spacing w:before="0" w:line="260" w:lineRule="atLeast"/>
        <w:rPr>
          <w:szCs w:val="20"/>
          <w:lang w:eastAsia="en-US"/>
        </w:rPr>
      </w:pPr>
    </w:p>
    <w:p w14:paraId="25BDD980" w14:textId="63467ABE" w:rsidR="000346FC" w:rsidRPr="00304C05" w:rsidRDefault="0037317E" w:rsidP="007613FE">
      <w:pPr>
        <w:spacing w:before="0" w:line="260" w:lineRule="atLeast"/>
        <w:rPr>
          <w:szCs w:val="20"/>
          <w:lang w:eastAsia="en-US"/>
        </w:rPr>
      </w:pPr>
      <w:r w:rsidRPr="00304C05">
        <w:rPr>
          <w:szCs w:val="20"/>
          <w:lang w:eastAsia="en-US"/>
        </w:rPr>
        <w:t xml:space="preserve">Učinkovitost </w:t>
      </w:r>
      <w:r w:rsidR="00412C47" w:rsidRPr="00304C05">
        <w:rPr>
          <w:szCs w:val="20"/>
          <w:lang w:eastAsia="en-US"/>
        </w:rPr>
        <w:t>v</w:t>
      </w:r>
      <w:r w:rsidRPr="00304C05">
        <w:rPr>
          <w:szCs w:val="20"/>
          <w:lang w:eastAsia="en-US"/>
        </w:rPr>
        <w:t xml:space="preserve"> </w:t>
      </w:r>
      <w:r w:rsidR="00412C47" w:rsidRPr="00304C05">
        <w:rPr>
          <w:szCs w:val="20"/>
          <w:lang w:eastAsia="en-US"/>
        </w:rPr>
        <w:t xml:space="preserve">kmetijski proizvodnji </w:t>
      </w:r>
      <w:r w:rsidR="00D71131" w:rsidRPr="00304C05">
        <w:rPr>
          <w:szCs w:val="20"/>
          <w:lang w:eastAsia="en-US"/>
        </w:rPr>
        <w:t xml:space="preserve">porabljenega blaga in storitev </w:t>
      </w:r>
      <w:r w:rsidR="00412C47" w:rsidRPr="00304C05">
        <w:rPr>
          <w:szCs w:val="20"/>
          <w:lang w:eastAsia="en-US"/>
        </w:rPr>
        <w:t>(vmesna</w:t>
      </w:r>
      <w:r w:rsidRPr="00304C05">
        <w:rPr>
          <w:szCs w:val="20"/>
          <w:lang w:eastAsia="en-US"/>
        </w:rPr>
        <w:t xml:space="preserve"> </w:t>
      </w:r>
      <w:r w:rsidR="00412C47" w:rsidRPr="00304C05">
        <w:rPr>
          <w:szCs w:val="20"/>
          <w:lang w:eastAsia="en-US"/>
        </w:rPr>
        <w:t>potrošnja)</w:t>
      </w:r>
      <w:r w:rsidRPr="00304C05">
        <w:rPr>
          <w:szCs w:val="20"/>
          <w:lang w:eastAsia="en-US"/>
        </w:rPr>
        <w:t xml:space="preserve"> lahko</w:t>
      </w:r>
      <w:r w:rsidR="001B0217" w:rsidRPr="00304C05">
        <w:rPr>
          <w:szCs w:val="20"/>
          <w:lang w:eastAsia="en-US"/>
        </w:rPr>
        <w:t xml:space="preserve"> prikažemo tudi z razmerjem </w:t>
      </w:r>
      <w:r w:rsidRPr="00304C05">
        <w:rPr>
          <w:szCs w:val="20"/>
          <w:lang w:eastAsia="en-US"/>
        </w:rPr>
        <w:t>med bruto dodan</w:t>
      </w:r>
      <w:r w:rsidR="00C41780" w:rsidRPr="00304C05">
        <w:rPr>
          <w:szCs w:val="20"/>
          <w:lang w:eastAsia="en-US"/>
        </w:rPr>
        <w:t>o vrednostjo</w:t>
      </w:r>
      <w:r w:rsidRPr="00304C05">
        <w:rPr>
          <w:szCs w:val="20"/>
          <w:lang w:eastAsia="en-US"/>
        </w:rPr>
        <w:t xml:space="preserve"> in vmesno potrošnjo</w:t>
      </w:r>
      <w:r w:rsidR="00B95EA6" w:rsidRPr="00304C05">
        <w:rPr>
          <w:szCs w:val="20"/>
          <w:lang w:eastAsia="en-US"/>
        </w:rPr>
        <w:t xml:space="preserve"> (Ševčíková M., 2003)</w:t>
      </w:r>
      <w:r w:rsidRPr="00304C05">
        <w:rPr>
          <w:szCs w:val="20"/>
          <w:lang w:eastAsia="en-US"/>
        </w:rPr>
        <w:t xml:space="preserve">. </w:t>
      </w:r>
      <w:r w:rsidR="00CC740A" w:rsidRPr="00304C05">
        <w:rPr>
          <w:szCs w:val="20"/>
          <w:lang w:eastAsia="en-US"/>
        </w:rPr>
        <w:t xml:space="preserve">V </w:t>
      </w:r>
      <w:r w:rsidR="00663A1D" w:rsidRPr="00304C05">
        <w:rPr>
          <w:szCs w:val="20"/>
          <w:lang w:eastAsia="en-US"/>
        </w:rPr>
        <w:t>slovenskem kmetijstvu v</w:t>
      </w:r>
      <w:r w:rsidR="00E07A6C" w:rsidRPr="00304C05">
        <w:rPr>
          <w:szCs w:val="20"/>
          <w:lang w:eastAsia="en-US"/>
        </w:rPr>
        <w:t xml:space="preserve"> letu 2019</w:t>
      </w:r>
      <w:r w:rsidRPr="00304C05">
        <w:rPr>
          <w:szCs w:val="20"/>
          <w:lang w:eastAsia="en-US"/>
        </w:rPr>
        <w:t xml:space="preserve"> na vsak evro</w:t>
      </w:r>
      <w:r w:rsidR="00E07A6C" w:rsidRPr="00304C05">
        <w:rPr>
          <w:szCs w:val="20"/>
          <w:lang w:eastAsia="en-US"/>
        </w:rPr>
        <w:t xml:space="preserve"> </w:t>
      </w:r>
      <w:r w:rsidR="00CC18A4" w:rsidRPr="00304C05">
        <w:rPr>
          <w:szCs w:val="20"/>
          <w:lang w:eastAsia="en-US"/>
        </w:rPr>
        <w:t>vmesne potrošnje</w:t>
      </w:r>
      <w:r w:rsidRPr="00304C05">
        <w:rPr>
          <w:szCs w:val="20"/>
          <w:lang w:eastAsia="en-US"/>
        </w:rPr>
        <w:t xml:space="preserve"> </w:t>
      </w:r>
      <w:r w:rsidR="00502BCA" w:rsidRPr="00304C05">
        <w:rPr>
          <w:szCs w:val="20"/>
          <w:lang w:eastAsia="en-US"/>
        </w:rPr>
        <w:t>ustvarjene</w:t>
      </w:r>
      <w:r w:rsidRPr="00304C05">
        <w:rPr>
          <w:szCs w:val="20"/>
          <w:lang w:eastAsia="en-US"/>
        </w:rPr>
        <w:t xml:space="preserve"> </w:t>
      </w:r>
      <w:r w:rsidR="00576C0D" w:rsidRPr="00304C05">
        <w:rPr>
          <w:szCs w:val="20"/>
          <w:lang w:eastAsia="en-US"/>
        </w:rPr>
        <w:t>0,</w:t>
      </w:r>
      <w:r w:rsidR="001B0217" w:rsidRPr="00304C05">
        <w:rPr>
          <w:szCs w:val="20"/>
          <w:lang w:eastAsia="en-US"/>
        </w:rPr>
        <w:t xml:space="preserve">76 EUR </w:t>
      </w:r>
      <w:r w:rsidRPr="00304C05">
        <w:rPr>
          <w:szCs w:val="20"/>
          <w:lang w:eastAsia="en-US"/>
        </w:rPr>
        <w:t xml:space="preserve">bruto </w:t>
      </w:r>
      <w:r w:rsidR="001B0217" w:rsidRPr="00304C05">
        <w:rPr>
          <w:szCs w:val="20"/>
          <w:lang w:eastAsia="en-US"/>
        </w:rPr>
        <w:t>dodane</w:t>
      </w:r>
      <w:r w:rsidRPr="00304C05">
        <w:rPr>
          <w:szCs w:val="20"/>
          <w:lang w:eastAsia="en-US"/>
        </w:rPr>
        <w:t xml:space="preserve"> vrednost</w:t>
      </w:r>
      <w:r w:rsidR="001B0217" w:rsidRPr="00304C05">
        <w:rPr>
          <w:szCs w:val="20"/>
          <w:lang w:eastAsia="en-US"/>
        </w:rPr>
        <w:t>i</w:t>
      </w:r>
      <w:r w:rsidR="00CC740A" w:rsidRPr="00304C05">
        <w:rPr>
          <w:szCs w:val="20"/>
          <w:lang w:eastAsia="en-US"/>
        </w:rPr>
        <w:t xml:space="preserve"> (</w:t>
      </w:r>
      <w:r w:rsidR="00CC740A" w:rsidRPr="00304C05">
        <w:rPr>
          <w:szCs w:val="20"/>
          <w:lang w:eastAsia="en-US"/>
        </w:rPr>
        <w:fldChar w:fldCharType="begin"/>
      </w:r>
      <w:r w:rsidR="00CC740A" w:rsidRPr="00304C05">
        <w:rPr>
          <w:szCs w:val="20"/>
          <w:lang w:eastAsia="en-US"/>
        </w:rPr>
        <w:instrText xml:space="preserve"> REF _Ref54811593 \h  \* MERGEFORMAT </w:instrText>
      </w:r>
      <w:r w:rsidR="00CC740A" w:rsidRPr="00304C05">
        <w:rPr>
          <w:szCs w:val="20"/>
          <w:lang w:eastAsia="en-US"/>
        </w:rPr>
      </w:r>
      <w:r w:rsidR="00CC740A" w:rsidRPr="00304C05">
        <w:rPr>
          <w:szCs w:val="20"/>
          <w:lang w:eastAsia="en-US"/>
        </w:rPr>
        <w:fldChar w:fldCharType="separate"/>
      </w:r>
      <w:r w:rsidR="0088117A" w:rsidRPr="0088117A">
        <w:rPr>
          <w:szCs w:val="20"/>
        </w:rPr>
        <w:t>Slika</w:t>
      </w:r>
      <w:r w:rsidR="0088117A" w:rsidRPr="0088117A">
        <w:rPr>
          <w:noProof/>
          <w:szCs w:val="20"/>
        </w:rPr>
        <w:t xml:space="preserve"> </w:t>
      </w:r>
      <w:r w:rsidR="0088117A" w:rsidRPr="0088117A">
        <w:rPr>
          <w:noProof/>
          <w:szCs w:val="16"/>
        </w:rPr>
        <w:t>38</w:t>
      </w:r>
      <w:r w:rsidR="00CC740A" w:rsidRPr="00304C05">
        <w:rPr>
          <w:szCs w:val="20"/>
          <w:lang w:eastAsia="en-US"/>
        </w:rPr>
        <w:fldChar w:fldCharType="end"/>
      </w:r>
      <w:r w:rsidR="00CC740A" w:rsidRPr="00304C05">
        <w:rPr>
          <w:szCs w:val="20"/>
          <w:lang w:eastAsia="en-US"/>
        </w:rPr>
        <w:t>)</w:t>
      </w:r>
      <w:r w:rsidRPr="00304C05">
        <w:rPr>
          <w:szCs w:val="20"/>
          <w:lang w:eastAsia="en-US"/>
        </w:rPr>
        <w:t>. V EU-28 je bilo razmerje podobno (0,74 EUR)</w:t>
      </w:r>
      <w:r w:rsidR="00502BCA" w:rsidRPr="00304C05">
        <w:rPr>
          <w:szCs w:val="20"/>
          <w:lang w:eastAsia="en-US"/>
        </w:rPr>
        <w:t xml:space="preserve">. </w:t>
      </w:r>
    </w:p>
    <w:p w14:paraId="4DEF4564" w14:textId="77777777" w:rsidR="00CC740A" w:rsidRPr="00304C05" w:rsidRDefault="00CC740A" w:rsidP="007613FE">
      <w:pPr>
        <w:spacing w:before="0" w:line="260" w:lineRule="atLeast"/>
        <w:rPr>
          <w:szCs w:val="20"/>
          <w:lang w:eastAsia="en-US"/>
        </w:rPr>
      </w:pPr>
    </w:p>
    <w:p w14:paraId="3A7D8D16" w14:textId="51C879AA" w:rsidR="00724395" w:rsidRPr="00304C05" w:rsidRDefault="00595B86" w:rsidP="007613FE">
      <w:pPr>
        <w:spacing w:before="0" w:line="260" w:lineRule="atLeast"/>
        <w:rPr>
          <w:szCs w:val="20"/>
          <w:lang w:eastAsia="en-US"/>
        </w:rPr>
      </w:pPr>
      <w:r w:rsidRPr="00304C05">
        <w:rPr>
          <w:szCs w:val="20"/>
          <w:lang w:eastAsia="en-US"/>
        </w:rPr>
        <w:t xml:space="preserve">Iz teh kazalcev je razvidno, kolikšna je stroškovna učinkovitost rabe inputov v kmetijskih proizvodnji (pri čemer se zavedamo prepletenosti vplivov številnih eksternih faktorjev, kot so nihanja cen inputov, </w:t>
      </w:r>
      <w:r w:rsidR="00A20A54" w:rsidRPr="00304C05">
        <w:rPr>
          <w:szCs w:val="20"/>
          <w:lang w:eastAsia="en-US"/>
        </w:rPr>
        <w:t>na delež vmesne potrošnje pa izrazito vpliva tudi tip kmetijske proizvodnje</w:t>
      </w:r>
      <w:r w:rsidRPr="00304C05">
        <w:rPr>
          <w:szCs w:val="20"/>
          <w:lang w:eastAsia="en-US"/>
        </w:rPr>
        <w:t>).</w:t>
      </w:r>
      <w:r w:rsidR="00CC740A" w:rsidRPr="00304C05">
        <w:rPr>
          <w:szCs w:val="20"/>
          <w:lang w:eastAsia="en-US"/>
        </w:rPr>
        <w:t xml:space="preserve"> </w:t>
      </w:r>
      <w:r w:rsidR="00A20A54" w:rsidRPr="00304C05">
        <w:rPr>
          <w:szCs w:val="20"/>
          <w:lang w:eastAsia="en-US"/>
        </w:rPr>
        <w:t xml:space="preserve">Na stroškovno učinkovitost vpliva obseg uporabljenih inputov glede </w:t>
      </w:r>
      <w:r w:rsidR="00A20A54" w:rsidRPr="00304C05">
        <w:rPr>
          <w:szCs w:val="20"/>
          <w:lang w:eastAsia="en-US"/>
        </w:rPr>
        <w:lastRenderedPageBreak/>
        <w:t>na kmetijski output, uspešnost kombinacije inputov in pa kakovost uporabljenih inputov</w:t>
      </w:r>
      <w:r w:rsidR="00A6739E" w:rsidRPr="00304C05">
        <w:rPr>
          <w:szCs w:val="20"/>
          <w:lang w:eastAsia="en-US"/>
        </w:rPr>
        <w:t xml:space="preserve">. </w:t>
      </w:r>
      <w:r w:rsidRPr="00304C05">
        <w:rPr>
          <w:szCs w:val="20"/>
          <w:lang w:eastAsia="en-US"/>
        </w:rPr>
        <w:t xml:space="preserve">Slovensko kmetijstvo se po teh kazalcih nahaja v povprečju EU-28. </w:t>
      </w:r>
    </w:p>
    <w:p w14:paraId="12F03CD6" w14:textId="77777777" w:rsidR="00CC740A" w:rsidRPr="002A60EF" w:rsidRDefault="00CC740A" w:rsidP="007613FE">
      <w:pPr>
        <w:spacing w:before="0" w:line="260" w:lineRule="atLeast"/>
        <w:rPr>
          <w:sz w:val="20"/>
          <w:szCs w:val="20"/>
          <w:lang w:eastAsia="en-US"/>
        </w:rPr>
      </w:pPr>
    </w:p>
    <w:p w14:paraId="620E6294" w14:textId="74B78E7F" w:rsidR="00502BCA" w:rsidRDefault="007C5FCE" w:rsidP="00304C05">
      <w:pPr>
        <w:pStyle w:val="SCSlika0"/>
      </w:pPr>
      <w:bookmarkStart w:id="3060" w:name="_Ref54811593"/>
      <w:bookmarkStart w:id="3061" w:name="_Toc86822710"/>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38</w:t>
      </w:r>
      <w:r w:rsidR="009F2591">
        <w:rPr>
          <w:noProof/>
        </w:rPr>
        <w:fldChar w:fldCharType="end"/>
      </w:r>
      <w:bookmarkEnd w:id="3060"/>
      <w:r w:rsidRPr="009F3567">
        <w:t xml:space="preserve">: </w:t>
      </w:r>
      <w:r w:rsidR="00502BCA" w:rsidRPr="00502BCA">
        <w:rPr>
          <w:lang w:val="en-US"/>
        </w:rPr>
        <w:t>Razmerje med</w:t>
      </w:r>
      <w:r w:rsidR="00502BCA" w:rsidRPr="00502BCA">
        <w:t xml:space="preserve"> bruto dodano vrednostjo in vmesno potrošnjo</w:t>
      </w:r>
      <w:r w:rsidR="00821817">
        <w:t>,</w:t>
      </w:r>
      <w:r w:rsidR="008054A7">
        <w:t xml:space="preserve"> 2019</w:t>
      </w:r>
      <w:r w:rsidR="00821817">
        <w:t>,</w:t>
      </w:r>
      <w:r w:rsidR="008054A7">
        <w:t xml:space="preserve"> EU, v </w:t>
      </w:r>
      <w:r w:rsidR="008361C3">
        <w:t>EUR</w:t>
      </w:r>
      <w:r w:rsidR="00502BCA" w:rsidRPr="00502BCA">
        <w:t xml:space="preserve">, </w:t>
      </w:r>
      <w:r w:rsidR="00821817">
        <w:t>v tekočih</w:t>
      </w:r>
      <w:r w:rsidR="00502BCA" w:rsidRPr="00502BCA">
        <w:t xml:space="preserve"> cen</w:t>
      </w:r>
      <w:r w:rsidR="00821817">
        <w:t>ah</w:t>
      </w:r>
      <w:bookmarkEnd w:id="3061"/>
    </w:p>
    <w:p w14:paraId="3F97F0F3" w14:textId="5877B15B" w:rsidR="008B2BE1" w:rsidRDefault="008B2BE1" w:rsidP="00502BCA">
      <w:pPr>
        <w:spacing w:line="276" w:lineRule="auto"/>
        <w:rPr>
          <w:sz w:val="20"/>
          <w:szCs w:val="16"/>
        </w:rPr>
      </w:pPr>
      <w:r w:rsidRPr="0023001C">
        <w:rPr>
          <w:noProof/>
          <w:lang w:eastAsia="sl-SI"/>
        </w:rPr>
        <w:drawing>
          <wp:inline distT="0" distB="0" distL="0" distR="0" wp14:anchorId="02DBD2AB" wp14:editId="559E2039">
            <wp:extent cx="4572000" cy="4975860"/>
            <wp:effectExtent l="0" t="0" r="0" b="1524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AF8315" w14:textId="77777777" w:rsidR="00D01902" w:rsidRDefault="00D01902" w:rsidP="00D01902">
      <w:pPr>
        <w:spacing w:before="0" w:line="276" w:lineRule="auto"/>
        <w:rPr>
          <w:sz w:val="20"/>
          <w:szCs w:val="20"/>
          <w:highlight w:val="yellow"/>
          <w:lang w:eastAsia="en-US"/>
        </w:rPr>
      </w:pPr>
      <w:r w:rsidRPr="0047652B">
        <w:rPr>
          <w:sz w:val="16"/>
          <w:szCs w:val="16"/>
        </w:rPr>
        <w:t>Vir: Eurostat</w:t>
      </w:r>
    </w:p>
    <w:p w14:paraId="76E491EE" w14:textId="4EC6E9AE" w:rsidR="00754A51" w:rsidRDefault="00754A51" w:rsidP="007613FE">
      <w:pPr>
        <w:pStyle w:val="Odstavek1"/>
      </w:pPr>
    </w:p>
    <w:p w14:paraId="3FFF8C5B" w14:textId="6769B1DB" w:rsidR="00FC732C" w:rsidRDefault="00FC732C" w:rsidP="007613FE">
      <w:pPr>
        <w:pStyle w:val="Odstavek1"/>
      </w:pPr>
    </w:p>
    <w:p w14:paraId="4606E1A6" w14:textId="77777777" w:rsidR="00FC732C" w:rsidRPr="004D1FCD" w:rsidRDefault="00FC732C" w:rsidP="00FC732C">
      <w:pPr>
        <w:pStyle w:val="Naslov2"/>
      </w:pPr>
      <w:bookmarkStart w:id="3062" w:name="_Toc86822555"/>
      <w:r w:rsidRPr="004D1FCD">
        <w:t>Ključne ugotovitve</w:t>
      </w:r>
      <w:bookmarkEnd w:id="3062"/>
    </w:p>
    <w:p w14:paraId="0D013BF5" w14:textId="0B1D9FF1" w:rsidR="00FC732C" w:rsidRDefault="00FC732C" w:rsidP="007613FE">
      <w:pPr>
        <w:pStyle w:val="Odstavek1"/>
      </w:pPr>
    </w:p>
    <w:p w14:paraId="300018E5" w14:textId="77777777" w:rsidR="00FC732C" w:rsidRPr="007E558D" w:rsidRDefault="00FC732C" w:rsidP="00FC732C">
      <w:pPr>
        <w:pStyle w:val="Odstavekseznama"/>
        <w:numPr>
          <w:ilvl w:val="0"/>
          <w:numId w:val="2"/>
        </w:numPr>
        <w:spacing w:before="0" w:line="260" w:lineRule="atLeast"/>
        <w:ind w:left="426" w:hanging="284"/>
        <w:contextualSpacing/>
        <w:rPr>
          <w:rFonts w:ascii="Arial" w:hAnsi="Arial"/>
          <w:sz w:val="22"/>
        </w:rPr>
      </w:pPr>
      <w:r w:rsidRPr="007E558D">
        <w:rPr>
          <w:rFonts w:ascii="Arial" w:hAnsi="Arial"/>
          <w:sz w:val="22"/>
        </w:rPr>
        <w:t xml:space="preserve">Rast obsega kmetijske proizvodnje v obdobju 2005–2019 ni odraz rasti vmesne potrošnje (kar sicer velja na nivoju povprečja EU), temveč spremembe v obsegu vmesne potrošnje deloma odražajo spremembe v strukturi kmetijske proizvodnje, deloma pa tudi večjo učinkovitost virov. </w:t>
      </w:r>
    </w:p>
    <w:p w14:paraId="0A8D9F1F" w14:textId="77777777" w:rsidR="00FC732C" w:rsidRDefault="00FC732C" w:rsidP="007613FE">
      <w:pPr>
        <w:pStyle w:val="Odstavek1"/>
      </w:pPr>
    </w:p>
    <w:p w14:paraId="39BF46BB" w14:textId="75EB9330" w:rsidR="00754A51" w:rsidRPr="00304C05" w:rsidRDefault="00300831" w:rsidP="00304C05">
      <w:pPr>
        <w:pStyle w:val="Naslov1"/>
      </w:pPr>
      <w:bookmarkStart w:id="3063" w:name="_Toc86822556"/>
      <w:r w:rsidRPr="00304C05">
        <w:lastRenderedPageBreak/>
        <w:t xml:space="preserve">Specifični vidik: </w:t>
      </w:r>
      <w:r w:rsidR="0087227A" w:rsidRPr="00304C05">
        <w:t xml:space="preserve">Nižja </w:t>
      </w:r>
      <w:r w:rsidRPr="00304C05">
        <w:t xml:space="preserve">konkurenčnost </w:t>
      </w:r>
      <w:r w:rsidR="0087227A" w:rsidRPr="00304C05">
        <w:t xml:space="preserve">kmetij na </w:t>
      </w:r>
      <w:r w:rsidRPr="00304C05">
        <w:t>OMD</w:t>
      </w:r>
      <w:bookmarkEnd w:id="3063"/>
      <w:r w:rsidRPr="00304C05">
        <w:t xml:space="preserve"> </w:t>
      </w:r>
    </w:p>
    <w:p w14:paraId="7A0943BB" w14:textId="77777777" w:rsidR="00754A51" w:rsidRPr="0047652B" w:rsidRDefault="00754A51" w:rsidP="007613FE">
      <w:pPr>
        <w:pStyle w:val="Odstavek1"/>
      </w:pPr>
    </w:p>
    <w:p w14:paraId="507847EE" w14:textId="3FCCF67D" w:rsidR="00754A51" w:rsidRPr="001A32D7" w:rsidRDefault="00754A51" w:rsidP="00304C05">
      <w:pPr>
        <w:rPr>
          <w:lang w:val="en" w:eastAsia="sl-SI"/>
        </w:rPr>
      </w:pPr>
      <w:r w:rsidRPr="005E6F45">
        <w:rPr>
          <w:lang w:val="en" w:eastAsia="sl-SI"/>
        </w:rPr>
        <w:t xml:space="preserve">Slovenija </w:t>
      </w:r>
      <w:r w:rsidR="00E30CAF">
        <w:rPr>
          <w:lang w:val="en" w:eastAsia="sl-SI"/>
        </w:rPr>
        <w:t xml:space="preserve">ima </w:t>
      </w:r>
      <w:r w:rsidRPr="005E6F45">
        <w:rPr>
          <w:lang w:val="en" w:eastAsia="sl-SI"/>
        </w:rPr>
        <w:t xml:space="preserve">velik del </w:t>
      </w:r>
      <w:r w:rsidRPr="001A32D7">
        <w:rPr>
          <w:lang w:val="en" w:eastAsia="sl-SI"/>
        </w:rPr>
        <w:t>KZU</w:t>
      </w:r>
      <w:r w:rsidRPr="005E6F45">
        <w:rPr>
          <w:lang w:val="en" w:eastAsia="sl-SI"/>
        </w:rPr>
        <w:t xml:space="preserve"> na OMD</w:t>
      </w:r>
      <w:r>
        <w:rPr>
          <w:lang w:val="en" w:eastAsia="sl-SI"/>
        </w:rPr>
        <w:t xml:space="preserve"> (76,2 %)</w:t>
      </w:r>
      <w:r w:rsidRPr="005E6F45">
        <w:rPr>
          <w:lang w:val="en" w:eastAsia="sl-SI"/>
        </w:rPr>
        <w:t xml:space="preserve">, še posebej na gorskih območjih, </w:t>
      </w:r>
      <w:r w:rsidR="00E30CAF">
        <w:rPr>
          <w:lang w:val="en" w:eastAsia="sl-SI"/>
        </w:rPr>
        <w:t xml:space="preserve">zato </w:t>
      </w:r>
      <w:r w:rsidRPr="005E6F45">
        <w:rPr>
          <w:lang w:val="en" w:eastAsia="sl-SI"/>
        </w:rPr>
        <w:t>so</w:t>
      </w:r>
      <w:r w:rsidRPr="001A32D7">
        <w:rPr>
          <w:lang w:val="en" w:eastAsia="sl-SI"/>
        </w:rPr>
        <w:t xml:space="preserve"> tamkajšnja </w:t>
      </w:r>
      <w:r w:rsidRPr="005E6F45">
        <w:rPr>
          <w:lang w:val="en" w:eastAsia="sl-SI"/>
        </w:rPr>
        <w:t>kmetijska gospodarstva omejena pri povečevanju svoje produktivnosti z dejavniki, na katere nimajo vpliva</w:t>
      </w:r>
      <w:r w:rsidRPr="001A32D7">
        <w:rPr>
          <w:lang w:val="en" w:eastAsia="sl-SI"/>
        </w:rPr>
        <w:t>,</w:t>
      </w:r>
      <w:r w:rsidRPr="005E6F45">
        <w:rPr>
          <w:lang w:val="en" w:eastAsia="sl-SI"/>
        </w:rPr>
        <w:t xml:space="preserve"> ter s tem tudi manj konkurenčna. </w:t>
      </w:r>
    </w:p>
    <w:p w14:paraId="68EDEBE2" w14:textId="77777777" w:rsidR="00754A51" w:rsidRDefault="00754A51" w:rsidP="00304C05">
      <w:pPr>
        <w:rPr>
          <w:b/>
        </w:rPr>
      </w:pPr>
    </w:p>
    <w:p w14:paraId="1A6E5275" w14:textId="184A1AA9" w:rsidR="00754A51" w:rsidRPr="00546EBF" w:rsidRDefault="00754A51" w:rsidP="00304C05">
      <w:r w:rsidRPr="001A32D7">
        <w:t xml:space="preserve">Analiza </w:t>
      </w:r>
      <w:r>
        <w:t>primerjave dohodkov kmetijskih gospodarstev v državah članicah EU</w:t>
      </w:r>
      <w:r w:rsidRPr="001A32D7">
        <w:t xml:space="preserve">, ki temelji na podatkih FADN, kaže, da je bila raven </w:t>
      </w:r>
      <w:r w:rsidR="00464726">
        <w:t>»</w:t>
      </w:r>
      <w:r w:rsidRPr="001A32D7">
        <w:t>dohodkov kmetij v območjih z omejenimi možnostmi nižja od tistih v območjih, ki nimajo območja z omejenimi možnostmi, tudi po vključitvi posebni</w:t>
      </w:r>
      <w:r w:rsidR="00464726">
        <w:t>h plačil, ki jih prejmejo prvi«.</w:t>
      </w:r>
      <w:r w:rsidRPr="001A32D7">
        <w:t xml:space="preserve"> </w:t>
      </w:r>
      <w:r w:rsidR="006A3441">
        <w:t>(Hill in Bradley, 2015)</w:t>
      </w:r>
      <w:r w:rsidR="005E1EB8">
        <w:t xml:space="preserve"> Podrobneje je dohodkovni položaj kmetij v OMD primerjalno glede na kmetije izven OMD prikazan v analizi stanja za cilj 1, zato se v tem delu ne podvajamo.</w:t>
      </w:r>
      <w:r>
        <w:t xml:space="preserve">Kmetijska gospodarstva na </w:t>
      </w:r>
      <w:r w:rsidR="00425A64">
        <w:t>OMD</w:t>
      </w:r>
      <w:r w:rsidRPr="001A32D7">
        <w:t xml:space="preserve"> </w:t>
      </w:r>
      <w:r>
        <w:t xml:space="preserve">lahko izboljšajo svojo </w:t>
      </w:r>
      <w:r w:rsidRPr="001A32D7">
        <w:t xml:space="preserve">finančno </w:t>
      </w:r>
      <w:r>
        <w:t>uči</w:t>
      </w:r>
      <w:r w:rsidRPr="001A32D7">
        <w:t xml:space="preserve">nkovitost in </w:t>
      </w:r>
      <w:r>
        <w:t xml:space="preserve">konkurenčnost tudi preko vlaganj v osnovna sredstva, še posebej, če so te investicije podprte tudi z </w:t>
      </w:r>
      <w:r w:rsidR="0037317E">
        <w:t xml:space="preserve">javnimi </w:t>
      </w:r>
      <w:r>
        <w:t xml:space="preserve">sredstvi, </w:t>
      </w:r>
      <w:r w:rsidRPr="007E0775">
        <w:t>vendar pa zaradi nižjih dohodkov ne (z)morejo vlagati tolikšnih sredstev kot tista, ki kmetujejo izven OMD.</w:t>
      </w:r>
      <w:r>
        <w:t xml:space="preserve"> </w:t>
      </w:r>
      <w:r w:rsidR="004F78B0">
        <w:t xml:space="preserve">S pomočjo javnih sredstev se lahko tveganja, povezana z investiranjem, zmanjšajo, hkrati pa se zmanjša </w:t>
      </w:r>
      <w:r w:rsidR="00064FEE">
        <w:t xml:space="preserve">tudi </w:t>
      </w:r>
      <w:r w:rsidR="004F78B0">
        <w:t xml:space="preserve">možnost neuspeha, še posebej v </w:t>
      </w:r>
      <w:r w:rsidR="004F78B0" w:rsidRPr="00555F8A">
        <w:t>primerjavi s KMG, ki ne investirajo.</w:t>
      </w:r>
      <w:r w:rsidR="00546EBF" w:rsidRPr="00555F8A">
        <w:t xml:space="preserve"> </w:t>
      </w:r>
      <w:r w:rsidR="00546EBF" w:rsidRPr="007F17DB">
        <w:t>(</w:t>
      </w:r>
      <w:r w:rsidR="00546EBF" w:rsidRPr="007F17DB">
        <w:rPr>
          <w:rFonts w:eastAsia="Calibri"/>
          <w:lang w:val="en"/>
        </w:rPr>
        <w:t>Hlavsa</w:t>
      </w:r>
      <w:r w:rsidR="00546EBF" w:rsidRPr="007F17DB">
        <w:rPr>
          <w:lang w:val="en"/>
        </w:rPr>
        <w:t xml:space="preserve"> Tomáš; Hruška Martin; Turková Edita, 2017)</w:t>
      </w:r>
    </w:p>
    <w:p w14:paraId="155E0DC6" w14:textId="77777777" w:rsidR="00754A51" w:rsidRPr="00630FF0" w:rsidRDefault="00754A51" w:rsidP="009F3567">
      <w:pPr>
        <w:pStyle w:val="Default"/>
        <w:spacing w:line="276" w:lineRule="auto"/>
        <w:jc w:val="both"/>
        <w:rPr>
          <w:rFonts w:ascii="Arial" w:hAnsi="Arial" w:cs="Arial"/>
          <w:color w:val="auto"/>
          <w:sz w:val="20"/>
          <w:szCs w:val="20"/>
        </w:rPr>
      </w:pPr>
    </w:p>
    <w:p w14:paraId="54433268" w14:textId="3C45DE05" w:rsidR="00754A51" w:rsidRPr="007F17DB" w:rsidRDefault="00754A51" w:rsidP="00304C05">
      <w:r w:rsidRPr="006249A0">
        <w:t xml:space="preserve">Raziskava tehnične učinkovitosti kmetij </w:t>
      </w:r>
      <w:r w:rsidR="00464726" w:rsidRPr="006249A0">
        <w:t>(</w:t>
      </w:r>
      <w:r w:rsidR="00464726" w:rsidRPr="006249A0">
        <w:rPr>
          <w:iCs/>
        </w:rPr>
        <w:t>Baráth et al., 2017)</w:t>
      </w:r>
      <w:r w:rsidRPr="006249A0">
        <w:t xml:space="preserve"> je pokazala, da kmetije na OMD </w:t>
      </w:r>
      <w:r w:rsidR="00630FF0" w:rsidRPr="006249A0">
        <w:t xml:space="preserve">niso </w:t>
      </w:r>
      <w:r w:rsidRPr="006249A0">
        <w:t>tehnično manj učinkovite kot kmetije na območjih, ki niso omejene na OMD</w:t>
      </w:r>
      <w:r w:rsidR="00630FF0" w:rsidRPr="006249A0">
        <w:t xml:space="preserve">, </w:t>
      </w:r>
      <w:r w:rsidR="00630FF0" w:rsidRPr="006249A0">
        <w:rPr>
          <w:rStyle w:val="tlid-translation"/>
        </w:rPr>
        <w:t>temveč da so med obema skupinama predvsem velike razlike v heterogenosti in tehnologij</w:t>
      </w:r>
      <w:r w:rsidR="00DD07E4" w:rsidRPr="006249A0">
        <w:rPr>
          <w:rStyle w:val="tlid-translation"/>
        </w:rPr>
        <w:t>ah, ki so v primeru k</w:t>
      </w:r>
      <w:r w:rsidR="00630FF0" w:rsidRPr="006249A0">
        <w:rPr>
          <w:rStyle w:val="tlid-translation"/>
        </w:rPr>
        <w:t xml:space="preserve">metij na OMD drugačne, prilagojene </w:t>
      </w:r>
      <w:r w:rsidR="00DD07E4" w:rsidRPr="006249A0">
        <w:rPr>
          <w:rStyle w:val="tlid-translation"/>
        </w:rPr>
        <w:t>proizvodnim in okoljskim pogojem, v okviru katerih delujejo</w:t>
      </w:r>
      <w:r w:rsidRPr="006249A0">
        <w:t xml:space="preserve">. </w:t>
      </w:r>
    </w:p>
    <w:p w14:paraId="6D138F26" w14:textId="4AD1947B" w:rsidR="008551AD" w:rsidRDefault="008551AD" w:rsidP="007613FE">
      <w:pPr>
        <w:pStyle w:val="Odstavek1"/>
      </w:pPr>
    </w:p>
    <w:p w14:paraId="3E910697" w14:textId="68A9A2F4" w:rsidR="00754A51" w:rsidRPr="009F3567" w:rsidRDefault="00754A51" w:rsidP="005B2A49">
      <w:pPr>
        <w:pStyle w:val="Naslov2"/>
      </w:pPr>
      <w:bookmarkStart w:id="3064" w:name="_Toc86822557"/>
      <w:r w:rsidRPr="009F3567">
        <w:t>Analiza naložb v okviru podukrepa M</w:t>
      </w:r>
      <w:r w:rsidR="00745D70">
        <w:t>0</w:t>
      </w:r>
      <w:r w:rsidRPr="009F3567">
        <w:t xml:space="preserve">4.1 </w:t>
      </w:r>
      <w:r w:rsidR="00A6739E">
        <w:t xml:space="preserve">Podpora za naložbe v kmetijska gospodarstva </w:t>
      </w:r>
      <w:r w:rsidRPr="009F3567">
        <w:t xml:space="preserve">PRP 2014-2020 </w:t>
      </w:r>
      <w:r w:rsidR="00367511">
        <w:t xml:space="preserve">glede na OMD </w:t>
      </w:r>
      <w:r w:rsidRPr="009F3567">
        <w:t>(stanje 30. 4. 2020)</w:t>
      </w:r>
      <w:bookmarkEnd w:id="3064"/>
    </w:p>
    <w:p w14:paraId="5CB6ABFD" w14:textId="77777777" w:rsidR="00464726" w:rsidRDefault="00464726" w:rsidP="007613FE">
      <w:pPr>
        <w:pStyle w:val="Odstavek1"/>
      </w:pPr>
    </w:p>
    <w:p w14:paraId="66F100A5" w14:textId="2A9B7ACE" w:rsidR="00754A51" w:rsidRDefault="00754A51" w:rsidP="007613FE">
      <w:pPr>
        <w:pStyle w:val="Odstavek1"/>
      </w:pPr>
      <w:r>
        <w:t>Analiza naložb v okviru investicijskega podukrepa M</w:t>
      </w:r>
      <w:r w:rsidR="00745D70">
        <w:t>0</w:t>
      </w:r>
      <w:r>
        <w:t>4.1 iz PRP 2014-2020 kaže, da je p</w:t>
      </w:r>
      <w:r w:rsidRPr="00C84CD6">
        <w:t xml:space="preserve">ovprečna </w:t>
      </w:r>
      <w:r>
        <w:t>vrednost</w:t>
      </w:r>
      <w:r w:rsidRPr="00C84CD6">
        <w:t xml:space="preserve"> </w:t>
      </w:r>
      <w:r>
        <w:t xml:space="preserve">podprtih </w:t>
      </w:r>
      <w:r w:rsidRPr="00C84CD6">
        <w:t xml:space="preserve">naložb glede na OMD </w:t>
      </w:r>
      <w:r>
        <w:t xml:space="preserve">več kot enkrat višja na </w:t>
      </w:r>
      <w:r w:rsidR="0037317E">
        <w:t>območjih</w:t>
      </w:r>
      <w:r w:rsidR="00D07D40">
        <w:t xml:space="preserve"> izven OMD </w:t>
      </w:r>
      <w:r>
        <w:t xml:space="preserve">(266.469 EUR) v primerjavi s povprečno vrednostjo podprtih naložb na OMD </w:t>
      </w:r>
      <w:r w:rsidR="004E7E63">
        <w:t xml:space="preserve">- gorska območja </w:t>
      </w:r>
      <w:r>
        <w:t xml:space="preserve">(120.846 EUR). </w:t>
      </w:r>
    </w:p>
    <w:p w14:paraId="46B29DD2" w14:textId="77777777" w:rsidR="00464726" w:rsidRDefault="00464726" w:rsidP="007613FE">
      <w:pPr>
        <w:pStyle w:val="Odstavek1"/>
      </w:pPr>
    </w:p>
    <w:p w14:paraId="1238AA42" w14:textId="37E4AD48" w:rsidR="00754A51" w:rsidRDefault="00FB256F" w:rsidP="007613FE">
      <w:pPr>
        <w:pStyle w:val="Odstavek1"/>
      </w:pPr>
      <w:r>
        <w:t>Iz</w:t>
      </w:r>
      <w:r w:rsidR="00754A51">
        <w:t xml:space="preserve"> </w:t>
      </w:r>
      <w:r w:rsidR="00A36DE8">
        <w:t>prikaza (</w:t>
      </w:r>
      <w:r w:rsidRPr="00FB256F">
        <w:fldChar w:fldCharType="begin"/>
      </w:r>
      <w:r w:rsidRPr="00863DCE">
        <w:instrText xml:space="preserve"> REF _Ref54879475 \h  \* MERGEFORMAT </w:instrText>
      </w:r>
      <w:r w:rsidRPr="00FB256F">
        <w:fldChar w:fldCharType="separate"/>
      </w:r>
      <w:r w:rsidR="0088117A" w:rsidRPr="009F3567">
        <w:t>Tabela</w:t>
      </w:r>
      <w:r w:rsidR="0088117A" w:rsidRPr="009F3567">
        <w:rPr>
          <w:noProof/>
        </w:rPr>
        <w:t xml:space="preserve"> </w:t>
      </w:r>
      <w:r w:rsidR="0088117A">
        <w:rPr>
          <w:noProof/>
        </w:rPr>
        <w:t>5</w:t>
      </w:r>
      <w:r w:rsidRPr="00FB256F">
        <w:fldChar w:fldCharType="end"/>
      </w:r>
      <w:r w:rsidR="00A36DE8">
        <w:t>)</w:t>
      </w:r>
      <w:r>
        <w:t xml:space="preserve"> je razvidno, da je pri</w:t>
      </w:r>
      <w:r w:rsidR="00754A51">
        <w:t xml:space="preserve"> </w:t>
      </w:r>
      <w:r>
        <w:t>naložbah v mleko</w:t>
      </w:r>
      <w:r w:rsidR="00754A51">
        <w:t xml:space="preserve"> povprečna vrednost naložb na gorskih območjih </w:t>
      </w:r>
      <w:r>
        <w:t>2-krat</w:t>
      </w:r>
      <w:r w:rsidR="00754A51">
        <w:t xml:space="preserve"> nižja od povprečne vrednosti </w:t>
      </w:r>
      <w:r>
        <w:t xml:space="preserve">tovrstnih </w:t>
      </w:r>
      <w:r w:rsidR="00754A51">
        <w:t xml:space="preserve">naložb na </w:t>
      </w:r>
      <w:r w:rsidR="0037317E">
        <w:t>območjih</w:t>
      </w:r>
      <w:r w:rsidR="00D07D40">
        <w:t xml:space="preserve"> izven OMD</w:t>
      </w:r>
      <w:r>
        <w:t>.</w:t>
      </w:r>
      <w:r w:rsidR="00A36DE8">
        <w:t xml:space="preserve"> </w:t>
      </w:r>
      <w:r>
        <w:t>Š</w:t>
      </w:r>
      <w:r w:rsidR="00754A51">
        <w:t xml:space="preserve">e očitnejša pa je razlika pri pašni živini, kjer je povprečna vrednost naložb </w:t>
      </w:r>
      <w:r w:rsidR="004E7E63">
        <w:t>na</w:t>
      </w:r>
      <w:r w:rsidR="00754A51">
        <w:t xml:space="preserve"> </w:t>
      </w:r>
      <w:r w:rsidR="00D07D40">
        <w:t xml:space="preserve">OMD - </w:t>
      </w:r>
      <w:r w:rsidR="004E7E63">
        <w:t>gorska</w:t>
      </w:r>
      <w:r w:rsidR="00D07D40">
        <w:t xml:space="preserve"> območj</w:t>
      </w:r>
      <w:r w:rsidR="004E7E63">
        <w:t>a</w:t>
      </w:r>
      <w:r w:rsidR="00D07D40">
        <w:t xml:space="preserve"> </w:t>
      </w:r>
      <w:r w:rsidR="004E7E63">
        <w:t xml:space="preserve">za </w:t>
      </w:r>
      <w:r w:rsidR="00754A51">
        <w:t>98 % nižja kot tista na OMD</w:t>
      </w:r>
      <w:r w:rsidR="00D07D40">
        <w:t xml:space="preserve"> - izven gorskih območij</w:t>
      </w:r>
      <w:r w:rsidR="00754A51">
        <w:t xml:space="preserve"> in za 116 % nižja kot povprečna vrednost naložb </w:t>
      </w:r>
      <w:r w:rsidR="0037317E">
        <w:t>na območjih</w:t>
      </w:r>
      <w:r w:rsidR="00D07D40">
        <w:t xml:space="preserve"> izven OMD</w:t>
      </w:r>
      <w:r w:rsidR="00754A51">
        <w:t xml:space="preserve">. </w:t>
      </w:r>
    </w:p>
    <w:p w14:paraId="0F08E324" w14:textId="77777777" w:rsidR="00E9020A" w:rsidRDefault="00E9020A" w:rsidP="007613FE">
      <w:pPr>
        <w:pStyle w:val="Odstavek1"/>
      </w:pPr>
    </w:p>
    <w:p w14:paraId="22E859AE" w14:textId="368209EE" w:rsidR="00376F0D" w:rsidRDefault="00754A51" w:rsidP="00304C05">
      <w:pPr>
        <w:pStyle w:val="SCPreglednica"/>
      </w:pPr>
      <w:bookmarkStart w:id="3065" w:name="_Ref54879475"/>
      <w:bookmarkStart w:id="3066" w:name="_Toc86822643"/>
      <w:r w:rsidRPr="009F3567">
        <w:t xml:space="preserve">Tabela </w:t>
      </w:r>
      <w:r w:rsidR="00A87628">
        <w:rPr>
          <w:noProof/>
        </w:rPr>
        <w:fldChar w:fldCharType="begin"/>
      </w:r>
      <w:r w:rsidR="00A87628">
        <w:rPr>
          <w:noProof/>
        </w:rPr>
        <w:instrText xml:space="preserve"> SEQ Tabela \* ARABIC </w:instrText>
      </w:r>
      <w:r w:rsidR="00A87628">
        <w:rPr>
          <w:noProof/>
        </w:rPr>
        <w:fldChar w:fldCharType="separate"/>
      </w:r>
      <w:r w:rsidR="0088117A">
        <w:rPr>
          <w:noProof/>
        </w:rPr>
        <w:t>5</w:t>
      </w:r>
      <w:r w:rsidR="00A87628">
        <w:rPr>
          <w:noProof/>
        </w:rPr>
        <w:fldChar w:fldCharType="end"/>
      </w:r>
      <w:bookmarkEnd w:id="3065"/>
      <w:r w:rsidRPr="009F3567">
        <w:t>: Povprečna vrednost podprtih naložb v okviru podukrepa M</w:t>
      </w:r>
      <w:r w:rsidR="00745D70">
        <w:t>0</w:t>
      </w:r>
      <w:r w:rsidRPr="009F3567">
        <w:t>4.1 PRP 2014-2020 (30.</w:t>
      </w:r>
      <w:r w:rsidR="00745D70">
        <w:t xml:space="preserve"> </w:t>
      </w:r>
      <w:r w:rsidRPr="009F3567">
        <w:t>4.</w:t>
      </w:r>
      <w:r w:rsidR="00745D70">
        <w:t xml:space="preserve"> </w:t>
      </w:r>
      <w:r w:rsidRPr="009F3567">
        <w:t>2020) glede na OMD in vrsto kmetijske pridelave</w:t>
      </w:r>
      <w:r w:rsidR="00064FEE">
        <w:t xml:space="preserve"> v EUR</w:t>
      </w:r>
      <w:bookmarkEnd w:id="3066"/>
    </w:p>
    <w:tbl>
      <w:tblPr>
        <w:tblW w:w="8981" w:type="dxa"/>
        <w:tblCellMar>
          <w:left w:w="70" w:type="dxa"/>
          <w:right w:w="70" w:type="dxa"/>
        </w:tblCellMar>
        <w:tblLook w:val="04A0" w:firstRow="1" w:lastRow="0" w:firstColumn="1" w:lastColumn="0" w:noHBand="0" w:noVBand="1"/>
      </w:tblPr>
      <w:tblGrid>
        <w:gridCol w:w="2684"/>
        <w:gridCol w:w="1662"/>
        <w:gridCol w:w="1685"/>
        <w:gridCol w:w="1404"/>
        <w:gridCol w:w="1546"/>
      </w:tblGrid>
      <w:tr w:rsidR="00754A51" w:rsidRPr="006430CA" w14:paraId="78658881" w14:textId="77777777" w:rsidTr="009F3567">
        <w:trPr>
          <w:trHeight w:val="235"/>
        </w:trPr>
        <w:tc>
          <w:tcPr>
            <w:tcW w:w="2684" w:type="dxa"/>
            <w:vMerge w:val="restart"/>
            <w:tcBorders>
              <w:top w:val="single" w:sz="8" w:space="0" w:color="auto"/>
              <w:left w:val="single" w:sz="8" w:space="0" w:color="auto"/>
              <w:bottom w:val="single" w:sz="8" w:space="0" w:color="000000"/>
              <w:right w:val="single" w:sz="4" w:space="0" w:color="auto"/>
            </w:tcBorders>
            <w:shd w:val="clear" w:color="auto" w:fill="C6D9F1" w:themeFill="text2" w:themeFillTint="33"/>
            <w:noWrap/>
            <w:vAlign w:val="center"/>
            <w:hideMark/>
          </w:tcPr>
          <w:p w14:paraId="14ACAAA0" w14:textId="0CAC6D77" w:rsidR="00754A51" w:rsidRPr="00376F0D" w:rsidRDefault="00754A51" w:rsidP="009F3567">
            <w:pPr>
              <w:spacing w:before="0" w:line="276" w:lineRule="auto"/>
              <w:jc w:val="left"/>
              <w:rPr>
                <w:color w:val="000000"/>
                <w:sz w:val="16"/>
                <w:szCs w:val="16"/>
                <w:lang w:eastAsia="sl-SI"/>
              </w:rPr>
            </w:pPr>
            <w:r w:rsidRPr="00376F0D">
              <w:rPr>
                <w:color w:val="000000"/>
                <w:sz w:val="16"/>
                <w:szCs w:val="16"/>
                <w:lang w:eastAsia="sl-SI"/>
              </w:rPr>
              <w:t>VRSTA</w:t>
            </w:r>
            <w:r w:rsidR="00064FEE">
              <w:rPr>
                <w:color w:val="000000"/>
                <w:sz w:val="16"/>
                <w:szCs w:val="16"/>
                <w:lang w:eastAsia="sl-SI"/>
              </w:rPr>
              <w:t xml:space="preserve"> </w:t>
            </w:r>
            <w:r w:rsidRPr="00376F0D">
              <w:rPr>
                <w:color w:val="000000"/>
                <w:sz w:val="16"/>
                <w:szCs w:val="16"/>
                <w:lang w:eastAsia="sl-SI"/>
              </w:rPr>
              <w:t>KMET</w:t>
            </w:r>
            <w:r w:rsidR="00064FEE">
              <w:rPr>
                <w:color w:val="000000"/>
                <w:sz w:val="16"/>
                <w:szCs w:val="16"/>
                <w:lang w:eastAsia="sl-SI"/>
              </w:rPr>
              <w:t xml:space="preserve">IJSKE </w:t>
            </w:r>
            <w:r w:rsidRPr="00376F0D">
              <w:rPr>
                <w:color w:val="000000"/>
                <w:sz w:val="16"/>
                <w:szCs w:val="16"/>
                <w:lang w:eastAsia="sl-SI"/>
              </w:rPr>
              <w:t>PRIDELAVE</w:t>
            </w:r>
          </w:p>
        </w:tc>
        <w:tc>
          <w:tcPr>
            <w:tcW w:w="6297"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center"/>
            <w:hideMark/>
          </w:tcPr>
          <w:p w14:paraId="3F1A8B79" w14:textId="4DF0211B" w:rsidR="00754A51" w:rsidRPr="00376F0D" w:rsidRDefault="00754A51" w:rsidP="00D07D40">
            <w:pPr>
              <w:spacing w:before="0" w:line="276" w:lineRule="auto"/>
              <w:jc w:val="center"/>
              <w:rPr>
                <w:color w:val="000000"/>
                <w:sz w:val="16"/>
                <w:szCs w:val="16"/>
                <w:lang w:eastAsia="sl-SI"/>
              </w:rPr>
            </w:pPr>
            <w:r w:rsidRPr="00376F0D">
              <w:rPr>
                <w:color w:val="000000"/>
                <w:sz w:val="16"/>
                <w:szCs w:val="16"/>
                <w:lang w:eastAsia="sl-SI"/>
              </w:rPr>
              <w:t>Povprečna vrednost naložb glede na OMD (</w:t>
            </w:r>
            <w:r w:rsidR="009965D9">
              <w:rPr>
                <w:color w:val="000000"/>
                <w:sz w:val="16"/>
                <w:szCs w:val="16"/>
                <w:lang w:eastAsia="sl-SI"/>
              </w:rPr>
              <w:t xml:space="preserve">v </w:t>
            </w:r>
            <w:r w:rsidRPr="00376F0D">
              <w:rPr>
                <w:color w:val="000000"/>
                <w:sz w:val="16"/>
                <w:szCs w:val="16"/>
                <w:lang w:eastAsia="sl-SI"/>
              </w:rPr>
              <w:t>EUR)</w:t>
            </w:r>
          </w:p>
        </w:tc>
      </w:tr>
      <w:tr w:rsidR="00754A51" w:rsidRPr="006430CA" w14:paraId="0DC313FA" w14:textId="77777777" w:rsidTr="009F3567">
        <w:trPr>
          <w:trHeight w:val="470"/>
        </w:trPr>
        <w:tc>
          <w:tcPr>
            <w:tcW w:w="2684" w:type="dxa"/>
            <w:vMerge/>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6A32BE1D" w14:textId="77777777" w:rsidR="00754A51" w:rsidRPr="00376F0D" w:rsidRDefault="00754A51" w:rsidP="009F3567">
            <w:pPr>
              <w:spacing w:before="0" w:line="276" w:lineRule="auto"/>
              <w:jc w:val="left"/>
              <w:rPr>
                <w:color w:val="000000"/>
                <w:sz w:val="16"/>
                <w:szCs w:val="16"/>
                <w:lang w:eastAsia="sl-SI"/>
              </w:rPr>
            </w:pPr>
          </w:p>
        </w:tc>
        <w:tc>
          <w:tcPr>
            <w:tcW w:w="1662" w:type="dxa"/>
            <w:tcBorders>
              <w:top w:val="nil"/>
              <w:left w:val="nil"/>
              <w:bottom w:val="single" w:sz="8" w:space="0" w:color="auto"/>
              <w:right w:val="single" w:sz="4" w:space="0" w:color="auto"/>
            </w:tcBorders>
            <w:shd w:val="clear" w:color="auto" w:fill="C6D9F1" w:themeFill="text2" w:themeFillTint="33"/>
            <w:vAlign w:val="center"/>
            <w:hideMark/>
          </w:tcPr>
          <w:p w14:paraId="37B4451D" w14:textId="1032EF77" w:rsidR="00754A51" w:rsidRPr="00376F0D" w:rsidRDefault="00D07D40" w:rsidP="009F3567">
            <w:pPr>
              <w:spacing w:before="0" w:line="276" w:lineRule="auto"/>
              <w:jc w:val="center"/>
              <w:rPr>
                <w:color w:val="000000"/>
                <w:sz w:val="16"/>
                <w:szCs w:val="16"/>
                <w:lang w:eastAsia="sl-SI"/>
              </w:rPr>
            </w:pPr>
            <w:r>
              <w:rPr>
                <w:color w:val="000000"/>
                <w:sz w:val="16"/>
                <w:szCs w:val="16"/>
                <w:lang w:eastAsia="sl-SI"/>
              </w:rPr>
              <w:t xml:space="preserve">OMD – </w:t>
            </w:r>
            <w:r w:rsidR="00754A51" w:rsidRPr="00376F0D">
              <w:rPr>
                <w:color w:val="000000"/>
                <w:sz w:val="16"/>
                <w:szCs w:val="16"/>
                <w:lang w:eastAsia="sl-SI"/>
              </w:rPr>
              <w:t>gorsk</w:t>
            </w:r>
            <w:r>
              <w:rPr>
                <w:color w:val="000000"/>
                <w:sz w:val="16"/>
                <w:szCs w:val="16"/>
                <w:lang w:eastAsia="sl-SI"/>
              </w:rPr>
              <w:t>a območja</w:t>
            </w:r>
            <w:r w:rsidR="00754A51" w:rsidRPr="00376F0D">
              <w:rPr>
                <w:color w:val="000000"/>
                <w:sz w:val="16"/>
                <w:szCs w:val="16"/>
                <w:lang w:eastAsia="sl-SI"/>
              </w:rPr>
              <w:t xml:space="preserve"> (13.1)</w:t>
            </w:r>
          </w:p>
        </w:tc>
        <w:tc>
          <w:tcPr>
            <w:tcW w:w="1685" w:type="dxa"/>
            <w:tcBorders>
              <w:top w:val="nil"/>
              <w:left w:val="nil"/>
              <w:bottom w:val="single" w:sz="8" w:space="0" w:color="auto"/>
              <w:right w:val="single" w:sz="4" w:space="0" w:color="auto"/>
            </w:tcBorders>
            <w:shd w:val="clear" w:color="auto" w:fill="C6D9F1" w:themeFill="text2" w:themeFillTint="33"/>
            <w:vAlign w:val="center"/>
            <w:hideMark/>
          </w:tcPr>
          <w:p w14:paraId="19CC3690" w14:textId="0D1955DE" w:rsidR="00376F0D" w:rsidRPr="009F3567" w:rsidRDefault="00D07D40" w:rsidP="009F3567">
            <w:pPr>
              <w:spacing w:before="0" w:line="276" w:lineRule="auto"/>
              <w:jc w:val="center"/>
              <w:rPr>
                <w:color w:val="000000"/>
                <w:sz w:val="16"/>
                <w:szCs w:val="16"/>
                <w:lang w:eastAsia="sl-SI"/>
              </w:rPr>
            </w:pPr>
            <w:r>
              <w:rPr>
                <w:color w:val="000000"/>
                <w:sz w:val="16"/>
                <w:szCs w:val="16"/>
                <w:lang w:eastAsia="sl-SI"/>
              </w:rPr>
              <w:t>OMD – izven gorskih območij</w:t>
            </w:r>
            <w:r w:rsidR="00754A51" w:rsidRPr="00376F0D">
              <w:rPr>
                <w:color w:val="000000"/>
                <w:sz w:val="16"/>
                <w:szCs w:val="16"/>
                <w:lang w:eastAsia="sl-SI"/>
              </w:rPr>
              <w:t xml:space="preserve"> </w:t>
            </w:r>
          </w:p>
          <w:p w14:paraId="4A5601A9" w14:textId="77777777" w:rsidR="00754A51" w:rsidRPr="00376F0D" w:rsidRDefault="00754A51" w:rsidP="009F3567">
            <w:pPr>
              <w:spacing w:before="0" w:line="276" w:lineRule="auto"/>
              <w:jc w:val="center"/>
              <w:rPr>
                <w:color w:val="000000"/>
                <w:sz w:val="16"/>
                <w:szCs w:val="16"/>
                <w:lang w:eastAsia="sl-SI"/>
              </w:rPr>
            </w:pPr>
            <w:r w:rsidRPr="00376F0D">
              <w:rPr>
                <w:color w:val="000000"/>
                <w:sz w:val="16"/>
                <w:szCs w:val="16"/>
                <w:lang w:eastAsia="sl-SI"/>
              </w:rPr>
              <w:t>(13.2 in 13.3)</w:t>
            </w:r>
          </w:p>
        </w:tc>
        <w:tc>
          <w:tcPr>
            <w:tcW w:w="1404" w:type="dxa"/>
            <w:tcBorders>
              <w:top w:val="nil"/>
              <w:left w:val="nil"/>
              <w:bottom w:val="single" w:sz="8" w:space="0" w:color="auto"/>
              <w:right w:val="single" w:sz="4" w:space="0" w:color="auto"/>
            </w:tcBorders>
            <w:shd w:val="clear" w:color="auto" w:fill="C6D9F1" w:themeFill="text2" w:themeFillTint="33"/>
            <w:vAlign w:val="center"/>
            <w:hideMark/>
          </w:tcPr>
          <w:p w14:paraId="608A97F2" w14:textId="1FFFCA84" w:rsidR="00754A51" w:rsidRPr="0037317E" w:rsidRDefault="00D07D40" w:rsidP="00D07D40">
            <w:pPr>
              <w:spacing w:before="0" w:line="276" w:lineRule="auto"/>
              <w:jc w:val="center"/>
              <w:rPr>
                <w:color w:val="000000"/>
                <w:sz w:val="16"/>
                <w:szCs w:val="16"/>
                <w:lang w:eastAsia="sl-SI"/>
              </w:rPr>
            </w:pPr>
            <w:r>
              <w:rPr>
                <w:sz w:val="16"/>
                <w:szCs w:val="16"/>
              </w:rPr>
              <w:t>n</w:t>
            </w:r>
            <w:r w:rsidR="0037317E" w:rsidRPr="0037317E">
              <w:rPr>
                <w:sz w:val="16"/>
                <w:szCs w:val="16"/>
              </w:rPr>
              <w:t>e</w:t>
            </w:r>
            <w:r>
              <w:rPr>
                <w:sz w:val="16"/>
                <w:szCs w:val="16"/>
              </w:rPr>
              <w:t xml:space="preserve"> </w:t>
            </w:r>
            <w:r w:rsidR="0037317E" w:rsidRPr="0037317E">
              <w:rPr>
                <w:sz w:val="16"/>
                <w:szCs w:val="16"/>
              </w:rPr>
              <w:t xml:space="preserve">OMD </w:t>
            </w:r>
          </w:p>
        </w:tc>
        <w:tc>
          <w:tcPr>
            <w:tcW w:w="1545" w:type="dxa"/>
            <w:tcBorders>
              <w:top w:val="nil"/>
              <w:left w:val="nil"/>
              <w:bottom w:val="single" w:sz="8" w:space="0" w:color="auto"/>
              <w:right w:val="single" w:sz="8" w:space="0" w:color="auto"/>
            </w:tcBorders>
            <w:shd w:val="clear" w:color="auto" w:fill="C6D9F1" w:themeFill="text2" w:themeFillTint="33"/>
            <w:vAlign w:val="center"/>
            <w:hideMark/>
          </w:tcPr>
          <w:p w14:paraId="3FF3F9CD" w14:textId="77777777" w:rsidR="00754A51" w:rsidRPr="00376F0D" w:rsidRDefault="00754A51" w:rsidP="009F3567">
            <w:pPr>
              <w:spacing w:before="0" w:line="276" w:lineRule="auto"/>
              <w:jc w:val="center"/>
              <w:rPr>
                <w:color w:val="000000"/>
                <w:sz w:val="16"/>
                <w:szCs w:val="16"/>
                <w:lang w:eastAsia="sl-SI"/>
              </w:rPr>
            </w:pPr>
            <w:r w:rsidRPr="00376F0D">
              <w:rPr>
                <w:color w:val="000000"/>
                <w:sz w:val="16"/>
                <w:szCs w:val="16"/>
                <w:lang w:eastAsia="sl-SI"/>
              </w:rPr>
              <w:t>skupaj</w:t>
            </w:r>
          </w:p>
        </w:tc>
      </w:tr>
      <w:tr w:rsidR="00754A51" w:rsidRPr="006430CA" w14:paraId="355BE2EC" w14:textId="77777777" w:rsidTr="009F3567">
        <w:trPr>
          <w:trHeight w:val="430"/>
        </w:trPr>
        <w:tc>
          <w:tcPr>
            <w:tcW w:w="268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FE223E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Mleko - govedoreja: krave molznice</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14:paraId="7187423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166.743</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14:paraId="6D03D26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193.178</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46ACA472"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333.585</w:t>
            </w:r>
          </w:p>
        </w:tc>
        <w:tc>
          <w:tcPr>
            <w:tcW w:w="1545" w:type="dxa"/>
            <w:tcBorders>
              <w:top w:val="single" w:sz="4" w:space="0" w:color="auto"/>
              <w:left w:val="nil"/>
              <w:bottom w:val="single" w:sz="4" w:space="0" w:color="auto"/>
              <w:right w:val="single" w:sz="8" w:space="0" w:color="auto"/>
            </w:tcBorders>
            <w:shd w:val="clear" w:color="auto" w:fill="auto"/>
            <w:noWrap/>
            <w:vAlign w:val="center"/>
            <w:hideMark/>
          </w:tcPr>
          <w:p w14:paraId="682D853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206.023</w:t>
            </w:r>
          </w:p>
        </w:tc>
      </w:tr>
      <w:tr w:rsidR="00754A51" w:rsidRPr="006430CA" w14:paraId="088AFAA2" w14:textId="77777777" w:rsidTr="009F3567">
        <w:trPr>
          <w:trHeight w:val="656"/>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211D591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Pašna živina - govedoreja: krave dojilje, goveji pitanci, reja telet</w:t>
            </w:r>
          </w:p>
        </w:tc>
        <w:tc>
          <w:tcPr>
            <w:tcW w:w="1662" w:type="dxa"/>
            <w:tcBorders>
              <w:top w:val="nil"/>
              <w:left w:val="nil"/>
              <w:bottom w:val="single" w:sz="4" w:space="0" w:color="auto"/>
              <w:right w:val="single" w:sz="4" w:space="0" w:color="auto"/>
            </w:tcBorders>
            <w:shd w:val="clear" w:color="auto" w:fill="auto"/>
            <w:noWrap/>
            <w:vAlign w:val="center"/>
            <w:hideMark/>
          </w:tcPr>
          <w:p w14:paraId="7DEEB92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60.297</w:t>
            </w:r>
          </w:p>
        </w:tc>
        <w:tc>
          <w:tcPr>
            <w:tcW w:w="1685" w:type="dxa"/>
            <w:tcBorders>
              <w:top w:val="nil"/>
              <w:left w:val="nil"/>
              <w:bottom w:val="single" w:sz="4" w:space="0" w:color="auto"/>
              <w:right w:val="single" w:sz="4" w:space="0" w:color="auto"/>
            </w:tcBorders>
            <w:shd w:val="clear" w:color="auto" w:fill="auto"/>
            <w:noWrap/>
            <w:vAlign w:val="center"/>
            <w:hideMark/>
          </w:tcPr>
          <w:p w14:paraId="4A417D5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119.093</w:t>
            </w:r>
          </w:p>
        </w:tc>
        <w:tc>
          <w:tcPr>
            <w:tcW w:w="1404" w:type="dxa"/>
            <w:tcBorders>
              <w:top w:val="nil"/>
              <w:left w:val="nil"/>
              <w:bottom w:val="single" w:sz="4" w:space="0" w:color="auto"/>
              <w:right w:val="single" w:sz="4" w:space="0" w:color="auto"/>
            </w:tcBorders>
            <w:shd w:val="clear" w:color="auto" w:fill="auto"/>
            <w:noWrap/>
            <w:vAlign w:val="center"/>
            <w:hideMark/>
          </w:tcPr>
          <w:p w14:paraId="4D72FFD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130.042</w:t>
            </w:r>
          </w:p>
        </w:tc>
        <w:tc>
          <w:tcPr>
            <w:tcW w:w="1545" w:type="dxa"/>
            <w:tcBorders>
              <w:top w:val="nil"/>
              <w:left w:val="nil"/>
              <w:bottom w:val="single" w:sz="4" w:space="0" w:color="auto"/>
              <w:right w:val="single" w:sz="8" w:space="0" w:color="auto"/>
            </w:tcBorders>
            <w:shd w:val="clear" w:color="auto" w:fill="auto"/>
            <w:noWrap/>
            <w:vAlign w:val="center"/>
            <w:hideMark/>
          </w:tcPr>
          <w:p w14:paraId="4FCD0D7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68.074</w:t>
            </w:r>
          </w:p>
        </w:tc>
      </w:tr>
      <w:tr w:rsidR="00754A51" w:rsidRPr="006430CA" w14:paraId="49CEDFFE" w14:textId="77777777" w:rsidTr="009F3567">
        <w:trPr>
          <w:trHeight w:val="479"/>
        </w:trPr>
        <w:tc>
          <w:tcPr>
            <w:tcW w:w="2684" w:type="dxa"/>
            <w:tcBorders>
              <w:top w:val="single" w:sz="8" w:space="0" w:color="auto"/>
              <w:left w:val="single" w:sz="8" w:space="0" w:color="auto"/>
              <w:bottom w:val="single" w:sz="8" w:space="0" w:color="auto"/>
              <w:right w:val="single" w:sz="4" w:space="0" w:color="auto"/>
            </w:tcBorders>
            <w:shd w:val="clear" w:color="auto" w:fill="C6D9F1" w:themeFill="text2" w:themeFillTint="33"/>
            <w:vAlign w:val="center"/>
            <w:hideMark/>
          </w:tcPr>
          <w:p w14:paraId="56BDCF40"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 vse vrste kmetijske pridelave</w:t>
            </w:r>
          </w:p>
        </w:tc>
        <w:tc>
          <w:tcPr>
            <w:tcW w:w="1662"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4AC49F2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120.846</w:t>
            </w:r>
          </w:p>
        </w:tc>
        <w:tc>
          <w:tcPr>
            <w:tcW w:w="1685"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41A208F"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195.858</w:t>
            </w:r>
          </w:p>
        </w:tc>
        <w:tc>
          <w:tcPr>
            <w:tcW w:w="1404"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2960112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266.469</w:t>
            </w:r>
          </w:p>
        </w:tc>
        <w:tc>
          <w:tcPr>
            <w:tcW w:w="1545"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657EBABD"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179.912</w:t>
            </w:r>
          </w:p>
        </w:tc>
      </w:tr>
    </w:tbl>
    <w:p w14:paraId="2073EC5E" w14:textId="77777777" w:rsidR="00754A51" w:rsidRPr="001A32D7" w:rsidRDefault="00376F0D" w:rsidP="009F3567">
      <w:pPr>
        <w:pStyle w:val="Default"/>
        <w:spacing w:line="276" w:lineRule="auto"/>
        <w:jc w:val="both"/>
        <w:rPr>
          <w:sz w:val="16"/>
          <w:szCs w:val="16"/>
        </w:rPr>
      </w:pPr>
      <w:r>
        <w:rPr>
          <w:rFonts w:ascii="Arial" w:hAnsi="Arial" w:cs="Arial"/>
          <w:sz w:val="16"/>
          <w:szCs w:val="16"/>
        </w:rPr>
        <w:t>Vir: MKGP</w:t>
      </w:r>
    </w:p>
    <w:p w14:paraId="1A3F8481" w14:textId="77777777" w:rsidR="00754A51" w:rsidRDefault="00754A51" w:rsidP="007613FE">
      <w:pPr>
        <w:pStyle w:val="Odstavek1"/>
      </w:pPr>
    </w:p>
    <w:p w14:paraId="11CAFEBD" w14:textId="768A40F1" w:rsidR="00754A51" w:rsidRDefault="00754A51" w:rsidP="007613FE">
      <w:pPr>
        <w:pStyle w:val="Odstavek1"/>
      </w:pPr>
      <w:r>
        <w:t>Vrednost podprtih naložb kmetijskih gospodarstev</w:t>
      </w:r>
      <w:r w:rsidR="00F2746C">
        <w:rPr>
          <w:rStyle w:val="Sprotnaopomba-sklic"/>
        </w:rPr>
        <w:footnoteReference w:id="15"/>
      </w:r>
      <w:r w:rsidR="005C0FAE">
        <w:t xml:space="preserve"> </w:t>
      </w:r>
      <w:r w:rsidR="00267222">
        <w:t>na OMD je bila najvišja</w:t>
      </w:r>
      <w:r>
        <w:t xml:space="preserve"> v razredih </w:t>
      </w:r>
      <w:r w:rsidR="00267222">
        <w:t>med</w:t>
      </w:r>
      <w:r>
        <w:t xml:space="preserve"> 200 </w:t>
      </w:r>
      <w:r w:rsidR="00267222">
        <w:t>in</w:t>
      </w:r>
      <w:r>
        <w:t xml:space="preserve"> 400</w:t>
      </w:r>
      <w:r w:rsidR="004E37A0">
        <w:t xml:space="preserve"> točk</w:t>
      </w:r>
      <w:r w:rsidR="000235C6">
        <w:rPr>
          <w:rStyle w:val="Sprotnaopomba-sklic"/>
        </w:rPr>
        <w:footnoteReference w:id="16"/>
      </w:r>
      <w:r w:rsidR="00267222">
        <w:t xml:space="preserve"> (</w:t>
      </w:r>
      <w:r w:rsidR="00267222">
        <w:fldChar w:fldCharType="begin"/>
      </w:r>
      <w:r w:rsidR="00267222">
        <w:instrText xml:space="preserve"> REF _Ref54900155 \h </w:instrText>
      </w:r>
      <w:r w:rsidR="007613FE">
        <w:instrText xml:space="preserve"> \* MERGEFORMAT </w:instrText>
      </w:r>
      <w:r w:rsidR="00267222">
        <w:fldChar w:fldCharType="separate"/>
      </w:r>
      <w:r w:rsidR="0088117A" w:rsidRPr="00464726">
        <w:t xml:space="preserve">Slika </w:t>
      </w:r>
      <w:r w:rsidR="0088117A">
        <w:rPr>
          <w:noProof/>
        </w:rPr>
        <w:t>39</w:t>
      </w:r>
      <w:r w:rsidR="00267222">
        <w:fldChar w:fldCharType="end"/>
      </w:r>
      <w:r w:rsidR="00267222">
        <w:t xml:space="preserve">). </w:t>
      </w:r>
    </w:p>
    <w:p w14:paraId="339B6324" w14:textId="77777777" w:rsidR="00754A51" w:rsidRDefault="00754A51" w:rsidP="007613FE">
      <w:pPr>
        <w:pStyle w:val="Odstavek1"/>
      </w:pPr>
    </w:p>
    <w:p w14:paraId="6B3724AE" w14:textId="52B091C1" w:rsidR="00464726" w:rsidRPr="00464726" w:rsidRDefault="00464726" w:rsidP="00304C05">
      <w:pPr>
        <w:pStyle w:val="SCSlika0"/>
      </w:pPr>
      <w:bookmarkStart w:id="3067" w:name="_Ref54900155"/>
      <w:bookmarkStart w:id="3068" w:name="_Toc86822711"/>
      <w:r w:rsidRPr="00464726">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39</w:t>
      </w:r>
      <w:r w:rsidR="00072AFA">
        <w:rPr>
          <w:noProof/>
        </w:rPr>
        <w:fldChar w:fldCharType="end"/>
      </w:r>
      <w:bookmarkEnd w:id="3067"/>
      <w:r w:rsidRPr="00464726">
        <w:t>: Število odobrenih vlog in celotna vrednost naložb po točkah OMD v okviru podukrepa M</w:t>
      </w:r>
      <w:r w:rsidR="00F2746C">
        <w:t>0</w:t>
      </w:r>
      <w:r w:rsidRPr="00464726">
        <w:t>4.1 PRP 2014–2020, stanje 30. 4. 2020</w:t>
      </w:r>
      <w:bookmarkEnd w:id="3068"/>
    </w:p>
    <w:p w14:paraId="3D8727CA" w14:textId="77777777" w:rsidR="00754A51" w:rsidRDefault="00754A51" w:rsidP="009F3567">
      <w:pPr>
        <w:spacing w:before="0" w:line="276" w:lineRule="auto"/>
        <w:rPr>
          <w:sz w:val="20"/>
          <w:szCs w:val="20"/>
        </w:rPr>
      </w:pPr>
      <w:r>
        <w:rPr>
          <w:noProof/>
          <w:lang w:eastAsia="sl-SI"/>
        </w:rPr>
        <w:drawing>
          <wp:inline distT="0" distB="0" distL="0" distR="0" wp14:anchorId="768EF572" wp14:editId="656AFAD1">
            <wp:extent cx="5735262" cy="2473037"/>
            <wp:effectExtent l="0" t="0" r="18415" b="3810"/>
            <wp:docPr id="1631865580" name="Grafikon 1631865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50E3E89" w14:textId="77777777" w:rsidR="00754A51" w:rsidRPr="003E65EF" w:rsidRDefault="00754A51" w:rsidP="009F3567">
      <w:pPr>
        <w:spacing w:before="0" w:line="276" w:lineRule="auto"/>
        <w:rPr>
          <w:sz w:val="16"/>
          <w:szCs w:val="16"/>
          <w:lang w:eastAsia="en-US"/>
        </w:rPr>
      </w:pPr>
      <w:r w:rsidRPr="00891309">
        <w:rPr>
          <w:sz w:val="16"/>
          <w:szCs w:val="16"/>
        </w:rPr>
        <w:t>Vir: MKGP.</w:t>
      </w:r>
    </w:p>
    <w:p w14:paraId="0E81D28F" w14:textId="77777777" w:rsidR="00754A51" w:rsidRDefault="00754A51" w:rsidP="007613FE">
      <w:pPr>
        <w:pStyle w:val="Odstavek1"/>
      </w:pPr>
    </w:p>
    <w:p w14:paraId="257761B0" w14:textId="16998265" w:rsidR="00754A51" w:rsidRPr="001A32D7" w:rsidRDefault="00754A51" w:rsidP="007613FE">
      <w:pPr>
        <w:pStyle w:val="Odstavek1"/>
        <w:rPr>
          <w:bCs/>
          <w:lang w:eastAsia="sl-SI"/>
        </w:rPr>
      </w:pPr>
      <w:r>
        <w:t xml:space="preserve">V sektorju </w:t>
      </w:r>
      <w:r w:rsidRPr="001A32D7">
        <w:t>govedoreja</w:t>
      </w:r>
      <w:r w:rsidR="00AF77F3">
        <w:rPr>
          <w:rStyle w:val="Sprotnaopomba-sklic"/>
        </w:rPr>
        <w:footnoteReference w:id="17"/>
      </w:r>
      <w:r>
        <w:t xml:space="preserve"> so vrednostno</w:t>
      </w:r>
      <w:r w:rsidRPr="001A32D7">
        <w:t xml:space="preserve"> prevladovale </w:t>
      </w:r>
      <w:r w:rsidRPr="001A32D7">
        <w:rPr>
          <w:bCs/>
          <w:lang w:eastAsia="sl-SI"/>
        </w:rPr>
        <w:t>naložbe v ureditev ali vzdrževanje nepremičnin za kmet</w:t>
      </w:r>
      <w:r w:rsidR="0037317E">
        <w:rPr>
          <w:bCs/>
          <w:lang w:eastAsia="sl-SI"/>
        </w:rPr>
        <w:t>ijsko</w:t>
      </w:r>
      <w:r w:rsidRPr="001A32D7">
        <w:rPr>
          <w:bCs/>
          <w:lang w:eastAsia="sl-SI"/>
        </w:rPr>
        <w:t xml:space="preserve"> dejavnost, nakup pripadajoče opreme za kmet</w:t>
      </w:r>
      <w:r w:rsidR="0037317E">
        <w:rPr>
          <w:bCs/>
          <w:lang w:eastAsia="sl-SI"/>
        </w:rPr>
        <w:t>ijsko</w:t>
      </w:r>
      <w:r w:rsidRPr="001A32D7">
        <w:rPr>
          <w:bCs/>
          <w:lang w:eastAsia="sl-SI"/>
        </w:rPr>
        <w:t xml:space="preserve"> proizvodnjo, ureditev greznic in čistilnih naprav, nakup informacijsko-komunikacijske tehnologije (IKT) in strojne opreme, kjer ni večjih razlik med naložbami </w:t>
      </w:r>
      <w:r w:rsidR="004E7E63">
        <w:rPr>
          <w:bCs/>
          <w:lang w:eastAsia="sl-SI"/>
        </w:rPr>
        <w:t>na</w:t>
      </w:r>
      <w:r w:rsidR="004E7E63" w:rsidRPr="001A32D7">
        <w:rPr>
          <w:bCs/>
          <w:lang w:eastAsia="sl-SI"/>
        </w:rPr>
        <w:t xml:space="preserve"> </w:t>
      </w:r>
      <w:r w:rsidR="00D07D40">
        <w:rPr>
          <w:bCs/>
          <w:lang w:eastAsia="sl-SI"/>
        </w:rPr>
        <w:t xml:space="preserve">OMD – </w:t>
      </w:r>
      <w:r w:rsidRPr="001A32D7">
        <w:rPr>
          <w:bCs/>
          <w:lang w:eastAsia="sl-SI"/>
        </w:rPr>
        <w:t>gorsk</w:t>
      </w:r>
      <w:r w:rsidR="004E7E63">
        <w:rPr>
          <w:bCs/>
          <w:lang w:eastAsia="sl-SI"/>
        </w:rPr>
        <w:t>a</w:t>
      </w:r>
      <w:r w:rsidRPr="001A32D7">
        <w:rPr>
          <w:bCs/>
          <w:lang w:eastAsia="sl-SI"/>
        </w:rPr>
        <w:t xml:space="preserve"> območj</w:t>
      </w:r>
      <w:r w:rsidR="004E7E63">
        <w:rPr>
          <w:bCs/>
          <w:lang w:eastAsia="sl-SI"/>
        </w:rPr>
        <w:t>a</w:t>
      </w:r>
      <w:r w:rsidRPr="001A32D7">
        <w:rPr>
          <w:bCs/>
          <w:lang w:eastAsia="sl-SI"/>
        </w:rPr>
        <w:t xml:space="preserve"> in </w:t>
      </w:r>
      <w:r w:rsidR="004E7E63">
        <w:rPr>
          <w:bCs/>
          <w:lang w:eastAsia="sl-SI"/>
        </w:rPr>
        <w:t xml:space="preserve">na </w:t>
      </w:r>
      <w:r w:rsidRPr="001A32D7">
        <w:rPr>
          <w:bCs/>
          <w:lang w:eastAsia="sl-SI"/>
        </w:rPr>
        <w:t xml:space="preserve">tistih </w:t>
      </w:r>
      <w:r w:rsidR="00D07D40">
        <w:rPr>
          <w:bCs/>
          <w:lang w:eastAsia="sl-SI"/>
        </w:rPr>
        <w:t>izven OMD</w:t>
      </w:r>
      <w:r w:rsidRPr="001A32D7">
        <w:rPr>
          <w:bCs/>
          <w:lang w:eastAsia="sl-SI"/>
        </w:rPr>
        <w:t xml:space="preserve">. </w:t>
      </w:r>
      <w:r>
        <w:rPr>
          <w:bCs/>
          <w:lang w:eastAsia="sl-SI"/>
        </w:rPr>
        <w:t>P</w:t>
      </w:r>
      <w:r w:rsidRPr="001A32D7">
        <w:rPr>
          <w:bCs/>
          <w:lang w:eastAsia="sl-SI"/>
        </w:rPr>
        <w:t>ri naložbah v novo kmetijsko mehanizacijo ter strojno in transportno opremo za prevoz živali in surovin</w:t>
      </w:r>
      <w:r w:rsidRPr="005E6F45">
        <w:rPr>
          <w:bCs/>
          <w:lang w:eastAsia="sl-SI"/>
        </w:rPr>
        <w:t xml:space="preserve"> pa je</w:t>
      </w:r>
      <w:r w:rsidRPr="001A32D7">
        <w:rPr>
          <w:bCs/>
          <w:lang w:eastAsia="sl-SI"/>
        </w:rPr>
        <w:t xml:space="preserve"> vrednost teh naložb na </w:t>
      </w:r>
      <w:r w:rsidR="00D07D40">
        <w:rPr>
          <w:bCs/>
          <w:lang w:eastAsia="sl-SI"/>
        </w:rPr>
        <w:t>OMD – izven gorskih območij</w:t>
      </w:r>
      <w:r w:rsidRPr="001A32D7">
        <w:rPr>
          <w:bCs/>
          <w:lang w:eastAsia="sl-SI"/>
        </w:rPr>
        <w:t xml:space="preserve"> in </w:t>
      </w:r>
      <w:r w:rsidR="004E7E63">
        <w:rPr>
          <w:bCs/>
          <w:lang w:eastAsia="sl-SI"/>
        </w:rPr>
        <w:t xml:space="preserve">na območjih </w:t>
      </w:r>
      <w:r w:rsidR="00D07D40">
        <w:rPr>
          <w:bCs/>
          <w:lang w:eastAsia="sl-SI"/>
        </w:rPr>
        <w:t>izven OMD</w:t>
      </w:r>
      <w:r w:rsidRPr="001A32D7">
        <w:rPr>
          <w:bCs/>
          <w:lang w:eastAsia="sl-SI"/>
        </w:rPr>
        <w:t xml:space="preserve"> za skoraj 80 % nižja od vrednosti naložb na </w:t>
      </w:r>
      <w:r w:rsidR="00D07D40">
        <w:rPr>
          <w:bCs/>
          <w:lang w:eastAsia="sl-SI"/>
        </w:rPr>
        <w:t xml:space="preserve">OMD - </w:t>
      </w:r>
      <w:r w:rsidRPr="001A32D7">
        <w:rPr>
          <w:bCs/>
          <w:lang w:eastAsia="sl-SI"/>
        </w:rPr>
        <w:t>gorsk</w:t>
      </w:r>
      <w:r w:rsidR="004E7E63">
        <w:rPr>
          <w:bCs/>
          <w:lang w:eastAsia="sl-SI"/>
        </w:rPr>
        <w:t>a</w:t>
      </w:r>
      <w:r w:rsidRPr="001A32D7">
        <w:rPr>
          <w:bCs/>
          <w:lang w:eastAsia="sl-SI"/>
        </w:rPr>
        <w:t xml:space="preserve"> območj</w:t>
      </w:r>
      <w:r w:rsidR="004E7E63">
        <w:rPr>
          <w:bCs/>
          <w:lang w:eastAsia="sl-SI"/>
        </w:rPr>
        <w:t>a</w:t>
      </w:r>
      <w:r w:rsidRPr="001A32D7">
        <w:rPr>
          <w:bCs/>
          <w:lang w:eastAsia="sl-SI"/>
        </w:rPr>
        <w:t>.</w:t>
      </w:r>
      <w:r w:rsidR="000B4C41">
        <w:rPr>
          <w:bCs/>
          <w:lang w:eastAsia="sl-SI"/>
        </w:rPr>
        <w:t xml:space="preserve"> Razlog za takšno razhajanje je v tem, da je bil individualni nakup kmetijske mehanizacije znotraj podukrepa M04.1 v programskem obdobju 2014–2020 močno omejen. Individualni nakup je bil podprt za npr. prilagajanje zahtevnosti </w:t>
      </w:r>
      <w:r w:rsidR="000B4C41">
        <w:rPr>
          <w:bCs/>
          <w:lang w:eastAsia="sl-SI"/>
        </w:rPr>
        <w:lastRenderedPageBreak/>
        <w:t>kmetovanja na OMD – gorskih območjih ali za ekološko kmetovanje. Na območjih izven OMD je bil sofinanciran zgolj kolektivni nakup kmetijske mehanizacije oziroma nakup specialne mehanizacije, za katero so bili izkazani pozitivni vplivi na okolje.</w:t>
      </w:r>
    </w:p>
    <w:p w14:paraId="6FEB5714" w14:textId="1C125483" w:rsidR="00754A51" w:rsidRDefault="00754A51" w:rsidP="007613FE">
      <w:pPr>
        <w:pStyle w:val="Odstavek1"/>
        <w:rPr>
          <w:rFonts w:ascii="Microsoft Sans Serif" w:hAnsi="Microsoft Sans Serif" w:cs="Microsoft Sans Serif"/>
          <w:b/>
          <w:bCs/>
          <w:lang w:eastAsia="sl-SI"/>
        </w:rPr>
      </w:pPr>
      <w:r>
        <w:rPr>
          <w:rFonts w:ascii="Microsoft Sans Serif" w:hAnsi="Microsoft Sans Serif" w:cs="Microsoft Sans Serif"/>
          <w:b/>
          <w:bCs/>
          <w:lang w:eastAsia="sl-SI"/>
        </w:rPr>
        <w:t xml:space="preserve"> </w:t>
      </w:r>
    </w:p>
    <w:p w14:paraId="0640E881" w14:textId="04B5953F" w:rsidR="00304C05" w:rsidRDefault="00304C05" w:rsidP="007613FE">
      <w:pPr>
        <w:pStyle w:val="Odstavek1"/>
        <w:rPr>
          <w:rFonts w:ascii="Microsoft Sans Serif" w:hAnsi="Microsoft Sans Serif" w:cs="Microsoft Sans Serif"/>
          <w:b/>
          <w:bCs/>
          <w:lang w:eastAsia="sl-SI"/>
        </w:rPr>
      </w:pPr>
    </w:p>
    <w:p w14:paraId="452B3E2B" w14:textId="79FB3176" w:rsidR="00304C05" w:rsidRDefault="00304C05" w:rsidP="007613FE">
      <w:pPr>
        <w:pStyle w:val="Odstavek1"/>
        <w:rPr>
          <w:rFonts w:ascii="Microsoft Sans Serif" w:hAnsi="Microsoft Sans Serif" w:cs="Microsoft Sans Serif"/>
          <w:b/>
          <w:bCs/>
          <w:lang w:eastAsia="sl-SI"/>
        </w:rPr>
      </w:pPr>
    </w:p>
    <w:p w14:paraId="34A58849" w14:textId="4F50B72F" w:rsidR="00304C05" w:rsidRDefault="00304C05" w:rsidP="007613FE">
      <w:pPr>
        <w:pStyle w:val="Odstavek1"/>
        <w:rPr>
          <w:rFonts w:ascii="Microsoft Sans Serif" w:hAnsi="Microsoft Sans Serif" w:cs="Microsoft Sans Serif"/>
          <w:b/>
          <w:bCs/>
          <w:lang w:eastAsia="sl-SI"/>
        </w:rPr>
      </w:pPr>
    </w:p>
    <w:p w14:paraId="669074BE" w14:textId="77777777" w:rsidR="00304C05" w:rsidRDefault="00304C05" w:rsidP="007613FE">
      <w:pPr>
        <w:pStyle w:val="Odstavek1"/>
        <w:rPr>
          <w:rFonts w:ascii="Microsoft Sans Serif" w:hAnsi="Microsoft Sans Serif" w:cs="Microsoft Sans Serif"/>
          <w:b/>
          <w:bCs/>
          <w:lang w:eastAsia="sl-SI"/>
        </w:rPr>
      </w:pPr>
    </w:p>
    <w:p w14:paraId="41815F96" w14:textId="7AADAF96" w:rsidR="00AC0C12" w:rsidRPr="009F3567" w:rsidRDefault="00754A51" w:rsidP="00304C05">
      <w:pPr>
        <w:pStyle w:val="SCPreglednica"/>
        <w:rPr>
          <w:szCs w:val="16"/>
        </w:rPr>
      </w:pPr>
      <w:bookmarkStart w:id="3069" w:name="_Toc86822644"/>
      <w:r w:rsidRPr="009F3567">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6</w:t>
      </w:r>
      <w:r w:rsidR="009F2591">
        <w:rPr>
          <w:noProof/>
        </w:rPr>
        <w:fldChar w:fldCharType="end"/>
      </w:r>
      <w:r w:rsidRPr="009F3567">
        <w:t>: Vrednost podprtih naložb v okviru podukrepa M</w:t>
      </w:r>
      <w:r w:rsidR="00F2746C">
        <w:t>0</w:t>
      </w:r>
      <w:r w:rsidRPr="009F3567">
        <w:t>4.1 PRP 2014-2020 (30.</w:t>
      </w:r>
      <w:r w:rsidR="007E3018">
        <w:t xml:space="preserve"> </w:t>
      </w:r>
      <w:r w:rsidRPr="009F3567">
        <w:t>4.</w:t>
      </w:r>
      <w:r w:rsidR="007E3018">
        <w:t xml:space="preserve"> </w:t>
      </w:r>
      <w:r w:rsidRPr="009F3567">
        <w:t>2020) glede na OMD in vrsto naložbe v sektorju govedoreja</w:t>
      </w:r>
      <w:bookmarkEnd w:id="3069"/>
      <w:r w:rsidRPr="009F3567">
        <w:t xml:space="preserve"> </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4"/>
        <w:gridCol w:w="1621"/>
        <w:gridCol w:w="1547"/>
        <w:gridCol w:w="2103"/>
        <w:gridCol w:w="1547"/>
      </w:tblGrid>
      <w:tr w:rsidR="00754A51" w:rsidRPr="00845A6E" w14:paraId="5B0DA7B6" w14:textId="77777777" w:rsidTr="00267222">
        <w:trPr>
          <w:trHeight w:val="249"/>
        </w:trPr>
        <w:tc>
          <w:tcPr>
            <w:tcW w:w="2234" w:type="dxa"/>
            <w:vMerge w:val="restart"/>
            <w:shd w:val="clear" w:color="auto" w:fill="C6D9F1" w:themeFill="text2" w:themeFillTint="33"/>
            <w:noWrap/>
            <w:vAlign w:val="center"/>
            <w:hideMark/>
          </w:tcPr>
          <w:p w14:paraId="1B3CE4F9" w14:textId="77777777" w:rsidR="00754A51" w:rsidRPr="00375F08" w:rsidRDefault="00754A51" w:rsidP="009F3567">
            <w:pPr>
              <w:spacing w:before="0" w:line="276" w:lineRule="auto"/>
              <w:jc w:val="left"/>
              <w:rPr>
                <w:b/>
                <w:color w:val="000000"/>
                <w:sz w:val="16"/>
                <w:szCs w:val="16"/>
                <w:lang w:eastAsia="sl-SI"/>
              </w:rPr>
            </w:pPr>
            <w:r w:rsidRPr="00375F08">
              <w:rPr>
                <w:b/>
                <w:color w:val="000000"/>
                <w:sz w:val="16"/>
                <w:szCs w:val="16"/>
                <w:lang w:eastAsia="sl-SI"/>
              </w:rPr>
              <w:t>Prevladujoča vrsta naložbe</w:t>
            </w:r>
          </w:p>
        </w:tc>
        <w:tc>
          <w:tcPr>
            <w:tcW w:w="6818" w:type="dxa"/>
            <w:gridSpan w:val="4"/>
            <w:shd w:val="clear" w:color="auto" w:fill="C6D9F1" w:themeFill="text2" w:themeFillTint="33"/>
            <w:noWrap/>
            <w:vAlign w:val="center"/>
            <w:hideMark/>
          </w:tcPr>
          <w:p w14:paraId="0A28D204" w14:textId="5C699847" w:rsidR="00754A51" w:rsidRPr="00375F08" w:rsidRDefault="00754A51" w:rsidP="009F3567">
            <w:pPr>
              <w:spacing w:before="0" w:line="276" w:lineRule="auto"/>
              <w:jc w:val="center"/>
              <w:rPr>
                <w:b/>
                <w:color w:val="000000"/>
                <w:sz w:val="16"/>
                <w:szCs w:val="16"/>
                <w:lang w:eastAsia="sl-SI"/>
              </w:rPr>
            </w:pPr>
            <w:r w:rsidRPr="00375F08">
              <w:rPr>
                <w:b/>
                <w:color w:val="000000"/>
                <w:sz w:val="16"/>
                <w:szCs w:val="16"/>
                <w:lang w:eastAsia="sl-SI"/>
              </w:rPr>
              <w:t>Višina vrednosti naložb glede na OMD</w:t>
            </w:r>
            <w:r w:rsidRPr="0096416A">
              <w:rPr>
                <w:b/>
                <w:color w:val="000000"/>
                <w:sz w:val="16"/>
                <w:szCs w:val="16"/>
                <w:lang w:eastAsia="sl-SI"/>
              </w:rPr>
              <w:t xml:space="preserve"> (EUR)</w:t>
            </w:r>
          </w:p>
        </w:tc>
      </w:tr>
      <w:tr w:rsidR="00D07D40" w:rsidRPr="00845A6E" w14:paraId="5E964816" w14:textId="77777777" w:rsidTr="00267222">
        <w:trPr>
          <w:trHeight w:val="257"/>
        </w:trPr>
        <w:tc>
          <w:tcPr>
            <w:tcW w:w="2234" w:type="dxa"/>
            <w:vMerge/>
            <w:shd w:val="clear" w:color="auto" w:fill="C6D9F1" w:themeFill="text2" w:themeFillTint="33"/>
            <w:vAlign w:val="center"/>
            <w:hideMark/>
          </w:tcPr>
          <w:p w14:paraId="35E7DD2A" w14:textId="77777777" w:rsidR="00D07D40" w:rsidRPr="004E7E63" w:rsidRDefault="00D07D40" w:rsidP="00D07D40">
            <w:pPr>
              <w:spacing w:before="0" w:line="276" w:lineRule="auto"/>
              <w:jc w:val="left"/>
              <w:rPr>
                <w:b/>
                <w:color w:val="000000"/>
                <w:sz w:val="16"/>
                <w:szCs w:val="16"/>
                <w:lang w:eastAsia="sl-SI"/>
              </w:rPr>
            </w:pPr>
          </w:p>
        </w:tc>
        <w:tc>
          <w:tcPr>
            <w:tcW w:w="1621" w:type="dxa"/>
            <w:shd w:val="clear" w:color="auto" w:fill="C6D9F1" w:themeFill="text2" w:themeFillTint="33"/>
            <w:vAlign w:val="center"/>
            <w:hideMark/>
          </w:tcPr>
          <w:p w14:paraId="1B1C6B41" w14:textId="5A03BB8D" w:rsidR="00D07D40" w:rsidRPr="00375F08" w:rsidRDefault="00D07D40" w:rsidP="00D07D40">
            <w:pPr>
              <w:spacing w:before="0" w:line="276" w:lineRule="auto"/>
              <w:jc w:val="center"/>
              <w:rPr>
                <w:b/>
                <w:color w:val="000000"/>
                <w:sz w:val="16"/>
                <w:szCs w:val="16"/>
                <w:lang w:eastAsia="sl-SI"/>
              </w:rPr>
            </w:pPr>
            <w:r w:rsidRPr="00634C04">
              <w:rPr>
                <w:b/>
                <w:color w:val="000000"/>
                <w:sz w:val="16"/>
                <w:szCs w:val="16"/>
                <w:lang w:eastAsia="sl-SI"/>
              </w:rPr>
              <w:t>OMD – gorska območja (13.1)</w:t>
            </w:r>
          </w:p>
        </w:tc>
        <w:tc>
          <w:tcPr>
            <w:tcW w:w="1547" w:type="dxa"/>
            <w:shd w:val="clear" w:color="auto" w:fill="C6D9F1" w:themeFill="text2" w:themeFillTint="33"/>
            <w:vAlign w:val="center"/>
            <w:hideMark/>
          </w:tcPr>
          <w:p w14:paraId="407A392F" w14:textId="77777777" w:rsidR="00D07D40" w:rsidRPr="00634C04" w:rsidRDefault="00D07D40" w:rsidP="00D07D40">
            <w:pPr>
              <w:spacing w:before="0" w:line="276" w:lineRule="auto"/>
              <w:jc w:val="center"/>
              <w:rPr>
                <w:b/>
                <w:color w:val="000000"/>
                <w:sz w:val="16"/>
                <w:szCs w:val="16"/>
                <w:lang w:eastAsia="sl-SI"/>
              </w:rPr>
            </w:pPr>
            <w:r w:rsidRPr="00634C04">
              <w:rPr>
                <w:b/>
                <w:color w:val="000000"/>
                <w:sz w:val="16"/>
                <w:szCs w:val="16"/>
                <w:lang w:eastAsia="sl-SI"/>
              </w:rPr>
              <w:t xml:space="preserve">OMD – izven gorskih območij </w:t>
            </w:r>
          </w:p>
          <w:p w14:paraId="2C4B4BAB" w14:textId="5C3EEF4E" w:rsidR="00D07D40" w:rsidRPr="00375F08" w:rsidRDefault="00D07D40" w:rsidP="00D07D40">
            <w:pPr>
              <w:spacing w:before="0" w:line="276" w:lineRule="auto"/>
              <w:jc w:val="center"/>
              <w:rPr>
                <w:b/>
                <w:color w:val="000000"/>
                <w:sz w:val="16"/>
                <w:szCs w:val="16"/>
                <w:lang w:eastAsia="sl-SI"/>
              </w:rPr>
            </w:pPr>
            <w:r w:rsidRPr="00634C04">
              <w:rPr>
                <w:b/>
                <w:color w:val="000000"/>
                <w:sz w:val="16"/>
                <w:szCs w:val="16"/>
                <w:lang w:eastAsia="sl-SI"/>
              </w:rPr>
              <w:t>(13.2 in 13.3)</w:t>
            </w:r>
          </w:p>
        </w:tc>
        <w:tc>
          <w:tcPr>
            <w:tcW w:w="2103" w:type="dxa"/>
            <w:shd w:val="clear" w:color="auto" w:fill="C6D9F1" w:themeFill="text2" w:themeFillTint="33"/>
            <w:vAlign w:val="center"/>
            <w:hideMark/>
          </w:tcPr>
          <w:p w14:paraId="5FA2BBA8" w14:textId="756F706E" w:rsidR="00D07D40" w:rsidRPr="00375F08" w:rsidRDefault="00D07D40" w:rsidP="00D07D40">
            <w:pPr>
              <w:spacing w:before="0" w:line="276" w:lineRule="auto"/>
              <w:jc w:val="center"/>
              <w:rPr>
                <w:b/>
                <w:color w:val="000000"/>
                <w:sz w:val="16"/>
                <w:szCs w:val="16"/>
                <w:lang w:eastAsia="sl-SI"/>
              </w:rPr>
            </w:pPr>
            <w:r w:rsidRPr="00634C04">
              <w:rPr>
                <w:b/>
                <w:sz w:val="16"/>
                <w:szCs w:val="16"/>
              </w:rPr>
              <w:t xml:space="preserve">ne OMD </w:t>
            </w:r>
          </w:p>
        </w:tc>
        <w:tc>
          <w:tcPr>
            <w:tcW w:w="1547" w:type="dxa"/>
            <w:shd w:val="clear" w:color="auto" w:fill="C6D9F1" w:themeFill="text2" w:themeFillTint="33"/>
            <w:vAlign w:val="center"/>
            <w:hideMark/>
          </w:tcPr>
          <w:p w14:paraId="01060263" w14:textId="77777777" w:rsidR="00D07D40" w:rsidRPr="00375F08" w:rsidRDefault="00D07D40" w:rsidP="00D07D40">
            <w:pPr>
              <w:spacing w:before="0" w:line="276" w:lineRule="auto"/>
              <w:jc w:val="center"/>
              <w:rPr>
                <w:b/>
                <w:color w:val="000000"/>
                <w:sz w:val="16"/>
                <w:szCs w:val="16"/>
                <w:lang w:eastAsia="sl-SI"/>
              </w:rPr>
            </w:pPr>
            <w:r w:rsidRPr="00375F08">
              <w:rPr>
                <w:b/>
                <w:color w:val="000000"/>
                <w:sz w:val="16"/>
                <w:szCs w:val="16"/>
                <w:lang w:eastAsia="sl-SI"/>
              </w:rPr>
              <w:t>skupaj</w:t>
            </w:r>
          </w:p>
        </w:tc>
      </w:tr>
      <w:tr w:rsidR="00754A51" w:rsidRPr="005E6F45" w14:paraId="5A27AF50" w14:textId="77777777" w:rsidTr="00267222">
        <w:trPr>
          <w:trHeight w:val="397"/>
        </w:trPr>
        <w:tc>
          <w:tcPr>
            <w:tcW w:w="2234" w:type="dxa"/>
            <w:shd w:val="clear" w:color="auto" w:fill="auto"/>
            <w:vAlign w:val="center"/>
            <w:hideMark/>
          </w:tcPr>
          <w:p w14:paraId="46584FB5"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Nakup in postavitev rastlinjakov ter pripadajoče opreme</w:t>
            </w:r>
          </w:p>
        </w:tc>
        <w:tc>
          <w:tcPr>
            <w:tcW w:w="1621" w:type="dxa"/>
            <w:shd w:val="clear" w:color="auto" w:fill="auto"/>
            <w:noWrap/>
            <w:vAlign w:val="center"/>
            <w:hideMark/>
          </w:tcPr>
          <w:p w14:paraId="44F69E4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33.717</w:t>
            </w:r>
          </w:p>
        </w:tc>
        <w:tc>
          <w:tcPr>
            <w:tcW w:w="1547" w:type="dxa"/>
            <w:shd w:val="clear" w:color="auto" w:fill="auto"/>
            <w:noWrap/>
            <w:vAlign w:val="center"/>
            <w:hideMark/>
          </w:tcPr>
          <w:p w14:paraId="44230D98"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0FCD471B"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512D83D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33.717</w:t>
            </w:r>
          </w:p>
        </w:tc>
      </w:tr>
      <w:tr w:rsidR="00754A51" w:rsidRPr="005E6F45" w14:paraId="2E94F502" w14:textId="77777777" w:rsidTr="00267222">
        <w:trPr>
          <w:trHeight w:val="854"/>
        </w:trPr>
        <w:tc>
          <w:tcPr>
            <w:tcW w:w="2234" w:type="dxa"/>
            <w:shd w:val="clear" w:color="auto" w:fill="auto"/>
            <w:vAlign w:val="center"/>
            <w:hideMark/>
          </w:tcPr>
          <w:p w14:paraId="3F7D7298" w14:textId="77777777" w:rsidR="00754A51" w:rsidRPr="001A32D7" w:rsidRDefault="00754A51" w:rsidP="009F3567">
            <w:pPr>
              <w:spacing w:before="0" w:line="276" w:lineRule="auto"/>
              <w:jc w:val="left"/>
              <w:rPr>
                <w:b/>
                <w:bCs/>
                <w:color w:val="000000"/>
                <w:sz w:val="16"/>
                <w:szCs w:val="16"/>
                <w:lang w:eastAsia="sl-SI"/>
              </w:rPr>
            </w:pPr>
            <w:r w:rsidRPr="001A32D7">
              <w:rPr>
                <w:b/>
                <w:bCs/>
                <w:color w:val="000000"/>
                <w:sz w:val="16"/>
                <w:szCs w:val="16"/>
                <w:lang w:eastAsia="sl-SI"/>
              </w:rPr>
              <w:t>Nakup nove kmetijske mehanizacije ter strojne in transportne opreme za prevoz živali in surovin</w:t>
            </w:r>
          </w:p>
        </w:tc>
        <w:tc>
          <w:tcPr>
            <w:tcW w:w="1621" w:type="dxa"/>
            <w:shd w:val="clear" w:color="auto" w:fill="auto"/>
            <w:noWrap/>
            <w:vAlign w:val="center"/>
            <w:hideMark/>
          </w:tcPr>
          <w:p w14:paraId="4AA20596"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23.014.041</w:t>
            </w:r>
          </w:p>
        </w:tc>
        <w:tc>
          <w:tcPr>
            <w:tcW w:w="1547" w:type="dxa"/>
            <w:shd w:val="clear" w:color="auto" w:fill="auto"/>
            <w:noWrap/>
            <w:vAlign w:val="center"/>
            <w:hideMark/>
          </w:tcPr>
          <w:p w14:paraId="44BD3990"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6.372.575</w:t>
            </w:r>
          </w:p>
        </w:tc>
        <w:tc>
          <w:tcPr>
            <w:tcW w:w="2103" w:type="dxa"/>
            <w:shd w:val="clear" w:color="auto" w:fill="auto"/>
            <w:noWrap/>
            <w:vAlign w:val="center"/>
            <w:hideMark/>
          </w:tcPr>
          <w:p w14:paraId="2A561CA2"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5.684.070</w:t>
            </w:r>
          </w:p>
        </w:tc>
        <w:tc>
          <w:tcPr>
            <w:tcW w:w="1547" w:type="dxa"/>
            <w:shd w:val="clear" w:color="auto" w:fill="auto"/>
            <w:noWrap/>
            <w:vAlign w:val="center"/>
            <w:hideMark/>
          </w:tcPr>
          <w:p w14:paraId="44954C17"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35.070.686</w:t>
            </w:r>
          </w:p>
        </w:tc>
      </w:tr>
      <w:tr w:rsidR="00754A51" w:rsidRPr="005E6F45" w14:paraId="65DCC68B" w14:textId="77777777" w:rsidTr="00267222">
        <w:trPr>
          <w:trHeight w:val="485"/>
        </w:trPr>
        <w:tc>
          <w:tcPr>
            <w:tcW w:w="2234" w:type="dxa"/>
            <w:shd w:val="clear" w:color="auto" w:fill="auto"/>
            <w:vAlign w:val="center"/>
            <w:hideMark/>
          </w:tcPr>
          <w:p w14:paraId="238821B9"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naložb, namenjenih učinkoviti rabi energije</w:t>
            </w:r>
          </w:p>
        </w:tc>
        <w:tc>
          <w:tcPr>
            <w:tcW w:w="1621" w:type="dxa"/>
            <w:shd w:val="clear" w:color="auto" w:fill="auto"/>
            <w:noWrap/>
            <w:vAlign w:val="center"/>
            <w:hideMark/>
          </w:tcPr>
          <w:p w14:paraId="388281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1.326.867</w:t>
            </w:r>
          </w:p>
        </w:tc>
        <w:tc>
          <w:tcPr>
            <w:tcW w:w="1547" w:type="dxa"/>
            <w:shd w:val="clear" w:color="auto" w:fill="auto"/>
            <w:noWrap/>
            <w:vAlign w:val="center"/>
            <w:hideMark/>
          </w:tcPr>
          <w:p w14:paraId="01AC6741"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4E01D99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3806544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1.326.867</w:t>
            </w:r>
          </w:p>
        </w:tc>
      </w:tr>
      <w:tr w:rsidR="00754A51" w:rsidRPr="005E6F45" w14:paraId="51D1727B" w14:textId="77777777" w:rsidTr="00267222">
        <w:trPr>
          <w:trHeight w:val="603"/>
        </w:trPr>
        <w:tc>
          <w:tcPr>
            <w:tcW w:w="2234" w:type="dxa"/>
            <w:shd w:val="clear" w:color="auto" w:fill="auto"/>
            <w:vAlign w:val="center"/>
            <w:hideMark/>
          </w:tcPr>
          <w:p w14:paraId="61B9A1A7"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postavitve oziroma obnove sadovnjakov in oljčnikov vključno s postavitvijo jagodišč</w:t>
            </w:r>
          </w:p>
        </w:tc>
        <w:tc>
          <w:tcPr>
            <w:tcW w:w="1621" w:type="dxa"/>
            <w:shd w:val="clear" w:color="auto" w:fill="auto"/>
            <w:noWrap/>
            <w:vAlign w:val="center"/>
            <w:hideMark/>
          </w:tcPr>
          <w:p w14:paraId="297B77B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120.290</w:t>
            </w:r>
          </w:p>
        </w:tc>
        <w:tc>
          <w:tcPr>
            <w:tcW w:w="1547" w:type="dxa"/>
            <w:shd w:val="clear" w:color="auto" w:fill="auto"/>
            <w:noWrap/>
            <w:vAlign w:val="center"/>
            <w:hideMark/>
          </w:tcPr>
          <w:p w14:paraId="00AD28A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40.045</w:t>
            </w:r>
          </w:p>
        </w:tc>
        <w:tc>
          <w:tcPr>
            <w:tcW w:w="2103" w:type="dxa"/>
            <w:shd w:val="clear" w:color="auto" w:fill="auto"/>
            <w:noWrap/>
            <w:vAlign w:val="center"/>
            <w:hideMark/>
          </w:tcPr>
          <w:p w14:paraId="0DFCB7A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331F461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160.334</w:t>
            </w:r>
          </w:p>
        </w:tc>
      </w:tr>
      <w:tr w:rsidR="00754A51" w:rsidRPr="005E6F45" w14:paraId="4F038768" w14:textId="77777777" w:rsidTr="00267222">
        <w:trPr>
          <w:trHeight w:val="488"/>
        </w:trPr>
        <w:tc>
          <w:tcPr>
            <w:tcW w:w="2234" w:type="dxa"/>
            <w:shd w:val="clear" w:color="auto" w:fill="auto"/>
            <w:vAlign w:val="center"/>
            <w:hideMark/>
          </w:tcPr>
          <w:p w14:paraId="6B21B3C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postavitve pašnikov in obor</w:t>
            </w:r>
          </w:p>
        </w:tc>
        <w:tc>
          <w:tcPr>
            <w:tcW w:w="1621" w:type="dxa"/>
            <w:shd w:val="clear" w:color="auto" w:fill="auto"/>
            <w:noWrap/>
            <w:vAlign w:val="center"/>
            <w:hideMark/>
          </w:tcPr>
          <w:p w14:paraId="06F9FE2F"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127.426</w:t>
            </w:r>
          </w:p>
        </w:tc>
        <w:tc>
          <w:tcPr>
            <w:tcW w:w="1547" w:type="dxa"/>
            <w:shd w:val="clear" w:color="auto" w:fill="auto"/>
            <w:noWrap/>
            <w:vAlign w:val="center"/>
            <w:hideMark/>
          </w:tcPr>
          <w:p w14:paraId="3F990959"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6D085E9D"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7522B19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127.426</w:t>
            </w:r>
          </w:p>
        </w:tc>
      </w:tr>
      <w:tr w:rsidR="00754A51" w:rsidRPr="005E6F45" w14:paraId="51C66716" w14:textId="77777777" w:rsidTr="00267222">
        <w:trPr>
          <w:trHeight w:val="672"/>
        </w:trPr>
        <w:tc>
          <w:tcPr>
            <w:tcW w:w="2234" w:type="dxa"/>
            <w:shd w:val="clear" w:color="auto" w:fill="auto"/>
            <w:vAlign w:val="center"/>
            <w:hideMark/>
          </w:tcPr>
          <w:p w14:paraId="556E785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pridobivanja energije iz obnovljivih virov  na kmetijskih gospodarstvih</w:t>
            </w:r>
          </w:p>
        </w:tc>
        <w:tc>
          <w:tcPr>
            <w:tcW w:w="1621" w:type="dxa"/>
            <w:shd w:val="clear" w:color="auto" w:fill="auto"/>
            <w:noWrap/>
            <w:vAlign w:val="center"/>
            <w:hideMark/>
          </w:tcPr>
          <w:p w14:paraId="0A0CBB5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196.991</w:t>
            </w:r>
          </w:p>
        </w:tc>
        <w:tc>
          <w:tcPr>
            <w:tcW w:w="1547" w:type="dxa"/>
            <w:shd w:val="clear" w:color="auto" w:fill="auto"/>
            <w:noWrap/>
            <w:vAlign w:val="center"/>
            <w:hideMark/>
          </w:tcPr>
          <w:p w14:paraId="257ACDFF"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161.722</w:t>
            </w:r>
          </w:p>
        </w:tc>
        <w:tc>
          <w:tcPr>
            <w:tcW w:w="2103" w:type="dxa"/>
            <w:shd w:val="clear" w:color="auto" w:fill="auto"/>
            <w:noWrap/>
            <w:vAlign w:val="center"/>
            <w:hideMark/>
          </w:tcPr>
          <w:p w14:paraId="733D729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176326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358.713</w:t>
            </w:r>
          </w:p>
        </w:tc>
      </w:tr>
      <w:tr w:rsidR="00754A51" w:rsidRPr="005E6F45" w14:paraId="598E21F7" w14:textId="77777777" w:rsidTr="00267222">
        <w:trPr>
          <w:trHeight w:val="1459"/>
        </w:trPr>
        <w:tc>
          <w:tcPr>
            <w:tcW w:w="2234" w:type="dxa"/>
            <w:shd w:val="clear" w:color="auto" w:fill="auto"/>
            <w:vAlign w:val="center"/>
            <w:hideMark/>
          </w:tcPr>
          <w:p w14:paraId="436D8D03" w14:textId="77777777" w:rsidR="00754A51" w:rsidRPr="001A32D7" w:rsidRDefault="00754A51" w:rsidP="009F3567">
            <w:pPr>
              <w:spacing w:before="0" w:line="276" w:lineRule="auto"/>
              <w:jc w:val="left"/>
              <w:rPr>
                <w:b/>
                <w:bCs/>
                <w:color w:val="000000"/>
                <w:sz w:val="16"/>
                <w:szCs w:val="16"/>
                <w:lang w:eastAsia="sl-SI"/>
              </w:rPr>
            </w:pPr>
            <w:r w:rsidRPr="001A32D7">
              <w:rPr>
                <w:b/>
                <w:bCs/>
                <w:color w:val="000000"/>
                <w:sz w:val="16"/>
                <w:szCs w:val="16"/>
                <w:lang w:eastAsia="sl-SI"/>
              </w:rPr>
              <w:t>Stroški ureditve ali vzdrževanje nepremičnin za kmet. dejavnost, nakup pripadajoče opreme za kmet. proizvodnjo, ureditev greznic in čistilnih naprav, nakup informacijsko-komunikacijske tehnologije (IKT) in strojne opreme</w:t>
            </w:r>
          </w:p>
        </w:tc>
        <w:tc>
          <w:tcPr>
            <w:tcW w:w="1621" w:type="dxa"/>
            <w:shd w:val="clear" w:color="auto" w:fill="auto"/>
            <w:noWrap/>
            <w:vAlign w:val="center"/>
            <w:hideMark/>
          </w:tcPr>
          <w:p w14:paraId="5CC773A5"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26.425.180</w:t>
            </w:r>
          </w:p>
        </w:tc>
        <w:tc>
          <w:tcPr>
            <w:tcW w:w="1547" w:type="dxa"/>
            <w:shd w:val="clear" w:color="auto" w:fill="auto"/>
            <w:noWrap/>
            <w:vAlign w:val="center"/>
            <w:hideMark/>
          </w:tcPr>
          <w:p w14:paraId="6AAC6CB0"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5.681.707</w:t>
            </w:r>
          </w:p>
        </w:tc>
        <w:tc>
          <w:tcPr>
            <w:tcW w:w="2103" w:type="dxa"/>
            <w:shd w:val="clear" w:color="auto" w:fill="auto"/>
            <w:noWrap/>
            <w:vAlign w:val="center"/>
            <w:hideMark/>
          </w:tcPr>
          <w:p w14:paraId="73D27D6B"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24.019.754</w:t>
            </w:r>
          </w:p>
        </w:tc>
        <w:tc>
          <w:tcPr>
            <w:tcW w:w="1547" w:type="dxa"/>
            <w:shd w:val="clear" w:color="auto" w:fill="auto"/>
            <w:noWrap/>
            <w:vAlign w:val="center"/>
            <w:hideMark/>
          </w:tcPr>
          <w:p w14:paraId="6D2257C5" w14:textId="77777777" w:rsidR="00754A51" w:rsidRPr="001A32D7" w:rsidRDefault="00754A51" w:rsidP="009F3567">
            <w:pPr>
              <w:spacing w:before="0" w:line="276" w:lineRule="auto"/>
              <w:jc w:val="right"/>
              <w:rPr>
                <w:b/>
                <w:bCs/>
                <w:color w:val="000000"/>
                <w:sz w:val="16"/>
                <w:szCs w:val="16"/>
                <w:lang w:eastAsia="sl-SI"/>
              </w:rPr>
            </w:pPr>
            <w:r w:rsidRPr="001A32D7">
              <w:rPr>
                <w:b/>
                <w:bCs/>
                <w:color w:val="000000"/>
                <w:sz w:val="16"/>
                <w:szCs w:val="16"/>
                <w:lang w:eastAsia="sl-SI"/>
              </w:rPr>
              <w:t>61.094.024</w:t>
            </w:r>
          </w:p>
        </w:tc>
      </w:tr>
      <w:tr w:rsidR="00754A51" w:rsidRPr="005E6F45" w14:paraId="615F9C53" w14:textId="77777777" w:rsidTr="00267222">
        <w:trPr>
          <w:trHeight w:val="608"/>
        </w:trPr>
        <w:tc>
          <w:tcPr>
            <w:tcW w:w="2234" w:type="dxa"/>
            <w:shd w:val="clear" w:color="auto" w:fill="auto"/>
            <w:vAlign w:val="center"/>
            <w:hideMark/>
          </w:tcPr>
          <w:p w14:paraId="3CB9F53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ureditve priključkov kmetijskega gospodarstva na objekte javne infrastrukture</w:t>
            </w:r>
          </w:p>
        </w:tc>
        <w:tc>
          <w:tcPr>
            <w:tcW w:w="1621" w:type="dxa"/>
            <w:shd w:val="clear" w:color="auto" w:fill="auto"/>
            <w:noWrap/>
            <w:vAlign w:val="center"/>
            <w:hideMark/>
          </w:tcPr>
          <w:p w14:paraId="450236A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195.775</w:t>
            </w:r>
          </w:p>
        </w:tc>
        <w:tc>
          <w:tcPr>
            <w:tcW w:w="1547" w:type="dxa"/>
            <w:shd w:val="clear" w:color="auto" w:fill="auto"/>
            <w:noWrap/>
            <w:vAlign w:val="center"/>
            <w:hideMark/>
          </w:tcPr>
          <w:p w14:paraId="00F83496"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4D0618A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547" w:type="dxa"/>
            <w:shd w:val="clear" w:color="auto" w:fill="auto"/>
            <w:noWrap/>
            <w:vAlign w:val="center"/>
            <w:hideMark/>
          </w:tcPr>
          <w:p w14:paraId="7DEBFD4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195.775</w:t>
            </w:r>
          </w:p>
        </w:tc>
      </w:tr>
      <w:tr w:rsidR="00754A51" w:rsidRPr="005E6F45" w14:paraId="15564FF1" w14:textId="77777777" w:rsidTr="00267222">
        <w:trPr>
          <w:trHeight w:val="861"/>
        </w:trPr>
        <w:tc>
          <w:tcPr>
            <w:tcW w:w="2234" w:type="dxa"/>
            <w:shd w:val="clear" w:color="auto" w:fill="auto"/>
            <w:vAlign w:val="center"/>
            <w:hideMark/>
          </w:tcPr>
          <w:p w14:paraId="2BFD03C8"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Stroški ureditve zasebnih namakalnih sistemov, ki so namenjeni enemu uporabniku, ter nakupa in postavitve namakalne opreme</w:t>
            </w:r>
          </w:p>
        </w:tc>
        <w:tc>
          <w:tcPr>
            <w:tcW w:w="1621" w:type="dxa"/>
            <w:shd w:val="clear" w:color="auto" w:fill="auto"/>
            <w:noWrap/>
            <w:vAlign w:val="center"/>
            <w:hideMark/>
          </w:tcPr>
          <w:p w14:paraId="2486CB2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258.970</w:t>
            </w:r>
          </w:p>
        </w:tc>
        <w:tc>
          <w:tcPr>
            <w:tcW w:w="1547" w:type="dxa"/>
            <w:shd w:val="clear" w:color="auto" w:fill="auto"/>
            <w:noWrap/>
            <w:vAlign w:val="center"/>
            <w:hideMark/>
          </w:tcPr>
          <w:p w14:paraId="622C532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2103" w:type="dxa"/>
            <w:shd w:val="clear" w:color="auto" w:fill="auto"/>
            <w:noWrap/>
            <w:vAlign w:val="center"/>
            <w:hideMark/>
          </w:tcPr>
          <w:p w14:paraId="59801ED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19.036</w:t>
            </w:r>
          </w:p>
        </w:tc>
        <w:tc>
          <w:tcPr>
            <w:tcW w:w="1547" w:type="dxa"/>
            <w:shd w:val="clear" w:color="auto" w:fill="auto"/>
            <w:noWrap/>
            <w:vAlign w:val="center"/>
            <w:hideMark/>
          </w:tcPr>
          <w:p w14:paraId="232D20F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278.006</w:t>
            </w:r>
          </w:p>
        </w:tc>
      </w:tr>
      <w:tr w:rsidR="00754A51" w:rsidRPr="00845A6E" w14:paraId="3426425E" w14:textId="77777777" w:rsidTr="00267222">
        <w:trPr>
          <w:trHeight w:val="259"/>
        </w:trPr>
        <w:tc>
          <w:tcPr>
            <w:tcW w:w="2234" w:type="dxa"/>
            <w:shd w:val="clear" w:color="auto" w:fill="C6D9F1" w:themeFill="text2" w:themeFillTint="33"/>
            <w:vAlign w:val="center"/>
            <w:hideMark/>
          </w:tcPr>
          <w:p w14:paraId="2B458A79"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w:t>
            </w:r>
          </w:p>
        </w:tc>
        <w:tc>
          <w:tcPr>
            <w:tcW w:w="1621" w:type="dxa"/>
            <w:shd w:val="clear" w:color="auto" w:fill="C6D9F1" w:themeFill="text2" w:themeFillTint="33"/>
            <w:noWrap/>
            <w:vAlign w:val="center"/>
            <w:hideMark/>
          </w:tcPr>
          <w:p w14:paraId="25DE0718" w14:textId="77777777" w:rsidR="00AC0C12" w:rsidRDefault="00AC0C12" w:rsidP="009F3567">
            <w:pPr>
              <w:spacing w:before="0" w:line="276" w:lineRule="auto"/>
              <w:jc w:val="right"/>
              <w:rPr>
                <w:b/>
                <w:color w:val="000000"/>
                <w:sz w:val="16"/>
                <w:szCs w:val="16"/>
                <w:lang w:eastAsia="sl-SI"/>
              </w:rPr>
            </w:pPr>
          </w:p>
          <w:p w14:paraId="51C2F3F7" w14:textId="77777777" w:rsidR="00754A51" w:rsidRDefault="00754A51" w:rsidP="009F3567">
            <w:pPr>
              <w:spacing w:before="0" w:line="276" w:lineRule="auto"/>
              <w:jc w:val="right"/>
              <w:rPr>
                <w:b/>
                <w:color w:val="000000"/>
                <w:sz w:val="16"/>
                <w:szCs w:val="16"/>
                <w:lang w:eastAsia="sl-SI"/>
              </w:rPr>
            </w:pPr>
            <w:r w:rsidRPr="001A32D7">
              <w:rPr>
                <w:b/>
                <w:color w:val="000000"/>
                <w:sz w:val="16"/>
                <w:szCs w:val="16"/>
                <w:lang w:eastAsia="sl-SI"/>
              </w:rPr>
              <w:t>51.699.255</w:t>
            </w:r>
          </w:p>
          <w:p w14:paraId="3F16392D" w14:textId="77777777" w:rsidR="00AC0C12" w:rsidRPr="001A32D7" w:rsidRDefault="00AC0C12" w:rsidP="009F3567">
            <w:pPr>
              <w:spacing w:before="0" w:line="276" w:lineRule="auto"/>
              <w:jc w:val="right"/>
              <w:rPr>
                <w:b/>
                <w:color w:val="000000"/>
                <w:sz w:val="16"/>
                <w:szCs w:val="16"/>
                <w:lang w:eastAsia="sl-SI"/>
              </w:rPr>
            </w:pPr>
          </w:p>
        </w:tc>
        <w:tc>
          <w:tcPr>
            <w:tcW w:w="1547" w:type="dxa"/>
            <w:shd w:val="clear" w:color="auto" w:fill="C6D9F1" w:themeFill="text2" w:themeFillTint="33"/>
            <w:noWrap/>
            <w:vAlign w:val="center"/>
            <w:hideMark/>
          </w:tcPr>
          <w:p w14:paraId="529C432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17.223.432</w:t>
            </w:r>
          </w:p>
        </w:tc>
        <w:tc>
          <w:tcPr>
            <w:tcW w:w="2103" w:type="dxa"/>
            <w:shd w:val="clear" w:color="auto" w:fill="C6D9F1" w:themeFill="text2" w:themeFillTint="33"/>
            <w:noWrap/>
            <w:vAlign w:val="center"/>
            <w:hideMark/>
          </w:tcPr>
          <w:p w14:paraId="4FC8CD70"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29.722.860</w:t>
            </w:r>
          </w:p>
        </w:tc>
        <w:tc>
          <w:tcPr>
            <w:tcW w:w="1547" w:type="dxa"/>
            <w:shd w:val="clear" w:color="auto" w:fill="C6D9F1" w:themeFill="text2" w:themeFillTint="33"/>
            <w:noWrap/>
            <w:vAlign w:val="center"/>
            <w:hideMark/>
          </w:tcPr>
          <w:p w14:paraId="657E2A3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98.645.547</w:t>
            </w:r>
          </w:p>
        </w:tc>
      </w:tr>
    </w:tbl>
    <w:p w14:paraId="3ACCE771" w14:textId="77777777" w:rsidR="00754A51" w:rsidRPr="001A32D7" w:rsidRDefault="00376F0D" w:rsidP="009F3567">
      <w:pPr>
        <w:pStyle w:val="Default"/>
        <w:spacing w:line="276" w:lineRule="auto"/>
        <w:jc w:val="both"/>
        <w:rPr>
          <w:sz w:val="16"/>
          <w:szCs w:val="16"/>
        </w:rPr>
      </w:pPr>
      <w:r>
        <w:rPr>
          <w:rFonts w:ascii="Arial" w:hAnsi="Arial" w:cs="Arial"/>
          <w:sz w:val="16"/>
          <w:szCs w:val="16"/>
        </w:rPr>
        <w:t>Vir: MKGP</w:t>
      </w:r>
    </w:p>
    <w:p w14:paraId="61D7A4FA" w14:textId="77777777" w:rsidR="00754A51" w:rsidRDefault="00754A51" w:rsidP="007613FE">
      <w:pPr>
        <w:pStyle w:val="Odstavek1"/>
      </w:pPr>
    </w:p>
    <w:p w14:paraId="5DE47E62" w14:textId="209BA6F1" w:rsidR="00267222" w:rsidRDefault="00267222" w:rsidP="007613FE">
      <w:pPr>
        <w:pStyle w:val="Odstavek1"/>
      </w:pPr>
      <w:r>
        <w:t xml:space="preserve">Povprečno podprto KMG v sektorju govedoreja na OMD - gorska območja je precej manjše: v povprečju obdeluje 38,7 ha KZU in redi 37 GVŽ, medtem ko KMG na območjih izven OMD obdeluje skoraj 61 ha KZU ter redi 84 GVŽ. </w:t>
      </w:r>
    </w:p>
    <w:p w14:paraId="5A5FCEA5" w14:textId="77777777" w:rsidR="00754A51" w:rsidRDefault="00754A51" w:rsidP="007613FE">
      <w:pPr>
        <w:pStyle w:val="Odstavek1"/>
      </w:pPr>
    </w:p>
    <w:p w14:paraId="288786B4" w14:textId="27D55F4B" w:rsidR="00376F0D" w:rsidRDefault="00376F0D" w:rsidP="00304C05">
      <w:pPr>
        <w:pStyle w:val="SCSlika0"/>
      </w:pPr>
      <w:bookmarkStart w:id="3070" w:name="_Toc86822712"/>
      <w:r w:rsidRPr="009F3567">
        <w:lastRenderedPageBreak/>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40</w:t>
      </w:r>
      <w:r w:rsidR="009F2591">
        <w:rPr>
          <w:noProof/>
        </w:rPr>
        <w:fldChar w:fldCharType="end"/>
      </w:r>
      <w:r w:rsidRPr="009F3567">
        <w:t>: Primerjava povprečnega števila ha KZU, števila GVŽ, PDM in PDM/ha KZU v sektorju govedorej</w:t>
      </w:r>
      <w:r w:rsidR="007E3018">
        <w:t>e</w:t>
      </w:r>
      <w:r w:rsidRPr="009F3567">
        <w:t xml:space="preserve"> glede na OMD za podprte naložbe v okviru podukrepa M</w:t>
      </w:r>
      <w:r w:rsidR="00821CEE">
        <w:t>0</w:t>
      </w:r>
      <w:r w:rsidRPr="009F3567">
        <w:t>4.1 PRP 2014–2020 (stanje 30. 4. 2020)</w:t>
      </w:r>
      <w:bookmarkEnd w:id="3070"/>
    </w:p>
    <w:p w14:paraId="72477D68" w14:textId="77777777" w:rsidR="00754A51" w:rsidRDefault="00754A51" w:rsidP="009F3567">
      <w:pPr>
        <w:pStyle w:val="Default"/>
        <w:spacing w:line="276" w:lineRule="auto"/>
        <w:jc w:val="both"/>
        <w:rPr>
          <w:sz w:val="20"/>
          <w:szCs w:val="20"/>
        </w:rPr>
      </w:pPr>
      <w:r>
        <w:rPr>
          <w:noProof/>
          <w:lang w:eastAsia="sl-SI"/>
        </w:rPr>
        <w:drawing>
          <wp:inline distT="0" distB="0" distL="0" distR="0" wp14:anchorId="54250D0D" wp14:editId="19714B7B">
            <wp:extent cx="5603443" cy="2662733"/>
            <wp:effectExtent l="0" t="0" r="16510" b="4445"/>
            <wp:docPr id="1631865582" name="Grafikon 1631865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BA2ECB4" w14:textId="77777777" w:rsidR="00754A51" w:rsidRPr="003E65EF" w:rsidRDefault="00376F0D" w:rsidP="009F3567">
      <w:pPr>
        <w:spacing w:before="0" w:line="276" w:lineRule="auto"/>
        <w:rPr>
          <w:sz w:val="16"/>
          <w:szCs w:val="16"/>
          <w:lang w:eastAsia="en-US"/>
        </w:rPr>
      </w:pPr>
      <w:r>
        <w:rPr>
          <w:sz w:val="16"/>
          <w:szCs w:val="16"/>
        </w:rPr>
        <w:t>Vir: MKGP</w:t>
      </w:r>
    </w:p>
    <w:p w14:paraId="745F7AD9" w14:textId="77777777" w:rsidR="00754A51" w:rsidRDefault="00754A51" w:rsidP="007613FE">
      <w:pPr>
        <w:pStyle w:val="Odstavek1"/>
      </w:pPr>
    </w:p>
    <w:p w14:paraId="1ACF0F17" w14:textId="77777777" w:rsidR="00754A51" w:rsidRDefault="00754A51" w:rsidP="007613FE">
      <w:pPr>
        <w:pStyle w:val="Odstavek1"/>
      </w:pPr>
    </w:p>
    <w:p w14:paraId="1482A858" w14:textId="66623676" w:rsidR="00172BB8" w:rsidRDefault="00124161" w:rsidP="007613FE">
      <w:pPr>
        <w:pStyle w:val="Odstavek1"/>
      </w:pPr>
      <w:r w:rsidRPr="00124161">
        <w:t>V</w:t>
      </w:r>
      <w:r>
        <w:t xml:space="preserve"> nadaljevanju sledi še grafični prikaz vlaganj v okviru podukrepa </w:t>
      </w:r>
      <w:r w:rsidR="00821CEE" w:rsidRPr="00821CEE">
        <w:rPr>
          <w:bCs/>
        </w:rPr>
        <w:t>M0</w:t>
      </w:r>
      <w:r w:rsidRPr="00821CEE">
        <w:t>4</w:t>
      </w:r>
      <w:r>
        <w:t>.1 PRP 2014–20</w:t>
      </w:r>
      <w:r w:rsidR="00172BB8">
        <w:t xml:space="preserve">20, iz katerega je razvidno, da </w:t>
      </w:r>
      <w:r>
        <w:t xml:space="preserve">naložbe v kmetijska </w:t>
      </w:r>
      <w:r w:rsidR="00172BB8">
        <w:t>gospodarstva</w:t>
      </w:r>
      <w:r>
        <w:t xml:space="preserve"> gravitirajo na vzhod</w:t>
      </w:r>
      <w:r w:rsidR="00172BB8">
        <w:t>ni del</w:t>
      </w:r>
      <w:r>
        <w:t xml:space="preserve"> države</w:t>
      </w:r>
      <w:r w:rsidR="000B4C41">
        <w:t xml:space="preserve">. </w:t>
      </w:r>
    </w:p>
    <w:p w14:paraId="7380FA47" w14:textId="77777777" w:rsidR="00124161" w:rsidRDefault="00124161" w:rsidP="007613FE">
      <w:pPr>
        <w:pStyle w:val="Odstavek1"/>
      </w:pPr>
    </w:p>
    <w:p w14:paraId="360E6C7B" w14:textId="379F7021" w:rsidR="00124161" w:rsidRDefault="000429A3" w:rsidP="00304C05">
      <w:pPr>
        <w:pStyle w:val="SCSlika0"/>
      </w:pPr>
      <w:bookmarkStart w:id="3071" w:name="_Toc86822713"/>
      <w:r w:rsidRPr="00AC0C12">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41</w:t>
      </w:r>
      <w:r w:rsidR="00072AFA">
        <w:rPr>
          <w:noProof/>
        </w:rPr>
        <w:fldChar w:fldCharType="end"/>
      </w:r>
      <w:r w:rsidR="00124161" w:rsidRPr="00AC0C12">
        <w:t>:</w:t>
      </w:r>
      <w:r w:rsidR="00124161">
        <w:t xml:space="preserve"> Lokacija naložb na KMG v okviru podukrepa </w:t>
      </w:r>
      <w:r w:rsidR="00821CEE" w:rsidRPr="00821CEE">
        <w:rPr>
          <w:bCs/>
        </w:rPr>
        <w:t>M0</w:t>
      </w:r>
      <w:r w:rsidR="00124161" w:rsidRPr="00821CEE">
        <w:t>4</w:t>
      </w:r>
      <w:r w:rsidR="00124161">
        <w:t>.1 PRP 2014–2020</w:t>
      </w:r>
      <w:bookmarkEnd w:id="3071"/>
    </w:p>
    <w:p w14:paraId="626479BB" w14:textId="77777777" w:rsidR="00124161" w:rsidRDefault="00124161" w:rsidP="00304C05">
      <w:pPr>
        <w:jc w:val="left"/>
      </w:pPr>
      <w:r>
        <w:rPr>
          <w:noProof/>
          <w:lang w:eastAsia="sl-SI"/>
        </w:rPr>
        <w:drawing>
          <wp:inline distT="0" distB="0" distL="0" distR="0" wp14:anchorId="3F91E176" wp14:editId="5A8339CB">
            <wp:extent cx="3398520" cy="2403538"/>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kacije_nalozbe_4-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07300" cy="2409747"/>
                    </a:xfrm>
                    <a:prstGeom prst="rect">
                      <a:avLst/>
                    </a:prstGeom>
                  </pic:spPr>
                </pic:pic>
              </a:graphicData>
            </a:graphic>
          </wp:inline>
        </w:drawing>
      </w:r>
    </w:p>
    <w:p w14:paraId="439EECF9" w14:textId="77777777" w:rsidR="00124161" w:rsidRPr="00172BB8" w:rsidRDefault="00124161" w:rsidP="009F3567">
      <w:pPr>
        <w:pStyle w:val="Default"/>
        <w:spacing w:line="276" w:lineRule="auto"/>
        <w:jc w:val="both"/>
        <w:rPr>
          <w:rFonts w:ascii="Arial" w:hAnsi="Arial" w:cs="Arial"/>
          <w:sz w:val="16"/>
          <w:szCs w:val="20"/>
        </w:rPr>
      </w:pPr>
      <w:r w:rsidRPr="00172BB8">
        <w:rPr>
          <w:rFonts w:ascii="Arial" w:hAnsi="Arial" w:cs="Arial"/>
          <w:sz w:val="16"/>
          <w:szCs w:val="20"/>
        </w:rPr>
        <w:t>Vir: MKGP</w:t>
      </w:r>
    </w:p>
    <w:p w14:paraId="42F5F7D4" w14:textId="77777777" w:rsidR="00124161" w:rsidRDefault="00124161" w:rsidP="007613FE">
      <w:pPr>
        <w:pStyle w:val="Odstavek1"/>
      </w:pPr>
    </w:p>
    <w:p w14:paraId="71316504" w14:textId="6AD231F7" w:rsidR="00124161" w:rsidRDefault="00172BB8" w:rsidP="007613FE">
      <w:pPr>
        <w:pStyle w:val="Odstavek1"/>
      </w:pPr>
      <w:r>
        <w:lastRenderedPageBreak/>
        <w:t>Prikaz lociranosti naložb na kmetijskih gospodarstvih v skupni vrednosti</w:t>
      </w:r>
      <w:r w:rsidR="0037317E">
        <w:rPr>
          <w:rStyle w:val="Sprotnaopomba-sklic"/>
        </w:rPr>
        <w:footnoteReference w:id="18"/>
      </w:r>
      <w:r>
        <w:t xml:space="preserve"> do 100.000 </w:t>
      </w:r>
      <w:r w:rsidR="00F2746C">
        <w:t>EUR</w:t>
      </w:r>
      <w:r>
        <w:t xml:space="preserve"> in nad 100.000 </w:t>
      </w:r>
      <w:r w:rsidR="00F2746C">
        <w:t>EUR</w:t>
      </w:r>
      <w:r>
        <w:t xml:space="preserve"> kaže, da večje naložbe gravitirajo na vzhodni del države, medtem ko so manjše naložbe razpršene. Na zahodnem in jugozahodnem delu države</w:t>
      </w:r>
      <w:r w:rsidR="0037317E">
        <w:t>,</w:t>
      </w:r>
      <w:r>
        <w:t xml:space="preserve"> </w:t>
      </w:r>
      <w:r w:rsidR="0037317E">
        <w:t xml:space="preserve">ki hkrati večinoma </w:t>
      </w:r>
      <w:r w:rsidR="004E7E63">
        <w:t xml:space="preserve">sodi </w:t>
      </w:r>
      <w:r w:rsidR="0037317E">
        <w:t xml:space="preserve">tudi </w:t>
      </w:r>
      <w:r w:rsidR="00863A21">
        <w:t xml:space="preserve">v </w:t>
      </w:r>
      <w:r w:rsidR="0037317E">
        <w:t xml:space="preserve">OMD, </w:t>
      </w:r>
      <w:r>
        <w:t>je razvidno večje število manjših naložb.</w:t>
      </w:r>
    </w:p>
    <w:p w14:paraId="0EFD44F7" w14:textId="77777777" w:rsidR="00172BB8" w:rsidRDefault="00172BB8" w:rsidP="007613FE">
      <w:pPr>
        <w:pStyle w:val="Odstavek1"/>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378"/>
      </w:tblGrid>
      <w:tr w:rsidR="00172BB8" w14:paraId="5F898B5C" w14:textId="77777777" w:rsidTr="00172BB8">
        <w:tc>
          <w:tcPr>
            <w:tcW w:w="4689" w:type="dxa"/>
          </w:tcPr>
          <w:p w14:paraId="254B6A9C" w14:textId="539946B5" w:rsidR="00172BB8" w:rsidRDefault="000429A3" w:rsidP="00304C05">
            <w:pPr>
              <w:pStyle w:val="SCSlika0"/>
            </w:pPr>
            <w:bookmarkStart w:id="3072" w:name="_Toc86822714"/>
            <w:r w:rsidRPr="000429A3">
              <w:t xml:space="preserve">Slika </w:t>
            </w:r>
            <w:r w:rsidRPr="000429A3">
              <w:fldChar w:fldCharType="begin"/>
            </w:r>
            <w:r w:rsidRPr="000429A3">
              <w:instrText xml:space="preserve"> SEQ Slika \* ARABIC </w:instrText>
            </w:r>
            <w:r w:rsidRPr="000429A3">
              <w:fldChar w:fldCharType="separate"/>
            </w:r>
            <w:r w:rsidR="0088117A">
              <w:rPr>
                <w:noProof/>
              </w:rPr>
              <w:t>42</w:t>
            </w:r>
            <w:r w:rsidRPr="000429A3">
              <w:fldChar w:fldCharType="end"/>
            </w:r>
            <w:r w:rsidR="00172BB8">
              <w:t xml:space="preserve">: Lokacija naložb iz podukrepa </w:t>
            </w:r>
            <w:r w:rsidR="007E3018">
              <w:t>M0</w:t>
            </w:r>
            <w:r w:rsidR="00172BB8">
              <w:t xml:space="preserve">4.1 v skupni višini do 100.000 </w:t>
            </w:r>
            <w:r w:rsidR="007E3018">
              <w:t>EUR</w:t>
            </w:r>
            <w:bookmarkEnd w:id="3072"/>
          </w:p>
        </w:tc>
        <w:tc>
          <w:tcPr>
            <w:tcW w:w="4373" w:type="dxa"/>
          </w:tcPr>
          <w:p w14:paraId="5945A2F6" w14:textId="42E87321" w:rsidR="00172BB8" w:rsidRDefault="000429A3" w:rsidP="00304C05">
            <w:pPr>
              <w:pStyle w:val="SCSlika0"/>
            </w:pPr>
            <w:bookmarkStart w:id="3073" w:name="_Toc86822715"/>
            <w:r w:rsidRPr="000429A3">
              <w:t xml:space="preserve">Slika </w:t>
            </w:r>
            <w:r w:rsidRPr="000429A3">
              <w:fldChar w:fldCharType="begin"/>
            </w:r>
            <w:r w:rsidRPr="000429A3">
              <w:instrText xml:space="preserve"> SEQ Slika \* ARABIC </w:instrText>
            </w:r>
            <w:r w:rsidRPr="000429A3">
              <w:fldChar w:fldCharType="separate"/>
            </w:r>
            <w:r w:rsidR="0088117A">
              <w:rPr>
                <w:noProof/>
              </w:rPr>
              <w:t>43</w:t>
            </w:r>
            <w:r w:rsidRPr="000429A3">
              <w:fldChar w:fldCharType="end"/>
            </w:r>
            <w:r w:rsidR="00172BB8" w:rsidRPr="000429A3">
              <w:t>:</w:t>
            </w:r>
            <w:r w:rsidR="00172BB8">
              <w:t xml:space="preserve"> Lokacija naložb iz podukrepa </w:t>
            </w:r>
            <w:r w:rsidR="007E3018">
              <w:t>M0</w:t>
            </w:r>
            <w:r w:rsidR="00172BB8">
              <w:t xml:space="preserve">4.1 v skupni višini  nad 100.000 </w:t>
            </w:r>
            <w:r w:rsidR="007E3018">
              <w:t>EUR</w:t>
            </w:r>
            <w:bookmarkEnd w:id="3073"/>
          </w:p>
        </w:tc>
      </w:tr>
      <w:tr w:rsidR="00172BB8" w14:paraId="56BD09D2" w14:textId="77777777" w:rsidTr="00172BB8">
        <w:tc>
          <w:tcPr>
            <w:tcW w:w="4689" w:type="dxa"/>
          </w:tcPr>
          <w:p w14:paraId="3AB43A04" w14:textId="77777777" w:rsidR="00172BB8" w:rsidRPr="00172BB8" w:rsidRDefault="00172BB8" w:rsidP="00172BB8">
            <w:pPr>
              <w:pStyle w:val="Default"/>
              <w:spacing w:line="276" w:lineRule="auto"/>
              <w:rPr>
                <w:rFonts w:ascii="Arial" w:hAnsi="Arial" w:cs="Arial"/>
                <w:sz w:val="16"/>
                <w:szCs w:val="20"/>
              </w:rPr>
            </w:pPr>
            <w:r w:rsidRPr="00172BB8">
              <w:rPr>
                <w:rFonts w:ascii="Arial" w:hAnsi="Arial" w:cs="Arial"/>
                <w:noProof/>
                <w:sz w:val="16"/>
                <w:szCs w:val="20"/>
                <w:lang w:eastAsia="sl-SI"/>
              </w:rPr>
              <w:drawing>
                <wp:inline distT="0" distB="0" distL="0" distR="0" wp14:anchorId="774CF6FC" wp14:editId="5EAC245F">
                  <wp:extent cx="3016835" cy="21336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kacije_nalozbe_4-1_manj_kot_100000EUR.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21370" cy="2136807"/>
                          </a:xfrm>
                          <a:prstGeom prst="rect">
                            <a:avLst/>
                          </a:prstGeom>
                        </pic:spPr>
                      </pic:pic>
                    </a:graphicData>
                  </a:graphic>
                </wp:inline>
              </w:drawing>
            </w:r>
          </w:p>
        </w:tc>
        <w:tc>
          <w:tcPr>
            <w:tcW w:w="4373" w:type="dxa"/>
          </w:tcPr>
          <w:p w14:paraId="2F226D04" w14:textId="77777777" w:rsidR="00172BB8" w:rsidRDefault="00172BB8" w:rsidP="009F3567">
            <w:pPr>
              <w:pStyle w:val="Default"/>
              <w:spacing w:line="276" w:lineRule="auto"/>
              <w:jc w:val="both"/>
              <w:rPr>
                <w:rFonts w:ascii="Arial" w:hAnsi="Arial" w:cs="Arial"/>
                <w:sz w:val="20"/>
                <w:szCs w:val="20"/>
              </w:rPr>
            </w:pPr>
            <w:r>
              <w:rPr>
                <w:rFonts w:ascii="Arial" w:hAnsi="Arial" w:cs="Arial"/>
                <w:noProof/>
                <w:sz w:val="20"/>
                <w:szCs w:val="20"/>
                <w:lang w:eastAsia="sl-SI"/>
              </w:rPr>
              <w:drawing>
                <wp:inline distT="0" distB="0" distL="0" distR="0" wp14:anchorId="0CFC300C" wp14:editId="41CC068A">
                  <wp:extent cx="2803784" cy="2148167"/>
                  <wp:effectExtent l="0" t="0" r="0" b="50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kacije_nalozbe_4-1_več_kot_100000EUR.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13930" cy="2155940"/>
                          </a:xfrm>
                          <a:prstGeom prst="rect">
                            <a:avLst/>
                          </a:prstGeom>
                        </pic:spPr>
                      </pic:pic>
                    </a:graphicData>
                  </a:graphic>
                </wp:inline>
              </w:drawing>
            </w:r>
          </w:p>
        </w:tc>
      </w:tr>
      <w:tr w:rsidR="00172BB8" w14:paraId="7273BA5F" w14:textId="77777777" w:rsidTr="00172BB8">
        <w:tc>
          <w:tcPr>
            <w:tcW w:w="4689" w:type="dxa"/>
          </w:tcPr>
          <w:p w14:paraId="2D2E8F30" w14:textId="77777777" w:rsidR="00172BB8" w:rsidRPr="00172BB8" w:rsidRDefault="00172BB8" w:rsidP="00172BB8">
            <w:pPr>
              <w:pStyle w:val="Default"/>
              <w:spacing w:line="276" w:lineRule="auto"/>
              <w:jc w:val="both"/>
              <w:rPr>
                <w:rFonts w:ascii="Arial" w:hAnsi="Arial" w:cs="Arial"/>
                <w:sz w:val="16"/>
                <w:szCs w:val="20"/>
              </w:rPr>
            </w:pPr>
            <w:r w:rsidRPr="00172BB8">
              <w:rPr>
                <w:rFonts w:ascii="Arial" w:hAnsi="Arial" w:cs="Arial"/>
                <w:sz w:val="16"/>
                <w:szCs w:val="20"/>
              </w:rPr>
              <w:t>Vir: MKGP</w:t>
            </w:r>
          </w:p>
        </w:tc>
        <w:tc>
          <w:tcPr>
            <w:tcW w:w="4373" w:type="dxa"/>
          </w:tcPr>
          <w:p w14:paraId="6E37EC5E" w14:textId="77777777" w:rsidR="00172BB8" w:rsidRDefault="00172BB8" w:rsidP="00172BB8">
            <w:pPr>
              <w:pStyle w:val="Default"/>
              <w:spacing w:line="276" w:lineRule="auto"/>
              <w:jc w:val="both"/>
              <w:rPr>
                <w:rFonts w:ascii="Arial" w:hAnsi="Arial" w:cs="Arial"/>
                <w:sz w:val="20"/>
                <w:szCs w:val="20"/>
              </w:rPr>
            </w:pPr>
            <w:r w:rsidRPr="00172BB8">
              <w:rPr>
                <w:rFonts w:ascii="Arial" w:hAnsi="Arial" w:cs="Arial"/>
                <w:sz w:val="16"/>
                <w:szCs w:val="20"/>
              </w:rPr>
              <w:t>Vir: MKGP</w:t>
            </w:r>
          </w:p>
        </w:tc>
      </w:tr>
    </w:tbl>
    <w:p w14:paraId="5CC1C1D3" w14:textId="77777777" w:rsidR="00172BB8" w:rsidRPr="00124161" w:rsidRDefault="00172BB8" w:rsidP="007613FE">
      <w:pPr>
        <w:pStyle w:val="Odstavek1"/>
      </w:pPr>
    </w:p>
    <w:p w14:paraId="1035AA79" w14:textId="3603E51D" w:rsidR="00124161" w:rsidRDefault="00056F93" w:rsidP="007613FE">
      <w:pPr>
        <w:pStyle w:val="Odstavek1"/>
        <w:rPr>
          <w:bCs/>
        </w:rPr>
      </w:pPr>
      <w:r>
        <w:rPr>
          <w:bCs/>
        </w:rPr>
        <w:t>Prikaz g</w:t>
      </w:r>
      <w:r w:rsidRPr="00056F93">
        <w:rPr>
          <w:bCs/>
        </w:rPr>
        <w:t>ostot</w:t>
      </w:r>
      <w:r>
        <w:rPr>
          <w:bCs/>
        </w:rPr>
        <w:t>e</w:t>
      </w:r>
      <w:r w:rsidRPr="00056F93">
        <w:rPr>
          <w:bCs/>
        </w:rPr>
        <w:t xml:space="preserve"> vseh naložb glede na vrednost celotne naložbe </w:t>
      </w:r>
      <w:r>
        <w:rPr>
          <w:bCs/>
        </w:rPr>
        <w:t xml:space="preserve">(z vključenim </w:t>
      </w:r>
      <w:r w:rsidRPr="00056F93">
        <w:rPr>
          <w:bCs/>
        </w:rPr>
        <w:t>DDV</w:t>
      </w:r>
      <w:r>
        <w:rPr>
          <w:bCs/>
        </w:rPr>
        <w:t xml:space="preserve">) nam pokaže, kje so po vrednosti največja kapitalska vlaganja in kam tudi gre posledično največji del dodeljenih nepovratnih podpor. </w:t>
      </w:r>
      <w:r w:rsidR="00A36DE8">
        <w:rPr>
          <w:bCs/>
        </w:rPr>
        <w:t>N</w:t>
      </w:r>
      <w:r>
        <w:rPr>
          <w:bCs/>
        </w:rPr>
        <w:t>ajbolj intenzivna kapitalska vlaganja koncentrirana v severovzhodnem delu države, manjša zgostitev je tudi v celjski kotlini</w:t>
      </w:r>
      <w:r w:rsidR="00A36DE8">
        <w:rPr>
          <w:bCs/>
        </w:rPr>
        <w:t xml:space="preserve"> (</w:t>
      </w:r>
      <w:r w:rsidR="00A36DE8">
        <w:rPr>
          <w:bCs/>
        </w:rPr>
        <w:fldChar w:fldCharType="begin"/>
      </w:r>
      <w:r w:rsidR="00A36DE8">
        <w:rPr>
          <w:bCs/>
        </w:rPr>
        <w:instrText xml:space="preserve"> REF _Ref54899867 \h  \* MERGEFORMAT </w:instrText>
      </w:r>
      <w:r w:rsidR="00A36DE8">
        <w:rPr>
          <w:bCs/>
        </w:rPr>
      </w:r>
      <w:r w:rsidR="00A36DE8">
        <w:rPr>
          <w:bCs/>
        </w:rPr>
        <w:fldChar w:fldCharType="separate"/>
      </w:r>
      <w:r w:rsidR="0088117A" w:rsidRPr="000429A3">
        <w:t xml:space="preserve">Slika </w:t>
      </w:r>
      <w:r w:rsidR="0088117A">
        <w:rPr>
          <w:noProof/>
        </w:rPr>
        <w:t>44</w:t>
      </w:r>
      <w:r w:rsidR="00A36DE8">
        <w:rPr>
          <w:bCs/>
        </w:rPr>
        <w:fldChar w:fldCharType="end"/>
      </w:r>
      <w:r w:rsidR="00A36DE8">
        <w:rPr>
          <w:bCs/>
        </w:rPr>
        <w:t>)</w:t>
      </w:r>
      <w:r>
        <w:rPr>
          <w:bCs/>
        </w:rPr>
        <w:t xml:space="preserve">. Pomembno je tudi izpostaviti, da so po vrednosti najintenzivnejša vlaganja skoncentrirana izven hribovsko-gorskega območja. To napotuje k temu, da so kmetije s hribovsko-gorskih območij </w:t>
      </w:r>
      <w:r w:rsidR="00F3505A">
        <w:rPr>
          <w:bCs/>
        </w:rPr>
        <w:t xml:space="preserve">zaradi nižje konkurenčnosti </w:t>
      </w:r>
      <w:r>
        <w:rPr>
          <w:bCs/>
        </w:rPr>
        <w:t xml:space="preserve">kapitalsko </w:t>
      </w:r>
      <w:r w:rsidR="00F3505A">
        <w:rPr>
          <w:bCs/>
        </w:rPr>
        <w:t>šibkejš</w:t>
      </w:r>
      <w:r w:rsidR="00AC0C12">
        <w:rPr>
          <w:bCs/>
        </w:rPr>
        <w:t>e</w:t>
      </w:r>
      <w:r w:rsidR="00F3505A">
        <w:rPr>
          <w:bCs/>
        </w:rPr>
        <w:t xml:space="preserve"> in posledično ne zmorejo tako intenzivnih vlaganj</w:t>
      </w:r>
      <w:r>
        <w:rPr>
          <w:bCs/>
        </w:rPr>
        <w:t xml:space="preserve">. </w:t>
      </w:r>
    </w:p>
    <w:p w14:paraId="75D9B03B" w14:textId="77777777" w:rsidR="00056F93" w:rsidRDefault="00056F93" w:rsidP="007613FE">
      <w:pPr>
        <w:pStyle w:val="Odstavek1"/>
        <w:rPr>
          <w:bCs/>
        </w:rPr>
      </w:pPr>
    </w:p>
    <w:p w14:paraId="3B4AC431" w14:textId="1850A579" w:rsidR="00056F93" w:rsidRDefault="000429A3" w:rsidP="00304C05">
      <w:pPr>
        <w:pStyle w:val="SCSlika0"/>
      </w:pPr>
      <w:bookmarkStart w:id="3074" w:name="_Ref54899867"/>
      <w:bookmarkStart w:id="3075" w:name="_Toc86822716"/>
      <w:r w:rsidRPr="000429A3">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44</w:t>
      </w:r>
      <w:r w:rsidR="00072AFA">
        <w:rPr>
          <w:noProof/>
        </w:rPr>
        <w:fldChar w:fldCharType="end"/>
      </w:r>
      <w:bookmarkEnd w:id="3074"/>
      <w:r w:rsidR="00056F93" w:rsidRPr="000429A3">
        <w:t>:</w:t>
      </w:r>
      <w:r w:rsidR="00056F93">
        <w:t xml:space="preserve"> Prikaz g</w:t>
      </w:r>
      <w:r w:rsidR="00056F93" w:rsidRPr="00056F93">
        <w:t>ostot</w:t>
      </w:r>
      <w:r w:rsidR="00056F93">
        <w:t>e</w:t>
      </w:r>
      <w:r w:rsidR="00056F93" w:rsidRPr="00056F93">
        <w:t xml:space="preserve"> naložb</w:t>
      </w:r>
      <w:r w:rsidR="00056F93">
        <w:t xml:space="preserve"> iz podukrepa </w:t>
      </w:r>
      <w:r w:rsidR="00821CEE">
        <w:t>M0</w:t>
      </w:r>
      <w:r w:rsidR="00056F93">
        <w:t>4.1</w:t>
      </w:r>
      <w:r w:rsidR="00056F93" w:rsidRPr="00056F93">
        <w:t xml:space="preserve"> glede na vrednost celotne naložbe </w:t>
      </w:r>
      <w:r w:rsidR="00056F93">
        <w:t xml:space="preserve">(z vključenim </w:t>
      </w:r>
      <w:r w:rsidR="00056F93" w:rsidRPr="00056F93">
        <w:t>DDV</w:t>
      </w:r>
      <w:r w:rsidR="00056F93">
        <w:t>)</w:t>
      </w:r>
      <w:bookmarkEnd w:id="3075"/>
    </w:p>
    <w:p w14:paraId="3E554FE9" w14:textId="77777777" w:rsidR="00056F93" w:rsidRPr="00056F93" w:rsidRDefault="00056F93" w:rsidP="009F3567">
      <w:pPr>
        <w:pStyle w:val="Default"/>
        <w:spacing w:line="276" w:lineRule="auto"/>
        <w:jc w:val="both"/>
        <w:rPr>
          <w:rFonts w:ascii="Arial" w:hAnsi="Arial" w:cs="Arial"/>
          <w:sz w:val="20"/>
          <w:szCs w:val="20"/>
        </w:rPr>
      </w:pPr>
      <w:r>
        <w:rPr>
          <w:rFonts w:ascii="Arial" w:hAnsi="Arial" w:cs="Arial"/>
          <w:noProof/>
          <w:sz w:val="20"/>
          <w:szCs w:val="20"/>
          <w:lang w:eastAsia="sl-SI"/>
        </w:rPr>
        <w:drawing>
          <wp:inline distT="0" distB="0" distL="0" distR="0" wp14:anchorId="4B23AF3A" wp14:editId="33062EC5">
            <wp:extent cx="3268980" cy="2311924"/>
            <wp:effectExtent l="0" t="0" r="762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stota_nalozbe_4-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74715" cy="2315980"/>
                    </a:xfrm>
                    <a:prstGeom prst="rect">
                      <a:avLst/>
                    </a:prstGeom>
                  </pic:spPr>
                </pic:pic>
              </a:graphicData>
            </a:graphic>
          </wp:inline>
        </w:drawing>
      </w:r>
    </w:p>
    <w:p w14:paraId="69E77BC1" w14:textId="77777777" w:rsidR="00124161" w:rsidRDefault="00124161" w:rsidP="007613FE">
      <w:pPr>
        <w:pStyle w:val="Odstavek1"/>
      </w:pPr>
    </w:p>
    <w:p w14:paraId="7EF97CFF" w14:textId="4E25E03C" w:rsidR="00124161" w:rsidRDefault="00F3505A" w:rsidP="007613FE">
      <w:pPr>
        <w:pStyle w:val="Odstavek1"/>
      </w:pPr>
      <w:r w:rsidRPr="00F3505A">
        <w:lastRenderedPageBreak/>
        <w:t>Če k</w:t>
      </w:r>
      <w:r>
        <w:t xml:space="preserve"> analizi gostote vseh naložb</w:t>
      </w:r>
      <w:r w:rsidR="00097725">
        <w:t xml:space="preserve"> na KMG </w:t>
      </w:r>
      <w:r>
        <w:t>glede na vrednost celotne naložbe (z vključenim DDV)</w:t>
      </w:r>
      <w:r w:rsidR="00097725">
        <w:t xml:space="preserve"> iz podukrepa </w:t>
      </w:r>
      <w:r w:rsidR="00821CEE">
        <w:t>M0</w:t>
      </w:r>
      <w:r w:rsidR="00097725">
        <w:t xml:space="preserve">4.1 </w:t>
      </w:r>
      <w:r>
        <w:t xml:space="preserve">dodamo še podatek za tip </w:t>
      </w:r>
      <w:r w:rsidRPr="00F3505A">
        <w:rPr>
          <w:i/>
        </w:rPr>
        <w:t>proizvodnje mleko / govedoreja (krave molznice)</w:t>
      </w:r>
      <w:r>
        <w:rPr>
          <w:i/>
        </w:rPr>
        <w:t xml:space="preserve">, </w:t>
      </w:r>
      <w:r>
        <w:t>lahko ugotovimo</w:t>
      </w:r>
      <w:r w:rsidR="00097725">
        <w:t xml:space="preserve">, da so glede na vrednost </w:t>
      </w:r>
      <w:r w:rsidR="00AC0C12">
        <w:t xml:space="preserve">(volumen) </w:t>
      </w:r>
      <w:r w:rsidR="00097725">
        <w:t>te naložbe skoncentrirane v severovzhodn</w:t>
      </w:r>
      <w:r w:rsidR="00367511">
        <w:t>em</w:t>
      </w:r>
      <w:r w:rsidR="00097725">
        <w:t xml:space="preserve"> del</w:t>
      </w:r>
      <w:r w:rsidR="00367511">
        <w:t>u</w:t>
      </w:r>
      <w:r w:rsidR="00097725">
        <w:t xml:space="preserve"> države, zlasti na štajerskem in celjskem območju. To pa je nekoliko presenetljivo, ker je po drugi strani glavnina </w:t>
      </w:r>
      <w:r w:rsidR="00367511">
        <w:t xml:space="preserve">proizvodnje </w:t>
      </w:r>
      <w:r w:rsidR="00097725">
        <w:t>mleka skoncentrirana na Gorenjskem.</w:t>
      </w:r>
      <w:r>
        <w:t xml:space="preserve"> </w:t>
      </w:r>
      <w:r w:rsidR="000B4C41">
        <w:t xml:space="preserve"> </w:t>
      </w:r>
    </w:p>
    <w:p w14:paraId="1E182ECC" w14:textId="77777777" w:rsidR="00A36DE8" w:rsidRDefault="00A36DE8" w:rsidP="007613FE">
      <w:pPr>
        <w:pStyle w:val="Odstavek1"/>
      </w:pPr>
    </w:p>
    <w:p w14:paraId="443D4CBB" w14:textId="77777777" w:rsidR="00F3505A" w:rsidRDefault="00F3505A" w:rsidP="007613FE">
      <w:pPr>
        <w:pStyle w:val="Odstavek1"/>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20"/>
      </w:tblGrid>
      <w:tr w:rsidR="00097725" w14:paraId="546C469B" w14:textId="77777777" w:rsidTr="006249A0">
        <w:trPr>
          <w:trHeight w:val="899"/>
        </w:trPr>
        <w:tc>
          <w:tcPr>
            <w:tcW w:w="4689" w:type="dxa"/>
          </w:tcPr>
          <w:p w14:paraId="7EB572C7" w14:textId="3AE3883A" w:rsidR="00F3505A" w:rsidRDefault="000429A3" w:rsidP="00304C05">
            <w:pPr>
              <w:pStyle w:val="SCSlika0"/>
            </w:pPr>
            <w:bookmarkStart w:id="3076" w:name="_Toc86822717"/>
            <w:r w:rsidRPr="000429A3">
              <w:t xml:space="preserve">Slika </w:t>
            </w:r>
            <w:r w:rsidRPr="000429A3">
              <w:fldChar w:fldCharType="begin"/>
            </w:r>
            <w:r w:rsidRPr="000429A3">
              <w:instrText xml:space="preserve"> SEQ Slika \* ARABIC </w:instrText>
            </w:r>
            <w:r w:rsidRPr="000429A3">
              <w:fldChar w:fldCharType="separate"/>
            </w:r>
            <w:r w:rsidR="0088117A">
              <w:rPr>
                <w:noProof/>
              </w:rPr>
              <w:t>45</w:t>
            </w:r>
            <w:r w:rsidRPr="000429A3">
              <w:fldChar w:fldCharType="end"/>
            </w:r>
            <w:r w:rsidR="00F3505A" w:rsidRPr="00097725">
              <w:t xml:space="preserve">: </w:t>
            </w:r>
            <w:r w:rsidR="00097725" w:rsidRPr="00097725">
              <w:rPr>
                <w:rFonts w:eastAsiaTheme="minorHAnsi"/>
              </w:rPr>
              <w:t xml:space="preserve">Gostota vseh naložb glede na vrednost celotne naložbe za tip proizvodnje: </w:t>
            </w:r>
            <w:r w:rsidR="00097725" w:rsidRPr="00097725">
              <w:rPr>
                <w:rFonts w:eastAsiaTheme="minorHAnsi"/>
                <w:i/>
                <w:u w:val="single"/>
              </w:rPr>
              <w:t>Mleko - govedoreja: krave molznice</w:t>
            </w:r>
            <w:bookmarkEnd w:id="3076"/>
          </w:p>
        </w:tc>
        <w:tc>
          <w:tcPr>
            <w:tcW w:w="4373" w:type="dxa"/>
          </w:tcPr>
          <w:p w14:paraId="12013C20" w14:textId="1A851E61" w:rsidR="00F3505A" w:rsidRDefault="000429A3" w:rsidP="00304C05">
            <w:pPr>
              <w:pStyle w:val="SCSlika0"/>
            </w:pPr>
            <w:bookmarkStart w:id="3077" w:name="_Toc86822718"/>
            <w:r w:rsidRPr="000429A3">
              <w:t xml:space="preserve">Slika </w:t>
            </w:r>
            <w:r w:rsidRPr="000429A3">
              <w:fldChar w:fldCharType="begin"/>
            </w:r>
            <w:r w:rsidRPr="000429A3">
              <w:instrText xml:space="preserve"> SEQ Slika \* ARABIC </w:instrText>
            </w:r>
            <w:r w:rsidRPr="000429A3">
              <w:fldChar w:fldCharType="separate"/>
            </w:r>
            <w:r w:rsidR="0088117A">
              <w:rPr>
                <w:noProof/>
              </w:rPr>
              <w:t>46</w:t>
            </w:r>
            <w:r w:rsidRPr="000429A3">
              <w:fldChar w:fldCharType="end"/>
            </w:r>
            <w:r w:rsidRPr="00097725">
              <w:t xml:space="preserve">: </w:t>
            </w:r>
            <w:r w:rsidR="00097725" w:rsidRPr="00097725">
              <w:rPr>
                <w:rFonts w:eastAsiaTheme="minorHAnsi"/>
                <w:lang w:eastAsia="en-US"/>
              </w:rPr>
              <w:t>Gostota oddaje in p</w:t>
            </w:r>
            <w:r w:rsidR="00097725">
              <w:rPr>
                <w:rFonts w:eastAsiaTheme="minorHAnsi"/>
                <w:lang w:eastAsia="en-US"/>
              </w:rPr>
              <w:t xml:space="preserve">rodaje mleka v </w:t>
            </w:r>
            <w:r w:rsidR="007E3018">
              <w:rPr>
                <w:rFonts w:eastAsiaTheme="minorHAnsi"/>
                <w:lang w:eastAsia="en-US"/>
              </w:rPr>
              <w:t>kg</w:t>
            </w:r>
            <w:r w:rsidR="00097725">
              <w:rPr>
                <w:rFonts w:eastAsiaTheme="minorHAnsi"/>
                <w:lang w:eastAsia="en-US"/>
              </w:rPr>
              <w:t xml:space="preserve"> za leto 2019</w:t>
            </w:r>
            <w:bookmarkEnd w:id="3077"/>
          </w:p>
        </w:tc>
      </w:tr>
      <w:tr w:rsidR="00A36DE8" w14:paraId="5933A594" w14:textId="77777777" w:rsidTr="000429A3">
        <w:trPr>
          <w:trHeight w:val="783"/>
        </w:trPr>
        <w:tc>
          <w:tcPr>
            <w:tcW w:w="4689" w:type="dxa"/>
          </w:tcPr>
          <w:p w14:paraId="3529B88E" w14:textId="5201746E" w:rsidR="00A36DE8" w:rsidRPr="000429A3" w:rsidRDefault="00A36DE8" w:rsidP="007613FE">
            <w:pPr>
              <w:pStyle w:val="Odstavek1"/>
            </w:pPr>
            <w:r>
              <w:rPr>
                <w:noProof/>
                <w:sz w:val="16"/>
                <w:lang w:eastAsia="sl-SI"/>
              </w:rPr>
              <w:drawing>
                <wp:inline distT="0" distB="0" distL="0" distR="0" wp14:anchorId="1CDC7FCC" wp14:editId="521F74CC">
                  <wp:extent cx="2919867" cy="2065020"/>
                  <wp:effectExtent l="0" t="0" r="0" b="0"/>
                  <wp:docPr id="1631865565" name="Slika 163186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stota_nalozbe_4-1_Mleko - govedoreja krave molznice.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25769" cy="2069194"/>
                          </a:xfrm>
                          <a:prstGeom prst="rect">
                            <a:avLst/>
                          </a:prstGeom>
                        </pic:spPr>
                      </pic:pic>
                    </a:graphicData>
                  </a:graphic>
                </wp:inline>
              </w:drawing>
            </w:r>
          </w:p>
        </w:tc>
        <w:tc>
          <w:tcPr>
            <w:tcW w:w="4373" w:type="dxa"/>
          </w:tcPr>
          <w:p w14:paraId="1C99F408" w14:textId="6183740B" w:rsidR="00A36DE8" w:rsidRPr="000429A3" w:rsidRDefault="00A36DE8" w:rsidP="007613FE">
            <w:pPr>
              <w:pStyle w:val="Odstavek1"/>
            </w:pPr>
            <w:r>
              <w:rPr>
                <w:noProof/>
                <w:lang w:eastAsia="sl-SI"/>
              </w:rPr>
              <w:drawing>
                <wp:inline distT="0" distB="0" distL="0" distR="0" wp14:anchorId="0B07B5BF" wp14:editId="41D41B81">
                  <wp:extent cx="2898318" cy="2049780"/>
                  <wp:effectExtent l="0" t="0" r="0" b="7620"/>
                  <wp:docPr id="1631865566" name="Slika 163186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izvodnjaMleka2019_KG.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06326" cy="2055444"/>
                          </a:xfrm>
                          <a:prstGeom prst="rect">
                            <a:avLst/>
                          </a:prstGeom>
                        </pic:spPr>
                      </pic:pic>
                    </a:graphicData>
                  </a:graphic>
                </wp:inline>
              </w:drawing>
            </w:r>
          </w:p>
        </w:tc>
      </w:tr>
      <w:tr w:rsidR="00097725" w14:paraId="6F8236F0" w14:textId="77777777" w:rsidTr="000429A3">
        <w:tc>
          <w:tcPr>
            <w:tcW w:w="4689" w:type="dxa"/>
          </w:tcPr>
          <w:p w14:paraId="58DD7DE0" w14:textId="599AC3C1" w:rsidR="00F3505A" w:rsidRPr="00172BB8" w:rsidRDefault="00F3505A" w:rsidP="005B7D8D">
            <w:pPr>
              <w:pStyle w:val="Default"/>
              <w:spacing w:line="276" w:lineRule="auto"/>
              <w:rPr>
                <w:rFonts w:ascii="Arial" w:hAnsi="Arial" w:cs="Arial"/>
                <w:sz w:val="16"/>
                <w:szCs w:val="20"/>
              </w:rPr>
            </w:pPr>
          </w:p>
        </w:tc>
        <w:tc>
          <w:tcPr>
            <w:tcW w:w="4373" w:type="dxa"/>
          </w:tcPr>
          <w:p w14:paraId="4432E4D9" w14:textId="19351BB6" w:rsidR="00F3505A" w:rsidRDefault="00F3505A" w:rsidP="005B7D8D">
            <w:pPr>
              <w:pStyle w:val="Default"/>
              <w:spacing w:line="276" w:lineRule="auto"/>
              <w:jc w:val="both"/>
              <w:rPr>
                <w:rFonts w:ascii="Arial" w:hAnsi="Arial" w:cs="Arial"/>
                <w:sz w:val="20"/>
                <w:szCs w:val="20"/>
              </w:rPr>
            </w:pPr>
          </w:p>
        </w:tc>
      </w:tr>
      <w:tr w:rsidR="00097725" w14:paraId="4B135476" w14:textId="77777777" w:rsidTr="000429A3">
        <w:tc>
          <w:tcPr>
            <w:tcW w:w="4689" w:type="dxa"/>
          </w:tcPr>
          <w:p w14:paraId="71829AC8" w14:textId="77777777" w:rsidR="00F3505A" w:rsidRPr="00172BB8" w:rsidRDefault="00F3505A" w:rsidP="005B7D8D">
            <w:pPr>
              <w:pStyle w:val="Default"/>
              <w:spacing w:line="276" w:lineRule="auto"/>
              <w:jc w:val="both"/>
              <w:rPr>
                <w:rFonts w:ascii="Arial" w:hAnsi="Arial" w:cs="Arial"/>
                <w:sz w:val="16"/>
                <w:szCs w:val="20"/>
              </w:rPr>
            </w:pPr>
            <w:r w:rsidRPr="00172BB8">
              <w:rPr>
                <w:rFonts w:ascii="Arial" w:hAnsi="Arial" w:cs="Arial"/>
                <w:sz w:val="16"/>
                <w:szCs w:val="20"/>
              </w:rPr>
              <w:t>Vir: MKGP</w:t>
            </w:r>
          </w:p>
        </w:tc>
        <w:tc>
          <w:tcPr>
            <w:tcW w:w="4373" w:type="dxa"/>
          </w:tcPr>
          <w:p w14:paraId="3A78E5C4" w14:textId="77777777" w:rsidR="00F3505A" w:rsidRDefault="00097725" w:rsidP="005B7D8D">
            <w:pPr>
              <w:pStyle w:val="Default"/>
              <w:spacing w:line="276" w:lineRule="auto"/>
              <w:jc w:val="both"/>
              <w:rPr>
                <w:rFonts w:ascii="Arial" w:hAnsi="Arial" w:cs="Arial"/>
                <w:sz w:val="20"/>
                <w:szCs w:val="20"/>
              </w:rPr>
            </w:pPr>
            <w:r>
              <w:rPr>
                <w:rFonts w:ascii="Arial" w:hAnsi="Arial" w:cs="Arial"/>
                <w:sz w:val="16"/>
                <w:szCs w:val="20"/>
              </w:rPr>
              <w:t>Vir: ARSKTRP</w:t>
            </w:r>
          </w:p>
        </w:tc>
      </w:tr>
    </w:tbl>
    <w:p w14:paraId="3F9C1EEA" w14:textId="77777777" w:rsidR="00F3505A" w:rsidRPr="00F3505A" w:rsidRDefault="00F3505A" w:rsidP="007613FE">
      <w:pPr>
        <w:pStyle w:val="Odstavek1"/>
      </w:pPr>
    </w:p>
    <w:p w14:paraId="635ACDFF" w14:textId="77777777" w:rsidR="00124161" w:rsidRDefault="00124161" w:rsidP="007613FE">
      <w:pPr>
        <w:pStyle w:val="Odstavek1"/>
        <w:rPr>
          <w:b/>
        </w:rPr>
      </w:pPr>
    </w:p>
    <w:p w14:paraId="2D9DAB6B" w14:textId="1F10982A" w:rsidR="00754A51" w:rsidRPr="003016E0" w:rsidRDefault="00754A51" w:rsidP="005B2A49">
      <w:pPr>
        <w:pStyle w:val="Naslov2"/>
      </w:pPr>
      <w:bookmarkStart w:id="3078" w:name="_Toc86822558"/>
      <w:r w:rsidRPr="003016E0">
        <w:t>Analiza naložb v okviru podukrepa M</w:t>
      </w:r>
      <w:r w:rsidR="007E3018" w:rsidRPr="003016E0">
        <w:t>0</w:t>
      </w:r>
      <w:r w:rsidRPr="003016E0">
        <w:t xml:space="preserve">4.2 Podpora za naložbe v predelavo/trženje in/ali razvoj kmetijskih proizvodov </w:t>
      </w:r>
      <w:r w:rsidR="00A6739E">
        <w:t xml:space="preserve">PRP 2014–2020 </w:t>
      </w:r>
      <w:r w:rsidR="00367511" w:rsidRPr="003016E0">
        <w:t>glede na OM</w:t>
      </w:r>
      <w:r w:rsidR="00CA76EC" w:rsidRPr="003016E0">
        <w:t>D</w:t>
      </w:r>
      <w:r w:rsidR="00367511" w:rsidRPr="003016E0">
        <w:t xml:space="preserve"> </w:t>
      </w:r>
      <w:r w:rsidRPr="003016E0">
        <w:t>(stanje 30. 4. 2020)</w:t>
      </w:r>
      <w:bookmarkEnd w:id="3078"/>
    </w:p>
    <w:p w14:paraId="14C60469" w14:textId="77777777" w:rsidR="00376F0D" w:rsidRPr="001A32D7" w:rsidRDefault="00376F0D" w:rsidP="007613FE">
      <w:pPr>
        <w:pStyle w:val="Odstavek1"/>
        <w:rPr>
          <w:b/>
        </w:rPr>
      </w:pPr>
    </w:p>
    <w:p w14:paraId="0BA3F023" w14:textId="5558FA76" w:rsidR="00754A51" w:rsidRPr="00367511" w:rsidRDefault="00754A51" w:rsidP="007613FE">
      <w:pPr>
        <w:pStyle w:val="Odstavek1"/>
      </w:pPr>
      <w:r w:rsidRPr="00367511">
        <w:t>Analiza naložb v okviru podukrepa M</w:t>
      </w:r>
      <w:r w:rsidR="007E3018">
        <w:t>0</w:t>
      </w:r>
      <w:r w:rsidRPr="00367511">
        <w:t>4.2 Podpora za naložbe v predelavo/trženje in/ali razvoj kmetijskih proizvodov</w:t>
      </w:r>
      <w:r w:rsidRPr="00CA76EC">
        <w:t xml:space="preserve"> kaže, da je p</w:t>
      </w:r>
      <w:r w:rsidRPr="006573DD">
        <w:t xml:space="preserve">ovprečna </w:t>
      </w:r>
      <w:r w:rsidRPr="00367511">
        <w:t xml:space="preserve">vrednost podprtih naložb glede na OMD za skoraj 150 % višja na </w:t>
      </w:r>
      <w:r w:rsidR="004E7E63">
        <w:t xml:space="preserve">območjih izven </w:t>
      </w:r>
      <w:r w:rsidR="00367511" w:rsidRPr="00367511">
        <w:t xml:space="preserve">OMD </w:t>
      </w:r>
      <w:r w:rsidRPr="00367511">
        <w:t xml:space="preserve">(731.324 EUR) v primerjavi s povprečno vrednostjo podprtih naložb na </w:t>
      </w:r>
      <w:r w:rsidR="004E7E63">
        <w:t xml:space="preserve">OMD - </w:t>
      </w:r>
      <w:r w:rsidRPr="00367511">
        <w:t>gorsk</w:t>
      </w:r>
      <w:r w:rsidR="004E7E63">
        <w:t>a</w:t>
      </w:r>
      <w:r w:rsidRPr="00367511">
        <w:t xml:space="preserve"> območj</w:t>
      </w:r>
      <w:r w:rsidR="004E7E63">
        <w:t>a</w:t>
      </w:r>
      <w:r w:rsidRPr="00367511">
        <w:t xml:space="preserve"> (293.179 EUR).</w:t>
      </w:r>
      <w:r w:rsidR="007C7A48">
        <w:t xml:space="preserve">  </w:t>
      </w:r>
    </w:p>
    <w:p w14:paraId="2B4026D6" w14:textId="77777777" w:rsidR="00754A51" w:rsidRPr="00CA76EC" w:rsidRDefault="00754A51" w:rsidP="007613FE">
      <w:pPr>
        <w:pStyle w:val="Odstavek1"/>
      </w:pPr>
    </w:p>
    <w:p w14:paraId="571EBB74" w14:textId="0B52DF2E" w:rsidR="00754A51" w:rsidRPr="00367511" w:rsidRDefault="00D80E9A" w:rsidP="007613FE">
      <w:pPr>
        <w:pStyle w:val="Odstavek1"/>
      </w:pPr>
      <w:r w:rsidRPr="00D80E9A">
        <w:fldChar w:fldCharType="begin"/>
      </w:r>
      <w:r w:rsidRPr="00D80E9A">
        <w:instrText xml:space="preserve"> REF _Ref54899905 \h </w:instrText>
      </w:r>
      <w:r>
        <w:instrText xml:space="preserve"> \* MERGEFORMAT </w:instrText>
      </w:r>
      <w:r w:rsidRPr="00D80E9A">
        <w:fldChar w:fldCharType="separate"/>
      </w:r>
      <w:r w:rsidR="0088117A" w:rsidRPr="0088117A">
        <w:rPr>
          <w:szCs w:val="16"/>
        </w:rPr>
        <w:t>Tabela</w:t>
      </w:r>
      <w:r w:rsidR="0088117A" w:rsidRPr="0088117A">
        <w:rPr>
          <w:noProof/>
          <w:szCs w:val="16"/>
        </w:rPr>
        <w:t xml:space="preserve"> </w:t>
      </w:r>
      <w:r w:rsidR="0088117A">
        <w:rPr>
          <w:noProof/>
        </w:rPr>
        <w:t>7</w:t>
      </w:r>
      <w:r w:rsidRPr="00D80E9A">
        <w:fldChar w:fldCharType="end"/>
      </w:r>
      <w:r w:rsidRPr="00D80E9A">
        <w:t xml:space="preserve"> </w:t>
      </w:r>
      <w:r w:rsidR="00754A51" w:rsidRPr="00367511">
        <w:t xml:space="preserve">posebej </w:t>
      </w:r>
      <w:r w:rsidR="00A36DE8" w:rsidRPr="00367511">
        <w:t>izpostavlj</w:t>
      </w:r>
      <w:r w:rsidR="00A36DE8">
        <w:t>a</w:t>
      </w:r>
      <w:r w:rsidR="00A36DE8" w:rsidRPr="00367511">
        <w:t xml:space="preserve"> </w:t>
      </w:r>
      <w:r w:rsidR="00A36DE8">
        <w:t>kmetijsko pridelavo -</w:t>
      </w:r>
      <w:r w:rsidR="00754A51" w:rsidRPr="00367511">
        <w:t xml:space="preserve"> </w:t>
      </w:r>
      <w:r w:rsidR="00754A51" w:rsidRPr="00367511">
        <w:rPr>
          <w:i/>
        </w:rPr>
        <w:t>mleko</w:t>
      </w:r>
      <w:r w:rsidR="00754A51" w:rsidRPr="00367511">
        <w:t xml:space="preserve">, kjer je povprečna vrednost naložb na </w:t>
      </w:r>
      <w:r w:rsidR="004E7E63">
        <w:t xml:space="preserve">OMD - </w:t>
      </w:r>
      <w:r w:rsidR="00754A51" w:rsidRPr="00367511">
        <w:t>gorsk</w:t>
      </w:r>
      <w:r w:rsidR="004E7E63">
        <w:t>a</w:t>
      </w:r>
      <w:r w:rsidR="00754A51" w:rsidRPr="00367511">
        <w:t xml:space="preserve"> območj</w:t>
      </w:r>
      <w:r w:rsidR="004E7E63">
        <w:t>a</w:t>
      </w:r>
      <w:r w:rsidR="00754A51" w:rsidRPr="00367511">
        <w:t xml:space="preserve"> skoraj </w:t>
      </w:r>
      <w:r w:rsidR="007E3018">
        <w:t>petkrat</w:t>
      </w:r>
      <w:r w:rsidR="00754A51" w:rsidRPr="00367511">
        <w:t xml:space="preserve"> višja od tiste na </w:t>
      </w:r>
      <w:r w:rsidR="00E636E4">
        <w:t>območjih</w:t>
      </w:r>
      <w:r w:rsidR="004E7E63">
        <w:t xml:space="preserve"> izven OMD</w:t>
      </w:r>
      <w:r w:rsidR="00754A51" w:rsidRPr="00367511">
        <w:t xml:space="preserve"> </w:t>
      </w:r>
      <w:r w:rsidR="00863A21">
        <w:t xml:space="preserve">Nasprotna pa je </w:t>
      </w:r>
      <w:r w:rsidR="00197E9E">
        <w:t xml:space="preserve">razlika </w:t>
      </w:r>
      <w:r w:rsidR="000235C6">
        <w:t>pri</w:t>
      </w:r>
      <w:r w:rsidR="00197E9E">
        <w:t xml:space="preserve"> </w:t>
      </w:r>
      <w:r w:rsidR="00197E9E" w:rsidRPr="00797A13">
        <w:rPr>
          <w:i/>
        </w:rPr>
        <w:t>govej</w:t>
      </w:r>
      <w:r w:rsidR="000235C6" w:rsidRPr="00797A13">
        <w:rPr>
          <w:i/>
        </w:rPr>
        <w:t>e</w:t>
      </w:r>
      <w:r w:rsidR="00197E9E" w:rsidRPr="00797A13">
        <w:rPr>
          <w:i/>
        </w:rPr>
        <w:t>m mesu</w:t>
      </w:r>
      <w:r w:rsidR="00197E9E">
        <w:t xml:space="preserve">, </w:t>
      </w:r>
      <w:r w:rsidR="00754A51" w:rsidRPr="00367511">
        <w:t xml:space="preserve">kjer je povprečna vrednost naložb </w:t>
      </w:r>
      <w:r w:rsidR="004E7E63">
        <w:t>na OMD -</w:t>
      </w:r>
      <w:r w:rsidR="00197E9E" w:rsidRPr="00367511">
        <w:t xml:space="preserve"> gorsk</w:t>
      </w:r>
      <w:r w:rsidR="004E7E63">
        <w:t>a</w:t>
      </w:r>
      <w:r w:rsidR="00197E9E" w:rsidRPr="00367511">
        <w:t xml:space="preserve"> območj</w:t>
      </w:r>
      <w:r w:rsidR="004E7E63">
        <w:t>a</w:t>
      </w:r>
      <w:r w:rsidR="00754A51" w:rsidRPr="00367511">
        <w:t xml:space="preserve"> </w:t>
      </w:r>
      <w:r w:rsidR="00477D01">
        <w:t>še</w:t>
      </w:r>
      <w:r w:rsidR="000235C6">
        <w:t>s</w:t>
      </w:r>
      <w:r w:rsidR="00477D01">
        <w:t>tkrat</w:t>
      </w:r>
      <w:r w:rsidR="00754A51" w:rsidRPr="00367511">
        <w:t xml:space="preserve"> </w:t>
      </w:r>
      <w:r w:rsidR="00477D01">
        <w:t xml:space="preserve">nižja </w:t>
      </w:r>
      <w:r w:rsidR="00754A51" w:rsidRPr="00367511">
        <w:t xml:space="preserve">od </w:t>
      </w:r>
      <w:r w:rsidR="00477D01">
        <w:t>tiste</w:t>
      </w:r>
      <w:r w:rsidR="00754A51" w:rsidRPr="00367511">
        <w:t xml:space="preserve"> </w:t>
      </w:r>
      <w:r w:rsidR="00197E9E">
        <w:t>na območjih</w:t>
      </w:r>
      <w:r w:rsidR="004E7E63">
        <w:t xml:space="preserve"> izven OMD</w:t>
      </w:r>
      <w:r w:rsidR="002D53C7">
        <w:t>, pri čemer je število vlog med obem</w:t>
      </w:r>
      <w:r w:rsidR="000235C6">
        <w:t>a</w:t>
      </w:r>
      <w:r w:rsidR="002D53C7">
        <w:t xml:space="preserve"> območjema</w:t>
      </w:r>
      <w:r w:rsidR="00E636E4" w:rsidRPr="00E636E4">
        <w:t xml:space="preserve"> </w:t>
      </w:r>
      <w:r w:rsidR="00E636E4">
        <w:t xml:space="preserve">skoraj enako. </w:t>
      </w:r>
    </w:p>
    <w:p w14:paraId="510A3791" w14:textId="77777777" w:rsidR="00754A51" w:rsidRDefault="00754A51" w:rsidP="007613FE">
      <w:pPr>
        <w:pStyle w:val="Odstavek1"/>
      </w:pPr>
    </w:p>
    <w:p w14:paraId="10029B22" w14:textId="47D08049" w:rsidR="00754A51" w:rsidRPr="009F3567" w:rsidRDefault="00754A51" w:rsidP="00304C05">
      <w:pPr>
        <w:pStyle w:val="SCPreglednica"/>
      </w:pPr>
      <w:bookmarkStart w:id="3079" w:name="_Ref54899905"/>
      <w:bookmarkStart w:id="3080" w:name="_Toc86822645"/>
      <w:r w:rsidRPr="009F3567">
        <w:t xml:space="preserve">Tabela </w:t>
      </w:r>
      <w:r w:rsidR="00072AFA">
        <w:rPr>
          <w:noProof/>
        </w:rPr>
        <w:fldChar w:fldCharType="begin"/>
      </w:r>
      <w:r w:rsidR="00072AFA">
        <w:rPr>
          <w:noProof/>
        </w:rPr>
        <w:instrText xml:space="preserve"> SEQ Tabela \* ARABIC </w:instrText>
      </w:r>
      <w:r w:rsidR="00072AFA">
        <w:rPr>
          <w:noProof/>
        </w:rPr>
        <w:fldChar w:fldCharType="separate"/>
      </w:r>
      <w:r w:rsidR="0088117A">
        <w:rPr>
          <w:noProof/>
        </w:rPr>
        <w:t>7</w:t>
      </w:r>
      <w:r w:rsidR="00072AFA">
        <w:rPr>
          <w:noProof/>
        </w:rPr>
        <w:fldChar w:fldCharType="end"/>
      </w:r>
      <w:bookmarkEnd w:id="3079"/>
      <w:r w:rsidRPr="009F3567">
        <w:t>: Povprečna vrednost podprtih naložb v okviru podukrepa M</w:t>
      </w:r>
      <w:r w:rsidR="007E3018">
        <w:t>0</w:t>
      </w:r>
      <w:r w:rsidRPr="009F3567">
        <w:t>4.2 PRP 2014–2020 (30.4.2020) glede na OMD in vrsto dejavnosti</w:t>
      </w:r>
      <w:bookmarkEnd w:id="3080"/>
    </w:p>
    <w:tbl>
      <w:tblPr>
        <w:tblW w:w="9024" w:type="dxa"/>
        <w:tblCellMar>
          <w:left w:w="70" w:type="dxa"/>
          <w:right w:w="70" w:type="dxa"/>
        </w:tblCellMar>
        <w:tblLook w:val="04A0" w:firstRow="1" w:lastRow="0" w:firstColumn="1" w:lastColumn="0" w:noHBand="0" w:noVBand="1"/>
      </w:tblPr>
      <w:tblGrid>
        <w:gridCol w:w="2794"/>
        <w:gridCol w:w="1479"/>
        <w:gridCol w:w="1438"/>
        <w:gridCol w:w="1520"/>
        <w:gridCol w:w="1793"/>
      </w:tblGrid>
      <w:tr w:rsidR="00754A51" w:rsidRPr="005F797B" w14:paraId="500BFBA8" w14:textId="77777777" w:rsidTr="009F3567">
        <w:trPr>
          <w:trHeight w:val="278"/>
        </w:trPr>
        <w:tc>
          <w:tcPr>
            <w:tcW w:w="27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F061894" w14:textId="77777777" w:rsidR="00754A51" w:rsidRPr="00376F0D" w:rsidRDefault="00754A51" w:rsidP="009F3567">
            <w:pPr>
              <w:spacing w:before="0" w:line="276" w:lineRule="auto"/>
              <w:jc w:val="center"/>
              <w:rPr>
                <w:b/>
                <w:color w:val="000000"/>
                <w:sz w:val="16"/>
                <w:szCs w:val="16"/>
                <w:lang w:eastAsia="sl-SI"/>
              </w:rPr>
            </w:pPr>
            <w:r w:rsidRPr="00376F0D">
              <w:rPr>
                <w:b/>
                <w:color w:val="000000"/>
                <w:sz w:val="16"/>
                <w:szCs w:val="16"/>
                <w:lang w:eastAsia="sl-SI"/>
              </w:rPr>
              <w:t>VRSTA DEJAVNOSTI</w:t>
            </w:r>
          </w:p>
        </w:tc>
        <w:tc>
          <w:tcPr>
            <w:tcW w:w="623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7E9CC91" w14:textId="7C90ACC1" w:rsidR="00754A51" w:rsidRDefault="00754A51" w:rsidP="009F3567">
            <w:pPr>
              <w:spacing w:before="0" w:line="276" w:lineRule="auto"/>
              <w:jc w:val="center"/>
              <w:rPr>
                <w:b/>
                <w:color w:val="000000"/>
                <w:sz w:val="16"/>
                <w:szCs w:val="16"/>
                <w:lang w:eastAsia="sl-SI"/>
              </w:rPr>
            </w:pPr>
            <w:r w:rsidRPr="00376F0D">
              <w:rPr>
                <w:b/>
                <w:color w:val="000000"/>
                <w:sz w:val="16"/>
                <w:szCs w:val="16"/>
                <w:lang w:eastAsia="sl-SI"/>
              </w:rPr>
              <w:t>Povprečna višina vrednosti naložb glede na OMD (EUR)</w:t>
            </w:r>
          </w:p>
          <w:p w14:paraId="1F59B89C" w14:textId="77777777" w:rsidR="00AC0C12" w:rsidRPr="00376F0D" w:rsidRDefault="00AC0C12" w:rsidP="009F3567">
            <w:pPr>
              <w:spacing w:before="0" w:line="276" w:lineRule="auto"/>
              <w:jc w:val="center"/>
              <w:rPr>
                <w:b/>
                <w:color w:val="000000"/>
                <w:sz w:val="16"/>
                <w:szCs w:val="16"/>
                <w:lang w:eastAsia="sl-SI"/>
              </w:rPr>
            </w:pPr>
          </w:p>
        </w:tc>
      </w:tr>
      <w:tr w:rsidR="00375F08" w:rsidRPr="008E4705" w14:paraId="2A6157EE" w14:textId="77777777" w:rsidTr="00375F08">
        <w:trPr>
          <w:trHeight w:val="510"/>
        </w:trPr>
        <w:tc>
          <w:tcPr>
            <w:tcW w:w="279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C244B4" w14:textId="77777777" w:rsidR="00375F08" w:rsidRPr="00376F0D" w:rsidRDefault="00375F08" w:rsidP="00375F08">
            <w:pPr>
              <w:spacing w:before="0" w:line="276" w:lineRule="auto"/>
              <w:jc w:val="left"/>
              <w:rPr>
                <w:b/>
                <w:color w:val="000000"/>
                <w:sz w:val="16"/>
                <w:szCs w:val="16"/>
                <w:lang w:eastAsia="sl-SI"/>
              </w:rPr>
            </w:pPr>
          </w:p>
        </w:tc>
        <w:tc>
          <w:tcPr>
            <w:tcW w:w="1479" w:type="dxa"/>
            <w:tcBorders>
              <w:top w:val="nil"/>
              <w:left w:val="nil"/>
              <w:bottom w:val="single" w:sz="4" w:space="0" w:color="auto"/>
              <w:right w:val="single" w:sz="4" w:space="0" w:color="auto"/>
            </w:tcBorders>
            <w:shd w:val="clear" w:color="auto" w:fill="C6D9F1" w:themeFill="text2" w:themeFillTint="33"/>
            <w:vAlign w:val="center"/>
            <w:hideMark/>
          </w:tcPr>
          <w:p w14:paraId="15D2A414" w14:textId="554056DB" w:rsidR="00375F08" w:rsidRPr="00376F0D" w:rsidRDefault="00375F08" w:rsidP="00375F08">
            <w:pPr>
              <w:spacing w:before="0" w:line="276" w:lineRule="auto"/>
              <w:jc w:val="center"/>
              <w:rPr>
                <w:b/>
                <w:color w:val="000000"/>
                <w:sz w:val="16"/>
                <w:szCs w:val="16"/>
                <w:lang w:eastAsia="sl-SI"/>
              </w:rPr>
            </w:pPr>
            <w:r w:rsidRPr="00EB3C1B">
              <w:rPr>
                <w:b/>
                <w:color w:val="000000"/>
                <w:sz w:val="16"/>
                <w:szCs w:val="16"/>
                <w:lang w:eastAsia="sl-SI"/>
              </w:rPr>
              <w:t>OMD – gorska območja (13.1)</w:t>
            </w:r>
          </w:p>
        </w:tc>
        <w:tc>
          <w:tcPr>
            <w:tcW w:w="1438" w:type="dxa"/>
            <w:tcBorders>
              <w:top w:val="nil"/>
              <w:left w:val="nil"/>
              <w:bottom w:val="single" w:sz="4" w:space="0" w:color="auto"/>
              <w:right w:val="single" w:sz="4" w:space="0" w:color="auto"/>
            </w:tcBorders>
            <w:shd w:val="clear" w:color="auto" w:fill="C6D9F1" w:themeFill="text2" w:themeFillTint="33"/>
            <w:vAlign w:val="center"/>
            <w:hideMark/>
          </w:tcPr>
          <w:p w14:paraId="3A264120"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4CED6251" w14:textId="2050FB62" w:rsidR="00375F08" w:rsidRPr="00376F0D" w:rsidRDefault="00375F08" w:rsidP="00375F08">
            <w:pPr>
              <w:spacing w:before="0" w:line="276" w:lineRule="auto"/>
              <w:jc w:val="center"/>
              <w:rPr>
                <w:b/>
                <w:color w:val="000000"/>
                <w:sz w:val="16"/>
                <w:szCs w:val="16"/>
                <w:lang w:eastAsia="sl-SI"/>
              </w:rPr>
            </w:pPr>
            <w:r w:rsidRPr="00EB3C1B">
              <w:rPr>
                <w:b/>
                <w:color w:val="000000"/>
                <w:sz w:val="16"/>
                <w:szCs w:val="16"/>
                <w:lang w:eastAsia="sl-SI"/>
              </w:rPr>
              <w:t>(13.2 in 13.3)</w:t>
            </w:r>
          </w:p>
        </w:tc>
        <w:tc>
          <w:tcPr>
            <w:tcW w:w="1520" w:type="dxa"/>
            <w:tcBorders>
              <w:top w:val="nil"/>
              <w:left w:val="nil"/>
              <w:bottom w:val="single" w:sz="4" w:space="0" w:color="auto"/>
              <w:right w:val="single" w:sz="4" w:space="0" w:color="auto"/>
            </w:tcBorders>
            <w:shd w:val="clear" w:color="auto" w:fill="C6D9F1" w:themeFill="text2" w:themeFillTint="33"/>
            <w:vAlign w:val="center"/>
            <w:hideMark/>
          </w:tcPr>
          <w:p w14:paraId="49E1891A" w14:textId="5DC8A0B0" w:rsidR="00375F08" w:rsidRPr="00376F0D" w:rsidRDefault="00375F08" w:rsidP="00375F08">
            <w:pPr>
              <w:spacing w:before="0" w:line="276" w:lineRule="auto"/>
              <w:jc w:val="center"/>
              <w:rPr>
                <w:b/>
                <w:color w:val="000000"/>
                <w:sz w:val="16"/>
                <w:szCs w:val="16"/>
                <w:lang w:eastAsia="sl-SI"/>
              </w:rPr>
            </w:pPr>
            <w:r w:rsidRPr="00EB3C1B">
              <w:rPr>
                <w:b/>
                <w:sz w:val="16"/>
                <w:szCs w:val="16"/>
              </w:rPr>
              <w:t xml:space="preserve">ne OMD </w:t>
            </w:r>
          </w:p>
        </w:tc>
        <w:tc>
          <w:tcPr>
            <w:tcW w:w="1793" w:type="dxa"/>
            <w:tcBorders>
              <w:top w:val="nil"/>
              <w:left w:val="nil"/>
              <w:bottom w:val="single" w:sz="4" w:space="0" w:color="auto"/>
              <w:right w:val="single" w:sz="4" w:space="0" w:color="auto"/>
            </w:tcBorders>
            <w:shd w:val="clear" w:color="auto" w:fill="C6D9F1" w:themeFill="text2" w:themeFillTint="33"/>
            <w:vAlign w:val="center"/>
            <w:hideMark/>
          </w:tcPr>
          <w:p w14:paraId="6C5595D1" w14:textId="77777777" w:rsidR="00375F08" w:rsidRPr="00376F0D" w:rsidRDefault="00375F08" w:rsidP="00375F08">
            <w:pPr>
              <w:spacing w:before="0" w:line="276" w:lineRule="auto"/>
              <w:jc w:val="center"/>
              <w:rPr>
                <w:b/>
                <w:color w:val="000000"/>
                <w:sz w:val="16"/>
                <w:szCs w:val="16"/>
                <w:lang w:eastAsia="sl-SI"/>
              </w:rPr>
            </w:pPr>
            <w:r w:rsidRPr="00376F0D">
              <w:rPr>
                <w:b/>
                <w:color w:val="000000"/>
                <w:sz w:val="16"/>
                <w:szCs w:val="16"/>
                <w:lang w:eastAsia="sl-SI"/>
              </w:rPr>
              <w:t>skupaj</w:t>
            </w:r>
          </w:p>
        </w:tc>
      </w:tr>
      <w:tr w:rsidR="00754A51" w:rsidRPr="005F797B" w14:paraId="19333ECF"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auto"/>
            <w:vAlign w:val="center"/>
            <w:hideMark/>
          </w:tcPr>
          <w:p w14:paraId="7377199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Meso goveje</w:t>
            </w:r>
          </w:p>
        </w:tc>
        <w:tc>
          <w:tcPr>
            <w:tcW w:w="1479" w:type="dxa"/>
            <w:tcBorders>
              <w:top w:val="nil"/>
              <w:left w:val="nil"/>
              <w:bottom w:val="single" w:sz="4" w:space="0" w:color="auto"/>
              <w:right w:val="single" w:sz="4" w:space="0" w:color="auto"/>
            </w:tcBorders>
            <w:shd w:val="clear" w:color="auto" w:fill="auto"/>
            <w:noWrap/>
            <w:vAlign w:val="center"/>
            <w:hideMark/>
          </w:tcPr>
          <w:p w14:paraId="3B1E2879"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174.983</w:t>
            </w:r>
          </w:p>
        </w:tc>
        <w:tc>
          <w:tcPr>
            <w:tcW w:w="1438" w:type="dxa"/>
            <w:tcBorders>
              <w:top w:val="nil"/>
              <w:left w:val="nil"/>
              <w:bottom w:val="single" w:sz="4" w:space="0" w:color="auto"/>
              <w:right w:val="single" w:sz="4" w:space="0" w:color="auto"/>
            </w:tcBorders>
            <w:shd w:val="clear" w:color="auto" w:fill="auto"/>
            <w:noWrap/>
            <w:vAlign w:val="center"/>
            <w:hideMark/>
          </w:tcPr>
          <w:p w14:paraId="0F0389C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166.987</w:t>
            </w:r>
          </w:p>
        </w:tc>
        <w:tc>
          <w:tcPr>
            <w:tcW w:w="1520" w:type="dxa"/>
            <w:tcBorders>
              <w:top w:val="nil"/>
              <w:left w:val="nil"/>
              <w:bottom w:val="single" w:sz="4" w:space="0" w:color="auto"/>
              <w:right w:val="single" w:sz="4" w:space="0" w:color="auto"/>
            </w:tcBorders>
            <w:shd w:val="clear" w:color="auto" w:fill="auto"/>
            <w:noWrap/>
            <w:vAlign w:val="center"/>
            <w:hideMark/>
          </w:tcPr>
          <w:p w14:paraId="15C9F070"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1.106.794</w:t>
            </w:r>
          </w:p>
        </w:tc>
        <w:tc>
          <w:tcPr>
            <w:tcW w:w="1793" w:type="dxa"/>
            <w:tcBorders>
              <w:top w:val="nil"/>
              <w:left w:val="nil"/>
              <w:bottom w:val="single" w:sz="4" w:space="0" w:color="auto"/>
              <w:right w:val="single" w:sz="4" w:space="0" w:color="auto"/>
            </w:tcBorders>
            <w:shd w:val="clear" w:color="auto" w:fill="auto"/>
            <w:noWrap/>
            <w:vAlign w:val="center"/>
            <w:hideMark/>
          </w:tcPr>
          <w:p w14:paraId="7F19BB4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615.105</w:t>
            </w:r>
          </w:p>
        </w:tc>
      </w:tr>
      <w:tr w:rsidR="00754A51" w:rsidRPr="005F797B" w14:paraId="3C8AB552"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auto"/>
            <w:vAlign w:val="center"/>
            <w:hideMark/>
          </w:tcPr>
          <w:p w14:paraId="5DFD49C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Mleko</w:t>
            </w:r>
          </w:p>
        </w:tc>
        <w:tc>
          <w:tcPr>
            <w:tcW w:w="1479" w:type="dxa"/>
            <w:tcBorders>
              <w:top w:val="nil"/>
              <w:left w:val="nil"/>
              <w:bottom w:val="single" w:sz="4" w:space="0" w:color="auto"/>
              <w:right w:val="single" w:sz="4" w:space="0" w:color="auto"/>
            </w:tcBorders>
            <w:shd w:val="clear" w:color="auto" w:fill="auto"/>
            <w:noWrap/>
            <w:vAlign w:val="center"/>
            <w:hideMark/>
          </w:tcPr>
          <w:p w14:paraId="5903B16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344.138</w:t>
            </w:r>
          </w:p>
        </w:tc>
        <w:tc>
          <w:tcPr>
            <w:tcW w:w="1438" w:type="dxa"/>
            <w:tcBorders>
              <w:top w:val="nil"/>
              <w:left w:val="nil"/>
              <w:bottom w:val="single" w:sz="4" w:space="0" w:color="auto"/>
              <w:right w:val="single" w:sz="4" w:space="0" w:color="auto"/>
            </w:tcBorders>
            <w:shd w:val="clear" w:color="auto" w:fill="auto"/>
            <w:noWrap/>
            <w:vAlign w:val="center"/>
            <w:hideMark/>
          </w:tcPr>
          <w:p w14:paraId="7DB8B38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160.033</w:t>
            </w:r>
          </w:p>
        </w:tc>
        <w:tc>
          <w:tcPr>
            <w:tcW w:w="1520" w:type="dxa"/>
            <w:tcBorders>
              <w:top w:val="nil"/>
              <w:left w:val="nil"/>
              <w:bottom w:val="single" w:sz="4" w:space="0" w:color="auto"/>
              <w:right w:val="single" w:sz="4" w:space="0" w:color="auto"/>
            </w:tcBorders>
            <w:shd w:val="clear" w:color="auto" w:fill="auto"/>
            <w:noWrap/>
            <w:vAlign w:val="center"/>
            <w:hideMark/>
          </w:tcPr>
          <w:p w14:paraId="31CBFAFD"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72.868</w:t>
            </w:r>
          </w:p>
        </w:tc>
        <w:tc>
          <w:tcPr>
            <w:tcW w:w="1793" w:type="dxa"/>
            <w:tcBorders>
              <w:top w:val="nil"/>
              <w:left w:val="nil"/>
              <w:bottom w:val="single" w:sz="4" w:space="0" w:color="auto"/>
              <w:right w:val="single" w:sz="4" w:space="0" w:color="auto"/>
            </w:tcBorders>
            <w:shd w:val="clear" w:color="auto" w:fill="auto"/>
            <w:noWrap/>
            <w:vAlign w:val="center"/>
            <w:hideMark/>
          </w:tcPr>
          <w:p w14:paraId="7968978B"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283.313</w:t>
            </w:r>
          </w:p>
        </w:tc>
      </w:tr>
      <w:tr w:rsidR="00754A51" w:rsidRPr="005F797B" w14:paraId="4FFF721F" w14:textId="77777777" w:rsidTr="00375F08">
        <w:trPr>
          <w:trHeight w:val="290"/>
        </w:trPr>
        <w:tc>
          <w:tcPr>
            <w:tcW w:w="279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05ACE27"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Skupaj vse dejavnosti</w:t>
            </w:r>
          </w:p>
        </w:tc>
        <w:tc>
          <w:tcPr>
            <w:tcW w:w="1479" w:type="dxa"/>
            <w:tcBorders>
              <w:top w:val="nil"/>
              <w:left w:val="nil"/>
              <w:bottom w:val="single" w:sz="4" w:space="0" w:color="auto"/>
              <w:right w:val="single" w:sz="4" w:space="0" w:color="auto"/>
            </w:tcBorders>
            <w:shd w:val="clear" w:color="auto" w:fill="C6D9F1" w:themeFill="text2" w:themeFillTint="33"/>
            <w:noWrap/>
            <w:vAlign w:val="center"/>
            <w:hideMark/>
          </w:tcPr>
          <w:p w14:paraId="26A36CF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293.179</w:t>
            </w:r>
          </w:p>
        </w:tc>
        <w:tc>
          <w:tcPr>
            <w:tcW w:w="1438" w:type="dxa"/>
            <w:tcBorders>
              <w:top w:val="nil"/>
              <w:left w:val="nil"/>
              <w:bottom w:val="single" w:sz="4" w:space="0" w:color="auto"/>
              <w:right w:val="single" w:sz="4" w:space="0" w:color="auto"/>
            </w:tcBorders>
            <w:shd w:val="clear" w:color="auto" w:fill="C6D9F1" w:themeFill="text2" w:themeFillTint="33"/>
            <w:noWrap/>
            <w:vAlign w:val="center"/>
            <w:hideMark/>
          </w:tcPr>
          <w:p w14:paraId="6697D515"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222.814</w:t>
            </w:r>
          </w:p>
        </w:tc>
        <w:tc>
          <w:tcPr>
            <w:tcW w:w="1520" w:type="dxa"/>
            <w:tcBorders>
              <w:top w:val="nil"/>
              <w:left w:val="nil"/>
              <w:bottom w:val="single" w:sz="4" w:space="0" w:color="auto"/>
              <w:right w:val="single" w:sz="4" w:space="0" w:color="auto"/>
            </w:tcBorders>
            <w:shd w:val="clear" w:color="auto" w:fill="C6D9F1" w:themeFill="text2" w:themeFillTint="33"/>
            <w:noWrap/>
            <w:vAlign w:val="center"/>
            <w:hideMark/>
          </w:tcPr>
          <w:p w14:paraId="69D67DEA"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731.324</w:t>
            </w:r>
          </w:p>
        </w:tc>
        <w:tc>
          <w:tcPr>
            <w:tcW w:w="1793" w:type="dxa"/>
            <w:tcBorders>
              <w:top w:val="nil"/>
              <w:left w:val="nil"/>
              <w:bottom w:val="single" w:sz="4" w:space="0" w:color="auto"/>
              <w:right w:val="single" w:sz="4" w:space="0" w:color="auto"/>
            </w:tcBorders>
            <w:shd w:val="clear" w:color="auto" w:fill="C6D9F1" w:themeFill="text2" w:themeFillTint="33"/>
            <w:noWrap/>
            <w:vAlign w:val="center"/>
            <w:hideMark/>
          </w:tcPr>
          <w:p w14:paraId="64A95A70"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395.484</w:t>
            </w:r>
          </w:p>
        </w:tc>
      </w:tr>
    </w:tbl>
    <w:p w14:paraId="15C9FDA2" w14:textId="77777777" w:rsidR="00754A51" w:rsidRPr="001A32D7" w:rsidRDefault="00376F0D" w:rsidP="009F3567">
      <w:pPr>
        <w:spacing w:before="0" w:line="276" w:lineRule="auto"/>
        <w:rPr>
          <w:sz w:val="16"/>
          <w:szCs w:val="16"/>
        </w:rPr>
      </w:pPr>
      <w:r>
        <w:rPr>
          <w:sz w:val="16"/>
          <w:szCs w:val="16"/>
        </w:rPr>
        <w:lastRenderedPageBreak/>
        <w:t>Vir: MKGP</w:t>
      </w:r>
    </w:p>
    <w:p w14:paraId="0113F8B0" w14:textId="77777777" w:rsidR="00754A51" w:rsidRDefault="00754A51" w:rsidP="007613FE">
      <w:pPr>
        <w:pStyle w:val="Odstavek1"/>
      </w:pPr>
    </w:p>
    <w:p w14:paraId="76381A54" w14:textId="730FC310" w:rsidR="00754A51" w:rsidRDefault="00754A51" w:rsidP="007613FE">
      <w:pPr>
        <w:pStyle w:val="Odstavek1"/>
      </w:pPr>
      <w:r>
        <w:t xml:space="preserve">Pri podprtih naložbah v </w:t>
      </w:r>
      <w:r w:rsidR="002D53C7">
        <w:t>sektorju</w:t>
      </w:r>
      <w:r>
        <w:t xml:space="preserve"> </w:t>
      </w:r>
      <w:r w:rsidRPr="001A32D7">
        <w:rPr>
          <w:i/>
        </w:rPr>
        <w:t>mleko</w:t>
      </w:r>
      <w:r>
        <w:t xml:space="preserve"> in </w:t>
      </w:r>
      <w:r w:rsidRPr="001A32D7">
        <w:rPr>
          <w:i/>
        </w:rPr>
        <w:t>goveje meso</w:t>
      </w:r>
      <w:r>
        <w:t xml:space="preserve"> so glede na predmet naložbe opazne razlike v celotni vrednosti </w:t>
      </w:r>
      <w:r w:rsidR="007E0775">
        <w:t>naložb</w:t>
      </w:r>
      <w:r>
        <w:t xml:space="preserve"> glede na OMD, in sicer predvsem pri nakupu opreme, kjer je celotna vrednost stroškov naložb </w:t>
      </w:r>
      <w:r w:rsidR="00375F08">
        <w:t>na OMD -</w:t>
      </w:r>
      <w:r>
        <w:t xml:space="preserve"> gorsk</w:t>
      </w:r>
      <w:r w:rsidR="00375F08">
        <w:t>a</w:t>
      </w:r>
      <w:r>
        <w:t xml:space="preserve"> območj</w:t>
      </w:r>
      <w:r w:rsidR="00375F08">
        <w:t>a</w:t>
      </w:r>
      <w:r>
        <w:t xml:space="preserve"> več kot </w:t>
      </w:r>
      <w:r w:rsidR="007E3018">
        <w:t>dvakrat</w:t>
      </w:r>
      <w:r>
        <w:t xml:space="preserve"> nižja kot </w:t>
      </w:r>
      <w:r w:rsidR="00367511">
        <w:t xml:space="preserve">na </w:t>
      </w:r>
      <w:r w:rsidR="00367511" w:rsidRPr="00367511">
        <w:t xml:space="preserve">območjih </w:t>
      </w:r>
      <w:r w:rsidR="00375F08">
        <w:t>izven OMD</w:t>
      </w:r>
      <w:r w:rsidR="00F24491">
        <w:t>. P</w:t>
      </w:r>
      <w:r>
        <w:t xml:space="preserve">ri novogradnji objektov </w:t>
      </w:r>
      <w:r w:rsidR="00F24491">
        <w:t xml:space="preserve">pa </w:t>
      </w:r>
      <w:r>
        <w:t xml:space="preserve">je opazno večje investiranje v objekte na </w:t>
      </w:r>
      <w:r w:rsidR="00375F08">
        <w:t xml:space="preserve">OMD - </w:t>
      </w:r>
      <w:r>
        <w:t>gorsk</w:t>
      </w:r>
      <w:r w:rsidR="00375F08">
        <w:t>a</w:t>
      </w:r>
      <w:r>
        <w:t xml:space="preserve"> območj</w:t>
      </w:r>
      <w:r w:rsidR="00375F08">
        <w:t>a</w:t>
      </w:r>
      <w:r>
        <w:t xml:space="preserve">. </w:t>
      </w:r>
      <w:r w:rsidR="00F24491">
        <w:t xml:space="preserve">Na podlagi teh podatkov sklepamo, da so na OMD-gorska območja večja vlaganja v novogradnjo objektov, na ne OMD pa v nakup opreme v obstoječih objektih. </w:t>
      </w:r>
    </w:p>
    <w:p w14:paraId="5A38C3DD" w14:textId="77777777" w:rsidR="00304C05" w:rsidRDefault="00304C05" w:rsidP="00304C05">
      <w:pPr>
        <w:pStyle w:val="SCPreglednica"/>
      </w:pPr>
    </w:p>
    <w:p w14:paraId="59522286" w14:textId="4E7F1034" w:rsidR="000429A3" w:rsidRPr="009F3567" w:rsidRDefault="00754A51" w:rsidP="00304C05">
      <w:pPr>
        <w:pStyle w:val="SCPreglednica"/>
        <w:rPr>
          <w:szCs w:val="16"/>
        </w:rPr>
      </w:pPr>
      <w:bookmarkStart w:id="3081" w:name="_Toc86822646"/>
      <w:r w:rsidRPr="009F3567">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8</w:t>
      </w:r>
      <w:r w:rsidR="009F2591">
        <w:rPr>
          <w:noProof/>
        </w:rPr>
        <w:fldChar w:fldCharType="end"/>
      </w:r>
      <w:r w:rsidRPr="009F3567">
        <w:t>: Celotna vrednost stroškov podprtih naložb v okviru podukrepa M</w:t>
      </w:r>
      <w:r w:rsidR="007E3018">
        <w:t>0</w:t>
      </w:r>
      <w:r w:rsidRPr="009F3567">
        <w:t>4.2 PRP 2014-2020 (30.</w:t>
      </w:r>
      <w:r w:rsidR="007E3018">
        <w:t xml:space="preserve"> </w:t>
      </w:r>
      <w:r w:rsidRPr="009F3567">
        <w:t>4.</w:t>
      </w:r>
      <w:r w:rsidR="007E3018">
        <w:t xml:space="preserve"> </w:t>
      </w:r>
      <w:r w:rsidRPr="009F3567">
        <w:t>2020) glede na OMD in predmet naložbe v sektorju mleko in goveje meso</w:t>
      </w:r>
      <w:bookmarkEnd w:id="3081"/>
    </w:p>
    <w:tbl>
      <w:tblPr>
        <w:tblW w:w="8970" w:type="dxa"/>
        <w:tblCellMar>
          <w:left w:w="70" w:type="dxa"/>
          <w:right w:w="70" w:type="dxa"/>
        </w:tblCellMar>
        <w:tblLook w:val="04A0" w:firstRow="1" w:lastRow="0" w:firstColumn="1" w:lastColumn="0" w:noHBand="0" w:noVBand="1"/>
      </w:tblPr>
      <w:tblGrid>
        <w:gridCol w:w="3218"/>
        <w:gridCol w:w="1543"/>
        <w:gridCol w:w="1402"/>
        <w:gridCol w:w="1403"/>
        <w:gridCol w:w="1404"/>
      </w:tblGrid>
      <w:tr w:rsidR="00754A51" w:rsidRPr="00845A6E" w14:paraId="3EEDD135" w14:textId="77777777" w:rsidTr="009F3567">
        <w:trPr>
          <w:trHeight w:val="462"/>
        </w:trPr>
        <w:tc>
          <w:tcPr>
            <w:tcW w:w="3218" w:type="dxa"/>
            <w:vMerge w:val="restart"/>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3F034945" w14:textId="77777777" w:rsidR="00754A51" w:rsidRPr="001A32D7" w:rsidRDefault="00754A51" w:rsidP="009F3567">
            <w:pPr>
              <w:spacing w:before="0" w:line="276" w:lineRule="auto"/>
              <w:jc w:val="center"/>
              <w:rPr>
                <w:b/>
                <w:color w:val="000000"/>
                <w:sz w:val="16"/>
                <w:szCs w:val="16"/>
                <w:lang w:eastAsia="sl-SI"/>
              </w:rPr>
            </w:pPr>
            <w:r w:rsidRPr="001A32D7">
              <w:rPr>
                <w:b/>
                <w:color w:val="000000"/>
                <w:sz w:val="16"/>
                <w:szCs w:val="16"/>
                <w:lang w:eastAsia="sl-SI"/>
              </w:rPr>
              <w:t>PREDMET NALOŽBE (na ravni stroškov)</w:t>
            </w:r>
          </w:p>
        </w:tc>
        <w:tc>
          <w:tcPr>
            <w:tcW w:w="5752" w:type="dxa"/>
            <w:gridSpan w:val="4"/>
            <w:tcBorders>
              <w:top w:val="single" w:sz="8" w:space="0" w:color="auto"/>
              <w:left w:val="nil"/>
              <w:bottom w:val="single" w:sz="4" w:space="0" w:color="auto"/>
              <w:right w:val="single" w:sz="8" w:space="0" w:color="000000"/>
            </w:tcBorders>
            <w:shd w:val="clear" w:color="auto" w:fill="C6D9F1" w:themeFill="text2" w:themeFillTint="33"/>
            <w:vAlign w:val="center"/>
            <w:hideMark/>
          </w:tcPr>
          <w:p w14:paraId="7C1EA6B1" w14:textId="1261E2DA" w:rsidR="00754A51" w:rsidRPr="001A32D7" w:rsidRDefault="00754A51" w:rsidP="009F3567">
            <w:pPr>
              <w:spacing w:before="0" w:line="276" w:lineRule="auto"/>
              <w:jc w:val="center"/>
              <w:rPr>
                <w:b/>
                <w:color w:val="000000"/>
                <w:sz w:val="16"/>
                <w:szCs w:val="16"/>
                <w:lang w:eastAsia="sl-SI"/>
              </w:rPr>
            </w:pPr>
            <w:r w:rsidRPr="001A32D7">
              <w:rPr>
                <w:b/>
                <w:color w:val="000000"/>
                <w:sz w:val="16"/>
                <w:szCs w:val="16"/>
                <w:lang w:eastAsia="sl-SI"/>
              </w:rPr>
              <w:t xml:space="preserve">Celotna vrednost stroškov glede na OMD </w:t>
            </w:r>
            <w:r w:rsidR="00375F08">
              <w:rPr>
                <w:b/>
                <w:color w:val="000000"/>
                <w:sz w:val="16"/>
                <w:szCs w:val="16"/>
                <w:lang w:eastAsia="sl-SI"/>
              </w:rPr>
              <w:t>(EUR)</w:t>
            </w:r>
          </w:p>
        </w:tc>
      </w:tr>
      <w:tr w:rsidR="00375F08" w:rsidRPr="00845A6E" w14:paraId="4FD91ECA" w14:textId="77777777" w:rsidTr="00375F08">
        <w:trPr>
          <w:trHeight w:val="489"/>
        </w:trPr>
        <w:tc>
          <w:tcPr>
            <w:tcW w:w="3218" w:type="dxa"/>
            <w:vMerge/>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447FB04D" w14:textId="77777777" w:rsidR="00375F08" w:rsidRPr="001A32D7" w:rsidRDefault="00375F08" w:rsidP="00375F08">
            <w:pPr>
              <w:spacing w:before="0" w:line="276" w:lineRule="auto"/>
              <w:jc w:val="center"/>
              <w:rPr>
                <w:b/>
                <w:color w:val="000000"/>
                <w:sz w:val="16"/>
                <w:szCs w:val="16"/>
                <w:lang w:eastAsia="sl-SI"/>
              </w:rPr>
            </w:pPr>
          </w:p>
        </w:tc>
        <w:tc>
          <w:tcPr>
            <w:tcW w:w="1543" w:type="dxa"/>
            <w:tcBorders>
              <w:top w:val="nil"/>
              <w:left w:val="nil"/>
              <w:bottom w:val="single" w:sz="8" w:space="0" w:color="auto"/>
              <w:right w:val="single" w:sz="4" w:space="0" w:color="auto"/>
            </w:tcBorders>
            <w:shd w:val="clear" w:color="auto" w:fill="C6D9F1" w:themeFill="text2" w:themeFillTint="33"/>
            <w:vAlign w:val="center"/>
            <w:hideMark/>
          </w:tcPr>
          <w:p w14:paraId="719B4FD6" w14:textId="50487E5D" w:rsidR="00375F08" w:rsidRPr="001A32D7" w:rsidRDefault="00375F08" w:rsidP="00375F08">
            <w:pPr>
              <w:spacing w:before="0" w:line="276" w:lineRule="auto"/>
              <w:jc w:val="center"/>
              <w:rPr>
                <w:b/>
                <w:color w:val="000000"/>
                <w:sz w:val="16"/>
                <w:szCs w:val="16"/>
                <w:lang w:eastAsia="sl-SI"/>
              </w:rPr>
            </w:pPr>
            <w:r w:rsidRPr="00EB3C1B">
              <w:rPr>
                <w:b/>
                <w:color w:val="000000"/>
                <w:sz w:val="16"/>
                <w:szCs w:val="16"/>
                <w:lang w:eastAsia="sl-SI"/>
              </w:rPr>
              <w:t>OMD – gorska območja (13.1)</w:t>
            </w:r>
          </w:p>
        </w:tc>
        <w:tc>
          <w:tcPr>
            <w:tcW w:w="1402" w:type="dxa"/>
            <w:tcBorders>
              <w:top w:val="nil"/>
              <w:left w:val="nil"/>
              <w:bottom w:val="single" w:sz="8" w:space="0" w:color="auto"/>
              <w:right w:val="single" w:sz="4" w:space="0" w:color="auto"/>
            </w:tcBorders>
            <w:shd w:val="clear" w:color="auto" w:fill="C6D9F1" w:themeFill="text2" w:themeFillTint="33"/>
            <w:vAlign w:val="center"/>
            <w:hideMark/>
          </w:tcPr>
          <w:p w14:paraId="63976125"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6E52CB16" w14:textId="0824A655" w:rsidR="00375F08" w:rsidRPr="001A32D7" w:rsidRDefault="00375F08" w:rsidP="00375F08">
            <w:pPr>
              <w:spacing w:before="0" w:line="276" w:lineRule="auto"/>
              <w:jc w:val="center"/>
              <w:rPr>
                <w:b/>
                <w:color w:val="000000"/>
                <w:sz w:val="16"/>
                <w:szCs w:val="16"/>
                <w:lang w:eastAsia="sl-SI"/>
              </w:rPr>
            </w:pPr>
            <w:r w:rsidRPr="00EB3C1B">
              <w:rPr>
                <w:b/>
                <w:color w:val="000000"/>
                <w:sz w:val="16"/>
                <w:szCs w:val="16"/>
                <w:lang w:eastAsia="sl-SI"/>
              </w:rPr>
              <w:t>(13.2 in 13.3)</w:t>
            </w:r>
          </w:p>
        </w:tc>
        <w:tc>
          <w:tcPr>
            <w:tcW w:w="1403" w:type="dxa"/>
            <w:tcBorders>
              <w:top w:val="nil"/>
              <w:left w:val="nil"/>
              <w:bottom w:val="single" w:sz="8" w:space="0" w:color="auto"/>
              <w:right w:val="single" w:sz="4" w:space="0" w:color="auto"/>
            </w:tcBorders>
            <w:shd w:val="clear" w:color="auto" w:fill="C6D9F1" w:themeFill="text2" w:themeFillTint="33"/>
            <w:vAlign w:val="center"/>
            <w:hideMark/>
          </w:tcPr>
          <w:p w14:paraId="7945FF0E" w14:textId="010DB79E" w:rsidR="00375F08" w:rsidRPr="001A32D7" w:rsidRDefault="00375F08" w:rsidP="00375F08">
            <w:pPr>
              <w:spacing w:before="0" w:line="276" w:lineRule="auto"/>
              <w:jc w:val="center"/>
              <w:rPr>
                <w:b/>
                <w:color w:val="000000"/>
                <w:sz w:val="16"/>
                <w:szCs w:val="16"/>
                <w:lang w:eastAsia="sl-SI"/>
              </w:rPr>
            </w:pPr>
            <w:r w:rsidRPr="00EB3C1B">
              <w:rPr>
                <w:b/>
                <w:sz w:val="16"/>
                <w:szCs w:val="16"/>
              </w:rPr>
              <w:t xml:space="preserve">ne OMD </w:t>
            </w:r>
          </w:p>
        </w:tc>
        <w:tc>
          <w:tcPr>
            <w:tcW w:w="1404" w:type="dxa"/>
            <w:tcBorders>
              <w:top w:val="nil"/>
              <w:left w:val="nil"/>
              <w:bottom w:val="single" w:sz="8" w:space="0" w:color="auto"/>
              <w:right w:val="single" w:sz="8" w:space="0" w:color="auto"/>
            </w:tcBorders>
            <w:shd w:val="clear" w:color="auto" w:fill="C6D9F1" w:themeFill="text2" w:themeFillTint="33"/>
            <w:vAlign w:val="center"/>
            <w:hideMark/>
          </w:tcPr>
          <w:p w14:paraId="0D56A3DD" w14:textId="77777777" w:rsidR="00375F08" w:rsidRPr="001A32D7" w:rsidRDefault="00375F08" w:rsidP="00375F08">
            <w:pPr>
              <w:spacing w:before="0" w:line="276" w:lineRule="auto"/>
              <w:jc w:val="center"/>
              <w:rPr>
                <w:b/>
                <w:color w:val="000000"/>
                <w:sz w:val="16"/>
                <w:szCs w:val="16"/>
                <w:lang w:eastAsia="sl-SI"/>
              </w:rPr>
            </w:pPr>
            <w:r w:rsidRPr="001A32D7">
              <w:rPr>
                <w:b/>
                <w:color w:val="000000"/>
                <w:sz w:val="16"/>
                <w:szCs w:val="16"/>
                <w:lang w:eastAsia="sl-SI"/>
              </w:rPr>
              <w:t>skupaj</w:t>
            </w:r>
          </w:p>
        </w:tc>
      </w:tr>
      <w:tr w:rsidR="00754A51" w:rsidRPr="00845A6E" w14:paraId="1A4700B4"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577F0C7D"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Investicijsko vzdrževanje objektov</w:t>
            </w:r>
          </w:p>
        </w:tc>
        <w:tc>
          <w:tcPr>
            <w:tcW w:w="1543" w:type="dxa"/>
            <w:tcBorders>
              <w:top w:val="nil"/>
              <w:left w:val="nil"/>
              <w:bottom w:val="single" w:sz="4" w:space="0" w:color="auto"/>
              <w:right w:val="single" w:sz="4" w:space="0" w:color="auto"/>
            </w:tcBorders>
            <w:shd w:val="clear" w:color="auto" w:fill="auto"/>
            <w:noWrap/>
            <w:vAlign w:val="center"/>
            <w:hideMark/>
          </w:tcPr>
          <w:p w14:paraId="400F00D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38.038</w:t>
            </w:r>
          </w:p>
        </w:tc>
        <w:tc>
          <w:tcPr>
            <w:tcW w:w="1402" w:type="dxa"/>
            <w:tcBorders>
              <w:top w:val="nil"/>
              <w:left w:val="nil"/>
              <w:bottom w:val="single" w:sz="4" w:space="0" w:color="auto"/>
              <w:right w:val="single" w:sz="4" w:space="0" w:color="auto"/>
            </w:tcBorders>
            <w:shd w:val="clear" w:color="auto" w:fill="auto"/>
            <w:noWrap/>
            <w:vAlign w:val="center"/>
            <w:hideMark/>
          </w:tcPr>
          <w:p w14:paraId="1A9FDB06"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01A2416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441.935</w:t>
            </w:r>
          </w:p>
        </w:tc>
        <w:tc>
          <w:tcPr>
            <w:tcW w:w="1404" w:type="dxa"/>
            <w:tcBorders>
              <w:top w:val="nil"/>
              <w:left w:val="nil"/>
              <w:bottom w:val="single" w:sz="4" w:space="0" w:color="auto"/>
              <w:right w:val="single" w:sz="8" w:space="0" w:color="auto"/>
            </w:tcBorders>
            <w:shd w:val="clear" w:color="auto" w:fill="auto"/>
            <w:noWrap/>
            <w:vAlign w:val="center"/>
            <w:hideMark/>
          </w:tcPr>
          <w:p w14:paraId="48B31C0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479.973</w:t>
            </w:r>
          </w:p>
        </w:tc>
      </w:tr>
      <w:tr w:rsidR="00754A51" w:rsidRPr="00845A6E" w14:paraId="6E9A4C0C"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30F2B54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Nakup opreme</w:t>
            </w:r>
          </w:p>
        </w:tc>
        <w:tc>
          <w:tcPr>
            <w:tcW w:w="1543" w:type="dxa"/>
            <w:tcBorders>
              <w:top w:val="nil"/>
              <w:left w:val="nil"/>
              <w:bottom w:val="single" w:sz="4" w:space="0" w:color="auto"/>
              <w:right w:val="single" w:sz="4" w:space="0" w:color="auto"/>
            </w:tcBorders>
            <w:shd w:val="clear" w:color="auto" w:fill="auto"/>
            <w:noWrap/>
            <w:vAlign w:val="center"/>
            <w:hideMark/>
          </w:tcPr>
          <w:p w14:paraId="6A2083D5"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2.961.002</w:t>
            </w:r>
          </w:p>
        </w:tc>
        <w:tc>
          <w:tcPr>
            <w:tcW w:w="1402" w:type="dxa"/>
            <w:tcBorders>
              <w:top w:val="nil"/>
              <w:left w:val="nil"/>
              <w:bottom w:val="single" w:sz="4" w:space="0" w:color="auto"/>
              <w:right w:val="single" w:sz="4" w:space="0" w:color="auto"/>
            </w:tcBorders>
            <w:shd w:val="clear" w:color="auto" w:fill="auto"/>
            <w:noWrap/>
            <w:vAlign w:val="center"/>
            <w:hideMark/>
          </w:tcPr>
          <w:p w14:paraId="7C6E80E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400.954</w:t>
            </w:r>
          </w:p>
        </w:tc>
        <w:tc>
          <w:tcPr>
            <w:tcW w:w="1403" w:type="dxa"/>
            <w:tcBorders>
              <w:top w:val="nil"/>
              <w:left w:val="nil"/>
              <w:bottom w:val="single" w:sz="4" w:space="0" w:color="auto"/>
              <w:right w:val="single" w:sz="4" w:space="0" w:color="auto"/>
            </w:tcBorders>
            <w:shd w:val="clear" w:color="auto" w:fill="auto"/>
            <w:noWrap/>
            <w:vAlign w:val="center"/>
            <w:hideMark/>
          </w:tcPr>
          <w:p w14:paraId="365522A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6.601.490</w:t>
            </w:r>
          </w:p>
        </w:tc>
        <w:tc>
          <w:tcPr>
            <w:tcW w:w="1404" w:type="dxa"/>
            <w:tcBorders>
              <w:top w:val="nil"/>
              <w:left w:val="nil"/>
              <w:bottom w:val="single" w:sz="4" w:space="0" w:color="auto"/>
              <w:right w:val="single" w:sz="8" w:space="0" w:color="auto"/>
            </w:tcBorders>
            <w:shd w:val="clear" w:color="auto" w:fill="auto"/>
            <w:noWrap/>
            <w:vAlign w:val="center"/>
            <w:hideMark/>
          </w:tcPr>
          <w:p w14:paraId="7B1EFB44"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9.963.445</w:t>
            </w:r>
          </w:p>
        </w:tc>
      </w:tr>
      <w:tr w:rsidR="00754A51" w:rsidRPr="00845A6E" w14:paraId="49503A06"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30645B60"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Novogradnja objektov</w:t>
            </w:r>
          </w:p>
        </w:tc>
        <w:tc>
          <w:tcPr>
            <w:tcW w:w="1543" w:type="dxa"/>
            <w:tcBorders>
              <w:top w:val="nil"/>
              <w:left w:val="nil"/>
              <w:bottom w:val="single" w:sz="4" w:space="0" w:color="auto"/>
              <w:right w:val="single" w:sz="4" w:space="0" w:color="auto"/>
            </w:tcBorders>
            <w:shd w:val="clear" w:color="auto" w:fill="auto"/>
            <w:noWrap/>
            <w:vAlign w:val="center"/>
            <w:hideMark/>
          </w:tcPr>
          <w:p w14:paraId="151244D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2.401.514</w:t>
            </w:r>
          </w:p>
        </w:tc>
        <w:tc>
          <w:tcPr>
            <w:tcW w:w="1402" w:type="dxa"/>
            <w:tcBorders>
              <w:top w:val="nil"/>
              <w:left w:val="nil"/>
              <w:bottom w:val="single" w:sz="4" w:space="0" w:color="auto"/>
              <w:right w:val="single" w:sz="4" w:space="0" w:color="auto"/>
            </w:tcBorders>
            <w:shd w:val="clear" w:color="auto" w:fill="auto"/>
            <w:noWrap/>
            <w:vAlign w:val="center"/>
            <w:hideMark/>
          </w:tcPr>
          <w:p w14:paraId="78E7090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535.910</w:t>
            </w:r>
          </w:p>
        </w:tc>
        <w:tc>
          <w:tcPr>
            <w:tcW w:w="1403" w:type="dxa"/>
            <w:tcBorders>
              <w:top w:val="nil"/>
              <w:left w:val="nil"/>
              <w:bottom w:val="single" w:sz="4" w:space="0" w:color="auto"/>
              <w:right w:val="single" w:sz="4" w:space="0" w:color="auto"/>
            </w:tcBorders>
            <w:shd w:val="clear" w:color="auto" w:fill="auto"/>
            <w:noWrap/>
            <w:vAlign w:val="center"/>
            <w:hideMark/>
          </w:tcPr>
          <w:p w14:paraId="52530C9E"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1.995.501</w:t>
            </w:r>
          </w:p>
        </w:tc>
        <w:tc>
          <w:tcPr>
            <w:tcW w:w="1404" w:type="dxa"/>
            <w:tcBorders>
              <w:top w:val="nil"/>
              <w:left w:val="nil"/>
              <w:bottom w:val="single" w:sz="4" w:space="0" w:color="auto"/>
              <w:right w:val="single" w:sz="8" w:space="0" w:color="auto"/>
            </w:tcBorders>
            <w:shd w:val="clear" w:color="auto" w:fill="auto"/>
            <w:noWrap/>
            <w:vAlign w:val="center"/>
            <w:hideMark/>
          </w:tcPr>
          <w:p w14:paraId="5717DB9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4.932.925</w:t>
            </w:r>
          </w:p>
        </w:tc>
      </w:tr>
      <w:tr w:rsidR="00754A51" w:rsidRPr="00845A6E" w14:paraId="5946BE41"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25CECFEC"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ostali splošni stroški</w:t>
            </w:r>
          </w:p>
        </w:tc>
        <w:tc>
          <w:tcPr>
            <w:tcW w:w="1543" w:type="dxa"/>
            <w:tcBorders>
              <w:top w:val="nil"/>
              <w:left w:val="nil"/>
              <w:bottom w:val="single" w:sz="4" w:space="0" w:color="auto"/>
              <w:right w:val="single" w:sz="4" w:space="0" w:color="auto"/>
            </w:tcBorders>
            <w:shd w:val="clear" w:color="auto" w:fill="auto"/>
            <w:noWrap/>
            <w:vAlign w:val="center"/>
            <w:hideMark/>
          </w:tcPr>
          <w:p w14:paraId="0A0B5F1D"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161.789</w:t>
            </w:r>
          </w:p>
        </w:tc>
        <w:tc>
          <w:tcPr>
            <w:tcW w:w="1402" w:type="dxa"/>
            <w:tcBorders>
              <w:top w:val="nil"/>
              <w:left w:val="nil"/>
              <w:bottom w:val="single" w:sz="4" w:space="0" w:color="auto"/>
              <w:right w:val="single" w:sz="4" w:space="0" w:color="auto"/>
            </w:tcBorders>
            <w:shd w:val="clear" w:color="auto" w:fill="auto"/>
            <w:noWrap/>
            <w:vAlign w:val="center"/>
            <w:hideMark/>
          </w:tcPr>
          <w:p w14:paraId="714C8ED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11.479</w:t>
            </w:r>
          </w:p>
        </w:tc>
        <w:tc>
          <w:tcPr>
            <w:tcW w:w="1403" w:type="dxa"/>
            <w:tcBorders>
              <w:top w:val="nil"/>
              <w:left w:val="nil"/>
              <w:bottom w:val="single" w:sz="4" w:space="0" w:color="auto"/>
              <w:right w:val="single" w:sz="4" w:space="0" w:color="auto"/>
            </w:tcBorders>
            <w:shd w:val="clear" w:color="auto" w:fill="auto"/>
            <w:noWrap/>
            <w:vAlign w:val="center"/>
            <w:hideMark/>
          </w:tcPr>
          <w:p w14:paraId="2111780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224.724</w:t>
            </w:r>
          </w:p>
        </w:tc>
        <w:tc>
          <w:tcPr>
            <w:tcW w:w="1404" w:type="dxa"/>
            <w:tcBorders>
              <w:top w:val="nil"/>
              <w:left w:val="nil"/>
              <w:bottom w:val="single" w:sz="4" w:space="0" w:color="auto"/>
              <w:right w:val="single" w:sz="8" w:space="0" w:color="auto"/>
            </w:tcBorders>
            <w:shd w:val="clear" w:color="auto" w:fill="auto"/>
            <w:noWrap/>
            <w:vAlign w:val="center"/>
            <w:hideMark/>
          </w:tcPr>
          <w:p w14:paraId="36363973"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397.991</w:t>
            </w:r>
          </w:p>
        </w:tc>
      </w:tr>
      <w:tr w:rsidR="00754A51" w:rsidRPr="00845A6E" w14:paraId="40135831"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09FD966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OVE</w:t>
            </w:r>
          </w:p>
        </w:tc>
        <w:tc>
          <w:tcPr>
            <w:tcW w:w="1543" w:type="dxa"/>
            <w:tcBorders>
              <w:top w:val="nil"/>
              <w:left w:val="nil"/>
              <w:bottom w:val="single" w:sz="4" w:space="0" w:color="auto"/>
              <w:right w:val="single" w:sz="4" w:space="0" w:color="auto"/>
            </w:tcBorders>
            <w:shd w:val="clear" w:color="auto" w:fill="auto"/>
            <w:noWrap/>
            <w:vAlign w:val="center"/>
            <w:hideMark/>
          </w:tcPr>
          <w:p w14:paraId="608008F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51.262</w:t>
            </w:r>
          </w:p>
        </w:tc>
        <w:tc>
          <w:tcPr>
            <w:tcW w:w="1402" w:type="dxa"/>
            <w:tcBorders>
              <w:top w:val="nil"/>
              <w:left w:val="nil"/>
              <w:bottom w:val="single" w:sz="4" w:space="0" w:color="auto"/>
              <w:right w:val="single" w:sz="4" w:space="0" w:color="auto"/>
            </w:tcBorders>
            <w:shd w:val="clear" w:color="auto" w:fill="auto"/>
            <w:noWrap/>
            <w:vAlign w:val="center"/>
            <w:hideMark/>
          </w:tcPr>
          <w:p w14:paraId="2AE4EF3B"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2BBA7BCF"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4" w:type="dxa"/>
            <w:tcBorders>
              <w:top w:val="nil"/>
              <w:left w:val="nil"/>
              <w:bottom w:val="single" w:sz="4" w:space="0" w:color="auto"/>
              <w:right w:val="single" w:sz="8" w:space="0" w:color="auto"/>
            </w:tcBorders>
            <w:shd w:val="clear" w:color="auto" w:fill="auto"/>
            <w:noWrap/>
            <w:vAlign w:val="center"/>
            <w:hideMark/>
          </w:tcPr>
          <w:p w14:paraId="2C2C71B8"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51.262</w:t>
            </w:r>
          </w:p>
        </w:tc>
      </w:tr>
      <w:tr w:rsidR="00754A51" w:rsidRPr="00845A6E" w14:paraId="0347954C" w14:textId="77777777" w:rsidTr="00375F08">
        <w:trPr>
          <w:trHeight w:val="239"/>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412B1A0E"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Rekonstrukcija objektov</w:t>
            </w:r>
          </w:p>
        </w:tc>
        <w:tc>
          <w:tcPr>
            <w:tcW w:w="1543" w:type="dxa"/>
            <w:tcBorders>
              <w:top w:val="nil"/>
              <w:left w:val="nil"/>
              <w:bottom w:val="single" w:sz="4" w:space="0" w:color="auto"/>
              <w:right w:val="single" w:sz="4" w:space="0" w:color="auto"/>
            </w:tcBorders>
            <w:shd w:val="clear" w:color="auto" w:fill="auto"/>
            <w:noWrap/>
            <w:vAlign w:val="center"/>
            <w:hideMark/>
          </w:tcPr>
          <w:p w14:paraId="2D936527"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2" w:type="dxa"/>
            <w:tcBorders>
              <w:top w:val="nil"/>
              <w:left w:val="nil"/>
              <w:bottom w:val="single" w:sz="4" w:space="0" w:color="auto"/>
              <w:right w:val="single" w:sz="4" w:space="0" w:color="auto"/>
            </w:tcBorders>
            <w:shd w:val="clear" w:color="auto" w:fill="auto"/>
            <w:noWrap/>
            <w:vAlign w:val="center"/>
            <w:hideMark/>
          </w:tcPr>
          <w:p w14:paraId="0A9C4963"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3" w:type="dxa"/>
            <w:tcBorders>
              <w:top w:val="nil"/>
              <w:left w:val="nil"/>
              <w:bottom w:val="single" w:sz="4" w:space="0" w:color="auto"/>
              <w:right w:val="single" w:sz="4" w:space="0" w:color="auto"/>
            </w:tcBorders>
            <w:shd w:val="clear" w:color="auto" w:fill="auto"/>
            <w:noWrap/>
            <w:vAlign w:val="center"/>
            <w:hideMark/>
          </w:tcPr>
          <w:p w14:paraId="28B801A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843.232</w:t>
            </w:r>
          </w:p>
        </w:tc>
        <w:tc>
          <w:tcPr>
            <w:tcW w:w="1404" w:type="dxa"/>
            <w:tcBorders>
              <w:top w:val="nil"/>
              <w:left w:val="nil"/>
              <w:bottom w:val="single" w:sz="4" w:space="0" w:color="auto"/>
              <w:right w:val="single" w:sz="8" w:space="0" w:color="auto"/>
            </w:tcBorders>
            <w:shd w:val="clear" w:color="auto" w:fill="auto"/>
            <w:noWrap/>
            <w:vAlign w:val="center"/>
            <w:hideMark/>
          </w:tcPr>
          <w:p w14:paraId="36234CD7"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843.232</w:t>
            </w:r>
          </w:p>
        </w:tc>
      </w:tr>
      <w:tr w:rsidR="00754A51" w:rsidRPr="00845A6E" w14:paraId="3C073084" w14:textId="77777777" w:rsidTr="00375F08">
        <w:trPr>
          <w:trHeight w:val="250"/>
        </w:trPr>
        <w:tc>
          <w:tcPr>
            <w:tcW w:w="3218" w:type="dxa"/>
            <w:tcBorders>
              <w:top w:val="nil"/>
              <w:left w:val="single" w:sz="8" w:space="0" w:color="auto"/>
              <w:bottom w:val="single" w:sz="4" w:space="0" w:color="auto"/>
              <w:right w:val="single" w:sz="4" w:space="0" w:color="auto"/>
            </w:tcBorders>
            <w:shd w:val="clear" w:color="auto" w:fill="auto"/>
            <w:vAlign w:val="center"/>
            <w:hideMark/>
          </w:tcPr>
          <w:p w14:paraId="6C373922"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Ureditev dovoznih površin</w:t>
            </w:r>
          </w:p>
        </w:tc>
        <w:tc>
          <w:tcPr>
            <w:tcW w:w="1543" w:type="dxa"/>
            <w:tcBorders>
              <w:top w:val="nil"/>
              <w:left w:val="nil"/>
              <w:bottom w:val="single" w:sz="4" w:space="0" w:color="auto"/>
              <w:right w:val="single" w:sz="4" w:space="0" w:color="auto"/>
            </w:tcBorders>
            <w:shd w:val="clear" w:color="auto" w:fill="auto"/>
            <w:noWrap/>
            <w:vAlign w:val="center"/>
            <w:hideMark/>
          </w:tcPr>
          <w:p w14:paraId="1D97B3DC"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85.078</w:t>
            </w:r>
          </w:p>
        </w:tc>
        <w:tc>
          <w:tcPr>
            <w:tcW w:w="1402" w:type="dxa"/>
            <w:tcBorders>
              <w:top w:val="nil"/>
              <w:left w:val="nil"/>
              <w:bottom w:val="single" w:sz="4" w:space="0" w:color="auto"/>
              <w:right w:val="single" w:sz="4" w:space="0" w:color="auto"/>
            </w:tcBorders>
            <w:shd w:val="clear" w:color="auto" w:fill="auto"/>
            <w:noWrap/>
            <w:vAlign w:val="center"/>
            <w:hideMark/>
          </w:tcPr>
          <w:p w14:paraId="5FDBB5B1"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32.718</w:t>
            </w:r>
          </w:p>
        </w:tc>
        <w:tc>
          <w:tcPr>
            <w:tcW w:w="1403" w:type="dxa"/>
            <w:tcBorders>
              <w:top w:val="nil"/>
              <w:left w:val="nil"/>
              <w:bottom w:val="single" w:sz="4" w:space="0" w:color="auto"/>
              <w:right w:val="single" w:sz="4" w:space="0" w:color="auto"/>
            </w:tcBorders>
            <w:shd w:val="clear" w:color="auto" w:fill="auto"/>
            <w:noWrap/>
            <w:vAlign w:val="center"/>
            <w:hideMark/>
          </w:tcPr>
          <w:p w14:paraId="0AD63F0A" w14:textId="77777777" w:rsidR="00754A51" w:rsidRPr="001A32D7" w:rsidRDefault="00754A51" w:rsidP="009F3567">
            <w:pPr>
              <w:spacing w:before="0" w:line="276" w:lineRule="auto"/>
              <w:jc w:val="left"/>
              <w:rPr>
                <w:color w:val="000000"/>
                <w:sz w:val="16"/>
                <w:szCs w:val="16"/>
                <w:lang w:eastAsia="sl-SI"/>
              </w:rPr>
            </w:pPr>
            <w:r w:rsidRPr="001A32D7">
              <w:rPr>
                <w:color w:val="000000"/>
                <w:sz w:val="16"/>
                <w:szCs w:val="16"/>
                <w:lang w:eastAsia="sl-SI"/>
              </w:rPr>
              <w:t> </w:t>
            </w:r>
          </w:p>
        </w:tc>
        <w:tc>
          <w:tcPr>
            <w:tcW w:w="1404" w:type="dxa"/>
            <w:tcBorders>
              <w:top w:val="nil"/>
              <w:left w:val="nil"/>
              <w:bottom w:val="single" w:sz="4" w:space="0" w:color="auto"/>
              <w:right w:val="single" w:sz="8" w:space="0" w:color="auto"/>
            </w:tcBorders>
            <w:shd w:val="clear" w:color="auto" w:fill="auto"/>
            <w:noWrap/>
            <w:vAlign w:val="center"/>
            <w:hideMark/>
          </w:tcPr>
          <w:p w14:paraId="583D2026" w14:textId="77777777" w:rsidR="00754A51" w:rsidRPr="001A32D7" w:rsidRDefault="00754A51" w:rsidP="009F3567">
            <w:pPr>
              <w:spacing w:before="0" w:line="276" w:lineRule="auto"/>
              <w:jc w:val="right"/>
              <w:rPr>
                <w:color w:val="000000"/>
                <w:sz w:val="16"/>
                <w:szCs w:val="16"/>
                <w:lang w:eastAsia="sl-SI"/>
              </w:rPr>
            </w:pPr>
            <w:r w:rsidRPr="001A32D7">
              <w:rPr>
                <w:color w:val="000000"/>
                <w:sz w:val="16"/>
                <w:szCs w:val="16"/>
                <w:lang w:eastAsia="sl-SI"/>
              </w:rPr>
              <w:t>117.796</w:t>
            </w:r>
          </w:p>
        </w:tc>
      </w:tr>
      <w:tr w:rsidR="00754A51" w:rsidRPr="00845A6E" w14:paraId="4B92C5E1" w14:textId="77777777" w:rsidTr="00375F08">
        <w:trPr>
          <w:trHeight w:val="250"/>
        </w:trPr>
        <w:tc>
          <w:tcPr>
            <w:tcW w:w="3218" w:type="dxa"/>
            <w:tcBorders>
              <w:top w:val="single" w:sz="8" w:space="0" w:color="auto"/>
              <w:left w:val="single" w:sz="8" w:space="0" w:color="auto"/>
              <w:bottom w:val="single" w:sz="8" w:space="0" w:color="auto"/>
              <w:right w:val="single" w:sz="4" w:space="0" w:color="auto"/>
            </w:tcBorders>
            <w:shd w:val="clear" w:color="auto" w:fill="C6D9F1" w:themeFill="text2" w:themeFillTint="33"/>
            <w:vAlign w:val="center"/>
            <w:hideMark/>
          </w:tcPr>
          <w:p w14:paraId="7ADD0234" w14:textId="77777777" w:rsidR="00754A51" w:rsidRPr="001A32D7" w:rsidRDefault="00754A51" w:rsidP="009F3567">
            <w:pPr>
              <w:spacing w:before="0" w:line="276" w:lineRule="auto"/>
              <w:jc w:val="left"/>
              <w:rPr>
                <w:b/>
                <w:color w:val="000000"/>
                <w:sz w:val="16"/>
                <w:szCs w:val="16"/>
                <w:lang w:eastAsia="sl-SI"/>
              </w:rPr>
            </w:pPr>
            <w:r w:rsidRPr="001A32D7">
              <w:rPr>
                <w:b/>
                <w:color w:val="000000"/>
                <w:sz w:val="16"/>
                <w:szCs w:val="16"/>
                <w:lang w:eastAsia="sl-SI"/>
              </w:rPr>
              <w:t> </w:t>
            </w:r>
            <w:r>
              <w:rPr>
                <w:b/>
                <w:color w:val="000000"/>
                <w:sz w:val="16"/>
                <w:szCs w:val="16"/>
                <w:lang w:eastAsia="sl-SI"/>
              </w:rPr>
              <w:t>Skupaj</w:t>
            </w:r>
          </w:p>
        </w:tc>
        <w:tc>
          <w:tcPr>
            <w:tcW w:w="1543"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0BAA8552"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5.698.683</w:t>
            </w:r>
          </w:p>
        </w:tc>
        <w:tc>
          <w:tcPr>
            <w:tcW w:w="1402"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27C95B27"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981.061</w:t>
            </w:r>
          </w:p>
        </w:tc>
        <w:tc>
          <w:tcPr>
            <w:tcW w:w="1403" w:type="dxa"/>
            <w:tcBorders>
              <w:top w:val="single" w:sz="8" w:space="0" w:color="auto"/>
              <w:left w:val="nil"/>
              <w:bottom w:val="single" w:sz="8" w:space="0" w:color="auto"/>
              <w:right w:val="single" w:sz="4" w:space="0" w:color="auto"/>
            </w:tcBorders>
            <w:shd w:val="clear" w:color="auto" w:fill="C6D9F1" w:themeFill="text2" w:themeFillTint="33"/>
            <w:noWrap/>
            <w:vAlign w:val="center"/>
            <w:hideMark/>
          </w:tcPr>
          <w:p w14:paraId="72BAC221"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10.106.882</w:t>
            </w:r>
          </w:p>
        </w:tc>
        <w:tc>
          <w:tcPr>
            <w:tcW w:w="140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01B65976" w14:textId="77777777" w:rsidR="00754A51" w:rsidRPr="001A32D7" w:rsidRDefault="00754A51" w:rsidP="009F3567">
            <w:pPr>
              <w:spacing w:before="0" w:line="276" w:lineRule="auto"/>
              <w:jc w:val="right"/>
              <w:rPr>
                <w:b/>
                <w:color w:val="000000"/>
                <w:sz w:val="16"/>
                <w:szCs w:val="16"/>
                <w:lang w:eastAsia="sl-SI"/>
              </w:rPr>
            </w:pPr>
            <w:r w:rsidRPr="001A32D7">
              <w:rPr>
                <w:b/>
                <w:color w:val="000000"/>
                <w:sz w:val="16"/>
                <w:szCs w:val="16"/>
                <w:lang w:eastAsia="sl-SI"/>
              </w:rPr>
              <w:t>16.786.626</w:t>
            </w:r>
          </w:p>
        </w:tc>
      </w:tr>
    </w:tbl>
    <w:p w14:paraId="58BE238D" w14:textId="77777777" w:rsidR="00754A51" w:rsidRPr="001A32D7" w:rsidRDefault="00376F0D" w:rsidP="009F3567">
      <w:pPr>
        <w:spacing w:before="0" w:line="276" w:lineRule="auto"/>
        <w:rPr>
          <w:sz w:val="16"/>
          <w:szCs w:val="16"/>
        </w:rPr>
      </w:pPr>
      <w:r>
        <w:rPr>
          <w:sz w:val="16"/>
          <w:szCs w:val="16"/>
        </w:rPr>
        <w:t>Vir: MKGP</w:t>
      </w:r>
    </w:p>
    <w:p w14:paraId="1166CEC3" w14:textId="77777777" w:rsidR="00754A51" w:rsidRDefault="00754A51" w:rsidP="007613FE">
      <w:pPr>
        <w:spacing w:before="0" w:line="260" w:lineRule="atLeast"/>
        <w:rPr>
          <w:sz w:val="20"/>
          <w:szCs w:val="20"/>
        </w:rPr>
      </w:pPr>
    </w:p>
    <w:p w14:paraId="3016CFF4" w14:textId="36B121B0" w:rsidR="00754A51" w:rsidRDefault="00267222" w:rsidP="00304C05">
      <w:r>
        <w:t xml:space="preserve">Povprečno podprto KMG v sektorju mleko in goveje meso </w:t>
      </w:r>
      <w:r w:rsidR="00C06B99">
        <w:t>n</w:t>
      </w:r>
      <w:r w:rsidR="00375F08">
        <w:t>a</w:t>
      </w:r>
      <w:r w:rsidR="00754A51">
        <w:t xml:space="preserve"> </w:t>
      </w:r>
      <w:r w:rsidR="00375F08">
        <w:t xml:space="preserve">OMD – gorska </w:t>
      </w:r>
      <w:r w:rsidR="00754A51">
        <w:t>območj</w:t>
      </w:r>
      <w:r w:rsidR="00375F08">
        <w:t>a</w:t>
      </w:r>
      <w:r w:rsidR="00754A51">
        <w:t xml:space="preserve"> </w:t>
      </w:r>
      <w:r w:rsidR="00C06B99">
        <w:t>je večje:</w:t>
      </w:r>
      <w:r w:rsidR="00754A51">
        <w:t xml:space="preserve"> </w:t>
      </w:r>
      <w:r w:rsidR="00C06B99">
        <w:t xml:space="preserve">v povprečju </w:t>
      </w:r>
      <w:r w:rsidR="00754A51">
        <w:t xml:space="preserve">obdeluje 41 ha KZU in redi 57 GVŽ, </w:t>
      </w:r>
      <w:r w:rsidR="00C06B99">
        <w:t xml:space="preserve">medtem ko KMG </w:t>
      </w:r>
      <w:r w:rsidR="00754A51">
        <w:t xml:space="preserve">na </w:t>
      </w:r>
      <w:r w:rsidR="00CA76EC">
        <w:t xml:space="preserve">območjih </w:t>
      </w:r>
      <w:r w:rsidR="00375F08">
        <w:t xml:space="preserve">izven OMD </w:t>
      </w:r>
      <w:r w:rsidR="00754A51">
        <w:t>obdeluje 31 ha KZU ter redi 36 GVŽ.</w:t>
      </w:r>
    </w:p>
    <w:p w14:paraId="7634978F" w14:textId="32959839" w:rsidR="00754A51" w:rsidRDefault="00754A51" w:rsidP="007613FE">
      <w:pPr>
        <w:spacing w:before="0" w:line="260" w:lineRule="atLeast"/>
        <w:rPr>
          <w:sz w:val="20"/>
          <w:szCs w:val="20"/>
        </w:rPr>
      </w:pPr>
    </w:p>
    <w:p w14:paraId="5AA73392" w14:textId="412E9EB9" w:rsidR="00B15628" w:rsidRPr="009F3567" w:rsidRDefault="00B15628" w:rsidP="00304C05">
      <w:pPr>
        <w:pStyle w:val="SCSlika0"/>
      </w:pPr>
      <w:bookmarkStart w:id="3082" w:name="_Toc86822719"/>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47</w:t>
      </w:r>
      <w:r w:rsidR="009F2591">
        <w:rPr>
          <w:noProof/>
        </w:rPr>
        <w:fldChar w:fldCharType="end"/>
      </w:r>
      <w:r w:rsidRPr="009F3567">
        <w:t>: Primerjava povprečnega števila ha KZU, števila GVŽ, PDM in PDM/ha KZU v sektorju mleko in goveje meso glede na OMD za podprte naložbe v okviru podukrepa M</w:t>
      </w:r>
      <w:r w:rsidR="007E3018">
        <w:t>0</w:t>
      </w:r>
      <w:r w:rsidRPr="009F3567">
        <w:t xml:space="preserve">4.2 PRP </w:t>
      </w:r>
      <w:r>
        <w:t>2014–2020 (stanje 30. 4. 2020)</w:t>
      </w:r>
      <w:bookmarkEnd w:id="3082"/>
    </w:p>
    <w:p w14:paraId="5B725429" w14:textId="77777777" w:rsidR="00754A51" w:rsidRDefault="00754A51" w:rsidP="009F3567">
      <w:pPr>
        <w:spacing w:before="0" w:line="276" w:lineRule="auto"/>
        <w:rPr>
          <w:sz w:val="20"/>
          <w:szCs w:val="20"/>
        </w:rPr>
      </w:pPr>
    </w:p>
    <w:p w14:paraId="4C1386DB" w14:textId="77777777" w:rsidR="00754A51" w:rsidRDefault="00754A51" w:rsidP="009F3567">
      <w:pPr>
        <w:spacing w:before="0" w:line="276" w:lineRule="auto"/>
        <w:rPr>
          <w:sz w:val="20"/>
          <w:szCs w:val="20"/>
        </w:rPr>
      </w:pPr>
      <w:r>
        <w:rPr>
          <w:noProof/>
          <w:lang w:eastAsia="sl-SI"/>
        </w:rPr>
        <w:drawing>
          <wp:inline distT="0" distB="0" distL="0" distR="0" wp14:anchorId="373B8FA9" wp14:editId="7DFD3DAE">
            <wp:extent cx="5727801" cy="2121408"/>
            <wp:effectExtent l="0" t="0" r="6350" b="12700"/>
            <wp:docPr id="1631865583" name="Grafikon 1631865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42950DC" w14:textId="77777777" w:rsidR="00754A51" w:rsidRDefault="00B15628" w:rsidP="009F3567">
      <w:pPr>
        <w:spacing w:before="0" w:line="276" w:lineRule="auto"/>
        <w:rPr>
          <w:sz w:val="16"/>
          <w:szCs w:val="16"/>
        </w:rPr>
      </w:pPr>
      <w:r>
        <w:rPr>
          <w:sz w:val="16"/>
          <w:szCs w:val="16"/>
        </w:rPr>
        <w:t>Vir: MKGP</w:t>
      </w:r>
    </w:p>
    <w:p w14:paraId="600FBE78" w14:textId="77777777" w:rsidR="00B15628" w:rsidRDefault="00B15628" w:rsidP="007613FE">
      <w:pPr>
        <w:spacing w:before="0" w:line="260" w:lineRule="atLeast"/>
        <w:rPr>
          <w:sz w:val="20"/>
          <w:szCs w:val="20"/>
        </w:rPr>
      </w:pPr>
    </w:p>
    <w:p w14:paraId="57E9F37A" w14:textId="05A5CCA6" w:rsidR="00754A51" w:rsidRPr="005B2A49" w:rsidRDefault="00754A51" w:rsidP="007613FE">
      <w:pPr>
        <w:pStyle w:val="Default"/>
        <w:spacing w:line="260" w:lineRule="atLeast"/>
        <w:jc w:val="both"/>
        <w:rPr>
          <w:rFonts w:ascii="Arial" w:hAnsi="Arial" w:cs="Arial"/>
          <w:sz w:val="22"/>
          <w:szCs w:val="20"/>
        </w:rPr>
      </w:pPr>
      <w:r w:rsidRPr="005B2A49">
        <w:rPr>
          <w:rFonts w:ascii="Arial" w:hAnsi="Arial" w:cs="Arial"/>
          <w:sz w:val="22"/>
          <w:szCs w:val="20"/>
        </w:rPr>
        <w:lastRenderedPageBreak/>
        <w:t xml:space="preserve">Primerjava ekonomskih kazalnikov podprtih kmetijskih gospodarstev v okviru podukrepa </w:t>
      </w:r>
      <w:r w:rsidR="00477D01" w:rsidRPr="005B2A49">
        <w:rPr>
          <w:rFonts w:ascii="Arial" w:hAnsi="Arial" w:cs="Arial"/>
          <w:sz w:val="22"/>
          <w:szCs w:val="20"/>
        </w:rPr>
        <w:t>M0</w:t>
      </w:r>
      <w:r w:rsidRPr="005B2A49">
        <w:rPr>
          <w:rFonts w:ascii="Arial" w:hAnsi="Arial" w:cs="Arial"/>
          <w:sz w:val="22"/>
          <w:szCs w:val="20"/>
        </w:rPr>
        <w:t xml:space="preserve">4.2 med območji pokaže še posebej velike razlike v povprečni BDV/vlogo, kjer </w:t>
      </w:r>
      <w:r w:rsidR="00AC0C12" w:rsidRPr="005B2A49">
        <w:rPr>
          <w:rFonts w:ascii="Arial" w:hAnsi="Arial" w:cs="Arial"/>
          <w:sz w:val="22"/>
          <w:szCs w:val="20"/>
        </w:rPr>
        <w:t xml:space="preserve">je </w:t>
      </w:r>
      <w:r w:rsidRPr="005B2A49">
        <w:rPr>
          <w:rFonts w:ascii="Arial" w:hAnsi="Arial" w:cs="Arial"/>
          <w:sz w:val="22"/>
          <w:szCs w:val="20"/>
        </w:rPr>
        <w:t xml:space="preserve">povprečna bruto dodana vrednost </w:t>
      </w:r>
      <w:r w:rsidR="00C06B99" w:rsidRPr="005B2A49">
        <w:rPr>
          <w:rFonts w:ascii="Arial" w:hAnsi="Arial" w:cs="Arial"/>
          <w:sz w:val="22"/>
          <w:szCs w:val="20"/>
        </w:rPr>
        <w:t xml:space="preserve">na vlogo </w:t>
      </w:r>
      <w:r w:rsidRPr="005B2A49">
        <w:rPr>
          <w:rFonts w:ascii="Arial" w:hAnsi="Arial" w:cs="Arial"/>
          <w:sz w:val="22"/>
          <w:szCs w:val="20"/>
        </w:rPr>
        <w:t xml:space="preserve">na </w:t>
      </w:r>
      <w:r w:rsidR="00375F08" w:rsidRPr="005B2A49">
        <w:rPr>
          <w:rFonts w:ascii="Arial" w:hAnsi="Arial" w:cs="Arial"/>
          <w:sz w:val="22"/>
          <w:szCs w:val="20"/>
        </w:rPr>
        <w:t xml:space="preserve">OMD – </w:t>
      </w:r>
      <w:r w:rsidRPr="005B2A49">
        <w:rPr>
          <w:rFonts w:ascii="Arial" w:hAnsi="Arial" w:cs="Arial"/>
          <w:sz w:val="22"/>
          <w:szCs w:val="20"/>
        </w:rPr>
        <w:t>gorsk</w:t>
      </w:r>
      <w:r w:rsidR="00375F08" w:rsidRPr="005B2A49">
        <w:rPr>
          <w:rFonts w:ascii="Arial" w:hAnsi="Arial" w:cs="Arial"/>
          <w:sz w:val="22"/>
          <w:szCs w:val="20"/>
        </w:rPr>
        <w:t>a</w:t>
      </w:r>
      <w:r w:rsidRPr="005B2A49">
        <w:rPr>
          <w:rFonts w:ascii="Arial" w:hAnsi="Arial" w:cs="Arial"/>
          <w:sz w:val="22"/>
          <w:szCs w:val="20"/>
        </w:rPr>
        <w:t xml:space="preserve"> območj</w:t>
      </w:r>
      <w:r w:rsidR="00375F08" w:rsidRPr="005B2A49">
        <w:rPr>
          <w:rFonts w:ascii="Arial" w:hAnsi="Arial" w:cs="Arial"/>
          <w:sz w:val="22"/>
          <w:szCs w:val="20"/>
        </w:rPr>
        <w:t>a</w:t>
      </w:r>
      <w:r w:rsidRPr="005B2A49">
        <w:rPr>
          <w:rFonts w:ascii="Arial" w:hAnsi="Arial" w:cs="Arial"/>
          <w:sz w:val="22"/>
          <w:szCs w:val="20"/>
        </w:rPr>
        <w:t xml:space="preserve"> (518.626 EUR) skoraj </w:t>
      </w:r>
      <w:r w:rsidR="002D53C7" w:rsidRPr="005B2A49">
        <w:rPr>
          <w:rFonts w:ascii="Arial" w:hAnsi="Arial" w:cs="Arial"/>
          <w:sz w:val="22"/>
          <w:szCs w:val="20"/>
        </w:rPr>
        <w:t>dvakrat</w:t>
      </w:r>
      <w:r w:rsidRPr="005B2A49">
        <w:rPr>
          <w:rFonts w:ascii="Arial" w:hAnsi="Arial" w:cs="Arial"/>
          <w:sz w:val="22"/>
          <w:szCs w:val="20"/>
        </w:rPr>
        <w:t xml:space="preserve"> nižja od povprečja BDV/vlogo </w:t>
      </w:r>
      <w:r w:rsidR="00CA76EC" w:rsidRPr="005B2A49">
        <w:rPr>
          <w:rFonts w:ascii="Arial" w:hAnsi="Arial" w:cs="Arial"/>
          <w:sz w:val="22"/>
          <w:szCs w:val="20"/>
        </w:rPr>
        <w:t xml:space="preserve">na </w:t>
      </w:r>
      <w:r w:rsidR="00375F08" w:rsidRPr="005B2A49">
        <w:rPr>
          <w:rFonts w:ascii="Arial" w:hAnsi="Arial" w:cs="Arial"/>
          <w:sz w:val="22"/>
          <w:szCs w:val="20"/>
        </w:rPr>
        <w:t>območjih izven OMD</w:t>
      </w:r>
      <w:r w:rsidR="00CA76EC" w:rsidRPr="005B2A49">
        <w:rPr>
          <w:rFonts w:ascii="Arial" w:hAnsi="Arial" w:cs="Arial"/>
          <w:sz w:val="22"/>
          <w:szCs w:val="20"/>
        </w:rPr>
        <w:t xml:space="preserve"> </w:t>
      </w:r>
      <w:r w:rsidRPr="005B2A49">
        <w:rPr>
          <w:rFonts w:ascii="Arial" w:hAnsi="Arial" w:cs="Arial"/>
          <w:sz w:val="22"/>
          <w:szCs w:val="20"/>
        </w:rPr>
        <w:t xml:space="preserve">(1.420.008 EUR). Ob tem je potrebno izpostaviti, da je najvišja BDV/vlogo na OMD </w:t>
      </w:r>
      <w:r w:rsidR="00375F08" w:rsidRPr="005B2A49">
        <w:rPr>
          <w:rFonts w:ascii="Arial" w:hAnsi="Arial" w:cs="Arial"/>
          <w:sz w:val="22"/>
          <w:szCs w:val="20"/>
        </w:rPr>
        <w:t>– izven gorskih območij</w:t>
      </w:r>
      <w:r w:rsidRPr="005B2A49">
        <w:rPr>
          <w:rFonts w:ascii="Arial" w:hAnsi="Arial" w:cs="Arial"/>
          <w:sz w:val="22"/>
          <w:szCs w:val="20"/>
        </w:rPr>
        <w:t xml:space="preserve"> (1.861.906 EUR). </w:t>
      </w:r>
    </w:p>
    <w:p w14:paraId="06249A27" w14:textId="77777777" w:rsidR="0094131C" w:rsidRDefault="0094131C" w:rsidP="007613FE">
      <w:pPr>
        <w:pStyle w:val="Default"/>
        <w:spacing w:line="260" w:lineRule="atLeast"/>
        <w:jc w:val="both"/>
        <w:rPr>
          <w:rFonts w:ascii="Arial" w:hAnsi="Arial" w:cs="Arial"/>
          <w:sz w:val="20"/>
          <w:szCs w:val="20"/>
        </w:rPr>
      </w:pPr>
    </w:p>
    <w:p w14:paraId="452E6CE8" w14:textId="1255013C" w:rsidR="004541CC" w:rsidRPr="009F3567" w:rsidRDefault="004541CC" w:rsidP="00130171">
      <w:pPr>
        <w:pStyle w:val="SCSlika0"/>
      </w:pPr>
      <w:bookmarkStart w:id="3083" w:name="_Toc86822720"/>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48</w:t>
      </w:r>
      <w:r w:rsidR="009F2591">
        <w:rPr>
          <w:noProof/>
        </w:rPr>
        <w:fldChar w:fldCharType="end"/>
      </w:r>
      <w:r w:rsidRPr="009F3567">
        <w:t>: Primerjava ekonomskih kazalnikov: BDV/vlogo, Prihodek/PDM, Skupni prihodek kmetijske dejavnosti in Skupni prihodek nekmetijske dejavnosti glede na OMD za podprte naložbe v okviru podukrepa M</w:t>
      </w:r>
      <w:r w:rsidR="002D53C7">
        <w:t>0</w:t>
      </w:r>
      <w:r w:rsidRPr="009F3567">
        <w:t>4.</w:t>
      </w:r>
      <w:r w:rsidR="00CA76EC">
        <w:t>2</w:t>
      </w:r>
      <w:r w:rsidR="00CA76EC" w:rsidRPr="009F3567">
        <w:t xml:space="preserve"> </w:t>
      </w:r>
      <w:r w:rsidRPr="009F3567">
        <w:t>PRP 2014–2020 (stanje 30. 4. 2020) v EUR</w:t>
      </w:r>
      <w:bookmarkEnd w:id="3083"/>
      <w:r>
        <w:t xml:space="preserve"> </w:t>
      </w:r>
    </w:p>
    <w:p w14:paraId="37401199" w14:textId="77777777" w:rsidR="00754A51" w:rsidRDefault="00754A51" w:rsidP="009F3567">
      <w:pPr>
        <w:pStyle w:val="Default"/>
        <w:spacing w:line="276" w:lineRule="auto"/>
        <w:jc w:val="both"/>
        <w:rPr>
          <w:rFonts w:ascii="Arial" w:hAnsi="Arial" w:cs="Arial"/>
          <w:sz w:val="20"/>
          <w:szCs w:val="20"/>
        </w:rPr>
      </w:pPr>
      <w:r>
        <w:rPr>
          <w:noProof/>
          <w:lang w:eastAsia="sl-SI"/>
        </w:rPr>
        <w:drawing>
          <wp:inline distT="0" distB="0" distL="0" distR="0" wp14:anchorId="2AF28438" wp14:editId="60FF3222">
            <wp:extent cx="5760720" cy="2150669"/>
            <wp:effectExtent l="0" t="0" r="11430" b="2540"/>
            <wp:docPr id="1631865584" name="Grafikon 1631865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FEFFB8A" w14:textId="77777777" w:rsidR="00754A51" w:rsidRPr="003E65EF" w:rsidRDefault="004541CC" w:rsidP="009F3567">
      <w:pPr>
        <w:spacing w:before="0" w:line="276" w:lineRule="auto"/>
        <w:rPr>
          <w:sz w:val="16"/>
          <w:szCs w:val="16"/>
          <w:lang w:eastAsia="en-US"/>
        </w:rPr>
      </w:pPr>
      <w:r>
        <w:rPr>
          <w:sz w:val="16"/>
          <w:szCs w:val="16"/>
        </w:rPr>
        <w:t>Vir: MKGP</w:t>
      </w:r>
    </w:p>
    <w:p w14:paraId="2491B89F" w14:textId="77777777" w:rsidR="00754A51" w:rsidRDefault="00754A51" w:rsidP="007613FE">
      <w:pPr>
        <w:pStyle w:val="Odstavek1"/>
      </w:pPr>
    </w:p>
    <w:p w14:paraId="05647D4A" w14:textId="7723940B" w:rsidR="00754A51" w:rsidRDefault="00754A51" w:rsidP="007613FE">
      <w:pPr>
        <w:pStyle w:val="Odstavek1"/>
      </w:pPr>
      <w:r>
        <w:t xml:space="preserve">Več kot 50 % naložb v dopolnilne dejavnosti izvajajo </w:t>
      </w:r>
      <w:r w:rsidR="00C06B99">
        <w:t>KMG</w:t>
      </w:r>
      <w:r>
        <w:t xml:space="preserve"> na OMD </w:t>
      </w:r>
      <w:r w:rsidR="00375F08">
        <w:t xml:space="preserve">- gorska območja </w:t>
      </w:r>
      <w:r>
        <w:t>(52 % vseh), sledijo kmetijska gospod</w:t>
      </w:r>
      <w:r w:rsidR="00BC569B">
        <w:t xml:space="preserve">arstva na </w:t>
      </w:r>
      <w:r w:rsidR="00CA76EC" w:rsidRPr="00CA76EC">
        <w:t>območjih</w:t>
      </w:r>
      <w:r w:rsidR="00BC569B">
        <w:t xml:space="preserve"> </w:t>
      </w:r>
      <w:r w:rsidR="00375F08">
        <w:t xml:space="preserve">izven OMD </w:t>
      </w:r>
      <w:r w:rsidR="00BC569B">
        <w:t>(32 % dopolni</w:t>
      </w:r>
      <w:r>
        <w:t>l</w:t>
      </w:r>
      <w:r w:rsidR="00BC569B">
        <w:t>n</w:t>
      </w:r>
      <w:r>
        <w:t xml:space="preserve">ih dejavnosti) ter tista na OMD </w:t>
      </w:r>
      <w:r w:rsidR="00375F08">
        <w:t xml:space="preserve">– izven gorskih </w:t>
      </w:r>
      <w:r>
        <w:t xml:space="preserve">območjih (15 % vseh dopolnilnih dejavnosti). </w:t>
      </w:r>
    </w:p>
    <w:p w14:paraId="7B2724F8" w14:textId="77777777" w:rsidR="00754A51" w:rsidRDefault="00754A51" w:rsidP="007613FE">
      <w:pPr>
        <w:pStyle w:val="Odstavek1"/>
      </w:pPr>
    </w:p>
    <w:p w14:paraId="27C23AED" w14:textId="10B7B1AE" w:rsidR="00754A51" w:rsidRDefault="00754A51" w:rsidP="00130171">
      <w:pPr>
        <w:pStyle w:val="SCPreglednica"/>
      </w:pPr>
      <w:bookmarkStart w:id="3084" w:name="_Toc86822647"/>
      <w:r w:rsidRPr="009F3567">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9</w:t>
      </w:r>
      <w:r w:rsidR="009F2591">
        <w:rPr>
          <w:noProof/>
        </w:rPr>
        <w:fldChar w:fldCharType="end"/>
      </w:r>
      <w:r w:rsidRPr="009F3567">
        <w:t xml:space="preserve">: Celotna vrednost podprtih naložb v okviru podukrepa M4.2 PRP 2014-2020 (30.4.2020) glede na OMD in vrsto </w:t>
      </w:r>
      <w:r w:rsidR="00E636E4">
        <w:t>naložbe</w:t>
      </w:r>
      <w:bookmarkEnd w:id="3084"/>
    </w:p>
    <w:p w14:paraId="09AEB536" w14:textId="77777777" w:rsidR="004541CC" w:rsidRPr="003E65EF" w:rsidRDefault="004541CC" w:rsidP="007613FE">
      <w:pPr>
        <w:pStyle w:val="Odstavek1"/>
        <w:rPr>
          <w:sz w:val="16"/>
          <w:szCs w:val="16"/>
        </w:rPr>
      </w:pPr>
    </w:p>
    <w:tbl>
      <w:tblPr>
        <w:tblW w:w="8480" w:type="dxa"/>
        <w:tblCellMar>
          <w:left w:w="70" w:type="dxa"/>
          <w:right w:w="70" w:type="dxa"/>
        </w:tblCellMar>
        <w:tblLook w:val="04A0" w:firstRow="1" w:lastRow="0" w:firstColumn="1" w:lastColumn="0" w:noHBand="0" w:noVBand="1"/>
      </w:tblPr>
      <w:tblGrid>
        <w:gridCol w:w="2720"/>
        <w:gridCol w:w="1440"/>
        <w:gridCol w:w="1400"/>
        <w:gridCol w:w="1480"/>
        <w:gridCol w:w="1440"/>
      </w:tblGrid>
      <w:tr w:rsidR="00754A51" w:rsidRPr="00DE40F0" w14:paraId="48DF5D50" w14:textId="77777777" w:rsidTr="009F3567">
        <w:trPr>
          <w:trHeight w:val="288"/>
        </w:trPr>
        <w:tc>
          <w:tcPr>
            <w:tcW w:w="27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E6A8DBF" w14:textId="7F4AAAEE" w:rsidR="00754A51" w:rsidRPr="00DE40F0" w:rsidRDefault="00E636E4" w:rsidP="009F3567">
            <w:pPr>
              <w:spacing w:before="0" w:line="276" w:lineRule="auto"/>
              <w:jc w:val="center"/>
              <w:rPr>
                <w:b/>
                <w:bCs/>
                <w:color w:val="000000"/>
                <w:sz w:val="16"/>
                <w:szCs w:val="16"/>
                <w:lang w:eastAsia="sl-SI"/>
              </w:rPr>
            </w:pPr>
            <w:r>
              <w:rPr>
                <w:b/>
                <w:bCs/>
                <w:color w:val="000000"/>
                <w:sz w:val="16"/>
                <w:szCs w:val="16"/>
                <w:lang w:eastAsia="sl-SI"/>
              </w:rPr>
              <w:t>Vrsta naložbe</w:t>
            </w:r>
          </w:p>
        </w:tc>
        <w:tc>
          <w:tcPr>
            <w:tcW w:w="5760" w:type="dxa"/>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8CC838C" w14:textId="6E8C64DE" w:rsidR="00754A51" w:rsidRPr="00DE40F0" w:rsidRDefault="00754A51" w:rsidP="009F3567">
            <w:pPr>
              <w:spacing w:before="0" w:line="276" w:lineRule="auto"/>
              <w:jc w:val="center"/>
              <w:rPr>
                <w:b/>
                <w:bCs/>
                <w:color w:val="000000"/>
                <w:sz w:val="16"/>
                <w:szCs w:val="16"/>
                <w:lang w:eastAsia="sl-SI"/>
              </w:rPr>
            </w:pPr>
            <w:r w:rsidRPr="00DE40F0">
              <w:rPr>
                <w:b/>
                <w:bCs/>
                <w:color w:val="000000"/>
                <w:sz w:val="16"/>
                <w:szCs w:val="16"/>
                <w:lang w:eastAsia="sl-SI"/>
              </w:rPr>
              <w:t>Višina vrednosti naložb glede na OMD (EUR)</w:t>
            </w:r>
          </w:p>
        </w:tc>
      </w:tr>
      <w:tr w:rsidR="00375F08" w:rsidRPr="00DE40F0" w14:paraId="1997BEF2" w14:textId="77777777" w:rsidTr="009F3567">
        <w:trPr>
          <w:trHeight w:val="528"/>
        </w:trPr>
        <w:tc>
          <w:tcPr>
            <w:tcW w:w="27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0B9C88" w14:textId="77777777" w:rsidR="00375F08" w:rsidRPr="00DE40F0" w:rsidRDefault="00375F08" w:rsidP="00375F08">
            <w:pPr>
              <w:spacing w:before="0" w:line="276" w:lineRule="auto"/>
              <w:jc w:val="left"/>
              <w:rPr>
                <w:b/>
                <w:bCs/>
                <w:color w:val="000000"/>
                <w:sz w:val="16"/>
                <w:szCs w:val="16"/>
                <w:lang w:eastAsia="sl-SI"/>
              </w:rPr>
            </w:pPr>
          </w:p>
        </w:tc>
        <w:tc>
          <w:tcPr>
            <w:tcW w:w="1440" w:type="dxa"/>
            <w:tcBorders>
              <w:top w:val="nil"/>
              <w:left w:val="nil"/>
              <w:bottom w:val="single" w:sz="4" w:space="0" w:color="auto"/>
              <w:right w:val="single" w:sz="4" w:space="0" w:color="auto"/>
            </w:tcBorders>
            <w:shd w:val="clear" w:color="auto" w:fill="C6D9F1" w:themeFill="text2" w:themeFillTint="33"/>
            <w:vAlign w:val="center"/>
            <w:hideMark/>
          </w:tcPr>
          <w:p w14:paraId="2480D869" w14:textId="668D3BAA" w:rsidR="00375F08" w:rsidRPr="00DE40F0" w:rsidRDefault="00375F08" w:rsidP="00375F08">
            <w:pPr>
              <w:spacing w:before="0" w:line="276" w:lineRule="auto"/>
              <w:jc w:val="center"/>
              <w:rPr>
                <w:b/>
                <w:bCs/>
                <w:color w:val="000000"/>
                <w:sz w:val="16"/>
                <w:szCs w:val="16"/>
                <w:lang w:eastAsia="sl-SI"/>
              </w:rPr>
            </w:pPr>
            <w:r w:rsidRPr="00EB3C1B">
              <w:rPr>
                <w:b/>
                <w:color w:val="000000"/>
                <w:sz w:val="16"/>
                <w:szCs w:val="16"/>
                <w:lang w:eastAsia="sl-SI"/>
              </w:rPr>
              <w:t>OMD – gorska območja (13.1)</w:t>
            </w:r>
          </w:p>
        </w:tc>
        <w:tc>
          <w:tcPr>
            <w:tcW w:w="1400" w:type="dxa"/>
            <w:tcBorders>
              <w:top w:val="nil"/>
              <w:left w:val="nil"/>
              <w:bottom w:val="single" w:sz="4" w:space="0" w:color="auto"/>
              <w:right w:val="single" w:sz="4" w:space="0" w:color="auto"/>
            </w:tcBorders>
            <w:shd w:val="clear" w:color="auto" w:fill="C6D9F1" w:themeFill="text2" w:themeFillTint="33"/>
            <w:vAlign w:val="center"/>
            <w:hideMark/>
          </w:tcPr>
          <w:p w14:paraId="2BCCE9C8" w14:textId="77777777" w:rsidR="00375F08" w:rsidRPr="00EB3C1B" w:rsidRDefault="00375F08" w:rsidP="00375F08">
            <w:pPr>
              <w:spacing w:before="0" w:line="276" w:lineRule="auto"/>
              <w:jc w:val="center"/>
              <w:rPr>
                <w:b/>
                <w:color w:val="000000"/>
                <w:sz w:val="16"/>
                <w:szCs w:val="16"/>
                <w:lang w:eastAsia="sl-SI"/>
              </w:rPr>
            </w:pPr>
            <w:r w:rsidRPr="00EB3C1B">
              <w:rPr>
                <w:b/>
                <w:color w:val="000000"/>
                <w:sz w:val="16"/>
                <w:szCs w:val="16"/>
                <w:lang w:eastAsia="sl-SI"/>
              </w:rPr>
              <w:t xml:space="preserve">OMD – izven gorskih območij </w:t>
            </w:r>
          </w:p>
          <w:p w14:paraId="7DFB0729" w14:textId="5336DF98" w:rsidR="00375F08" w:rsidRPr="00DE40F0" w:rsidRDefault="00375F08" w:rsidP="00375F08">
            <w:pPr>
              <w:spacing w:before="0" w:line="276" w:lineRule="auto"/>
              <w:jc w:val="center"/>
              <w:rPr>
                <w:b/>
                <w:bCs/>
                <w:color w:val="000000"/>
                <w:sz w:val="16"/>
                <w:szCs w:val="16"/>
                <w:lang w:eastAsia="sl-SI"/>
              </w:rPr>
            </w:pPr>
            <w:r w:rsidRPr="00EB3C1B">
              <w:rPr>
                <w:b/>
                <w:color w:val="000000"/>
                <w:sz w:val="16"/>
                <w:szCs w:val="16"/>
                <w:lang w:eastAsia="sl-SI"/>
              </w:rPr>
              <w:t>(13.2 in 13.3)</w:t>
            </w:r>
          </w:p>
        </w:tc>
        <w:tc>
          <w:tcPr>
            <w:tcW w:w="1480" w:type="dxa"/>
            <w:tcBorders>
              <w:top w:val="nil"/>
              <w:left w:val="nil"/>
              <w:bottom w:val="single" w:sz="4" w:space="0" w:color="auto"/>
              <w:right w:val="single" w:sz="4" w:space="0" w:color="auto"/>
            </w:tcBorders>
            <w:shd w:val="clear" w:color="auto" w:fill="C6D9F1" w:themeFill="text2" w:themeFillTint="33"/>
            <w:vAlign w:val="center"/>
            <w:hideMark/>
          </w:tcPr>
          <w:p w14:paraId="224EB9FD" w14:textId="7B2CA734" w:rsidR="00375F08" w:rsidRPr="00DE40F0" w:rsidRDefault="00375F08" w:rsidP="00375F08">
            <w:pPr>
              <w:spacing w:before="0" w:line="276" w:lineRule="auto"/>
              <w:jc w:val="center"/>
              <w:rPr>
                <w:b/>
                <w:bCs/>
                <w:color w:val="000000"/>
                <w:sz w:val="16"/>
                <w:szCs w:val="16"/>
                <w:lang w:eastAsia="sl-SI"/>
              </w:rPr>
            </w:pPr>
            <w:r w:rsidRPr="00EB3C1B">
              <w:rPr>
                <w:b/>
                <w:sz w:val="16"/>
                <w:szCs w:val="16"/>
              </w:rPr>
              <w:t xml:space="preserve">ne OMD </w:t>
            </w:r>
          </w:p>
        </w:tc>
        <w:tc>
          <w:tcPr>
            <w:tcW w:w="1440" w:type="dxa"/>
            <w:tcBorders>
              <w:top w:val="nil"/>
              <w:left w:val="nil"/>
              <w:bottom w:val="single" w:sz="4" w:space="0" w:color="auto"/>
              <w:right w:val="single" w:sz="4" w:space="0" w:color="auto"/>
            </w:tcBorders>
            <w:shd w:val="clear" w:color="auto" w:fill="C6D9F1" w:themeFill="text2" w:themeFillTint="33"/>
            <w:vAlign w:val="center"/>
            <w:hideMark/>
          </w:tcPr>
          <w:p w14:paraId="4141EFC2" w14:textId="77777777" w:rsidR="00375F08" w:rsidRPr="00DE40F0" w:rsidRDefault="00375F08" w:rsidP="00375F08">
            <w:pPr>
              <w:spacing w:before="0" w:line="276" w:lineRule="auto"/>
              <w:jc w:val="center"/>
              <w:rPr>
                <w:b/>
                <w:bCs/>
                <w:color w:val="000000"/>
                <w:sz w:val="16"/>
                <w:szCs w:val="16"/>
                <w:lang w:eastAsia="sl-SI"/>
              </w:rPr>
            </w:pPr>
            <w:r w:rsidRPr="00DE40F0">
              <w:rPr>
                <w:b/>
                <w:bCs/>
                <w:color w:val="000000"/>
                <w:sz w:val="16"/>
                <w:szCs w:val="16"/>
                <w:lang w:eastAsia="sl-SI"/>
              </w:rPr>
              <w:t>skupaj</w:t>
            </w:r>
          </w:p>
        </w:tc>
      </w:tr>
      <w:tr w:rsidR="00754A51" w:rsidRPr="00DE40F0" w14:paraId="00C3C663"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6D84F8BE"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1_predelava in trženje</w:t>
            </w:r>
          </w:p>
        </w:tc>
        <w:tc>
          <w:tcPr>
            <w:tcW w:w="1440" w:type="dxa"/>
            <w:tcBorders>
              <w:top w:val="nil"/>
              <w:left w:val="nil"/>
              <w:bottom w:val="single" w:sz="4" w:space="0" w:color="auto"/>
              <w:right w:val="single" w:sz="4" w:space="0" w:color="auto"/>
            </w:tcBorders>
            <w:shd w:val="clear" w:color="auto" w:fill="auto"/>
            <w:noWrap/>
            <w:vAlign w:val="center"/>
            <w:hideMark/>
          </w:tcPr>
          <w:p w14:paraId="21477F05"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3.203.641</w:t>
            </w:r>
          </w:p>
        </w:tc>
        <w:tc>
          <w:tcPr>
            <w:tcW w:w="1400" w:type="dxa"/>
            <w:tcBorders>
              <w:top w:val="nil"/>
              <w:left w:val="nil"/>
              <w:bottom w:val="single" w:sz="4" w:space="0" w:color="auto"/>
              <w:right w:val="single" w:sz="4" w:space="0" w:color="auto"/>
            </w:tcBorders>
            <w:shd w:val="clear" w:color="auto" w:fill="auto"/>
            <w:noWrap/>
            <w:vAlign w:val="center"/>
            <w:hideMark/>
          </w:tcPr>
          <w:p w14:paraId="4EE0AF2B"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405.022</w:t>
            </w:r>
          </w:p>
        </w:tc>
        <w:tc>
          <w:tcPr>
            <w:tcW w:w="1480" w:type="dxa"/>
            <w:tcBorders>
              <w:top w:val="nil"/>
              <w:left w:val="nil"/>
              <w:bottom w:val="single" w:sz="4" w:space="0" w:color="auto"/>
              <w:right w:val="single" w:sz="4" w:space="0" w:color="auto"/>
            </w:tcBorders>
            <w:shd w:val="clear" w:color="auto" w:fill="auto"/>
            <w:noWrap/>
            <w:vAlign w:val="center"/>
            <w:hideMark/>
          </w:tcPr>
          <w:p w14:paraId="1CACE1FC"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2.109.215</w:t>
            </w:r>
          </w:p>
        </w:tc>
        <w:tc>
          <w:tcPr>
            <w:tcW w:w="1440" w:type="dxa"/>
            <w:tcBorders>
              <w:top w:val="nil"/>
              <w:left w:val="nil"/>
              <w:bottom w:val="single" w:sz="4" w:space="0" w:color="auto"/>
              <w:right w:val="single" w:sz="4" w:space="0" w:color="auto"/>
            </w:tcBorders>
            <w:shd w:val="clear" w:color="auto" w:fill="auto"/>
            <w:noWrap/>
            <w:vAlign w:val="center"/>
            <w:hideMark/>
          </w:tcPr>
          <w:p w14:paraId="2F664076"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5.717.878</w:t>
            </w:r>
          </w:p>
        </w:tc>
      </w:tr>
      <w:tr w:rsidR="00754A51" w:rsidRPr="00DE40F0" w14:paraId="6872AC5B"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19E7D6F"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2_predelava</w:t>
            </w:r>
          </w:p>
        </w:tc>
        <w:tc>
          <w:tcPr>
            <w:tcW w:w="1440" w:type="dxa"/>
            <w:tcBorders>
              <w:top w:val="nil"/>
              <w:left w:val="nil"/>
              <w:bottom w:val="single" w:sz="4" w:space="0" w:color="auto"/>
              <w:right w:val="single" w:sz="4" w:space="0" w:color="auto"/>
            </w:tcBorders>
            <w:shd w:val="clear" w:color="auto" w:fill="auto"/>
            <w:noWrap/>
            <w:vAlign w:val="center"/>
            <w:hideMark/>
          </w:tcPr>
          <w:p w14:paraId="683EF160"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25.128.883</w:t>
            </w:r>
          </w:p>
        </w:tc>
        <w:tc>
          <w:tcPr>
            <w:tcW w:w="1400" w:type="dxa"/>
            <w:tcBorders>
              <w:top w:val="nil"/>
              <w:left w:val="nil"/>
              <w:bottom w:val="single" w:sz="4" w:space="0" w:color="auto"/>
              <w:right w:val="single" w:sz="4" w:space="0" w:color="auto"/>
            </w:tcBorders>
            <w:shd w:val="clear" w:color="auto" w:fill="auto"/>
            <w:noWrap/>
            <w:vAlign w:val="center"/>
            <w:hideMark/>
          </w:tcPr>
          <w:p w14:paraId="51BEE463"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8.023.954</w:t>
            </w:r>
          </w:p>
        </w:tc>
        <w:tc>
          <w:tcPr>
            <w:tcW w:w="1480" w:type="dxa"/>
            <w:tcBorders>
              <w:top w:val="nil"/>
              <w:left w:val="nil"/>
              <w:bottom w:val="single" w:sz="4" w:space="0" w:color="auto"/>
              <w:right w:val="single" w:sz="4" w:space="0" w:color="auto"/>
            </w:tcBorders>
            <w:shd w:val="clear" w:color="auto" w:fill="auto"/>
            <w:noWrap/>
            <w:vAlign w:val="center"/>
            <w:hideMark/>
          </w:tcPr>
          <w:p w14:paraId="234C951D"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33.252.626</w:t>
            </w:r>
          </w:p>
        </w:tc>
        <w:tc>
          <w:tcPr>
            <w:tcW w:w="1440" w:type="dxa"/>
            <w:tcBorders>
              <w:top w:val="nil"/>
              <w:left w:val="nil"/>
              <w:bottom w:val="single" w:sz="4" w:space="0" w:color="auto"/>
              <w:right w:val="single" w:sz="4" w:space="0" w:color="auto"/>
            </w:tcBorders>
            <w:shd w:val="clear" w:color="auto" w:fill="auto"/>
            <w:noWrap/>
            <w:vAlign w:val="center"/>
            <w:hideMark/>
          </w:tcPr>
          <w:p w14:paraId="4C0149A2"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66.405.462</w:t>
            </w:r>
          </w:p>
        </w:tc>
      </w:tr>
      <w:tr w:rsidR="00754A51" w:rsidRPr="00DE40F0" w14:paraId="70D0D45A" w14:textId="77777777" w:rsidTr="00754A51">
        <w:trPr>
          <w:trHeight w:val="288"/>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124B1D77" w14:textId="77777777" w:rsidR="00754A51" w:rsidRPr="00DE40F0" w:rsidRDefault="00754A51" w:rsidP="009F3567">
            <w:pPr>
              <w:spacing w:before="0" w:line="276" w:lineRule="auto"/>
              <w:jc w:val="left"/>
              <w:rPr>
                <w:color w:val="000000"/>
                <w:sz w:val="16"/>
                <w:szCs w:val="16"/>
                <w:lang w:eastAsia="sl-SI"/>
              </w:rPr>
            </w:pPr>
            <w:r w:rsidRPr="00DE40F0">
              <w:rPr>
                <w:color w:val="000000"/>
                <w:sz w:val="16"/>
                <w:szCs w:val="16"/>
                <w:lang w:eastAsia="sl-SI"/>
              </w:rPr>
              <w:t>3_trženje</w:t>
            </w:r>
          </w:p>
        </w:tc>
        <w:tc>
          <w:tcPr>
            <w:tcW w:w="1440" w:type="dxa"/>
            <w:tcBorders>
              <w:top w:val="nil"/>
              <w:left w:val="nil"/>
              <w:bottom w:val="single" w:sz="4" w:space="0" w:color="auto"/>
              <w:right w:val="single" w:sz="4" w:space="0" w:color="auto"/>
            </w:tcBorders>
            <w:shd w:val="clear" w:color="auto" w:fill="auto"/>
            <w:noWrap/>
            <w:vAlign w:val="center"/>
            <w:hideMark/>
          </w:tcPr>
          <w:p w14:paraId="66B6221D"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985.381</w:t>
            </w:r>
          </w:p>
        </w:tc>
        <w:tc>
          <w:tcPr>
            <w:tcW w:w="1400" w:type="dxa"/>
            <w:tcBorders>
              <w:top w:val="nil"/>
              <w:left w:val="nil"/>
              <w:bottom w:val="single" w:sz="4" w:space="0" w:color="auto"/>
              <w:right w:val="single" w:sz="4" w:space="0" w:color="auto"/>
            </w:tcBorders>
            <w:shd w:val="clear" w:color="auto" w:fill="auto"/>
            <w:noWrap/>
            <w:vAlign w:val="center"/>
            <w:hideMark/>
          </w:tcPr>
          <w:p w14:paraId="7447A21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37.973</w:t>
            </w:r>
          </w:p>
        </w:tc>
        <w:tc>
          <w:tcPr>
            <w:tcW w:w="1480" w:type="dxa"/>
            <w:tcBorders>
              <w:top w:val="nil"/>
              <w:left w:val="nil"/>
              <w:bottom w:val="single" w:sz="4" w:space="0" w:color="auto"/>
              <w:right w:val="single" w:sz="4" w:space="0" w:color="auto"/>
            </w:tcBorders>
            <w:shd w:val="clear" w:color="auto" w:fill="auto"/>
            <w:noWrap/>
            <w:vAlign w:val="center"/>
            <w:hideMark/>
          </w:tcPr>
          <w:p w14:paraId="7B22AB0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1.204.346</w:t>
            </w:r>
          </w:p>
        </w:tc>
        <w:tc>
          <w:tcPr>
            <w:tcW w:w="1440" w:type="dxa"/>
            <w:tcBorders>
              <w:top w:val="nil"/>
              <w:left w:val="nil"/>
              <w:bottom w:val="single" w:sz="4" w:space="0" w:color="auto"/>
              <w:right w:val="single" w:sz="4" w:space="0" w:color="auto"/>
            </w:tcBorders>
            <w:shd w:val="clear" w:color="auto" w:fill="auto"/>
            <w:noWrap/>
            <w:vAlign w:val="center"/>
            <w:hideMark/>
          </w:tcPr>
          <w:p w14:paraId="7C08988A" w14:textId="77777777" w:rsidR="00754A51" w:rsidRPr="00DE40F0" w:rsidRDefault="00754A51" w:rsidP="009F3567">
            <w:pPr>
              <w:spacing w:before="0" w:line="276" w:lineRule="auto"/>
              <w:jc w:val="right"/>
              <w:rPr>
                <w:color w:val="000000"/>
                <w:sz w:val="16"/>
                <w:szCs w:val="16"/>
                <w:lang w:eastAsia="sl-SI"/>
              </w:rPr>
            </w:pPr>
            <w:r w:rsidRPr="00DE40F0">
              <w:rPr>
                <w:color w:val="000000"/>
                <w:sz w:val="16"/>
                <w:szCs w:val="16"/>
                <w:lang w:eastAsia="sl-SI"/>
              </w:rPr>
              <w:t>2.227.700</w:t>
            </w:r>
          </w:p>
        </w:tc>
      </w:tr>
      <w:tr w:rsidR="00754A51" w:rsidRPr="00DE40F0" w14:paraId="09A33BB9" w14:textId="77777777" w:rsidTr="009F3567">
        <w:trPr>
          <w:trHeight w:val="288"/>
        </w:trPr>
        <w:tc>
          <w:tcPr>
            <w:tcW w:w="27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66F6208" w14:textId="77777777" w:rsidR="00754A51" w:rsidRPr="00DE40F0" w:rsidRDefault="00754A51" w:rsidP="009F3567">
            <w:pPr>
              <w:spacing w:before="0" w:line="276" w:lineRule="auto"/>
              <w:jc w:val="left"/>
              <w:rPr>
                <w:b/>
                <w:bCs/>
                <w:color w:val="000000"/>
                <w:sz w:val="16"/>
                <w:szCs w:val="16"/>
                <w:lang w:eastAsia="sl-SI"/>
              </w:rPr>
            </w:pPr>
            <w:r w:rsidRPr="00DE40F0">
              <w:rPr>
                <w:b/>
                <w:bCs/>
                <w:color w:val="000000"/>
                <w:sz w:val="16"/>
                <w:szCs w:val="16"/>
                <w:lang w:eastAsia="sl-SI"/>
              </w:rPr>
              <w:t>Skupaj</w:t>
            </w:r>
          </w:p>
        </w:tc>
        <w:tc>
          <w:tcPr>
            <w:tcW w:w="1440" w:type="dxa"/>
            <w:tcBorders>
              <w:top w:val="nil"/>
              <w:left w:val="nil"/>
              <w:bottom w:val="single" w:sz="4" w:space="0" w:color="auto"/>
              <w:right w:val="single" w:sz="4" w:space="0" w:color="auto"/>
            </w:tcBorders>
            <w:shd w:val="clear" w:color="auto" w:fill="C6D9F1" w:themeFill="text2" w:themeFillTint="33"/>
            <w:noWrap/>
            <w:vAlign w:val="center"/>
            <w:hideMark/>
          </w:tcPr>
          <w:p w14:paraId="4A107E95"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29.317.905</w:t>
            </w:r>
          </w:p>
        </w:tc>
        <w:tc>
          <w:tcPr>
            <w:tcW w:w="1400" w:type="dxa"/>
            <w:tcBorders>
              <w:top w:val="nil"/>
              <w:left w:val="nil"/>
              <w:bottom w:val="single" w:sz="4" w:space="0" w:color="auto"/>
              <w:right w:val="single" w:sz="4" w:space="0" w:color="auto"/>
            </w:tcBorders>
            <w:shd w:val="clear" w:color="auto" w:fill="C6D9F1" w:themeFill="text2" w:themeFillTint="33"/>
            <w:noWrap/>
            <w:vAlign w:val="center"/>
            <w:hideMark/>
          </w:tcPr>
          <w:p w14:paraId="75D50460"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8.466.949</w:t>
            </w:r>
          </w:p>
        </w:tc>
        <w:tc>
          <w:tcPr>
            <w:tcW w:w="1480" w:type="dxa"/>
            <w:tcBorders>
              <w:top w:val="nil"/>
              <w:left w:val="nil"/>
              <w:bottom w:val="single" w:sz="4" w:space="0" w:color="auto"/>
              <w:right w:val="single" w:sz="4" w:space="0" w:color="auto"/>
            </w:tcBorders>
            <w:shd w:val="clear" w:color="auto" w:fill="C6D9F1" w:themeFill="text2" w:themeFillTint="33"/>
            <w:noWrap/>
            <w:vAlign w:val="center"/>
            <w:hideMark/>
          </w:tcPr>
          <w:p w14:paraId="0815C672"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36.566.187</w:t>
            </w:r>
          </w:p>
        </w:tc>
        <w:tc>
          <w:tcPr>
            <w:tcW w:w="1440" w:type="dxa"/>
            <w:tcBorders>
              <w:top w:val="nil"/>
              <w:left w:val="nil"/>
              <w:bottom w:val="single" w:sz="4" w:space="0" w:color="auto"/>
              <w:right w:val="single" w:sz="4" w:space="0" w:color="auto"/>
            </w:tcBorders>
            <w:shd w:val="clear" w:color="auto" w:fill="C6D9F1" w:themeFill="text2" w:themeFillTint="33"/>
            <w:noWrap/>
            <w:vAlign w:val="center"/>
            <w:hideMark/>
          </w:tcPr>
          <w:p w14:paraId="466AC8B9" w14:textId="77777777" w:rsidR="00754A51" w:rsidRPr="00DE40F0" w:rsidRDefault="00754A51" w:rsidP="009F3567">
            <w:pPr>
              <w:spacing w:before="0" w:line="276" w:lineRule="auto"/>
              <w:jc w:val="right"/>
              <w:rPr>
                <w:b/>
                <w:bCs/>
                <w:color w:val="000000"/>
                <w:sz w:val="16"/>
                <w:szCs w:val="16"/>
                <w:lang w:eastAsia="sl-SI"/>
              </w:rPr>
            </w:pPr>
            <w:r w:rsidRPr="00DE40F0">
              <w:rPr>
                <w:b/>
                <w:bCs/>
                <w:color w:val="000000"/>
                <w:sz w:val="16"/>
                <w:szCs w:val="16"/>
                <w:lang w:eastAsia="sl-SI"/>
              </w:rPr>
              <w:t>74.351.040</w:t>
            </w:r>
          </w:p>
        </w:tc>
      </w:tr>
    </w:tbl>
    <w:p w14:paraId="5636EBDE" w14:textId="77777777" w:rsidR="00754A51" w:rsidRPr="00DE40F0" w:rsidRDefault="00754A51" w:rsidP="009F3567">
      <w:pPr>
        <w:spacing w:before="0" w:line="276" w:lineRule="auto"/>
        <w:rPr>
          <w:sz w:val="16"/>
          <w:szCs w:val="16"/>
        </w:rPr>
      </w:pPr>
      <w:r w:rsidRPr="00DE40F0">
        <w:rPr>
          <w:sz w:val="16"/>
          <w:szCs w:val="16"/>
        </w:rPr>
        <w:t>Vir: MK</w:t>
      </w:r>
      <w:r w:rsidR="004541CC">
        <w:rPr>
          <w:sz w:val="16"/>
          <w:szCs w:val="16"/>
        </w:rPr>
        <w:t>GP</w:t>
      </w:r>
    </w:p>
    <w:p w14:paraId="14037E51" w14:textId="77777777" w:rsidR="00754A51" w:rsidRDefault="00754A51" w:rsidP="007613FE">
      <w:pPr>
        <w:pStyle w:val="Default"/>
        <w:spacing w:line="260" w:lineRule="atLeast"/>
        <w:jc w:val="both"/>
        <w:rPr>
          <w:rFonts w:ascii="Arial" w:hAnsi="Arial" w:cs="Arial"/>
          <w:sz w:val="20"/>
          <w:szCs w:val="20"/>
        </w:rPr>
      </w:pPr>
    </w:p>
    <w:p w14:paraId="651194A8" w14:textId="205CA420" w:rsidR="00754A51" w:rsidRDefault="00754A51" w:rsidP="00130171">
      <w:r>
        <w:t xml:space="preserve">Med </w:t>
      </w:r>
      <w:r w:rsidR="00C06B99">
        <w:t>KMG</w:t>
      </w:r>
      <w:r>
        <w:t xml:space="preserve">, ki so vkjučena v oba podukrepa </w:t>
      </w:r>
      <w:r w:rsidR="00821CEE">
        <w:t>M0</w:t>
      </w:r>
      <w:r>
        <w:t xml:space="preserve">4.1 in </w:t>
      </w:r>
      <w:r w:rsidR="00821CEE">
        <w:t>M0</w:t>
      </w:r>
      <w:r>
        <w:t xml:space="preserve">4.2, je največ tistih na </w:t>
      </w:r>
      <w:r w:rsidR="00375F08">
        <w:t xml:space="preserve">OMD - </w:t>
      </w:r>
      <w:r>
        <w:t xml:space="preserve">gorskih območjih (54 %), </w:t>
      </w:r>
      <w:r w:rsidR="00375F08">
        <w:t xml:space="preserve">medtem ko je </w:t>
      </w:r>
      <w:r>
        <w:t xml:space="preserve">delež </w:t>
      </w:r>
      <w:r w:rsidR="00C06B99">
        <w:t>KMG</w:t>
      </w:r>
      <w:r>
        <w:t xml:space="preserve"> na OMD</w:t>
      </w:r>
      <w:r w:rsidR="00375F08">
        <w:t xml:space="preserve"> – izven gorskih </w:t>
      </w:r>
      <w:r>
        <w:t>območ</w:t>
      </w:r>
      <w:r w:rsidR="00C06B99">
        <w:t>i</w:t>
      </w:r>
      <w:r>
        <w:t xml:space="preserve">j (22 %) in </w:t>
      </w:r>
      <w:r w:rsidR="00CA76EC">
        <w:t xml:space="preserve">območjih </w:t>
      </w:r>
      <w:r w:rsidR="00375F08">
        <w:t xml:space="preserve">izven OMD </w:t>
      </w:r>
      <w:r>
        <w:t xml:space="preserve">(24 %) je približno enak.  </w:t>
      </w:r>
    </w:p>
    <w:p w14:paraId="4DB44DE2" w14:textId="4D36F284" w:rsidR="00754A51" w:rsidRDefault="00754A51" w:rsidP="00F3225E">
      <w:pPr>
        <w:pStyle w:val="1"/>
      </w:pPr>
    </w:p>
    <w:p w14:paraId="7C3B850A" w14:textId="24DD479A" w:rsidR="00A743DF" w:rsidRPr="00130171" w:rsidRDefault="00A743DF" w:rsidP="005B2A49">
      <w:pPr>
        <w:pStyle w:val="Naslov2"/>
      </w:pPr>
      <w:bookmarkStart w:id="3085" w:name="_Toc86822559"/>
      <w:r w:rsidRPr="00130171">
        <w:lastRenderedPageBreak/>
        <w:t xml:space="preserve">Analiza podpor kmetijam </w:t>
      </w:r>
      <w:r w:rsidR="00124BB6" w:rsidRPr="00130171">
        <w:t xml:space="preserve">na OMD </w:t>
      </w:r>
      <w:r w:rsidRPr="00130171">
        <w:t xml:space="preserve">v okviru podukrepa </w:t>
      </w:r>
      <w:r w:rsidR="00821CEE" w:rsidRPr="00130171">
        <w:t>M0</w:t>
      </w:r>
      <w:r w:rsidRPr="00130171">
        <w:t xml:space="preserve">6.3 </w:t>
      </w:r>
      <w:r w:rsidR="00A6739E" w:rsidRPr="00130171">
        <w:t xml:space="preserve">Pomoč za zagon dejavnosti, namenjena zagonu majhnih kmetij </w:t>
      </w:r>
      <w:r w:rsidRPr="00130171">
        <w:t>PRP 2014–2020</w:t>
      </w:r>
      <w:bookmarkEnd w:id="3085"/>
      <w:r w:rsidRPr="00130171">
        <w:t xml:space="preserve"> </w:t>
      </w:r>
    </w:p>
    <w:p w14:paraId="126BCA05" w14:textId="77777777" w:rsidR="00754A51" w:rsidRPr="00130171" w:rsidRDefault="00A743DF" w:rsidP="007613FE">
      <w:pPr>
        <w:spacing w:before="0" w:line="260" w:lineRule="atLeast"/>
        <w:rPr>
          <w:szCs w:val="20"/>
        </w:rPr>
      </w:pPr>
      <w:r w:rsidRPr="00130171">
        <w:rPr>
          <w:szCs w:val="20"/>
        </w:rPr>
        <w:t xml:space="preserve"> </w:t>
      </w:r>
    </w:p>
    <w:p w14:paraId="4C31DF2F" w14:textId="5810B14A" w:rsidR="00600C5C" w:rsidRPr="00130171" w:rsidRDefault="00600C5C" w:rsidP="007613FE">
      <w:pPr>
        <w:spacing w:before="0" w:line="260" w:lineRule="atLeast"/>
        <w:rPr>
          <w:szCs w:val="20"/>
        </w:rPr>
      </w:pPr>
      <w:r w:rsidRPr="00130171">
        <w:rPr>
          <w:szCs w:val="20"/>
        </w:rPr>
        <w:t xml:space="preserve">V okviru podukrepa 6.3 je bila podpora specifično namenjena majhnim kmetijam na OMD. Iz analize dveh objavljenih javnih razpisov v višini 40 mio </w:t>
      </w:r>
      <w:r w:rsidR="004879E5" w:rsidRPr="00130171">
        <w:rPr>
          <w:szCs w:val="20"/>
        </w:rPr>
        <w:t>EUR</w:t>
      </w:r>
      <w:r w:rsidRPr="00130171">
        <w:rPr>
          <w:szCs w:val="20"/>
        </w:rPr>
        <w:t xml:space="preserve"> je razvidno, da te majhne kmetije po pričakovanjih pretežno vlagajo v nakup kmetijske mehanizacije. Kar pa je morda</w:t>
      </w:r>
      <w:r w:rsidR="00F92358" w:rsidRPr="00130171">
        <w:rPr>
          <w:szCs w:val="20"/>
        </w:rPr>
        <w:t xml:space="preserve"> nekoliko</w:t>
      </w:r>
      <w:r w:rsidRPr="00130171">
        <w:rPr>
          <w:szCs w:val="20"/>
        </w:rPr>
        <w:t xml:space="preserve"> presenetljiv podatek, pa je, da sta drugi in tretje najpogosteje izbrani razvojni cilj poslovnega načrta nakup IKT opreme in postavitev rastlinjakov. Oba ta cilja sta </w:t>
      </w:r>
      <w:r w:rsidRPr="00130171">
        <w:rPr>
          <w:color w:val="000000"/>
          <w:szCs w:val="20"/>
        </w:rPr>
        <w:t xml:space="preserve">opredeljena kot cilja, ki prispevata k doseganju horizontalnim ciljem inovacije, okolje in podnebne spremembe. Analiza 1. javnega razpisa kaže, da kar 43 % vseh izbranih ciljev predstavljajo cilji, ki prispevajo k doseganju horizontalnih ciljev inovacije, okolje in podnebne spremembe. </w:t>
      </w:r>
    </w:p>
    <w:p w14:paraId="304BDED9" w14:textId="77777777" w:rsidR="00A743DF" w:rsidRDefault="00A743DF" w:rsidP="007613FE">
      <w:pPr>
        <w:spacing w:before="0" w:line="260" w:lineRule="atLeast"/>
        <w:rPr>
          <w:sz w:val="20"/>
          <w:szCs w:val="20"/>
        </w:rPr>
      </w:pPr>
    </w:p>
    <w:p w14:paraId="69B0FD53" w14:textId="48E4AC14" w:rsidR="00600C5C" w:rsidRPr="008949F4" w:rsidRDefault="00551D9B" w:rsidP="00130171">
      <w:pPr>
        <w:pStyle w:val="SCSlika0"/>
      </w:pPr>
      <w:bookmarkStart w:id="3086" w:name="_Toc86822721"/>
      <w:r w:rsidRPr="008949F4">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49</w:t>
      </w:r>
      <w:r w:rsidR="009F2591">
        <w:rPr>
          <w:noProof/>
        </w:rPr>
        <w:fldChar w:fldCharType="end"/>
      </w:r>
      <w:r w:rsidR="00600C5C" w:rsidRPr="008949F4">
        <w:rPr>
          <w:rFonts w:eastAsiaTheme="minorHAnsi"/>
        </w:rPr>
        <w:t>:</w:t>
      </w:r>
      <w:r w:rsidR="000C3B23">
        <w:rPr>
          <w:rFonts w:eastAsiaTheme="minorHAnsi"/>
        </w:rPr>
        <w:t xml:space="preserve"> </w:t>
      </w:r>
      <w:r w:rsidR="00600C5C" w:rsidRPr="008949F4">
        <w:rPr>
          <w:rFonts w:eastAsiaTheme="minorHAnsi"/>
        </w:rPr>
        <w:t xml:space="preserve">Izbrani razvojni cilj majhnih kmetij iz podukrepa </w:t>
      </w:r>
      <w:r w:rsidR="00821CEE">
        <w:rPr>
          <w:rFonts w:eastAsiaTheme="minorHAnsi"/>
        </w:rPr>
        <w:t>M0</w:t>
      </w:r>
      <w:r w:rsidR="00600C5C" w:rsidRPr="008949F4">
        <w:rPr>
          <w:rFonts w:eastAsiaTheme="minorHAnsi"/>
        </w:rPr>
        <w:t xml:space="preserve">6.3 PRP </w:t>
      </w:r>
      <w:r w:rsidR="00EF54A6" w:rsidRPr="008949F4">
        <w:rPr>
          <w:rFonts w:eastAsiaTheme="minorHAnsi"/>
        </w:rPr>
        <w:t>20</w:t>
      </w:r>
      <w:r w:rsidR="00600C5C" w:rsidRPr="008949F4">
        <w:rPr>
          <w:rFonts w:eastAsiaTheme="minorHAnsi"/>
        </w:rPr>
        <w:t>14</w:t>
      </w:r>
      <w:r w:rsidR="00EF54A6" w:rsidRPr="008949F4">
        <w:rPr>
          <w:rFonts w:eastAsiaTheme="minorHAnsi"/>
        </w:rPr>
        <w:t>–</w:t>
      </w:r>
      <w:r w:rsidR="00600C5C" w:rsidRPr="008949F4">
        <w:rPr>
          <w:rFonts w:eastAsiaTheme="minorHAnsi"/>
        </w:rPr>
        <w:t>20</w:t>
      </w:r>
      <w:r w:rsidR="00EF54A6" w:rsidRPr="008949F4">
        <w:rPr>
          <w:rFonts w:eastAsiaTheme="minorHAnsi"/>
        </w:rPr>
        <w:t>20</w:t>
      </w:r>
      <w:bookmarkEnd w:id="3086"/>
    </w:p>
    <w:p w14:paraId="45F358D5" w14:textId="77777777" w:rsidR="00600C5C" w:rsidRDefault="00F92358" w:rsidP="009F3567">
      <w:pPr>
        <w:spacing w:before="0" w:line="276" w:lineRule="auto"/>
        <w:rPr>
          <w:sz w:val="20"/>
          <w:szCs w:val="20"/>
        </w:rPr>
      </w:pPr>
      <w:r>
        <w:rPr>
          <w:noProof/>
          <w:lang w:eastAsia="sl-SI"/>
        </w:rPr>
        <w:drawing>
          <wp:inline distT="0" distB="0" distL="0" distR="0" wp14:anchorId="56CF156A" wp14:editId="61756D14">
            <wp:extent cx="5246078" cy="2221523"/>
            <wp:effectExtent l="0" t="0" r="12065" b="7620"/>
            <wp:docPr id="1631865604" name="Grafikon 1631865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3A3AAA3" w14:textId="77777777" w:rsidR="00600C5C" w:rsidRPr="009F3567" w:rsidRDefault="00600C5C" w:rsidP="009F3567">
      <w:pPr>
        <w:spacing w:before="0" w:line="276" w:lineRule="auto"/>
        <w:rPr>
          <w:sz w:val="16"/>
          <w:szCs w:val="20"/>
        </w:rPr>
      </w:pPr>
      <w:r w:rsidRPr="009F3567">
        <w:rPr>
          <w:sz w:val="16"/>
          <w:szCs w:val="20"/>
        </w:rPr>
        <w:t>Vir: MKGP</w:t>
      </w:r>
    </w:p>
    <w:p w14:paraId="58D5FF16" w14:textId="77777777" w:rsidR="00A743DF" w:rsidRDefault="00A743DF" w:rsidP="007613FE">
      <w:pPr>
        <w:spacing w:before="0" w:line="260" w:lineRule="atLeast"/>
        <w:rPr>
          <w:sz w:val="20"/>
          <w:szCs w:val="20"/>
        </w:rPr>
      </w:pPr>
    </w:p>
    <w:p w14:paraId="13E4E31F" w14:textId="77777777" w:rsidR="007E0775" w:rsidRDefault="007E0775" w:rsidP="007613FE">
      <w:pPr>
        <w:spacing w:before="0" w:line="260" w:lineRule="atLeast"/>
        <w:rPr>
          <w:sz w:val="20"/>
        </w:rPr>
      </w:pPr>
    </w:p>
    <w:p w14:paraId="4EE9D56E" w14:textId="74DEBD9E" w:rsidR="007E0775" w:rsidRPr="007E0775" w:rsidRDefault="007E0775" w:rsidP="00130171">
      <w:pPr>
        <w:pStyle w:val="Naslov1"/>
      </w:pPr>
      <w:bookmarkStart w:id="3087" w:name="_Toc86822560"/>
      <w:r w:rsidRPr="007E0775">
        <w:t>Tržna usmerjenost kmetijskih gospodarstev</w:t>
      </w:r>
      <w:bookmarkEnd w:id="3087"/>
    </w:p>
    <w:p w14:paraId="7BADCD80" w14:textId="77777777" w:rsidR="007E0775" w:rsidRDefault="007E0775" w:rsidP="007613FE">
      <w:pPr>
        <w:spacing w:before="0" w:line="260" w:lineRule="atLeast"/>
        <w:rPr>
          <w:sz w:val="20"/>
        </w:rPr>
      </w:pPr>
    </w:p>
    <w:p w14:paraId="55B1A0F5" w14:textId="77777777" w:rsidR="007E0775" w:rsidRDefault="007E0775" w:rsidP="007613FE">
      <w:pPr>
        <w:spacing w:before="0" w:line="260" w:lineRule="atLeast"/>
        <w:rPr>
          <w:sz w:val="20"/>
        </w:rPr>
      </w:pPr>
    </w:p>
    <w:p w14:paraId="1A78C1C8" w14:textId="1745DCEF" w:rsidR="00E250CA" w:rsidRDefault="00F679A2" w:rsidP="00130171">
      <w:r>
        <w:t>T</w:t>
      </w:r>
      <w:r w:rsidR="0051019D">
        <w:t xml:space="preserve">ržna usmerjenost kmetij in konkurenčnost </w:t>
      </w:r>
      <w:r>
        <w:t xml:space="preserve">sta </w:t>
      </w:r>
      <w:r w:rsidR="0051019D">
        <w:t>prepletena pojma</w:t>
      </w:r>
      <w:r>
        <w:t>.</w:t>
      </w:r>
      <w:r w:rsidR="0051019D">
        <w:t xml:space="preserve"> </w:t>
      </w:r>
      <w:r>
        <w:t>T</w:t>
      </w:r>
      <w:r w:rsidR="0051019D">
        <w:t xml:space="preserve">ržno usmerjeno kmetovanje </w:t>
      </w:r>
      <w:r>
        <w:t xml:space="preserve">je namreč </w:t>
      </w:r>
      <w:r w:rsidR="0051019D">
        <w:t>tisto, ki temelji na rednem ustvarjanju prihodkov s prodajo kmetijskih proizvodov na trgu. Ker pa slovenske kmetije</w:t>
      </w:r>
      <w:r w:rsidR="00E250CA">
        <w:rPr>
          <w:rStyle w:val="Sprotnaopomba-sklic"/>
        </w:rPr>
        <w:footnoteReference w:id="19"/>
      </w:r>
      <w:r w:rsidR="00E250CA">
        <w:t xml:space="preserve"> (z izjemo tistih KMG, organiziranih v obliki pravne osebe ali s.p.)</w:t>
      </w:r>
      <w:r w:rsidR="0051019D">
        <w:t xml:space="preserve"> niso dolžne voditi knjigovodstva, tako kot npr. gospodarske družbe, ni mogoče ugotoviti, kolikšna je višina dejansko ustvarjenih prihodkov s prodajo kmetijskih proizvodov na trgu. </w:t>
      </w:r>
    </w:p>
    <w:p w14:paraId="70183DA4" w14:textId="647E9D20" w:rsidR="0051019D" w:rsidRPr="006249A0" w:rsidRDefault="00E250CA" w:rsidP="00130171">
      <w:r w:rsidRPr="006249A0">
        <w:lastRenderedPageBreak/>
        <w:t>V želji, da bi vseeno poskušali identificirati skupino tržno usmerjenih kmetijskih gospodarstev, za katera bi lahko pridobili določene podatke o fizični velikosti, smo se omejili na tista kmetijska gospodarstva, ki so identificirana za namene DDV</w:t>
      </w:r>
      <w:r w:rsidRPr="006249A0">
        <w:footnoteReference w:id="20"/>
      </w:r>
      <w:r w:rsidRPr="006249A0">
        <w:t>. Kmetijsko gospodarstvo se za identifikacijo za namen DDV lahko odloči prostovoljno ali pa je to njegova obveznost, če preseže določeno mejo katastrskega dohodka.</w:t>
      </w:r>
      <w:r w:rsidR="00D40D0B" w:rsidRPr="006249A0">
        <w:t xml:space="preserve"> V nadaljevanju so torej predstavljene kmetije, ki so že tako tržne, da morajo vstopiti v sistem DDV. Seveda pa to ni edini možni segment »tržnih kmetij«. Kot rečeno, so tržne kmetije vse tiste, ki viške prodajajo na trgu, in sicer bodisi neposredno na kmetiji ali pa preko preskrbnih verig.  </w:t>
      </w:r>
    </w:p>
    <w:p w14:paraId="07AEA8C2" w14:textId="063AF5A8" w:rsidR="00F3225E" w:rsidRPr="00A85EAE" w:rsidRDefault="00F3225E" w:rsidP="007613FE">
      <w:pPr>
        <w:pStyle w:val="Bulet1"/>
        <w:spacing w:before="0" w:line="260" w:lineRule="atLeast"/>
        <w:rPr>
          <w:rFonts w:ascii="Arial" w:hAnsi="Arial" w:cs="Arial"/>
          <w:color w:val="auto"/>
          <w:sz w:val="20"/>
          <w:szCs w:val="20"/>
        </w:rPr>
      </w:pPr>
    </w:p>
    <w:p w14:paraId="6D01B86F" w14:textId="77777777" w:rsidR="006D3D4B" w:rsidRPr="00130171" w:rsidRDefault="006D3D4B" w:rsidP="005B2A49">
      <w:pPr>
        <w:pStyle w:val="Naslov2"/>
      </w:pPr>
      <w:bookmarkStart w:id="3088" w:name="_Toc86822561"/>
      <w:r w:rsidRPr="00130171">
        <w:t>Struktura kmetijskih gospodarstev glede na identificiranost za namen DDV</w:t>
      </w:r>
      <w:bookmarkEnd w:id="3088"/>
    </w:p>
    <w:p w14:paraId="760D5DE7" w14:textId="77777777" w:rsidR="006D3D4B" w:rsidRPr="00130171" w:rsidRDefault="006D3D4B" w:rsidP="007613FE">
      <w:pPr>
        <w:spacing w:before="0" w:line="260" w:lineRule="atLeast"/>
        <w:rPr>
          <w:i/>
          <w:u w:val="single"/>
        </w:rPr>
      </w:pPr>
    </w:p>
    <w:p w14:paraId="1DF2DF9A" w14:textId="59235EDF" w:rsidR="00A36DE8" w:rsidRPr="00130171" w:rsidRDefault="006D3D4B" w:rsidP="007613FE">
      <w:pPr>
        <w:spacing w:before="0" w:line="260" w:lineRule="atLeast"/>
      </w:pPr>
      <w:r w:rsidRPr="00130171">
        <w:t>Med analiziranimi kmetijskimi gospodarstvi</w:t>
      </w:r>
      <w:r w:rsidR="00D40D0B" w:rsidRPr="00130171">
        <w:t>, ki so identificirana za DDV,</w:t>
      </w:r>
      <w:r w:rsidR="00E95B10">
        <w:t xml:space="preserve"> za leto 2019</w:t>
      </w:r>
      <w:r w:rsidRPr="00130171">
        <w:t xml:space="preserve"> je 254 kmetijskih gospodarstev takšnih, ki so organizirana kot pravne osebe, ki so oddala zbirno vlogo in opravljajo dejavnost kmetijstva, 7.655 kmetijskih gospodarstev pa je takšnih, ki so organizirana kot kmetije, ki so oddala zbirne vloge in pri katerih je nosilec kmetije enak davčnemu zavezancu za DDV. Bistveno pri tem je, da so kmetijska gospodarstva, ki so identificirana za DDV in oddajajo zbirno vlogo, bistveno večja od povprečja v Sloveniji. </w:t>
      </w:r>
      <w:r w:rsidR="00A70A3E" w:rsidRPr="00130171">
        <w:t xml:space="preserve">Zanimivo je tudi to, da imajo nekoliko večji delež njivskih površin v celotnem obsegu KZU. </w:t>
      </w:r>
    </w:p>
    <w:p w14:paraId="3372BA72" w14:textId="77777777" w:rsidR="00A36DE8" w:rsidRPr="00130171" w:rsidRDefault="00A36DE8" w:rsidP="007613FE">
      <w:pPr>
        <w:spacing w:before="0" w:line="260" w:lineRule="atLeast"/>
      </w:pPr>
    </w:p>
    <w:p w14:paraId="79D85030" w14:textId="42EA595A" w:rsidR="006D3D4B" w:rsidRPr="00130171" w:rsidRDefault="00A70A3E" w:rsidP="007613FE">
      <w:pPr>
        <w:spacing w:before="0" w:line="260" w:lineRule="atLeast"/>
      </w:pPr>
      <w:r w:rsidRPr="00130171">
        <w:t xml:space="preserve">Glede obtežbe (GVŽ na hektar) pa izstopajo predvsem pravne osebe, ki imajo bistveno nižjo obtežbo, iz česar lahko sklepamo, da gre najverjetneje za specializirana poljedelska kmetijska gospodarstva. </w:t>
      </w:r>
      <w:r w:rsidR="00D3300B" w:rsidRPr="00130171">
        <w:t xml:space="preserve">In še starostni podatek: povprečna starost nosilca KMG, ki je identificiran za DDV in je oddal zbirno vlogo, je </w:t>
      </w:r>
      <w:r w:rsidR="00CA76EC" w:rsidRPr="00130171">
        <w:t xml:space="preserve">bistveno </w:t>
      </w:r>
      <w:r w:rsidR="00D3300B" w:rsidRPr="00130171">
        <w:t xml:space="preserve">nižja od povprečne starosti ostalih nosilcev KMG, ki so oddala zbirno vlogo. </w:t>
      </w:r>
    </w:p>
    <w:p w14:paraId="7A894994" w14:textId="77777777" w:rsidR="00A70A3E" w:rsidRDefault="00A70A3E" w:rsidP="007613FE">
      <w:pPr>
        <w:spacing w:before="0" w:line="260" w:lineRule="atLeast"/>
        <w:rPr>
          <w:sz w:val="20"/>
        </w:rPr>
      </w:pPr>
    </w:p>
    <w:p w14:paraId="7FD8B49D" w14:textId="27320198" w:rsidR="00A70A3E" w:rsidRDefault="000429A3" w:rsidP="00130171">
      <w:pPr>
        <w:pStyle w:val="SCSlika0"/>
      </w:pPr>
      <w:bookmarkStart w:id="3089" w:name="_Toc86822722"/>
      <w:r w:rsidRPr="005B4234">
        <w:rPr>
          <w:szCs w:val="20"/>
        </w:rPr>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88117A">
        <w:rPr>
          <w:noProof/>
          <w:szCs w:val="20"/>
        </w:rPr>
        <w:t>50</w:t>
      </w:r>
      <w:r w:rsidRPr="005B4234">
        <w:rPr>
          <w:szCs w:val="20"/>
        </w:rPr>
        <w:fldChar w:fldCharType="end"/>
      </w:r>
      <w:r>
        <w:rPr>
          <w:rFonts w:ascii="Helv" w:eastAsiaTheme="minorHAnsi" w:hAnsi="Helv" w:cs="Helv"/>
          <w:color w:val="000000"/>
          <w:szCs w:val="22"/>
          <w:lang w:eastAsia="en-US"/>
        </w:rPr>
        <w:t>:</w:t>
      </w:r>
      <w:r w:rsidR="00A70A3E">
        <w:t xml:space="preserve"> Primerjava povprečne velikosti KZU v ha za KMG, identificirana za DDV glede na vsa KMG, ki oddajajo zbirno vlogo</w:t>
      </w:r>
      <w:bookmarkEnd w:id="3089"/>
    </w:p>
    <w:p w14:paraId="3795E2FF" w14:textId="77777777" w:rsidR="006D3D4B" w:rsidRDefault="006D3D4B" w:rsidP="007613FE">
      <w:pPr>
        <w:spacing w:before="0" w:line="260" w:lineRule="atLeast"/>
        <w:rPr>
          <w:sz w:val="20"/>
        </w:rPr>
      </w:pPr>
    </w:p>
    <w:p w14:paraId="0C322323" w14:textId="77777777" w:rsidR="006D3D4B" w:rsidRDefault="006D3D4B" w:rsidP="006D3D4B">
      <w:pPr>
        <w:spacing w:before="0" w:line="276" w:lineRule="auto"/>
        <w:rPr>
          <w:sz w:val="20"/>
        </w:rPr>
      </w:pPr>
      <w:r>
        <w:rPr>
          <w:noProof/>
          <w:lang w:eastAsia="sl-SI"/>
        </w:rPr>
        <w:lastRenderedPageBreak/>
        <w:drawing>
          <wp:inline distT="0" distB="0" distL="0" distR="0" wp14:anchorId="3F5A60FF" wp14:editId="0947DEB9">
            <wp:extent cx="5760720" cy="2636520"/>
            <wp:effectExtent l="0" t="0" r="11430" b="1143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A7AA8AA" w14:textId="3A1E05E6" w:rsidR="006D3D4B" w:rsidRPr="00A70A3E" w:rsidRDefault="00A70A3E" w:rsidP="006D3D4B">
      <w:pPr>
        <w:spacing w:before="0" w:line="276" w:lineRule="auto"/>
        <w:rPr>
          <w:sz w:val="16"/>
        </w:rPr>
      </w:pPr>
      <w:r w:rsidRPr="00A70A3E">
        <w:rPr>
          <w:sz w:val="16"/>
        </w:rPr>
        <w:t xml:space="preserve">Vir: </w:t>
      </w:r>
      <w:hyperlink r:id="rId74" w:history="1">
        <w:r w:rsidR="00CA76EC" w:rsidRPr="008720AC">
          <w:rPr>
            <w:rStyle w:val="Hiperpovezava"/>
            <w:rFonts w:ascii="Times New Roman" w:hAnsi="Times New Roman"/>
            <w:sz w:val="16"/>
            <w:szCs w:val="16"/>
          </w:rPr>
          <w:t>https://www.fu.gov.si/e_storitve/seznami_davcnih_zavezancev/</w:t>
        </w:r>
      </w:hyperlink>
      <w:r w:rsidR="00CA76EC">
        <w:rPr>
          <w:sz w:val="16"/>
          <w:szCs w:val="16"/>
        </w:rPr>
        <w:t xml:space="preserve">, </w:t>
      </w:r>
      <w:r w:rsidRPr="00A70A3E">
        <w:rPr>
          <w:sz w:val="16"/>
        </w:rPr>
        <w:t>preračun MKGP</w:t>
      </w:r>
    </w:p>
    <w:p w14:paraId="4EA56F61" w14:textId="77777777" w:rsidR="00A70A3E" w:rsidRDefault="00A70A3E" w:rsidP="007613FE">
      <w:pPr>
        <w:spacing w:before="0" w:line="260" w:lineRule="atLeast"/>
        <w:rPr>
          <w:sz w:val="20"/>
        </w:rPr>
      </w:pPr>
    </w:p>
    <w:p w14:paraId="3BAEAC30" w14:textId="77777777" w:rsidR="00A70A3E" w:rsidRDefault="00A70A3E" w:rsidP="007613FE">
      <w:pPr>
        <w:spacing w:before="0" w:line="260" w:lineRule="atLeast"/>
        <w:rPr>
          <w:sz w:val="20"/>
        </w:rPr>
      </w:pPr>
    </w:p>
    <w:p w14:paraId="37108002" w14:textId="1C329A1C" w:rsidR="00A70A3E" w:rsidRDefault="000429A3" w:rsidP="00130171">
      <w:pPr>
        <w:pStyle w:val="SCSlika0"/>
      </w:pPr>
      <w:bookmarkStart w:id="3090" w:name="_Toc86822723"/>
      <w:r w:rsidRPr="005B4234">
        <w:rPr>
          <w:szCs w:val="20"/>
        </w:rPr>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88117A">
        <w:rPr>
          <w:noProof/>
          <w:szCs w:val="20"/>
        </w:rPr>
        <w:t>51</w:t>
      </w:r>
      <w:r w:rsidRPr="005B4234">
        <w:rPr>
          <w:szCs w:val="20"/>
        </w:rPr>
        <w:fldChar w:fldCharType="end"/>
      </w:r>
      <w:r>
        <w:rPr>
          <w:rFonts w:ascii="Helv" w:eastAsiaTheme="minorHAnsi" w:hAnsi="Helv" w:cs="Helv"/>
          <w:color w:val="000000"/>
          <w:szCs w:val="22"/>
          <w:lang w:eastAsia="en-US"/>
        </w:rPr>
        <w:t>:</w:t>
      </w:r>
      <w:r>
        <w:t xml:space="preserve"> </w:t>
      </w:r>
      <w:r w:rsidR="00A70A3E">
        <w:t>Primerjava deleža njiv v KZU za KMG, identificirana za DDV glede na vsa KMG, ki oddajajo zbirno vlogo</w:t>
      </w:r>
      <w:bookmarkEnd w:id="3090"/>
    </w:p>
    <w:p w14:paraId="0F0BAD03" w14:textId="77777777" w:rsidR="006D3D4B" w:rsidRDefault="00A70A3E" w:rsidP="006D3D4B">
      <w:pPr>
        <w:spacing w:before="0" w:line="276" w:lineRule="auto"/>
        <w:rPr>
          <w:sz w:val="20"/>
        </w:rPr>
      </w:pPr>
      <w:r>
        <w:rPr>
          <w:noProof/>
          <w:lang w:eastAsia="sl-SI"/>
        </w:rPr>
        <w:drawing>
          <wp:inline distT="0" distB="0" distL="0" distR="0" wp14:anchorId="253808A5" wp14:editId="71B06693">
            <wp:extent cx="5760720" cy="2602230"/>
            <wp:effectExtent l="0" t="0" r="1143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DF90F3A" w14:textId="4233BBAC" w:rsidR="00A70A3E" w:rsidRPr="00A70A3E" w:rsidRDefault="006D3D4B" w:rsidP="00A70A3E">
      <w:pPr>
        <w:spacing w:before="0" w:line="276" w:lineRule="auto"/>
        <w:rPr>
          <w:sz w:val="16"/>
        </w:rPr>
      </w:pPr>
      <w:r>
        <w:rPr>
          <w:sz w:val="20"/>
        </w:rPr>
        <w:t xml:space="preserve"> </w:t>
      </w:r>
      <w:r w:rsidR="00A70A3E" w:rsidRPr="00A70A3E">
        <w:rPr>
          <w:sz w:val="16"/>
        </w:rPr>
        <w:t xml:space="preserve">Vir: </w:t>
      </w:r>
      <w:hyperlink r:id="rId76"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00A70A3E" w:rsidRPr="00A70A3E">
        <w:rPr>
          <w:sz w:val="16"/>
        </w:rPr>
        <w:t>preračun MKGP</w:t>
      </w:r>
    </w:p>
    <w:p w14:paraId="66C9F451" w14:textId="77777777" w:rsidR="0051019D" w:rsidRDefault="0051019D" w:rsidP="007613FE">
      <w:pPr>
        <w:spacing w:before="0" w:line="260" w:lineRule="atLeast"/>
        <w:rPr>
          <w:sz w:val="20"/>
        </w:rPr>
      </w:pPr>
    </w:p>
    <w:p w14:paraId="6CAEB5DE" w14:textId="77777777" w:rsidR="00A70A3E" w:rsidRDefault="00A70A3E" w:rsidP="007613FE">
      <w:pPr>
        <w:spacing w:before="0" w:line="260" w:lineRule="atLeast"/>
        <w:rPr>
          <w:sz w:val="20"/>
        </w:rPr>
      </w:pPr>
    </w:p>
    <w:p w14:paraId="0583FBD0" w14:textId="2C653617" w:rsidR="00A70A3E" w:rsidRDefault="000429A3" w:rsidP="00130171">
      <w:pPr>
        <w:pStyle w:val="SCSlika0"/>
      </w:pPr>
      <w:bookmarkStart w:id="3091" w:name="_Toc86822724"/>
      <w:r w:rsidRPr="005B4234">
        <w:rPr>
          <w:szCs w:val="20"/>
        </w:rPr>
        <w:lastRenderedPageBreak/>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88117A">
        <w:rPr>
          <w:noProof/>
          <w:szCs w:val="20"/>
        </w:rPr>
        <w:t>52</w:t>
      </w:r>
      <w:r w:rsidRPr="005B4234">
        <w:rPr>
          <w:szCs w:val="20"/>
        </w:rPr>
        <w:fldChar w:fldCharType="end"/>
      </w:r>
      <w:r w:rsidR="00A70A3E">
        <w:t>: Primerjava obtežbe z GVŽ/KZU za KMG, identificirana za DDV glede na vsa KMG, ki oddajajo zbirno vlogo</w:t>
      </w:r>
      <w:bookmarkEnd w:id="3091"/>
    </w:p>
    <w:p w14:paraId="33601F46" w14:textId="77777777" w:rsidR="00A70A3E" w:rsidRPr="006D3D4B" w:rsidRDefault="00A70A3E" w:rsidP="006D3D4B">
      <w:pPr>
        <w:spacing w:before="0" w:line="276" w:lineRule="auto"/>
        <w:rPr>
          <w:sz w:val="20"/>
        </w:rPr>
      </w:pPr>
      <w:r>
        <w:rPr>
          <w:noProof/>
          <w:lang w:eastAsia="sl-SI"/>
        </w:rPr>
        <w:drawing>
          <wp:inline distT="0" distB="0" distL="0" distR="0" wp14:anchorId="175BFDEE" wp14:editId="3F2955EC">
            <wp:extent cx="5760720" cy="2602230"/>
            <wp:effectExtent l="0" t="0" r="11430" b="762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99C8990" w14:textId="6B8F0EE8" w:rsidR="0051019D" w:rsidRDefault="00A70A3E" w:rsidP="0051019D">
      <w:pPr>
        <w:spacing w:before="0" w:line="276" w:lineRule="auto"/>
        <w:rPr>
          <w:sz w:val="20"/>
        </w:rPr>
      </w:pPr>
      <w:r w:rsidRPr="00A70A3E">
        <w:rPr>
          <w:sz w:val="16"/>
        </w:rPr>
        <w:t xml:space="preserve">Vir: </w:t>
      </w:r>
      <w:hyperlink r:id="rId78"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Pr="00A70A3E">
        <w:rPr>
          <w:sz w:val="16"/>
        </w:rPr>
        <w:t>preračun MKGP</w:t>
      </w:r>
    </w:p>
    <w:p w14:paraId="55561794" w14:textId="77777777" w:rsidR="0051019D" w:rsidRDefault="0051019D" w:rsidP="007613FE">
      <w:pPr>
        <w:pStyle w:val="Odstavek1"/>
      </w:pPr>
    </w:p>
    <w:p w14:paraId="62D3606E" w14:textId="495ABE0E" w:rsidR="00D3300B" w:rsidRDefault="000429A3" w:rsidP="007613FE">
      <w:pPr>
        <w:pStyle w:val="Odstavek1"/>
      </w:pPr>
      <w:bookmarkStart w:id="3092" w:name="_Toc86822725"/>
      <w:r w:rsidRPr="005B4234">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53</w:t>
      </w:r>
      <w:r w:rsidR="00072AFA">
        <w:rPr>
          <w:noProof/>
        </w:rPr>
        <w:fldChar w:fldCharType="end"/>
      </w:r>
      <w:r>
        <w:t>:</w:t>
      </w:r>
      <w:r w:rsidR="00A70A3E">
        <w:t xml:space="preserve"> Primerjava povprečne starosti nosilca za KMG, identificiran</w:t>
      </w:r>
      <w:r w:rsidR="00BC4DC1">
        <w:t>o</w:t>
      </w:r>
      <w:r w:rsidR="00A70A3E">
        <w:t xml:space="preserve"> za DDV glede na vsa KMG, ki oddajajo zbirno vlogo</w:t>
      </w:r>
      <w:bookmarkEnd w:id="3092"/>
    </w:p>
    <w:p w14:paraId="622749BB" w14:textId="77777777" w:rsidR="0051019D" w:rsidRDefault="0051019D" w:rsidP="009F3567">
      <w:pPr>
        <w:spacing w:before="0" w:line="276" w:lineRule="auto"/>
        <w:rPr>
          <w:sz w:val="20"/>
        </w:rPr>
      </w:pPr>
      <w:r>
        <w:rPr>
          <w:sz w:val="20"/>
        </w:rPr>
        <w:t xml:space="preserve"> </w:t>
      </w:r>
      <w:r w:rsidR="00A70A3E">
        <w:rPr>
          <w:noProof/>
          <w:lang w:eastAsia="sl-SI"/>
        </w:rPr>
        <w:drawing>
          <wp:inline distT="0" distB="0" distL="0" distR="0" wp14:anchorId="2FD21CFF" wp14:editId="2AAF2972">
            <wp:extent cx="5760720" cy="2450465"/>
            <wp:effectExtent l="0" t="0" r="11430" b="6985"/>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84468BF" w14:textId="3C9053B2" w:rsidR="0051019D" w:rsidRDefault="00A70A3E" w:rsidP="009F3567">
      <w:pPr>
        <w:spacing w:before="0" w:line="276" w:lineRule="auto"/>
        <w:rPr>
          <w:sz w:val="20"/>
        </w:rPr>
      </w:pPr>
      <w:r w:rsidRPr="00A70A3E">
        <w:rPr>
          <w:sz w:val="16"/>
        </w:rPr>
        <w:t xml:space="preserve">Vir: </w:t>
      </w:r>
      <w:hyperlink r:id="rId80" w:history="1">
        <w:r w:rsidR="004042DC" w:rsidRPr="008720AC">
          <w:rPr>
            <w:rStyle w:val="Hiperpovezava"/>
            <w:rFonts w:ascii="Times New Roman" w:hAnsi="Times New Roman"/>
            <w:sz w:val="16"/>
            <w:szCs w:val="16"/>
          </w:rPr>
          <w:t>https://www.fu.gov.si/e_storitve/seznami_davcnih_zavezancev/</w:t>
        </w:r>
      </w:hyperlink>
      <w:r w:rsidR="004042DC">
        <w:rPr>
          <w:sz w:val="16"/>
          <w:szCs w:val="16"/>
        </w:rPr>
        <w:t xml:space="preserve">, </w:t>
      </w:r>
      <w:r w:rsidRPr="00A70A3E">
        <w:rPr>
          <w:sz w:val="16"/>
        </w:rPr>
        <w:t>preračun MKGP</w:t>
      </w:r>
    </w:p>
    <w:p w14:paraId="13732AC0" w14:textId="77777777" w:rsidR="0051019D" w:rsidRDefault="0051019D" w:rsidP="007613FE">
      <w:pPr>
        <w:spacing w:before="0" w:line="260" w:lineRule="atLeast"/>
        <w:rPr>
          <w:sz w:val="20"/>
        </w:rPr>
      </w:pPr>
    </w:p>
    <w:p w14:paraId="443C7E37" w14:textId="24B6BA7A" w:rsidR="00D3300B" w:rsidRDefault="00D3300B" w:rsidP="007E558D">
      <w:r>
        <w:t xml:space="preserve">Poleg navedene metode ugotavljanja tržne usmerjenosti KMG bi seveda lahko ubrali tudi druge. Npr. </w:t>
      </w:r>
      <w:r w:rsidR="00A21964">
        <w:t xml:space="preserve">med kmetijskimi gospodarstvi, ki želijo povečati svojo tržno usmerjenost, bi lahko izpostavili tista </w:t>
      </w:r>
      <w:r w:rsidR="00BC4DC1">
        <w:t>KMG</w:t>
      </w:r>
      <w:r w:rsidR="00A21964">
        <w:t xml:space="preserve">, ki so prejela sredstva za ta namen iz naslova »prestrukturiranja« v okviru podukrepa M04.1. Nadalje bi lahko množico tržno usmerjenih kmetijskih gospodarstev poiskali med tistimi, ki se preko podukrepa M16.4 vključujejo </w:t>
      </w:r>
      <w:r>
        <w:t>v lokalne trge in kratke oskrbne verige. Enako velja za KMG, ki se vključujejo v skupine oziroma organizacije proizvajalcev ali pa se vključujejo v sheme kakovosti. Vsi navedeni mehanizmi, tako M</w:t>
      </w:r>
      <w:r w:rsidR="00BC4DC1">
        <w:t>0</w:t>
      </w:r>
      <w:r>
        <w:t>3.1 (podpora za novo vključevanje v sheme kakovosti), M16.4 (kratke dobavne verige in lokalni trgi) in M</w:t>
      </w:r>
      <w:r w:rsidR="00BC4DC1">
        <w:t>0</w:t>
      </w:r>
      <w:r>
        <w:t xml:space="preserve">9.1 (skupine in organizacije proizvajalcev), </w:t>
      </w:r>
      <w:r>
        <w:lastRenderedPageBreak/>
        <w:t xml:space="preserve">ki so financirani v okviru PRP 2014–2020, so podrobneje predstavljeni v analizi stanja za cilj 3, zato jih v tem delu posebej ne analiziramo.  </w:t>
      </w:r>
    </w:p>
    <w:p w14:paraId="111C91D8" w14:textId="77777777" w:rsidR="001D4DB3" w:rsidRDefault="001D4DB3" w:rsidP="007E558D"/>
    <w:p w14:paraId="074B0487" w14:textId="7469119F" w:rsidR="00707DFB" w:rsidRPr="007E558D" w:rsidRDefault="0042269F" w:rsidP="005B2A49">
      <w:pPr>
        <w:pStyle w:val="Naslov2"/>
      </w:pPr>
      <w:bookmarkStart w:id="3093" w:name="_Toc86822562"/>
      <w:r w:rsidRPr="007E558D">
        <w:t>Analiza kmetij, ki so prejele podporo za prestrukturiranje s ciljem večje tržne usmerjenosti v okviru podukrepa M</w:t>
      </w:r>
      <w:r w:rsidR="00875637" w:rsidRPr="007E558D">
        <w:t>0</w:t>
      </w:r>
      <w:r w:rsidRPr="007E558D">
        <w:t>4.1 Podpora za naložbe v kmetijska gospodarstva PRP 2014-2020</w:t>
      </w:r>
      <w:bookmarkEnd w:id="3093"/>
    </w:p>
    <w:p w14:paraId="6026C824" w14:textId="44A5EB33" w:rsidR="003F053F" w:rsidRPr="007E558D" w:rsidRDefault="003F053F" w:rsidP="007613FE">
      <w:pPr>
        <w:spacing w:before="0" w:line="260" w:lineRule="atLeast"/>
        <w:rPr>
          <w:b/>
          <w:i/>
          <w:szCs w:val="20"/>
          <w:highlight w:val="yellow"/>
          <w:u w:val="single"/>
        </w:rPr>
      </w:pPr>
    </w:p>
    <w:p w14:paraId="0EC9A47C" w14:textId="0936EF32" w:rsidR="00EC0C06" w:rsidRPr="007E558D" w:rsidRDefault="003F053F" w:rsidP="005B2A49">
      <w:pPr>
        <w:spacing w:before="0" w:line="240" w:lineRule="auto"/>
      </w:pPr>
      <w:r w:rsidRPr="007E558D">
        <w:t>V okviru omenjenega podukrepa se podpora dodeljuje tako naložbam v izboljšanje konkurenčnosti kot tudi nalo</w:t>
      </w:r>
      <w:r w:rsidRPr="007E558D">
        <w:rPr>
          <w:rFonts w:hint="eastAsia"/>
        </w:rPr>
        <w:t>ž</w:t>
      </w:r>
      <w:r w:rsidRPr="007E558D">
        <w:t>bam v prestrukturiranje kmetijskih gospodarstev. V primeru slednjih gre za majhne kmetije, ki jim kmetijstvo ne predstavlja poglavitnega vira dohodka, imajo nizko udele</w:t>
      </w:r>
      <w:r w:rsidRPr="007E558D">
        <w:rPr>
          <w:rFonts w:hint="eastAsia"/>
        </w:rPr>
        <w:t>ž</w:t>
      </w:r>
      <w:r w:rsidRPr="007E558D">
        <w:t xml:space="preserve">bo na trgu ter bodo </w:t>
      </w:r>
      <w:r w:rsidRPr="007E558D">
        <w:rPr>
          <w:rFonts w:hint="eastAsia"/>
        </w:rPr>
        <w:t>š</w:t>
      </w:r>
      <w:r w:rsidRPr="007E558D">
        <w:t>ele z nalo</w:t>
      </w:r>
      <w:r w:rsidRPr="007E558D">
        <w:rPr>
          <w:rFonts w:hint="eastAsia"/>
        </w:rPr>
        <w:t>ž</w:t>
      </w:r>
      <w:r w:rsidRPr="007E558D">
        <w:t xml:space="preserve">bo postala gospodarsko vitalna. Glede na opredelitev te ciljne skupine gre za kmetije, ki </w:t>
      </w:r>
      <w:r w:rsidR="003523E6" w:rsidRPr="007E558D">
        <w:t xml:space="preserve">ustvarijo prihodek, nižji od bruto minimalne plače na zaposlenega v RS, vendar vsaj 4.000 </w:t>
      </w:r>
      <w:r w:rsidR="00515A40" w:rsidRPr="007E558D">
        <w:t>EUR</w:t>
      </w:r>
      <w:r w:rsidR="003523E6" w:rsidRPr="007E558D">
        <w:t xml:space="preserve">. Te kmetije so upravičene do podpore za naložbe v višini do vključno 50.000 </w:t>
      </w:r>
      <w:r w:rsidR="00515A40" w:rsidRPr="007E558D">
        <w:t>EUR</w:t>
      </w:r>
      <w:r w:rsidR="003523E6" w:rsidRPr="007E558D">
        <w:t xml:space="preserve"> skupne priznane vrednosti. Po podatkih na dan 30.4.2020 je bilo tem majhnim kmetijam odobrenih 49 vlog, od tega večina (28) na gorskih OMD. Skupaj je bilo tem vlogam odobrenih 787.357 </w:t>
      </w:r>
      <w:r w:rsidR="00515A40" w:rsidRPr="007E558D">
        <w:t>EUR</w:t>
      </w:r>
      <w:r w:rsidR="00EC0C06" w:rsidRPr="007E558D">
        <w:t xml:space="preserve"> sredstev</w:t>
      </w:r>
      <w:r w:rsidR="003523E6" w:rsidRPr="007E558D">
        <w:t xml:space="preserve">, </w:t>
      </w:r>
      <w:r w:rsidR="00C61AD1" w:rsidRPr="007E558D">
        <w:t xml:space="preserve">od tega 56,4 % na gorskih OMD. </w:t>
      </w:r>
      <w:r w:rsidR="00EC0C06" w:rsidRPr="007E558D">
        <w:t xml:space="preserve">Skupna vrednost teh naložb pa je znašala 2 mio </w:t>
      </w:r>
      <w:r w:rsidR="004879E5" w:rsidRPr="007E558D">
        <w:t>EUR</w:t>
      </w:r>
      <w:r w:rsidR="00EC0C06" w:rsidRPr="007E558D">
        <w:t xml:space="preserve">. </w:t>
      </w:r>
      <w:r w:rsidR="00C61AD1" w:rsidRPr="007E558D">
        <w:t xml:space="preserve">V povprečju je imela takšna podprta </w:t>
      </w:r>
      <w:r w:rsidR="00EC0C06" w:rsidRPr="007E558D">
        <w:t>»</w:t>
      </w:r>
      <w:r w:rsidR="00C61AD1" w:rsidRPr="007E558D">
        <w:t xml:space="preserve">majhna« kmetija 9 GVŽ in 9,1 ha kmetijskih površin v uporabi. Glavnina teh kmetij je lociranih v podravski (14 kmetij) oziroma savinjski (11 kmetij) statistični regiji. </w:t>
      </w:r>
    </w:p>
    <w:p w14:paraId="52C36E63" w14:textId="77777777" w:rsidR="00EC0C06" w:rsidRPr="007E558D" w:rsidRDefault="00EC0C06" w:rsidP="007613FE">
      <w:pPr>
        <w:spacing w:before="0" w:line="260" w:lineRule="atLeast"/>
      </w:pPr>
    </w:p>
    <w:p w14:paraId="01393D8C" w14:textId="1B82FBA7" w:rsidR="003523E6" w:rsidRPr="007E558D" w:rsidRDefault="00C61AD1" w:rsidP="007613FE">
      <w:pPr>
        <w:spacing w:before="0" w:line="260" w:lineRule="atLeast"/>
      </w:pPr>
      <w:r w:rsidRPr="007E558D">
        <w:t xml:space="preserve">Proizvodna usmeritev pretežnega dela teh kmetij je bodisi pašna govedoreja: reja krav dojilj, pitancev ali reja telet (14 kmetij) bodisi sadjarstvo (13 kmetij). </w:t>
      </w:r>
      <w:r w:rsidR="00EC0C06" w:rsidRPr="007E558D">
        <w:t xml:space="preserve">S tem je povezana tudi prevladujoča vrsta podprte naložbe, in sicer po vrednosti naložbe izrazito prevladuje strošek ureditve objektov za kmetijsko dejavnost, nakup in namestitev oz. vgradnjo pripadajoče opreme za kmetijsko proizvodnjo, ureditev greznic in čistilnih naprav, nakup IKT in strojne opreme. Skupna vrednost teh naložb je znašala 1,1 mio </w:t>
      </w:r>
      <w:r w:rsidR="00515A40" w:rsidRPr="007E558D">
        <w:t>EUR</w:t>
      </w:r>
      <w:r w:rsidR="00EC0C06" w:rsidRPr="007E558D">
        <w:t xml:space="preserve">. </w:t>
      </w:r>
    </w:p>
    <w:p w14:paraId="5FC2D4E7" w14:textId="0AFCE8C6" w:rsidR="00D3300B" w:rsidRPr="007E558D" w:rsidRDefault="003523E6" w:rsidP="007613FE">
      <w:pPr>
        <w:spacing w:before="0" w:line="260" w:lineRule="atLeast"/>
      </w:pPr>
      <w:r w:rsidRPr="007E558D">
        <w:rPr>
          <w:u w:val="single"/>
        </w:rPr>
        <w:t xml:space="preserve"> </w:t>
      </w:r>
    </w:p>
    <w:p w14:paraId="4F1674C3" w14:textId="1762B87D" w:rsidR="00707DFB" w:rsidRPr="007E558D" w:rsidRDefault="00707DFB" w:rsidP="005B2A49">
      <w:pPr>
        <w:pStyle w:val="Naslov2"/>
      </w:pPr>
      <w:bookmarkStart w:id="3094" w:name="_Toc86822563"/>
      <w:r w:rsidRPr="007E558D">
        <w:t xml:space="preserve">Analiza vključenih kmetij v podukrep </w:t>
      </w:r>
      <w:r w:rsidR="00821CEE" w:rsidRPr="007E558D">
        <w:t>M</w:t>
      </w:r>
      <w:r w:rsidRPr="007E558D">
        <w:t>16.4 PRP 2014–2020, namenjen vzpostavljanju kratkih dobavnih verig in lokalnih trgov</w:t>
      </w:r>
      <w:bookmarkEnd w:id="3094"/>
      <w:r w:rsidRPr="007E558D">
        <w:t xml:space="preserve"> </w:t>
      </w:r>
    </w:p>
    <w:p w14:paraId="2B8A2B24" w14:textId="77777777" w:rsidR="00707DFB" w:rsidRPr="007E558D" w:rsidRDefault="00707DFB" w:rsidP="007613FE">
      <w:pPr>
        <w:spacing w:before="0" w:line="260" w:lineRule="atLeast"/>
        <w:rPr>
          <w:szCs w:val="20"/>
        </w:rPr>
      </w:pPr>
    </w:p>
    <w:p w14:paraId="6EA5D6CC" w14:textId="347FD55C" w:rsidR="00707DFB" w:rsidRPr="007E558D" w:rsidRDefault="00707DFB" w:rsidP="007613FE">
      <w:pPr>
        <w:autoSpaceDE w:val="0"/>
        <w:autoSpaceDN w:val="0"/>
        <w:adjustRightInd w:val="0"/>
        <w:spacing w:before="0" w:line="260" w:lineRule="atLeast"/>
        <w:rPr>
          <w:rFonts w:eastAsiaTheme="minorHAnsi"/>
          <w:color w:val="000000"/>
          <w:szCs w:val="22"/>
          <w:lang w:eastAsia="en-US"/>
        </w:rPr>
      </w:pPr>
      <w:r w:rsidRPr="007E558D">
        <w:rPr>
          <w:rFonts w:eastAsiaTheme="minorHAnsi"/>
          <w:color w:val="000000"/>
          <w:szCs w:val="22"/>
          <w:lang w:eastAsia="en-US"/>
        </w:rPr>
        <w:t xml:space="preserve">Ker so na OMD manjše kmetije, ki so praviloma manj konkurenčne, predpostavljamo, da si svojo tržno usmerjenost lahko izboljšajo zlasti z vključevanjem v krajše dobavne verige. Navedeno tezo potrjuje kratka analiza kmetij, vključenih v podukrep </w:t>
      </w:r>
      <w:r w:rsidR="00821CEE" w:rsidRPr="007E558D">
        <w:rPr>
          <w:rFonts w:eastAsiaTheme="minorHAnsi"/>
          <w:color w:val="000000"/>
          <w:szCs w:val="22"/>
          <w:lang w:eastAsia="en-US"/>
        </w:rPr>
        <w:t>M</w:t>
      </w:r>
      <w:r w:rsidRPr="007E558D">
        <w:rPr>
          <w:rFonts w:eastAsiaTheme="minorHAnsi"/>
          <w:color w:val="000000"/>
          <w:szCs w:val="22"/>
          <w:lang w:eastAsia="en-US"/>
        </w:rPr>
        <w:t xml:space="preserve">16.4 PRP 2014–2020, ki je specifično namenjen vzpostavljanju tovrstnih verig in razvoju lokalnih trgov. Glede na podatke na na dan 31.12.2019 je razvidno, da se v kratke dobavne verige vključujejo predvsem </w:t>
      </w:r>
      <w:r w:rsidR="00C65E69" w:rsidRPr="007E558D">
        <w:rPr>
          <w:rFonts w:eastAsiaTheme="minorHAnsi"/>
          <w:color w:val="000000"/>
          <w:szCs w:val="22"/>
          <w:lang w:eastAsia="en-US"/>
        </w:rPr>
        <w:t>KMG</w:t>
      </w:r>
      <w:r w:rsidRPr="007E558D">
        <w:rPr>
          <w:rFonts w:eastAsiaTheme="minorHAnsi"/>
          <w:color w:val="000000"/>
          <w:szCs w:val="22"/>
          <w:lang w:eastAsia="en-US"/>
        </w:rPr>
        <w:t xml:space="preserve">, ki imajo površine v OMD (64 %), od teh jih je največ (64 %) </w:t>
      </w:r>
      <w:r w:rsidR="00C65E69" w:rsidRPr="007E558D">
        <w:rPr>
          <w:rFonts w:eastAsiaTheme="minorHAnsi"/>
          <w:color w:val="000000"/>
          <w:szCs w:val="22"/>
          <w:lang w:eastAsia="en-US"/>
        </w:rPr>
        <w:t xml:space="preserve">na OMD - </w:t>
      </w:r>
      <w:r w:rsidRPr="007E558D">
        <w:rPr>
          <w:rFonts w:eastAsiaTheme="minorHAnsi"/>
          <w:color w:val="000000"/>
          <w:szCs w:val="22"/>
          <w:lang w:eastAsia="en-US"/>
        </w:rPr>
        <w:t>gorskih območjih. Po velikosti prevladujejo kmetijska gospodarstva z manj kot 20 ha površin (68 %)</w:t>
      </w:r>
      <w:r w:rsidR="00C65E69" w:rsidRPr="007E558D">
        <w:rPr>
          <w:rFonts w:eastAsiaTheme="minorHAnsi"/>
          <w:color w:val="000000"/>
          <w:szCs w:val="22"/>
          <w:lang w:eastAsia="en-US"/>
        </w:rPr>
        <w:t>;</w:t>
      </w:r>
      <w:r w:rsidRPr="007E558D">
        <w:rPr>
          <w:rFonts w:eastAsiaTheme="minorHAnsi"/>
          <w:color w:val="000000"/>
          <w:szCs w:val="22"/>
          <w:lang w:eastAsia="en-US"/>
        </w:rPr>
        <w:t xml:space="preserve"> takšnih, ki obdelujejo manj kot 5 ha površin, je četrtina vseh.</w:t>
      </w:r>
    </w:p>
    <w:p w14:paraId="2728FD5F" w14:textId="77777777" w:rsidR="001142D5" w:rsidRPr="009F3567" w:rsidRDefault="001142D5" w:rsidP="007613FE">
      <w:pPr>
        <w:autoSpaceDE w:val="0"/>
        <w:autoSpaceDN w:val="0"/>
        <w:adjustRightInd w:val="0"/>
        <w:spacing w:before="0" w:line="260" w:lineRule="atLeast"/>
        <w:rPr>
          <w:rFonts w:eastAsiaTheme="minorHAnsi"/>
          <w:color w:val="000000"/>
          <w:sz w:val="20"/>
          <w:szCs w:val="22"/>
          <w:lang w:eastAsia="en-US"/>
        </w:rPr>
      </w:pPr>
    </w:p>
    <w:p w14:paraId="6B2E3E54" w14:textId="1E1952CA" w:rsidR="00707DFB" w:rsidRPr="00A743DF" w:rsidRDefault="00707DFB" w:rsidP="007E558D">
      <w:pPr>
        <w:pStyle w:val="SCSlika0"/>
        <w:rPr>
          <w:rFonts w:eastAsiaTheme="minorHAnsi"/>
        </w:rPr>
      </w:pPr>
      <w:bookmarkStart w:id="3095" w:name="_Toc86822726"/>
      <w:r w:rsidRPr="005B4234">
        <w:rPr>
          <w:szCs w:val="20"/>
        </w:rPr>
        <w:lastRenderedPageBreak/>
        <w:t xml:space="preserve">Slika </w:t>
      </w:r>
      <w:r w:rsidRPr="005B4234">
        <w:rPr>
          <w:szCs w:val="20"/>
        </w:rPr>
        <w:fldChar w:fldCharType="begin"/>
      </w:r>
      <w:r w:rsidRPr="005B4234">
        <w:rPr>
          <w:szCs w:val="20"/>
        </w:rPr>
        <w:instrText xml:space="preserve"> SEQ Slika \* ARABIC </w:instrText>
      </w:r>
      <w:r w:rsidRPr="005B4234">
        <w:rPr>
          <w:szCs w:val="20"/>
        </w:rPr>
        <w:fldChar w:fldCharType="separate"/>
      </w:r>
      <w:r w:rsidR="0088117A">
        <w:rPr>
          <w:noProof/>
          <w:szCs w:val="20"/>
        </w:rPr>
        <w:t>54</w:t>
      </w:r>
      <w:r w:rsidRPr="005B4234">
        <w:rPr>
          <w:szCs w:val="20"/>
        </w:rPr>
        <w:fldChar w:fldCharType="end"/>
      </w:r>
      <w:r>
        <w:rPr>
          <w:rFonts w:eastAsiaTheme="minorHAnsi"/>
        </w:rPr>
        <w:t xml:space="preserve">: </w:t>
      </w:r>
      <w:r w:rsidRPr="00A743DF">
        <w:rPr>
          <w:rFonts w:eastAsiaTheme="minorHAnsi"/>
        </w:rPr>
        <w:t xml:space="preserve">Kmetijska gospodarstva, vključena v podukrep </w:t>
      </w:r>
      <w:r w:rsidR="00821CEE">
        <w:rPr>
          <w:rFonts w:eastAsiaTheme="minorHAnsi"/>
        </w:rPr>
        <w:t>M</w:t>
      </w:r>
      <w:r w:rsidRPr="00A743DF">
        <w:rPr>
          <w:rFonts w:eastAsiaTheme="minorHAnsi"/>
        </w:rPr>
        <w:t>16.4, po velikosti in OMD</w:t>
      </w:r>
      <w:bookmarkEnd w:id="3095"/>
    </w:p>
    <w:p w14:paraId="6819FDD8" w14:textId="77777777" w:rsidR="00707DFB" w:rsidRDefault="00707DFB" w:rsidP="00707DFB">
      <w:pPr>
        <w:autoSpaceDE w:val="0"/>
        <w:autoSpaceDN w:val="0"/>
        <w:adjustRightInd w:val="0"/>
        <w:spacing w:before="0" w:after="240" w:line="240" w:lineRule="auto"/>
        <w:rPr>
          <w:rFonts w:ascii="Helv" w:eastAsiaTheme="minorHAnsi" w:hAnsi="Helv" w:cs="Helv"/>
          <w:color w:val="000000"/>
          <w:szCs w:val="22"/>
          <w:lang w:eastAsia="en-US"/>
        </w:rPr>
      </w:pPr>
      <w:r>
        <w:rPr>
          <w:noProof/>
          <w:lang w:eastAsia="sl-SI"/>
        </w:rPr>
        <w:drawing>
          <wp:inline distT="0" distB="0" distL="0" distR="0" wp14:anchorId="65816642" wp14:editId="303CE18C">
            <wp:extent cx="5760720" cy="2164715"/>
            <wp:effectExtent l="0" t="0" r="11430" b="6985"/>
            <wp:docPr id="1631865551" name="Grafikon 1631865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82C45DF" w14:textId="77777777" w:rsidR="00707DFB" w:rsidRPr="009F3567" w:rsidRDefault="00707DFB" w:rsidP="00707DFB">
      <w:pPr>
        <w:autoSpaceDE w:val="0"/>
        <w:autoSpaceDN w:val="0"/>
        <w:adjustRightInd w:val="0"/>
        <w:spacing w:before="0" w:after="240" w:line="240" w:lineRule="auto"/>
        <w:rPr>
          <w:rFonts w:eastAsiaTheme="minorHAnsi"/>
          <w:color w:val="000000"/>
          <w:sz w:val="16"/>
          <w:szCs w:val="22"/>
          <w:lang w:eastAsia="en-US"/>
        </w:rPr>
      </w:pPr>
      <w:r w:rsidRPr="009F3567">
        <w:rPr>
          <w:rFonts w:eastAsiaTheme="minorHAnsi"/>
          <w:color w:val="000000"/>
          <w:sz w:val="16"/>
          <w:szCs w:val="22"/>
          <w:lang w:eastAsia="en-US"/>
        </w:rPr>
        <w:t>Vir: MKGP</w:t>
      </w:r>
    </w:p>
    <w:p w14:paraId="7D8CB8F2" w14:textId="197E85FC" w:rsidR="004E6762" w:rsidRDefault="004E6762" w:rsidP="007613FE">
      <w:pPr>
        <w:spacing w:before="0" w:line="260" w:lineRule="atLeast"/>
        <w:rPr>
          <w:sz w:val="20"/>
        </w:rPr>
      </w:pPr>
    </w:p>
    <w:p w14:paraId="7BD965D8" w14:textId="77777777" w:rsidR="00F679A2" w:rsidRPr="001A32D7" w:rsidRDefault="00F679A2" w:rsidP="00FC4DC2">
      <w:pPr>
        <w:pStyle w:val="Naslov2"/>
      </w:pPr>
      <w:bookmarkStart w:id="3096" w:name="_Toc86822564"/>
      <w:r w:rsidRPr="001A32D7">
        <w:t>Ključne ugotovitve</w:t>
      </w:r>
      <w:bookmarkEnd w:id="3096"/>
    </w:p>
    <w:p w14:paraId="5E250A93" w14:textId="77777777" w:rsidR="00F679A2" w:rsidRDefault="00F679A2" w:rsidP="00F679A2">
      <w:pPr>
        <w:pStyle w:val="Odstavekseznama"/>
        <w:spacing w:before="0" w:line="260" w:lineRule="atLeast"/>
        <w:ind w:left="426"/>
        <w:rPr>
          <w:rFonts w:ascii="Arial" w:hAnsi="Arial"/>
        </w:rPr>
      </w:pPr>
    </w:p>
    <w:p w14:paraId="5CDC95B1" w14:textId="38271015" w:rsidR="00FC732C" w:rsidRPr="007E558D" w:rsidRDefault="00F679A2" w:rsidP="00FC732C">
      <w:pPr>
        <w:pStyle w:val="Odstavekseznama"/>
        <w:numPr>
          <w:ilvl w:val="0"/>
          <w:numId w:val="203"/>
        </w:numPr>
        <w:tabs>
          <w:tab w:val="left" w:pos="1049"/>
        </w:tabs>
        <w:spacing w:before="0" w:line="260" w:lineRule="atLeast"/>
        <w:contextualSpacing/>
        <w:rPr>
          <w:rFonts w:ascii="Arial" w:hAnsi="Arial"/>
          <w:sz w:val="22"/>
        </w:rPr>
      </w:pPr>
      <w:r w:rsidRPr="007E558D">
        <w:rPr>
          <w:rFonts w:ascii="Arial" w:hAnsi="Arial"/>
          <w:sz w:val="22"/>
        </w:rPr>
        <w:t xml:space="preserve">V odsotnosti knjigovodskih podatkov je tržno usmerjenost kmetij težko analizirati. Zato smo izhajali iz podatkov podprtih kmetij v okviru PRP 2014–2020 in kmetij, vključenih v sistem DDV. </w:t>
      </w:r>
      <w:r w:rsidR="00FC732C">
        <w:rPr>
          <w:rFonts w:ascii="Arial" w:hAnsi="Arial"/>
          <w:sz w:val="22"/>
        </w:rPr>
        <w:t xml:space="preserve">Predpostavljali smo, da so ta kmetijska gospodarstva tržno usmerjena. </w:t>
      </w:r>
      <w:r w:rsidR="00FC732C" w:rsidRPr="007E558D">
        <w:rPr>
          <w:rFonts w:ascii="Arial" w:hAnsi="Arial"/>
          <w:sz w:val="22"/>
        </w:rPr>
        <w:t xml:space="preserve">Za slednje velja, da so </w:t>
      </w:r>
      <w:r w:rsidR="00FC732C">
        <w:rPr>
          <w:rFonts w:ascii="Arial" w:hAnsi="Arial"/>
          <w:sz w:val="22"/>
        </w:rPr>
        <w:t xml:space="preserve">tudi </w:t>
      </w:r>
      <w:r w:rsidR="00FC732C" w:rsidRPr="007E558D">
        <w:rPr>
          <w:rFonts w:ascii="Arial" w:hAnsi="Arial"/>
          <w:sz w:val="22"/>
        </w:rPr>
        <w:t>bistveno večja od povprečja v Sloveniji.</w:t>
      </w:r>
    </w:p>
    <w:p w14:paraId="25E6E180" w14:textId="12FEF65C" w:rsidR="00F679A2" w:rsidRPr="00FC4DC2" w:rsidRDefault="00F679A2" w:rsidP="005B2A49">
      <w:pPr>
        <w:pStyle w:val="Odstavekseznama"/>
        <w:numPr>
          <w:ilvl w:val="0"/>
          <w:numId w:val="203"/>
        </w:numPr>
        <w:tabs>
          <w:tab w:val="left" w:pos="1049"/>
        </w:tabs>
        <w:spacing w:before="0" w:line="260" w:lineRule="atLeast"/>
        <w:contextualSpacing/>
      </w:pPr>
      <w:r w:rsidRPr="007E558D">
        <w:rPr>
          <w:rFonts w:ascii="Arial" w:hAnsi="Arial"/>
          <w:sz w:val="22"/>
        </w:rPr>
        <w:t>Predpostavlja</w:t>
      </w:r>
      <w:r w:rsidR="00FC732C">
        <w:rPr>
          <w:rFonts w:ascii="Arial" w:hAnsi="Arial"/>
          <w:sz w:val="22"/>
        </w:rPr>
        <w:t>li pa smo tudi</w:t>
      </w:r>
      <w:r w:rsidRPr="007E558D">
        <w:rPr>
          <w:rFonts w:ascii="Arial" w:hAnsi="Arial"/>
          <w:sz w:val="22"/>
        </w:rPr>
        <w:t xml:space="preserve">, da so kmetije, ki so kakorkoli vključene v ukrep 3.1, 9.1 ali 16.4 tržno usmerjene, saj se združujejo s ciljem izboljšanja svoje prisotnosti na trgu. Enako velja za kmetijska gospodarstva, ki so bila deležna podpore za prestrukturiranje v okviru podukrepa M04.1. </w:t>
      </w:r>
    </w:p>
    <w:p w14:paraId="15E45893" w14:textId="1B2A363F" w:rsidR="00754A51" w:rsidRDefault="00F679A2" w:rsidP="007E558D">
      <w:pPr>
        <w:pStyle w:val="Naslov1"/>
      </w:pPr>
      <w:bookmarkStart w:id="3097" w:name="_Toc86822565"/>
      <w:r>
        <w:t>Opis stanja</w:t>
      </w:r>
      <w:r w:rsidR="001142D5">
        <w:t xml:space="preserve"> kmetijskih </w:t>
      </w:r>
      <w:r w:rsidR="004E6762">
        <w:t>sektorjev</w:t>
      </w:r>
      <w:bookmarkEnd w:id="3097"/>
    </w:p>
    <w:p w14:paraId="3A2D506A" w14:textId="74CACBB9" w:rsidR="004E6762" w:rsidRDefault="004E6762" w:rsidP="004E6762">
      <w:pPr>
        <w:pStyle w:val="1"/>
      </w:pPr>
    </w:p>
    <w:p w14:paraId="1CEC8384" w14:textId="77777777" w:rsidR="00F679A2" w:rsidRPr="0022702B" w:rsidRDefault="00F679A2" w:rsidP="00F679A2">
      <w:pPr>
        <w:pStyle w:val="Naslov2"/>
      </w:pPr>
      <w:bookmarkStart w:id="3098" w:name="_Toc86822566"/>
      <w:r w:rsidRPr="0022702B">
        <w:t>Govedoreja</w:t>
      </w:r>
      <w:bookmarkEnd w:id="3098"/>
    </w:p>
    <w:p w14:paraId="58CF2989" w14:textId="13EAF5CA" w:rsidR="00F679A2" w:rsidRDefault="00F679A2" w:rsidP="005B2A49">
      <w:pPr>
        <w:spacing w:after="120" w:line="260" w:lineRule="atLeast"/>
        <w:rPr>
          <w:szCs w:val="20"/>
        </w:rPr>
      </w:pPr>
      <w:r w:rsidRPr="003F4427">
        <w:rPr>
          <w:szCs w:val="20"/>
        </w:rPr>
        <w:t>Govedoreja, s prirejo mleka in mesa, je najpomembnejša živinorejska panoga v Sloveniji, s katero se ukvarja 35 % kmetijskih gospodarstev. Prisotna je na celotnem območju države, v največjem obsegu v Savinjski statistični regiji. Panoga je tradicionalno prisotna na območjih, kjer prevladuje absolutno travinje, ker omogoča izrabo naravnih danosti in razvoj dopolnilnih dejavnosti, turizma in ohranjanje krajinskih značilnosti. Intenzivna govedoreja je značilna za nižinska območja države.</w:t>
      </w:r>
    </w:p>
    <w:p w14:paraId="37E405C6" w14:textId="77777777" w:rsidR="00C25531" w:rsidRPr="003F4427" w:rsidRDefault="00C25531" w:rsidP="005B2A49">
      <w:pPr>
        <w:spacing w:after="120" w:line="260" w:lineRule="atLeast"/>
        <w:rPr>
          <w:szCs w:val="20"/>
        </w:rPr>
      </w:pPr>
    </w:p>
    <w:p w14:paraId="1E795153" w14:textId="77777777" w:rsidR="00F679A2" w:rsidRDefault="00F679A2" w:rsidP="00F679A2">
      <w:pPr>
        <w:pStyle w:val="Naslov3"/>
        <w:rPr>
          <w:rFonts w:eastAsia="Calibri"/>
        </w:rPr>
      </w:pPr>
      <w:bookmarkStart w:id="3099" w:name="_Toc86822567"/>
      <w:r w:rsidRPr="0022702B">
        <w:rPr>
          <w:rFonts w:eastAsia="Calibri"/>
        </w:rPr>
        <w:t>Stanje in osnovni ekonomski kazalniki</w:t>
      </w:r>
      <w:bookmarkEnd w:id="3099"/>
    </w:p>
    <w:p w14:paraId="09D636CE" w14:textId="099E22B6" w:rsidR="00F679A2" w:rsidRPr="005B2A49" w:rsidRDefault="00F679A2" w:rsidP="005B2A49">
      <w:pPr>
        <w:spacing w:after="120" w:line="260" w:lineRule="atLeast"/>
        <w:rPr>
          <w:rFonts w:eastAsia="TimesNewRoman"/>
          <w:szCs w:val="20"/>
        </w:rPr>
      </w:pPr>
      <w:r w:rsidRPr="007A077E">
        <w:rPr>
          <w:rFonts w:eastAsia="Calibri"/>
          <w:szCs w:val="20"/>
        </w:rPr>
        <w:t>V Sloveniji se v zadnjem desetletju zmanšuje število kmetijskih gospodarstev na katerih redijo govedo, istočasno pa sta število živali in obseg proizvodnje mleka in mesa večinoma stabilna. Še leta 2003 je govedo redilo 46.736 kmetijskih gospodarstev, leta 2016 pa samo še 32.805.</w:t>
      </w:r>
      <w:r w:rsidRPr="007A077E">
        <w:rPr>
          <w:rFonts w:eastAsia="TimesNewRoman"/>
          <w:szCs w:val="20"/>
        </w:rPr>
        <w:t xml:space="preserve"> 77 % kmetijskih gospodarstev, ki redijo govedo, je v hribovsko gorskem območju, 59 % jih oddaja mleko. Predvsem pri mesnih pasmah je prireja odvisna od krme pridelane na kmetijskih gospodarstvih. Zadnja leta se je zelo okrepila </w:t>
      </w:r>
      <w:r w:rsidRPr="007A077E">
        <w:rPr>
          <w:rFonts w:eastAsia="TimesNewRoman"/>
          <w:szCs w:val="20"/>
        </w:rPr>
        <w:lastRenderedPageBreak/>
        <w:t>populacija medvedov in volkov v hribovitih območij, kar povzroča izrazit konflikt z rejo živali na prostem.</w:t>
      </w:r>
    </w:p>
    <w:p w14:paraId="07EA49A5" w14:textId="13FA7138" w:rsidR="00F679A2" w:rsidRPr="007A077E" w:rsidRDefault="00F679A2" w:rsidP="005B2A49">
      <w:pPr>
        <w:spacing w:after="120" w:line="260" w:lineRule="atLeast"/>
        <w:rPr>
          <w:rFonts w:eastAsia="Calibri"/>
          <w:szCs w:val="20"/>
        </w:rPr>
      </w:pPr>
      <w:r w:rsidRPr="007A077E">
        <w:rPr>
          <w:rFonts w:eastAsia="Calibri"/>
          <w:szCs w:val="20"/>
        </w:rPr>
        <w:t>V Sloveniji je od leta 2013 do danes v reji okoli 480 tisoč živali. Po podatkih centralne podatkovne zbirke Govedo na Kmetijskem inštitutu Slovenije, so v letu 2019 na 21.839 kmetijskih gospodarstvih redili 165.935 krav, od tega  100.839 molznic in 60.913 krav dojilj. S tržno prirejo mleka so se ukvarjali na 5.584, z rejo krav dojilj pa na 16.255 kmetijskih gospodarstev. Kmetijska gospodarstva, ki opuščajo prirejo mleka, se preusmerjajo v rejo krav dojilj, katerih število se je gibalo med 59.985 inin 63.202. V obdobju od leta 2010 do 2019 se je delež kmetijskih gospodarstev z več kot 20 kravami dojiljami povečal in le-ta v povprečju redijo 29,3 dojilj na kmetijsko gospodarstvo.</w:t>
      </w:r>
    </w:p>
    <w:p w14:paraId="421805D3" w14:textId="77777777" w:rsidR="00F679A2" w:rsidRPr="007A077E" w:rsidRDefault="00F679A2" w:rsidP="005B2A49">
      <w:pPr>
        <w:spacing w:after="120" w:line="260" w:lineRule="atLeast"/>
        <w:rPr>
          <w:rFonts w:eastAsia="Calibri"/>
          <w:szCs w:val="20"/>
        </w:rPr>
      </w:pPr>
      <w:r w:rsidRPr="007A077E">
        <w:t>Slovenija ima za prirejo ekološkega mesa in mleka  zelo ugodne razmere, ker imamo veliko travinja. Kljub temu se pa večina mlečnih in mesnih proizvodov ne proda kot ekoloških, ker se veliko ekoloških živali iz ekoloških kmetij zakolje kot konvencionalnih.</w:t>
      </w:r>
    </w:p>
    <w:p w14:paraId="2EA4430D" w14:textId="77777777" w:rsidR="00F679A2" w:rsidRPr="007A077E" w:rsidRDefault="00F679A2" w:rsidP="005B2A49">
      <w:pPr>
        <w:spacing w:after="120" w:line="260" w:lineRule="atLeast"/>
        <w:rPr>
          <w:rFonts w:eastAsia="Calibri"/>
          <w:szCs w:val="20"/>
        </w:rPr>
      </w:pPr>
      <w:r w:rsidRPr="007A077E">
        <w:rPr>
          <w:rFonts w:eastAsia="Calibri"/>
          <w:szCs w:val="20"/>
        </w:rPr>
        <w:t xml:space="preserve">Osnova slovenske govedoreje sta dve kombinirani pasmi (lisasta in rjava) ter mlečna črno-bela pasma. V čredah se povečuje število in delež krav črno bele pasme in tudi število krav križank z lisasto pasmo. </w:t>
      </w:r>
    </w:p>
    <w:p w14:paraId="6EAD0391" w14:textId="77777777" w:rsidR="00F679A2" w:rsidRPr="007A077E" w:rsidRDefault="00F679A2" w:rsidP="005B2A49">
      <w:pPr>
        <w:spacing w:after="120" w:line="260" w:lineRule="atLeast"/>
        <w:rPr>
          <w:szCs w:val="20"/>
        </w:rPr>
      </w:pPr>
      <w:r w:rsidRPr="007A077E">
        <w:rPr>
          <w:szCs w:val="20"/>
        </w:rPr>
        <w:t xml:space="preserve">Proizvodnja kravjega mleka je najpomembnejša usmeritev slovenskega kmetijstva. K skupni vrednosti kmetijske proizvodnje v zadnjih letih prispeva okoli 14 %, k vrednosti živinoreje pa približno 33 %. Mlečni sektor je od vseh kmetijskih sektorjev najbolje organiziran in do določene mere prestrukturiran. </w:t>
      </w:r>
    </w:p>
    <w:p w14:paraId="7E6EB434" w14:textId="77777777" w:rsidR="00F679A2" w:rsidRPr="007A077E" w:rsidRDefault="00F679A2" w:rsidP="005B2A49">
      <w:pPr>
        <w:spacing w:after="120" w:line="260" w:lineRule="atLeast"/>
        <w:rPr>
          <w:szCs w:val="20"/>
        </w:rPr>
      </w:pPr>
      <w:r w:rsidRPr="007A077E">
        <w:rPr>
          <w:szCs w:val="20"/>
        </w:rPr>
        <w:t>V zadnjem popisu kmetijskih gospodarstev (2013–2016)  je imelo krave molznice nekaj manj kot 10 tisoč kmetijskih gospodarstev. Med letoma 2010 in 2016 se je njihovo število zmanjšalo za 13 %. Velikost črede vseh krav molznic se je v tem obdobju povečala za dobre 3 %, tako da so kmetijska gospodarstva skupaj redila nekaj več kot 111 tisoč krav molznic. V povprečju so ta KMG v letu 2016 redila 11,6 molznice, kar je skoraj 18 % več kot leta 2010, kar kaže na to, da se nadaljujejo procesi koncentracije in specializacije reje.</w:t>
      </w:r>
    </w:p>
    <w:p w14:paraId="780429B2" w14:textId="77777777" w:rsidR="00F679A2" w:rsidRPr="007A077E" w:rsidRDefault="00F679A2" w:rsidP="005B2A49">
      <w:pPr>
        <w:spacing w:after="120" w:line="260" w:lineRule="atLeast"/>
        <w:rPr>
          <w:szCs w:val="20"/>
        </w:rPr>
      </w:pPr>
      <w:r w:rsidRPr="007A077E">
        <w:rPr>
          <w:szCs w:val="20"/>
        </w:rPr>
        <w:t>Število proizvajalcev mleka, ki mleko oddaja v mlekarne, se je v zadnjih 15 letih zmanjšalo iz 13.900 na okoli 5.000 kmetijskih gospodarstev. C</w:t>
      </w:r>
      <w:r w:rsidRPr="007A077E">
        <w:t>elotna proizvodnja mleka je ostala relativno stabilna, oddaja mleka v mlekarne pa se je povečala za cca 20 %.</w:t>
      </w:r>
      <w:r w:rsidRPr="007A077E">
        <w:rPr>
          <w:szCs w:val="20"/>
        </w:rPr>
        <w:t xml:space="preserve"> Število molznih krav v Sloveniji je relativno stabilno in se v obdobju zadnjih 10 let giblje med 101.000 do 116.000, </w:t>
      </w:r>
      <w:r w:rsidRPr="007A077E">
        <w:t>po podatkih Kmetijskega inštituta Slovenije pa se je v tem obdobju mlečnost v standardni laktaciji dvignila iz cca. 6.000 kg/žival na cca. 7.000 kg/žival.</w:t>
      </w:r>
    </w:p>
    <w:p w14:paraId="52C086C7" w14:textId="62FAA184" w:rsidR="00F679A2" w:rsidRDefault="00F679A2" w:rsidP="00F679A2">
      <w:pPr>
        <w:pStyle w:val="SCSlika0"/>
      </w:pPr>
      <w:bookmarkStart w:id="3100" w:name="_Toc86822727"/>
      <w:r w:rsidRPr="00B34E39">
        <w:lastRenderedPageBreak/>
        <w:t xml:space="preserve">Slika </w:t>
      </w:r>
      <w:r>
        <w:rPr>
          <w:noProof/>
        </w:rPr>
        <w:fldChar w:fldCharType="begin"/>
      </w:r>
      <w:r>
        <w:rPr>
          <w:noProof/>
        </w:rPr>
        <w:instrText xml:space="preserve"> SEQ Slika \* ARABIC </w:instrText>
      </w:r>
      <w:r>
        <w:rPr>
          <w:noProof/>
        </w:rPr>
        <w:fldChar w:fldCharType="separate"/>
      </w:r>
      <w:r w:rsidR="0088117A">
        <w:rPr>
          <w:noProof/>
        </w:rPr>
        <w:t>55</w:t>
      </w:r>
      <w:r>
        <w:rPr>
          <w:noProof/>
        </w:rPr>
        <w:fldChar w:fldCharType="end"/>
      </w:r>
      <w:r w:rsidRPr="00B34E39">
        <w:t>: Število molznih krav in povprečna mlečnost</w:t>
      </w:r>
      <w:bookmarkEnd w:id="3100"/>
      <w:r w:rsidRPr="00B34E39">
        <w:t xml:space="preserve"> </w:t>
      </w:r>
    </w:p>
    <w:p w14:paraId="3EFF5689" w14:textId="77777777" w:rsidR="00F679A2" w:rsidRPr="007A077E" w:rsidRDefault="00F679A2" w:rsidP="00F679A2">
      <w:r w:rsidRPr="00520EAE">
        <w:rPr>
          <w:noProof/>
          <w:lang w:eastAsia="sl-SI"/>
        </w:rPr>
        <w:drawing>
          <wp:inline distT="0" distB="0" distL="0" distR="0" wp14:anchorId="704060BE" wp14:editId="70CC4B36">
            <wp:extent cx="5704840" cy="2218055"/>
            <wp:effectExtent l="0" t="0" r="0" b="0"/>
            <wp:docPr id="24169620" name="Slika 2416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64A7A23B" w14:textId="77777777" w:rsidR="00F679A2" w:rsidRDefault="00F679A2" w:rsidP="00F679A2">
      <w:pPr>
        <w:spacing w:line="360" w:lineRule="auto"/>
        <w:rPr>
          <w:iCs/>
          <w:sz w:val="16"/>
          <w:szCs w:val="16"/>
        </w:rPr>
      </w:pPr>
      <w:r>
        <w:rPr>
          <w:iCs/>
          <w:sz w:val="16"/>
          <w:szCs w:val="16"/>
        </w:rPr>
        <w:t>Vir: SURS, KIS (CPZ Govedo) – ZP-2019</w:t>
      </w:r>
    </w:p>
    <w:p w14:paraId="534B8488" w14:textId="77777777" w:rsidR="00F679A2" w:rsidRPr="007A077E" w:rsidRDefault="00F679A2" w:rsidP="005B2A49">
      <w:pPr>
        <w:spacing w:line="260" w:lineRule="atLeast"/>
        <w:rPr>
          <w:bCs/>
          <w:szCs w:val="20"/>
        </w:rPr>
      </w:pPr>
      <w:r w:rsidRPr="007A077E">
        <w:rPr>
          <w:bCs/>
          <w:szCs w:val="20"/>
        </w:rPr>
        <w:t>Prireja mleka je relativno stabilna in je v letu 2019 znašala 615 tisoč ton, pri čemer so mlekarne odkupile 564 tisoč ton. Odkup mleka je dobro organiziran. Delež odkupa tujih mlekarn se po letu 2015, ko je ta znašal 39 %, zmanjšuje, saj so v letu 2019 tuje mlekarne odkupile le še 28 % mleka. Večino mleka se izvozi v italijanske, v zadnjih letih pa tudi hrvaške in Avstrijske  mlekarne. Del odkupljenega mleka je tudi ekološke pridelave. V letu 2019 ga je bilo odkupjenega 7.347,7 ton v zadnjih petih letih je nakup narastel za 25 %.</w:t>
      </w:r>
    </w:p>
    <w:p w14:paraId="132830BF" w14:textId="77777777" w:rsidR="00F679A2" w:rsidRPr="007A077E" w:rsidRDefault="00F679A2" w:rsidP="005B2A49">
      <w:pPr>
        <w:spacing w:before="200" w:line="260" w:lineRule="atLeast"/>
        <w:rPr>
          <w:bCs/>
          <w:szCs w:val="20"/>
        </w:rPr>
      </w:pPr>
      <w:r w:rsidRPr="007A077E">
        <w:rPr>
          <w:bCs/>
          <w:szCs w:val="20"/>
        </w:rPr>
        <w:t>Proizvodnja mleka v Sloveniji stalno presega domačo porabo. Samooskrba z mlekom je visoka in znaša med 120 % in 130 %, v letu 2019 je bila 128 %.</w:t>
      </w:r>
    </w:p>
    <w:p w14:paraId="07E2D2FA" w14:textId="77777777" w:rsidR="00F679A2" w:rsidRPr="007A077E" w:rsidRDefault="00F679A2" w:rsidP="005B2A49">
      <w:pPr>
        <w:spacing w:before="200" w:line="260" w:lineRule="atLeast"/>
        <w:rPr>
          <w:bCs/>
          <w:szCs w:val="20"/>
        </w:rPr>
      </w:pPr>
      <w:r w:rsidRPr="007A077E">
        <w:rPr>
          <w:bCs/>
          <w:szCs w:val="20"/>
        </w:rPr>
        <w:t xml:space="preserve">V obdobju od leta 2009 do 2019 odkupne cene mleka v Sloveniji in EU nihajo, pri čemer so v Sloveniji ves čas nekoliko nižje kot v EU. Najnižja povprečna odkupna cena je bila v letu 2009 in 2016 (od 0,25 do 0,26 eur/kg)  najvišja pa v letu 2014 (0,344 eur/kg). </w:t>
      </w:r>
    </w:p>
    <w:p w14:paraId="23C46E27" w14:textId="47C512F2" w:rsidR="00F679A2" w:rsidRPr="007A077E" w:rsidRDefault="00F679A2" w:rsidP="005B2A49">
      <w:pPr>
        <w:spacing w:before="200" w:line="260" w:lineRule="atLeast"/>
        <w:rPr>
          <w:bCs/>
          <w:szCs w:val="20"/>
        </w:rPr>
      </w:pPr>
      <w:r w:rsidRPr="007A077E">
        <w:rPr>
          <w:bCs/>
          <w:szCs w:val="20"/>
        </w:rPr>
        <w:t xml:space="preserve">V zadnjih nekaj letih je obseg zunanje trgovine z mlekom rahlo nihal, a naraščal. Po rekordnih 649 tisoč ton (v ekvivalentu surovega mleka) v letu 2018, se je zunanja trgovina (uvoz  in izvoz)v letu 2019 ponovno nekoliko zmanjšala  (na 619 tisoč ton). </w:t>
      </w:r>
    </w:p>
    <w:p w14:paraId="41C2A3E3" w14:textId="77777777" w:rsidR="00F679A2" w:rsidRPr="007A077E" w:rsidRDefault="00F679A2" w:rsidP="005B2A49">
      <w:pPr>
        <w:pStyle w:val="ZPtekst"/>
        <w:spacing w:before="200" w:after="200" w:line="260" w:lineRule="atLeast"/>
        <w:rPr>
          <w:bCs/>
          <w:szCs w:val="20"/>
        </w:rPr>
      </w:pPr>
      <w:r w:rsidRPr="007A077E">
        <w:rPr>
          <w:bCs/>
          <w:szCs w:val="20"/>
        </w:rPr>
        <w:t>Prireja mesa govedi je poleg prireje mleka najpomembnejša proizvodna usmeritev slovenskega kmetijstva. Prirast govedi v zadnjih letih prispeva k vrednosti kmetijske proizvodnje 11–13 % (leta 2019: 11,7 %), k vrednosti živinoreje pa 26–28 % (leta 2019: 27,1 %).</w:t>
      </w:r>
    </w:p>
    <w:p w14:paraId="63160D82" w14:textId="77777777" w:rsidR="00F679A2" w:rsidRPr="007A077E" w:rsidRDefault="00F679A2" w:rsidP="005B2A49">
      <w:pPr>
        <w:spacing w:before="200" w:line="260" w:lineRule="atLeast"/>
        <w:rPr>
          <w:bCs/>
          <w:szCs w:val="20"/>
        </w:rPr>
      </w:pPr>
      <w:r w:rsidRPr="007A077E">
        <w:rPr>
          <w:bCs/>
          <w:szCs w:val="20"/>
        </w:rPr>
        <w:t>V Sloveniji je bilo v letu 2019 prirejenega 43,1 tisoč ton govejega mesa, največ od bikov in telic za pitanje mlajših od dveh let, v masi trupov pa je celoten zakol znašal 35,6 tisoč ton. Ekološko proizvedenega govejega  mesa v letu 2019 je bilo 278,4 tone kar pomeni 115 % porast od leta 2015. Število ekološko rejenih goved se povečuje (od 20.623 v letu 2010 na 37.126 v letu 2019), najhitreje v letih 2010 – 2015.</w:t>
      </w:r>
    </w:p>
    <w:p w14:paraId="60113075" w14:textId="77777777" w:rsidR="00F679A2" w:rsidRPr="007A077E" w:rsidRDefault="00F679A2" w:rsidP="005B2A49">
      <w:pPr>
        <w:spacing w:before="200" w:line="260" w:lineRule="atLeast"/>
        <w:rPr>
          <w:bCs/>
          <w:szCs w:val="20"/>
        </w:rPr>
      </w:pPr>
      <w:r w:rsidRPr="007A077E">
        <w:rPr>
          <w:bCs/>
          <w:szCs w:val="20"/>
        </w:rPr>
        <w:t>Samooskrba z govejim mesom v Sloveniji se je v zadnjih desetih letih gibala med 98,1 % in 109,5 %, poraba na prebivalca pa je okoli 20 kg govejega mesa, kar je okoli 9 kg več kot v EU.</w:t>
      </w:r>
    </w:p>
    <w:p w14:paraId="0E7CD87E" w14:textId="77777777" w:rsidR="00F679A2" w:rsidRPr="007A077E" w:rsidRDefault="00F679A2" w:rsidP="005B2A49">
      <w:pPr>
        <w:spacing w:before="200" w:line="260" w:lineRule="atLeast"/>
        <w:rPr>
          <w:bCs/>
          <w:szCs w:val="20"/>
        </w:rPr>
      </w:pPr>
      <w:r w:rsidRPr="007A077E">
        <w:rPr>
          <w:bCs/>
          <w:szCs w:val="20"/>
          <w:lang w:eastAsia="fr-FR"/>
        </w:rPr>
        <w:lastRenderedPageBreak/>
        <w:t>Odkupne cene govedi za zakol v Sloveniji sledijo gibanju cen na trgih EU. C</w:t>
      </w:r>
      <w:r w:rsidRPr="007A077E">
        <w:rPr>
          <w:bCs/>
          <w:szCs w:val="20"/>
        </w:rPr>
        <w:t xml:space="preserve">ene pitane govedi (v živi masi) so bile v letu 2019 za 2 % nad ravnijo povprečja cen petletnega obdobja 2014–2018, pri čemer so se glede na leto 2018, odkupne cene za govedo znižale pri vseh kategorijah. V obdobju epidemije Covid-19, spomladi leta 2020, je ta sektor občutil precejšen padec cen, ki se do oktobra 2020 še ni stabiliziral. </w:t>
      </w:r>
    </w:p>
    <w:p w14:paraId="668A0109" w14:textId="77777777" w:rsidR="00F679A2" w:rsidRPr="007A077E" w:rsidRDefault="00F679A2" w:rsidP="005B2A49">
      <w:pPr>
        <w:spacing w:before="200" w:line="260" w:lineRule="atLeast"/>
        <w:rPr>
          <w:bCs/>
          <w:color w:val="000000"/>
          <w:szCs w:val="20"/>
          <w:lang w:bidi="ne-NP"/>
        </w:rPr>
      </w:pPr>
      <w:r w:rsidRPr="007A077E">
        <w:rPr>
          <w:bCs/>
          <w:szCs w:val="20"/>
        </w:rPr>
        <w:t xml:space="preserve">Po vstopu Slovenije v EU se je obseg zunanje trgovine z govedom močno povečal, ob tem so bile opazne tudi precejšnje spremembe in preusmeritev v izvoz živih živali. Po drugi strani je Slovenija močno odvisna od uvoza mesnih pasem telet za nadaljnjo rejo. V letu 2019 je bilo uvoženih </w:t>
      </w:r>
      <w:r w:rsidRPr="007A077E">
        <w:rPr>
          <w:bCs/>
          <w:color w:val="000000"/>
          <w:szCs w:val="20"/>
          <w:lang w:bidi="ne-NP"/>
        </w:rPr>
        <w:t>21.818 telet.</w:t>
      </w:r>
    </w:p>
    <w:p w14:paraId="57569700" w14:textId="77777777" w:rsidR="00F679A2" w:rsidRPr="007A077E" w:rsidRDefault="00F679A2" w:rsidP="005B2A49">
      <w:pPr>
        <w:spacing w:before="200" w:line="260" w:lineRule="atLeast"/>
        <w:rPr>
          <w:bCs/>
          <w:szCs w:val="20"/>
        </w:rPr>
      </w:pPr>
      <w:r w:rsidRPr="007A077E">
        <w:rPr>
          <w:bCs/>
          <w:szCs w:val="20"/>
        </w:rPr>
        <w:t>V letu 2019 je bil koeficient ekonomičnosti prireje mesa 79,9 % pri pitanju do 29 živali in 88,4% pri pitanju do 150 živali. Opazen je trend padanja ekonomičnosti, ki je ves čas znatno pod ekonomičnostjo v EU. Slovenska govedoreja v razvoju zaostaja za povprečjem EU predvsem zaradi strukturnih (majhne, razdrobljene kmetije) in naravnih danosti (OMD, VVO, Kras).</w:t>
      </w:r>
    </w:p>
    <w:p w14:paraId="2FEBC7F2" w14:textId="77777777" w:rsidR="00F679A2" w:rsidRPr="007A077E" w:rsidRDefault="00F679A2" w:rsidP="005B2A49">
      <w:pPr>
        <w:spacing w:before="200" w:line="260" w:lineRule="atLeast"/>
        <w:rPr>
          <w:bCs/>
          <w:color w:val="000000" w:themeColor="text1"/>
          <w:kern w:val="24"/>
          <w:szCs w:val="20"/>
        </w:rPr>
      </w:pPr>
      <w:r w:rsidRPr="007A077E">
        <w:rPr>
          <w:bCs/>
          <w:color w:val="000000" w:themeColor="text1"/>
          <w:kern w:val="24"/>
          <w:szCs w:val="20"/>
        </w:rPr>
        <w:t xml:space="preserve">Govedoreja ob zmerni rabi absolutnega travinja omogoča ohranjanje narave in daje možnost za diverzifikacijo dejavnosti na podeželju (dopolnilne dejavnosti, turizem), hkrati pa je skupaj z rejo drobnice edina tradicionalna panoga v slovenskih hribovitih območjih. S tem ohranja travniške habitate in biotsko raznovrstnost. Pridelava krme na lastnem kmetijskem gospodarstvu in zmerna  intenzivnost pridelave omogočata zaprt krogotok hranil na teh gospodarstvih. </w:t>
      </w:r>
    </w:p>
    <w:p w14:paraId="03626CCE" w14:textId="77777777" w:rsidR="00F679A2" w:rsidRPr="007A077E" w:rsidRDefault="00F679A2" w:rsidP="005B2A49">
      <w:pPr>
        <w:spacing w:before="200" w:line="260" w:lineRule="atLeast"/>
        <w:rPr>
          <w:rFonts w:eastAsia="TimesNewRoman"/>
          <w:bCs/>
          <w:color w:val="000000" w:themeColor="text1"/>
          <w:szCs w:val="20"/>
        </w:rPr>
      </w:pPr>
      <w:r w:rsidRPr="007A077E">
        <w:rPr>
          <w:rFonts w:eastAsia="TimesNewRoman"/>
          <w:bCs/>
          <w:color w:val="000000" w:themeColor="text1"/>
          <w:szCs w:val="20"/>
        </w:rPr>
        <w:t>Opuščanje proizvodnje mleka in mesa na manjših in srednje velikih rej v hribovitih območjih ima lahko za posledico opuščanje in degradacijo podeželskih območij, medtem ko se v naseljenih območjih zaostrujejo konflikti med rejci in okoliškimi prebivalci.</w:t>
      </w:r>
    </w:p>
    <w:p w14:paraId="71F4BECC" w14:textId="77777777" w:rsidR="00F679A2" w:rsidRPr="007A077E" w:rsidRDefault="00F679A2" w:rsidP="005B2A49">
      <w:pPr>
        <w:spacing w:before="200" w:line="260" w:lineRule="atLeast"/>
        <w:rPr>
          <w:rFonts w:eastAsia="TimesNewRoman"/>
          <w:bCs/>
          <w:color w:val="000000" w:themeColor="text1"/>
          <w:szCs w:val="20"/>
        </w:rPr>
      </w:pPr>
      <w:r w:rsidRPr="007A077E">
        <w:rPr>
          <w:rFonts w:eastAsia="TimesNewRoman"/>
          <w:bCs/>
          <w:color w:val="000000" w:themeColor="text1"/>
          <w:szCs w:val="20"/>
        </w:rPr>
        <w:t xml:space="preserve">Tradicionalno prisotne </w:t>
      </w:r>
      <w:r w:rsidRPr="007A077E">
        <w:rPr>
          <w:bCs/>
          <w:color w:val="000000" w:themeColor="text1"/>
          <w:kern w:val="24"/>
          <w:szCs w:val="20"/>
        </w:rPr>
        <w:t>avtohtone in kombinirane pasme domačih živali so prilagojene na lokalne pogoje, žal pa rejcu prinesejo m</w:t>
      </w:r>
      <w:r w:rsidRPr="007A077E">
        <w:rPr>
          <w:rFonts w:eastAsia="TimesNewRoman"/>
          <w:bCs/>
          <w:color w:val="000000" w:themeColor="text1"/>
          <w:szCs w:val="20"/>
        </w:rPr>
        <w:t xml:space="preserve">anjši dohodek kot konvencionalne pasme. Vendar je nujno tudi v teh rejah uvajati tehnološke novosti in inovativnost ter se usmerjati v predelavo in proizvodnjo nišnih proizvodov, običajno višjega cenovnega razreda. </w:t>
      </w:r>
    </w:p>
    <w:p w14:paraId="55489F81" w14:textId="77777777" w:rsidR="00F679A2" w:rsidRPr="007A077E" w:rsidRDefault="00F679A2" w:rsidP="005B2A49">
      <w:pPr>
        <w:spacing w:before="200" w:line="260" w:lineRule="atLeast"/>
        <w:rPr>
          <w:rFonts w:eastAsia="TimesNewRoman"/>
          <w:bCs/>
          <w:color w:val="000000" w:themeColor="text1"/>
          <w:szCs w:val="20"/>
        </w:rPr>
      </w:pPr>
      <w:r w:rsidRPr="007A077E">
        <w:rPr>
          <w:rFonts w:eastAsia="TimesNewRoman"/>
          <w:bCs/>
          <w:color w:val="000000" w:themeColor="text1"/>
          <w:szCs w:val="20"/>
        </w:rPr>
        <w:t>Slabosti panoge sicer izhajajo iz razdrobljenost kmetijskih površin, posodobiti pa je potrebno tudi skladiščenje in izrabo živalskih gnojil in krme. Mnogi objekti in naprave, ki jih uporabljajo rejci, so dotrajani in zastareli.</w:t>
      </w:r>
    </w:p>
    <w:p w14:paraId="5E1BFA64" w14:textId="77777777" w:rsidR="00F679A2" w:rsidRPr="007A077E" w:rsidRDefault="00F679A2" w:rsidP="005B2A49">
      <w:pPr>
        <w:spacing w:before="200" w:line="260" w:lineRule="atLeast"/>
        <w:rPr>
          <w:rFonts w:eastAsia="TimesNewRoman"/>
          <w:bCs/>
          <w:color w:val="000000" w:themeColor="text1"/>
          <w:szCs w:val="20"/>
        </w:rPr>
      </w:pPr>
      <w:r w:rsidRPr="007A077E">
        <w:rPr>
          <w:rFonts w:eastAsia="TimesNewRoman"/>
          <w:bCs/>
          <w:color w:val="000000" w:themeColor="text1"/>
          <w:szCs w:val="20"/>
        </w:rPr>
        <w:t xml:space="preserve">Zaradi obravnave izpustov toplogrednih plinov (TPG) in amonijaka, okoljskih zahtev in uvajanja strožjih biovarnostnih ukrepov so potrebne spremembe v panogi, ki višajo stroške proizvodnje. Govedoreja je sicer najpomembnejši vir izpustov TGP v kmetijstvu. V letu 2017 je prispevala 66,9 % vseh izpustov iz kmetijstva in 6,6 % vseh izpustov TGP v Sloveniji. Največ izpustov TGP prispevajo krave molznice (38 %), goveji pitanci (20 %), plemenske telice (17 %) in krave dojilje (14 %). S prirejo mleka je povezanih približno 55 % (molznice in plemenske telice), s prirejo mesa pa 45 % izpustov TPG. Najpomembnejši vir izpustov v govedoreji je metan, ki se sprosti iz prebavil (79 %), sledi metan, ki nastaja pri skladiščenju živinskih gnojil (18 %). Manjši delež emisij predstavlja še didušikov oksid, ki nastaja pri skladiščenju živinskih gnojil. V zadnjih 30 letih so se izpusti TGP pri prireji mleka zmanjšali. Zaradi povečanja mlečnosti krav molznic (z 2.438 kg v letu 1986 na 5.954 kg na kravo na leto v letu 2017), je z manjšim številom molznic prirejena podobna količina mleka kot nekoč. Širjenje reje krav dojilj po letu 1990, je deloma izničilo zmanjšanje izpustov TGP pri kravah molznicah. Skupni izpusti </w:t>
      </w:r>
      <w:r w:rsidRPr="007A077E">
        <w:rPr>
          <w:rFonts w:eastAsia="TimesNewRoman"/>
          <w:bCs/>
          <w:color w:val="000000" w:themeColor="text1"/>
          <w:szCs w:val="20"/>
        </w:rPr>
        <w:lastRenderedPageBreak/>
        <w:t>(za vse krave) so bili leta 2017 12,6 % pod izpusti v letu 1986 in 1,5 % pod izpusti v letu 2005.</w:t>
      </w:r>
    </w:p>
    <w:p w14:paraId="662153DC" w14:textId="378C7630" w:rsidR="00F679A2" w:rsidRPr="007A077E" w:rsidRDefault="00F679A2" w:rsidP="005B2A49">
      <w:pPr>
        <w:spacing w:after="120" w:line="260" w:lineRule="atLeast"/>
        <w:rPr>
          <w:bCs/>
          <w:szCs w:val="20"/>
        </w:rPr>
      </w:pPr>
      <w:r w:rsidRPr="007A077E">
        <w:rPr>
          <w:bCs/>
          <w:szCs w:val="20"/>
        </w:rPr>
        <w:t xml:space="preserve">Rejci goveda so v programskem obdobju SKP 2014-2020 upravičeni do podpor v sklopu neposrednih in proizvodno vezanih plačil ter ukrepov v okviru Programa razvoja podeželja (PRP). Povprečne vrednosti plačilnih pravic za leto 2019 za govedorejske kmetije so po podatkih AKRSKTRP in MKGP različne glede na tip proizvodnje in sicer so bile: za specializirane proizvajalce mleka 184 EUR, za pitanje 166 EUR, za rejo mešane pašne živine 162 EUR, za pitanje in dojilje 147 EUR ter za mešano pašno živino 131 EUR. V letu 2019 je proizvodno vezano plačilo prejelo 2.550 rejcev za mleko v gorskem območju za 36.426 živali in 15.621 rejcev pitalcev za 78.134 živali. V obdobju 2015-2018 je proizvodno vezano podpora za mleko znašala med 127-131,7 EUR. </w:t>
      </w:r>
    </w:p>
    <w:p w14:paraId="2C6B3285" w14:textId="77777777" w:rsidR="00F679A2" w:rsidRPr="007A077E" w:rsidRDefault="00F679A2" w:rsidP="005B2A49">
      <w:pPr>
        <w:spacing w:after="120" w:line="260" w:lineRule="atLeast"/>
        <w:contextualSpacing/>
        <w:rPr>
          <w:bCs/>
          <w:color w:val="000000"/>
          <w:kern w:val="24"/>
          <w:szCs w:val="20"/>
        </w:rPr>
      </w:pPr>
      <w:r w:rsidRPr="007A077E">
        <w:rPr>
          <w:bCs/>
          <w:color w:val="000000" w:themeColor="text1"/>
          <w:kern w:val="24"/>
          <w:szCs w:val="20"/>
        </w:rPr>
        <w:t>Zaradi velikih investicijskih vlaganj so posodobitve v minulih letih večinoma izvedla večja kmetijska gospodarstva, ki so tehnološko naprednejša, mnoga imajo deloma avtomatizirano oziroma digitalizirano rejo.</w:t>
      </w:r>
      <w:r w:rsidRPr="007A077E">
        <w:rPr>
          <w:rFonts w:eastAsia="TimesNewRoman"/>
          <w:bCs/>
          <w:color w:val="000000" w:themeColor="text1"/>
          <w:szCs w:val="20"/>
        </w:rPr>
        <w:t xml:space="preserve"> </w:t>
      </w:r>
      <w:r w:rsidRPr="007A077E">
        <w:rPr>
          <w:bCs/>
          <w:szCs w:val="20"/>
        </w:rPr>
        <w:t xml:space="preserve">Iz sredstev PRP 2014-2020: podpora sektorju - meso in mesni izdelki ter mleko je bilo do 30. 4. 2020 v podukrepih M04.1 Podpora za naložbe v kmetijska gospodarstva, M04.2 Podpora za naložbe v predelavo/trženje in/ali razvoj kmetijskih proizvodov , M06.1 Pomoč za zagon dejavnosti za mlade kmete in M06.3 Pomoč za zagon dejavnosti, namenjene razvoju majhnih kmetij odobrenih 4.462 vlog v skupni vrednosti 61,8 mio </w:t>
      </w:r>
      <w:r w:rsidRPr="007A077E">
        <w:rPr>
          <w:bCs/>
          <w:color w:val="000000"/>
          <w:kern w:val="24"/>
          <w:szCs w:val="20"/>
        </w:rPr>
        <w:t xml:space="preserve"> EUR. V okviru ukrepa M14 Dobrobit živali je bilo do 30. 4. 2020 izplačanih 16,7 mio EUR.  </w:t>
      </w:r>
    </w:p>
    <w:p w14:paraId="7257C885" w14:textId="7A5F14C5" w:rsidR="00C25531" w:rsidRPr="007A077E" w:rsidRDefault="00F679A2" w:rsidP="005B2A49">
      <w:pPr>
        <w:autoSpaceDE w:val="0"/>
        <w:autoSpaceDN w:val="0"/>
        <w:adjustRightInd w:val="0"/>
        <w:spacing w:before="200" w:line="260" w:lineRule="atLeast"/>
        <w:rPr>
          <w:bCs/>
          <w:color w:val="000000"/>
          <w:szCs w:val="20"/>
        </w:rPr>
      </w:pPr>
      <w:r w:rsidRPr="007A077E">
        <w:rPr>
          <w:bCs/>
          <w:szCs w:val="20"/>
        </w:rPr>
        <w:t>Shemo dobrobit živali</w:t>
      </w:r>
      <w:r w:rsidRPr="007A077E">
        <w:rPr>
          <w:bCs/>
          <w:color w:val="000000"/>
          <w:szCs w:val="20"/>
        </w:rPr>
        <w:t>, se za govedo izvaja od leta 2016.  V okviru sheme se spodbuja paša goved,  vključenost v ukrep celo nekoliko presegla načrtovane cilje. V ukrep je vključena dobra četrtina staleža goveda v GVŽ.</w:t>
      </w:r>
    </w:p>
    <w:p w14:paraId="24C88554" w14:textId="41FC6EB4" w:rsidR="00F679A2" w:rsidRDefault="00F679A2" w:rsidP="00F679A2">
      <w:pPr>
        <w:pStyle w:val="SCPreglednica"/>
      </w:pPr>
      <w:bookmarkStart w:id="3101" w:name="_Toc86822648"/>
      <w:r>
        <w:t xml:space="preserve">Tabela </w:t>
      </w:r>
      <w:r>
        <w:rPr>
          <w:noProof/>
        </w:rPr>
        <w:fldChar w:fldCharType="begin"/>
      </w:r>
      <w:r>
        <w:rPr>
          <w:noProof/>
        </w:rPr>
        <w:instrText xml:space="preserve"> SEQ Tabela \* ARABIC </w:instrText>
      </w:r>
      <w:r>
        <w:rPr>
          <w:noProof/>
        </w:rPr>
        <w:fldChar w:fldCharType="separate"/>
      </w:r>
      <w:r w:rsidR="0088117A">
        <w:rPr>
          <w:noProof/>
        </w:rPr>
        <w:t>10</w:t>
      </w:r>
      <w:r>
        <w:rPr>
          <w:noProof/>
        </w:rPr>
        <w:fldChar w:fldCharType="end"/>
      </w:r>
      <w:r>
        <w:t xml:space="preserve">: </w:t>
      </w:r>
      <w:r w:rsidRPr="007A077E">
        <w:t>Stalež goveda v GVŽ</w:t>
      </w:r>
      <w:bookmarkEnd w:id="3101"/>
    </w:p>
    <w:p w14:paraId="3BAFA3AF" w14:textId="77777777" w:rsidR="00F679A2" w:rsidRPr="007A077E" w:rsidRDefault="00F679A2" w:rsidP="00F679A2">
      <w:pPr>
        <w:autoSpaceDE w:val="0"/>
        <w:autoSpaceDN w:val="0"/>
        <w:adjustRightInd w:val="0"/>
        <w:spacing w:line="360" w:lineRule="auto"/>
        <w:rPr>
          <w:color w:val="000000"/>
          <w:szCs w:val="20"/>
        </w:rPr>
      </w:pPr>
      <w:r w:rsidRPr="007A077E">
        <w:rPr>
          <w:noProof/>
          <w:color w:val="000000"/>
          <w:szCs w:val="20"/>
          <w:lang w:eastAsia="sl-SI"/>
        </w:rPr>
        <w:drawing>
          <wp:inline distT="0" distB="0" distL="0" distR="0" wp14:anchorId="686E4FED" wp14:editId="6AFD13EE">
            <wp:extent cx="5954233" cy="770879"/>
            <wp:effectExtent l="0" t="0" r="0" b="0"/>
            <wp:docPr id="24169624" name="Slika 2416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4016" cy="781208"/>
                    </a:xfrm>
                    <a:prstGeom prst="rect">
                      <a:avLst/>
                    </a:prstGeom>
                    <a:noFill/>
                    <a:ln>
                      <a:noFill/>
                    </a:ln>
                  </pic:spPr>
                </pic:pic>
              </a:graphicData>
            </a:graphic>
          </wp:inline>
        </w:drawing>
      </w:r>
    </w:p>
    <w:p w14:paraId="5C2744F1" w14:textId="77777777" w:rsidR="00F679A2" w:rsidRPr="007A077E" w:rsidRDefault="00F679A2" w:rsidP="00F679A2">
      <w:pPr>
        <w:autoSpaceDE w:val="0"/>
        <w:autoSpaceDN w:val="0"/>
        <w:adjustRightInd w:val="0"/>
        <w:spacing w:line="360" w:lineRule="auto"/>
        <w:rPr>
          <w:color w:val="000000"/>
          <w:sz w:val="16"/>
          <w:szCs w:val="16"/>
        </w:rPr>
      </w:pPr>
      <w:r w:rsidRPr="007A077E">
        <w:rPr>
          <w:color w:val="000000"/>
          <w:sz w:val="16"/>
          <w:szCs w:val="16"/>
        </w:rPr>
        <w:t>Vir: MKGP-2020</w:t>
      </w:r>
    </w:p>
    <w:p w14:paraId="698CBF9E" w14:textId="5F239034" w:rsidR="00F679A2" w:rsidRDefault="00F679A2" w:rsidP="00F679A2">
      <w:pPr>
        <w:pStyle w:val="SCPreglednica"/>
      </w:pPr>
      <w:bookmarkStart w:id="3102" w:name="_Toc86822649"/>
      <w:r>
        <w:t xml:space="preserve">Tabela </w:t>
      </w:r>
      <w:r>
        <w:rPr>
          <w:noProof/>
        </w:rPr>
        <w:fldChar w:fldCharType="begin"/>
      </w:r>
      <w:r>
        <w:rPr>
          <w:noProof/>
        </w:rPr>
        <w:instrText xml:space="preserve"> SEQ Tabela \* ARABIC </w:instrText>
      </w:r>
      <w:r>
        <w:rPr>
          <w:noProof/>
        </w:rPr>
        <w:fldChar w:fldCharType="separate"/>
      </w:r>
      <w:r w:rsidR="0088117A">
        <w:rPr>
          <w:noProof/>
        </w:rPr>
        <w:t>11</w:t>
      </w:r>
      <w:r>
        <w:rPr>
          <w:noProof/>
        </w:rPr>
        <w:fldChar w:fldCharType="end"/>
      </w:r>
      <w:r>
        <w:t>: Izvajanje ukrepa DŽ-</w:t>
      </w:r>
      <w:r w:rsidRPr="007A077E">
        <w:t>govedo</w:t>
      </w:r>
      <w:bookmarkEnd w:id="3102"/>
    </w:p>
    <w:tbl>
      <w:tblPr>
        <w:tblW w:w="9298" w:type="dxa"/>
        <w:tblLayout w:type="fixed"/>
        <w:tblCellMar>
          <w:left w:w="30" w:type="dxa"/>
          <w:right w:w="30" w:type="dxa"/>
        </w:tblCellMar>
        <w:tblLook w:val="00A0" w:firstRow="1" w:lastRow="0" w:firstColumn="1" w:lastColumn="0" w:noHBand="0" w:noVBand="0"/>
      </w:tblPr>
      <w:tblGrid>
        <w:gridCol w:w="3835"/>
        <w:gridCol w:w="1627"/>
        <w:gridCol w:w="1949"/>
        <w:gridCol w:w="1887"/>
      </w:tblGrid>
      <w:tr w:rsidR="00F679A2" w:rsidRPr="00E95B10" w14:paraId="2046A153" w14:textId="77777777" w:rsidTr="00B97309">
        <w:trPr>
          <w:trHeight w:val="305"/>
        </w:trPr>
        <w:tc>
          <w:tcPr>
            <w:tcW w:w="3835" w:type="dxa"/>
            <w:tcBorders>
              <w:top w:val="single" w:sz="6" w:space="0" w:color="000000"/>
              <w:left w:val="single" w:sz="6" w:space="0" w:color="000000"/>
              <w:bottom w:val="single" w:sz="6" w:space="0" w:color="000000"/>
              <w:right w:val="single" w:sz="6" w:space="0" w:color="000000"/>
            </w:tcBorders>
          </w:tcPr>
          <w:p w14:paraId="57A00A15"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DŽ govedo - 30.4.2020</w:t>
            </w:r>
          </w:p>
        </w:tc>
        <w:tc>
          <w:tcPr>
            <w:tcW w:w="1627" w:type="dxa"/>
            <w:tcBorders>
              <w:top w:val="single" w:sz="6" w:space="0" w:color="000000"/>
              <w:left w:val="single" w:sz="6" w:space="0" w:color="000000"/>
              <w:bottom w:val="single" w:sz="6" w:space="0" w:color="000000"/>
              <w:right w:val="single" w:sz="6" w:space="0" w:color="000000"/>
            </w:tcBorders>
          </w:tcPr>
          <w:p w14:paraId="31AFA0DF" w14:textId="77777777" w:rsidR="00F679A2" w:rsidRPr="0007362B" w:rsidRDefault="00F679A2" w:rsidP="00B97309">
            <w:pPr>
              <w:autoSpaceDE w:val="0"/>
              <w:autoSpaceDN w:val="0"/>
              <w:adjustRightInd w:val="0"/>
              <w:spacing w:line="360" w:lineRule="auto"/>
              <w:rPr>
                <w:b/>
                <w:bCs/>
                <w:color w:val="000000"/>
                <w:sz w:val="18"/>
                <w:szCs w:val="20"/>
              </w:rPr>
            </w:pPr>
          </w:p>
        </w:tc>
        <w:tc>
          <w:tcPr>
            <w:tcW w:w="1949" w:type="dxa"/>
            <w:tcBorders>
              <w:top w:val="single" w:sz="6" w:space="0" w:color="000000"/>
              <w:left w:val="single" w:sz="6" w:space="0" w:color="000000"/>
              <w:bottom w:val="single" w:sz="6" w:space="0" w:color="000000"/>
              <w:right w:val="single" w:sz="6" w:space="0" w:color="000000"/>
            </w:tcBorders>
          </w:tcPr>
          <w:p w14:paraId="39BB4B4D" w14:textId="77777777" w:rsidR="00F679A2" w:rsidRPr="0007362B" w:rsidRDefault="00F679A2" w:rsidP="00B97309">
            <w:pPr>
              <w:autoSpaceDE w:val="0"/>
              <w:autoSpaceDN w:val="0"/>
              <w:adjustRightInd w:val="0"/>
              <w:spacing w:line="360" w:lineRule="auto"/>
              <w:rPr>
                <w:b/>
                <w:bCs/>
                <w:color w:val="000000"/>
                <w:sz w:val="18"/>
                <w:szCs w:val="20"/>
              </w:rPr>
            </w:pPr>
          </w:p>
        </w:tc>
        <w:tc>
          <w:tcPr>
            <w:tcW w:w="1887" w:type="dxa"/>
            <w:tcBorders>
              <w:top w:val="single" w:sz="6" w:space="0" w:color="000000"/>
              <w:left w:val="single" w:sz="6" w:space="0" w:color="000000"/>
              <w:bottom w:val="single" w:sz="6" w:space="0" w:color="000000"/>
              <w:right w:val="single" w:sz="6" w:space="0" w:color="000000"/>
            </w:tcBorders>
          </w:tcPr>
          <w:p w14:paraId="61449CF7" w14:textId="77777777" w:rsidR="00F679A2" w:rsidRPr="0007362B" w:rsidRDefault="00F679A2" w:rsidP="00B97309">
            <w:pPr>
              <w:autoSpaceDE w:val="0"/>
              <w:autoSpaceDN w:val="0"/>
              <w:adjustRightInd w:val="0"/>
              <w:spacing w:line="360" w:lineRule="auto"/>
              <w:rPr>
                <w:b/>
                <w:bCs/>
                <w:color w:val="000000"/>
                <w:sz w:val="18"/>
                <w:szCs w:val="20"/>
              </w:rPr>
            </w:pPr>
          </w:p>
        </w:tc>
      </w:tr>
      <w:tr w:rsidR="00F679A2" w:rsidRPr="00E95B10" w14:paraId="458D6283"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shd w:val="clear" w:color="auto" w:fill="BFBF00"/>
          </w:tcPr>
          <w:p w14:paraId="50A7AEB7"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 Leto</w:t>
            </w:r>
          </w:p>
        </w:tc>
        <w:tc>
          <w:tcPr>
            <w:tcW w:w="1627" w:type="dxa"/>
            <w:tcBorders>
              <w:top w:val="single" w:sz="12" w:space="0" w:color="000000"/>
              <w:left w:val="single" w:sz="12" w:space="0" w:color="000000"/>
              <w:bottom w:val="single" w:sz="12" w:space="0" w:color="000000"/>
              <w:right w:val="single" w:sz="12" w:space="0" w:color="000000"/>
            </w:tcBorders>
            <w:shd w:val="clear" w:color="auto" w:fill="BFBF00"/>
          </w:tcPr>
          <w:p w14:paraId="4BE679D9"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Število izplačanih vlog</w:t>
            </w:r>
          </w:p>
        </w:tc>
        <w:tc>
          <w:tcPr>
            <w:tcW w:w="1949" w:type="dxa"/>
            <w:tcBorders>
              <w:top w:val="single" w:sz="12" w:space="0" w:color="000000"/>
              <w:left w:val="single" w:sz="12" w:space="0" w:color="000000"/>
              <w:bottom w:val="single" w:sz="12" w:space="0" w:color="000000"/>
              <w:right w:val="single" w:sz="12" w:space="0" w:color="000000"/>
            </w:tcBorders>
            <w:shd w:val="clear" w:color="auto" w:fill="BFBF00"/>
          </w:tcPr>
          <w:p w14:paraId="63DD4BBA"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Število podprtih GVŽ</w:t>
            </w:r>
          </w:p>
        </w:tc>
        <w:tc>
          <w:tcPr>
            <w:tcW w:w="1887" w:type="dxa"/>
            <w:tcBorders>
              <w:top w:val="single" w:sz="12" w:space="0" w:color="000000"/>
              <w:left w:val="single" w:sz="12" w:space="0" w:color="000000"/>
              <w:bottom w:val="single" w:sz="12" w:space="0" w:color="000000"/>
              <w:right w:val="single" w:sz="12" w:space="0" w:color="000000"/>
            </w:tcBorders>
            <w:shd w:val="clear" w:color="auto" w:fill="BFBF00"/>
          </w:tcPr>
          <w:p w14:paraId="3BAF0CDE"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Znesek izplačanih sredstev, €</w:t>
            </w:r>
          </w:p>
        </w:tc>
      </w:tr>
      <w:tr w:rsidR="00F679A2" w:rsidRPr="00E95B10" w14:paraId="256C84BE"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5C090877"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SK 2016</w:t>
            </w:r>
          </w:p>
        </w:tc>
        <w:tc>
          <w:tcPr>
            <w:tcW w:w="1627" w:type="dxa"/>
            <w:tcBorders>
              <w:top w:val="single" w:sz="12" w:space="0" w:color="000000"/>
              <w:left w:val="single" w:sz="12" w:space="0" w:color="000000"/>
              <w:bottom w:val="single" w:sz="12" w:space="0" w:color="000000"/>
              <w:right w:val="single" w:sz="12" w:space="0" w:color="000000"/>
            </w:tcBorders>
          </w:tcPr>
          <w:p w14:paraId="6196A501"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6.761</w:t>
            </w:r>
          </w:p>
        </w:tc>
        <w:tc>
          <w:tcPr>
            <w:tcW w:w="1949" w:type="dxa"/>
            <w:tcBorders>
              <w:top w:val="single" w:sz="12" w:space="0" w:color="000000"/>
              <w:left w:val="single" w:sz="12" w:space="0" w:color="000000"/>
              <w:bottom w:val="single" w:sz="12" w:space="0" w:color="000000"/>
              <w:right w:val="single" w:sz="12" w:space="0" w:color="000000"/>
            </w:tcBorders>
          </w:tcPr>
          <w:p w14:paraId="6B450727"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71.036</w:t>
            </w:r>
          </w:p>
        </w:tc>
        <w:tc>
          <w:tcPr>
            <w:tcW w:w="1887" w:type="dxa"/>
            <w:tcBorders>
              <w:top w:val="single" w:sz="12" w:space="0" w:color="000000"/>
              <w:left w:val="single" w:sz="12" w:space="0" w:color="000000"/>
              <w:bottom w:val="single" w:sz="12" w:space="0" w:color="000000"/>
              <w:right w:val="single" w:sz="12" w:space="0" w:color="000000"/>
            </w:tcBorders>
          </w:tcPr>
          <w:p w14:paraId="523063AB"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3.736.801,54</w:t>
            </w:r>
          </w:p>
        </w:tc>
      </w:tr>
      <w:tr w:rsidR="00F679A2" w:rsidRPr="00E95B10" w14:paraId="0C5E300D"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4F2D3CE5"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SK 2017</w:t>
            </w:r>
          </w:p>
        </w:tc>
        <w:tc>
          <w:tcPr>
            <w:tcW w:w="1627" w:type="dxa"/>
            <w:tcBorders>
              <w:top w:val="single" w:sz="12" w:space="0" w:color="000000"/>
              <w:left w:val="single" w:sz="12" w:space="0" w:color="000000"/>
              <w:bottom w:val="single" w:sz="12" w:space="0" w:color="000000"/>
              <w:right w:val="single" w:sz="12" w:space="0" w:color="000000"/>
            </w:tcBorders>
          </w:tcPr>
          <w:p w14:paraId="15860F29"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7.466</w:t>
            </w:r>
          </w:p>
        </w:tc>
        <w:tc>
          <w:tcPr>
            <w:tcW w:w="1949" w:type="dxa"/>
            <w:tcBorders>
              <w:top w:val="single" w:sz="12" w:space="0" w:color="000000"/>
              <w:left w:val="single" w:sz="12" w:space="0" w:color="000000"/>
              <w:bottom w:val="single" w:sz="12" w:space="0" w:color="000000"/>
              <w:right w:val="single" w:sz="12" w:space="0" w:color="000000"/>
            </w:tcBorders>
          </w:tcPr>
          <w:p w14:paraId="530055EF"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83.745</w:t>
            </w:r>
          </w:p>
        </w:tc>
        <w:tc>
          <w:tcPr>
            <w:tcW w:w="1887" w:type="dxa"/>
            <w:tcBorders>
              <w:top w:val="single" w:sz="12" w:space="0" w:color="000000"/>
              <w:left w:val="single" w:sz="12" w:space="0" w:color="000000"/>
              <w:bottom w:val="single" w:sz="12" w:space="0" w:color="000000"/>
              <w:right w:val="single" w:sz="12" w:space="0" w:color="000000"/>
            </w:tcBorders>
          </w:tcPr>
          <w:p w14:paraId="4EED9AF3"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4.397.583,41</w:t>
            </w:r>
          </w:p>
        </w:tc>
      </w:tr>
      <w:tr w:rsidR="00F679A2" w:rsidRPr="00E95B10" w14:paraId="7E5AEB5A"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1466190C"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SK 2018</w:t>
            </w:r>
          </w:p>
        </w:tc>
        <w:tc>
          <w:tcPr>
            <w:tcW w:w="1627" w:type="dxa"/>
            <w:tcBorders>
              <w:top w:val="single" w:sz="12" w:space="0" w:color="000000"/>
              <w:left w:val="single" w:sz="12" w:space="0" w:color="000000"/>
              <w:bottom w:val="single" w:sz="12" w:space="0" w:color="000000"/>
              <w:right w:val="single" w:sz="12" w:space="0" w:color="000000"/>
            </w:tcBorders>
          </w:tcPr>
          <w:p w14:paraId="2BDBAF49"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7.580</w:t>
            </w:r>
          </w:p>
        </w:tc>
        <w:tc>
          <w:tcPr>
            <w:tcW w:w="1949" w:type="dxa"/>
            <w:tcBorders>
              <w:top w:val="single" w:sz="12" w:space="0" w:color="000000"/>
              <w:left w:val="single" w:sz="12" w:space="0" w:color="000000"/>
              <w:bottom w:val="single" w:sz="12" w:space="0" w:color="000000"/>
              <w:right w:val="single" w:sz="12" w:space="0" w:color="000000"/>
            </w:tcBorders>
          </w:tcPr>
          <w:p w14:paraId="25E059C4"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86.118</w:t>
            </w:r>
          </w:p>
        </w:tc>
        <w:tc>
          <w:tcPr>
            <w:tcW w:w="1887" w:type="dxa"/>
            <w:tcBorders>
              <w:top w:val="single" w:sz="12" w:space="0" w:color="000000"/>
              <w:left w:val="single" w:sz="12" w:space="0" w:color="000000"/>
              <w:bottom w:val="single" w:sz="12" w:space="0" w:color="000000"/>
              <w:right w:val="single" w:sz="12" w:space="0" w:color="000000"/>
            </w:tcBorders>
          </w:tcPr>
          <w:p w14:paraId="2AE06A4E"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4.536.082,32</w:t>
            </w:r>
          </w:p>
        </w:tc>
      </w:tr>
      <w:tr w:rsidR="00F679A2" w:rsidRPr="00E95B10" w14:paraId="0AF009E8"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0103E4AB"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SK 2019</w:t>
            </w:r>
          </w:p>
        </w:tc>
        <w:tc>
          <w:tcPr>
            <w:tcW w:w="1627" w:type="dxa"/>
            <w:tcBorders>
              <w:top w:val="single" w:sz="12" w:space="0" w:color="000000"/>
              <w:left w:val="single" w:sz="12" w:space="0" w:color="000000"/>
              <w:bottom w:val="single" w:sz="12" w:space="0" w:color="000000"/>
              <w:right w:val="single" w:sz="12" w:space="0" w:color="000000"/>
            </w:tcBorders>
          </w:tcPr>
          <w:p w14:paraId="0D682919"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6.561</w:t>
            </w:r>
          </w:p>
        </w:tc>
        <w:tc>
          <w:tcPr>
            <w:tcW w:w="1949" w:type="dxa"/>
            <w:tcBorders>
              <w:top w:val="single" w:sz="12" w:space="0" w:color="000000"/>
              <w:left w:val="single" w:sz="12" w:space="0" w:color="000000"/>
              <w:bottom w:val="single" w:sz="12" w:space="0" w:color="000000"/>
              <w:right w:val="single" w:sz="12" w:space="0" w:color="000000"/>
            </w:tcBorders>
          </w:tcPr>
          <w:p w14:paraId="6FFD67AA"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95.743 (zajem)</w:t>
            </w:r>
          </w:p>
        </w:tc>
        <w:tc>
          <w:tcPr>
            <w:tcW w:w="1887" w:type="dxa"/>
            <w:tcBorders>
              <w:top w:val="single" w:sz="12" w:space="0" w:color="000000"/>
              <w:left w:val="single" w:sz="12" w:space="0" w:color="000000"/>
              <w:bottom w:val="single" w:sz="12" w:space="0" w:color="000000"/>
              <w:right w:val="single" w:sz="12" w:space="0" w:color="000000"/>
            </w:tcBorders>
          </w:tcPr>
          <w:p w14:paraId="677EEA51" w14:textId="77777777" w:rsidR="00F679A2" w:rsidRPr="0007362B" w:rsidRDefault="00F679A2" w:rsidP="00B97309">
            <w:pPr>
              <w:autoSpaceDE w:val="0"/>
              <w:autoSpaceDN w:val="0"/>
              <w:adjustRightInd w:val="0"/>
              <w:spacing w:line="360" w:lineRule="auto"/>
              <w:rPr>
                <w:color w:val="000000"/>
                <w:sz w:val="18"/>
                <w:szCs w:val="20"/>
              </w:rPr>
            </w:pPr>
            <w:r w:rsidRPr="0007362B">
              <w:rPr>
                <w:color w:val="000000"/>
                <w:sz w:val="18"/>
                <w:szCs w:val="20"/>
              </w:rPr>
              <w:t>4.076.181,53</w:t>
            </w:r>
          </w:p>
        </w:tc>
      </w:tr>
      <w:tr w:rsidR="00F679A2" w:rsidRPr="00E95B10" w14:paraId="29F253C0" w14:textId="77777777" w:rsidTr="00B97309">
        <w:trPr>
          <w:trHeight w:val="305"/>
        </w:trPr>
        <w:tc>
          <w:tcPr>
            <w:tcW w:w="3835" w:type="dxa"/>
            <w:tcBorders>
              <w:top w:val="single" w:sz="12" w:space="0" w:color="000000"/>
              <w:left w:val="single" w:sz="12" w:space="0" w:color="000000"/>
              <w:bottom w:val="single" w:sz="12" w:space="0" w:color="000000"/>
              <w:right w:val="single" w:sz="12" w:space="0" w:color="000000"/>
            </w:tcBorders>
            <w:shd w:val="clear" w:color="auto" w:fill="BFBF00"/>
          </w:tcPr>
          <w:p w14:paraId="35B8D303"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Kumulativno 30.4.20209</w:t>
            </w:r>
          </w:p>
        </w:tc>
        <w:tc>
          <w:tcPr>
            <w:tcW w:w="1627" w:type="dxa"/>
            <w:tcBorders>
              <w:top w:val="single" w:sz="12" w:space="0" w:color="000000"/>
              <w:left w:val="single" w:sz="12" w:space="0" w:color="000000"/>
              <w:bottom w:val="single" w:sz="12" w:space="0" w:color="000000"/>
              <w:right w:val="single" w:sz="6" w:space="0" w:color="000000"/>
            </w:tcBorders>
            <w:shd w:val="clear" w:color="auto" w:fill="BFBF00"/>
          </w:tcPr>
          <w:p w14:paraId="0E83E9BE" w14:textId="77777777" w:rsidR="00F679A2" w:rsidRPr="0007362B" w:rsidRDefault="00F679A2" w:rsidP="00B97309">
            <w:pPr>
              <w:autoSpaceDE w:val="0"/>
              <w:autoSpaceDN w:val="0"/>
              <w:adjustRightInd w:val="0"/>
              <w:spacing w:line="360" w:lineRule="auto"/>
              <w:rPr>
                <w:b/>
                <w:bCs/>
                <w:color w:val="000000"/>
                <w:sz w:val="18"/>
                <w:szCs w:val="20"/>
              </w:rPr>
            </w:pPr>
          </w:p>
        </w:tc>
        <w:tc>
          <w:tcPr>
            <w:tcW w:w="1949" w:type="dxa"/>
            <w:tcBorders>
              <w:top w:val="single" w:sz="12" w:space="0" w:color="000000"/>
              <w:left w:val="single" w:sz="6" w:space="0" w:color="000000"/>
              <w:bottom w:val="single" w:sz="12" w:space="0" w:color="000000"/>
              <w:right w:val="single" w:sz="12" w:space="0" w:color="000000"/>
            </w:tcBorders>
            <w:shd w:val="clear" w:color="auto" w:fill="BFBF00"/>
          </w:tcPr>
          <w:p w14:paraId="75AAD4B8" w14:textId="77777777" w:rsidR="00F679A2" w:rsidRPr="0007362B" w:rsidRDefault="00F679A2" w:rsidP="00B97309">
            <w:pPr>
              <w:autoSpaceDE w:val="0"/>
              <w:autoSpaceDN w:val="0"/>
              <w:adjustRightInd w:val="0"/>
              <w:spacing w:line="360" w:lineRule="auto"/>
              <w:rPr>
                <w:b/>
                <w:bCs/>
                <w:color w:val="000000"/>
                <w:sz w:val="18"/>
                <w:szCs w:val="20"/>
              </w:rPr>
            </w:pPr>
          </w:p>
        </w:tc>
        <w:tc>
          <w:tcPr>
            <w:tcW w:w="1887" w:type="dxa"/>
            <w:tcBorders>
              <w:top w:val="single" w:sz="12" w:space="0" w:color="000000"/>
              <w:left w:val="single" w:sz="12" w:space="0" w:color="000000"/>
              <w:bottom w:val="single" w:sz="12" w:space="0" w:color="000000"/>
              <w:right w:val="single" w:sz="12" w:space="0" w:color="000000"/>
            </w:tcBorders>
            <w:shd w:val="clear" w:color="auto" w:fill="BFBF00"/>
          </w:tcPr>
          <w:p w14:paraId="35AF879D" w14:textId="77777777" w:rsidR="00F679A2" w:rsidRPr="0007362B" w:rsidRDefault="00F679A2" w:rsidP="00B97309">
            <w:pPr>
              <w:autoSpaceDE w:val="0"/>
              <w:autoSpaceDN w:val="0"/>
              <w:adjustRightInd w:val="0"/>
              <w:spacing w:line="360" w:lineRule="auto"/>
              <w:rPr>
                <w:b/>
                <w:bCs/>
                <w:color w:val="000000"/>
                <w:sz w:val="18"/>
                <w:szCs w:val="20"/>
              </w:rPr>
            </w:pPr>
            <w:r w:rsidRPr="0007362B">
              <w:rPr>
                <w:b/>
                <w:bCs/>
                <w:color w:val="000000"/>
                <w:sz w:val="18"/>
                <w:szCs w:val="20"/>
              </w:rPr>
              <w:t>16.746.648,80</w:t>
            </w:r>
          </w:p>
        </w:tc>
      </w:tr>
    </w:tbl>
    <w:p w14:paraId="5083ABB0" w14:textId="77777777" w:rsidR="00F679A2" w:rsidRPr="007A077E" w:rsidRDefault="00F679A2" w:rsidP="00F679A2">
      <w:pPr>
        <w:autoSpaceDE w:val="0"/>
        <w:autoSpaceDN w:val="0"/>
        <w:adjustRightInd w:val="0"/>
        <w:spacing w:line="360" w:lineRule="auto"/>
        <w:rPr>
          <w:color w:val="000000"/>
          <w:sz w:val="16"/>
          <w:szCs w:val="16"/>
        </w:rPr>
      </w:pPr>
      <w:r w:rsidRPr="007A077E">
        <w:rPr>
          <w:color w:val="000000"/>
          <w:sz w:val="16"/>
          <w:szCs w:val="16"/>
        </w:rPr>
        <w:t>Vir: MKGP-2020</w:t>
      </w:r>
    </w:p>
    <w:p w14:paraId="665E6EF4" w14:textId="77777777" w:rsidR="00F679A2" w:rsidRPr="007A077E" w:rsidRDefault="00F679A2" w:rsidP="005B2A49">
      <w:pPr>
        <w:spacing w:after="120" w:line="260" w:lineRule="atLeast"/>
        <w:rPr>
          <w:szCs w:val="20"/>
        </w:rPr>
      </w:pPr>
      <w:r w:rsidRPr="007A077E">
        <w:rPr>
          <w:color w:val="000000"/>
          <w:kern w:val="24"/>
          <w:szCs w:val="20"/>
        </w:rPr>
        <w:t xml:space="preserve">Rejci so vključeni tudi v ukrepe KOPOP (plačilo kmetijsko-okoljskih-podnebnih obveznosti) in OMD plačila (plačila območjem z naravnimi ali drugimi posebnimi omejitvami). </w:t>
      </w:r>
      <w:r w:rsidRPr="007A077E">
        <w:rPr>
          <w:szCs w:val="20"/>
        </w:rPr>
        <w:t xml:space="preserve">V obdobju pandemije oziroma izrednih razmer zaradi Covid-19 so slovenski rejci prejeli </w:t>
      </w:r>
      <w:r w:rsidRPr="007A077E">
        <w:rPr>
          <w:szCs w:val="20"/>
        </w:rPr>
        <w:lastRenderedPageBreak/>
        <w:t xml:space="preserve">podporo za izgubljen dohodek za govedo, ki je bilo zaklano, in sicer v višini 100 EUR/GVŽ. </w:t>
      </w:r>
    </w:p>
    <w:p w14:paraId="4FD375AF" w14:textId="77777777" w:rsidR="00F679A2" w:rsidRPr="007A077E" w:rsidRDefault="00F679A2" w:rsidP="005B2A49">
      <w:pPr>
        <w:spacing w:after="120" w:line="260" w:lineRule="atLeast"/>
        <w:rPr>
          <w:szCs w:val="20"/>
        </w:rPr>
      </w:pPr>
      <w:r w:rsidRPr="007A077E">
        <w:rPr>
          <w:szCs w:val="20"/>
        </w:rPr>
        <w:t xml:space="preserve">Področje govedoreje je vključeno v dejavnosti javne službe strokovnih nalog v živinoreji. </w:t>
      </w:r>
      <w:r w:rsidRPr="007A077E" w:rsidDel="00B56BA6">
        <w:rPr>
          <w:szCs w:val="20"/>
        </w:rPr>
        <w:t xml:space="preserve">V </w:t>
      </w:r>
      <w:r w:rsidRPr="007A077E">
        <w:rPr>
          <w:szCs w:val="20"/>
        </w:rPr>
        <w:t>to</w:t>
      </w:r>
      <w:r w:rsidRPr="007A077E" w:rsidDel="00B56BA6">
        <w:rPr>
          <w:szCs w:val="20"/>
        </w:rPr>
        <w:t xml:space="preserve"> službo </w:t>
      </w:r>
      <w:r w:rsidRPr="007A077E">
        <w:rPr>
          <w:szCs w:val="20"/>
        </w:rPr>
        <w:t xml:space="preserve">so </w:t>
      </w:r>
      <w:r w:rsidRPr="007A077E" w:rsidDel="00B56BA6">
        <w:rPr>
          <w:szCs w:val="20"/>
        </w:rPr>
        <w:t>vključene: lisasta, rjava, črnobela, limuzin, šarole pasma in cikasto govedo.</w:t>
      </w:r>
      <w:r w:rsidRPr="007A077E">
        <w:rPr>
          <w:szCs w:val="20"/>
        </w:rPr>
        <w:t xml:space="preserve"> Izpostaviti velja nalogo kontrolo prireje, ki se že desetletja izvaja na kmetijskih gospodarstvih s pomočjo izvajalcev javne službe. Ti </w:t>
      </w:r>
      <w:r w:rsidRPr="007A077E">
        <w:rPr>
          <w:color w:val="000000" w:themeColor="text1"/>
          <w:szCs w:val="20"/>
        </w:rPr>
        <w:t xml:space="preserve">posredujejo rejcem rezultate preizkusov, analiz in ocenjevanja plemenskih vrednosti, ki jih uporabljajo pri svojem delu, </w:t>
      </w:r>
      <w:r w:rsidRPr="007A077E">
        <w:rPr>
          <w:szCs w:val="20"/>
        </w:rPr>
        <w:t xml:space="preserve">pripravljajo in javno objavljajo različne analize in publikacije, kar zagotavlja promocijo najboljših plemenskih živali, rejskega in selekcijskega dela ter širjenje strokovnega znanja na področju živinoreje. </w:t>
      </w:r>
      <w:r w:rsidRPr="007A077E">
        <w:rPr>
          <w:rFonts w:eastAsia="Calibri"/>
          <w:szCs w:val="20"/>
        </w:rPr>
        <w:t>V kontrolo prireje mleka je bilo leta 2019 vključenih 3.231 kmetijskih gospodarstev, ki so v povprečju redila 24,5 molznic. Na kmetijskih gospodarstvih s kravami dojiljami so v povprečju 3,7 krave, v kontroli prireje mesa pa 24,3 krav/KMG.</w:t>
      </w:r>
      <w:r w:rsidRPr="007A077E">
        <w:rPr>
          <w:szCs w:val="20"/>
        </w:rPr>
        <w:t xml:space="preserve"> </w:t>
      </w:r>
    </w:p>
    <w:p w14:paraId="7E569BC1" w14:textId="77777777" w:rsidR="00F679A2" w:rsidRPr="007A077E" w:rsidRDefault="00F679A2" w:rsidP="005B2A49">
      <w:pPr>
        <w:spacing w:after="120" w:line="260" w:lineRule="atLeast"/>
        <w:rPr>
          <w:rFonts w:eastAsia="TimesNewRoman"/>
          <w:szCs w:val="20"/>
        </w:rPr>
      </w:pPr>
      <w:r w:rsidRPr="007A077E">
        <w:rPr>
          <w:rFonts w:eastAsia="TimesNewRoman"/>
          <w:szCs w:val="20"/>
        </w:rPr>
        <w:t xml:space="preserve">V okviru javne službe nalog genske banke v živinoreji se varuje/ohranja edina avtohtona pasma goveda: cikasto govedo ter dve tradicionalni pasmi: rjavo in lisasto govedo. V letu 2019 se je Register pasem z zootehniško oceno vodil za naslednje pasme goveda: cikasto, rjavo, lisasto, črno-belo, šarole, limuzin, škotsko višavsko, istrsko, rdeči angus, nemški angus, aberdeen angus in galloway. </w:t>
      </w:r>
      <w:r w:rsidRPr="007A077E">
        <w:rPr>
          <w:szCs w:val="20"/>
        </w:rPr>
        <w:t>Javna služba opravlja naloge na področjih spremljanja stanja in karakterizacije pasem, mehanizmov trajnostne rabe in razvoja, oblik ohranjanja živalskih genskih virov ter politik upravljanja živalskih genskih virov.</w:t>
      </w:r>
    </w:p>
    <w:p w14:paraId="5BA22B81" w14:textId="77777777" w:rsidR="00F679A2" w:rsidRPr="007A077E" w:rsidRDefault="00F679A2" w:rsidP="005B2A49">
      <w:pPr>
        <w:spacing w:after="120" w:line="260" w:lineRule="atLeast"/>
        <w:rPr>
          <w:rFonts w:eastAsia="TimesNewRoman"/>
          <w:szCs w:val="20"/>
        </w:rPr>
      </w:pPr>
      <w:r w:rsidRPr="007A077E">
        <w:rPr>
          <w:szCs w:val="20"/>
        </w:rPr>
        <w:t>Rejcem govedi je svetovanje zagotovljeno preko javne službe kmetijskega svetovanja, ki na primer svetuje tudi na področjih dobrobiti živali, sestave krmnega obroka, rabe in skladiščenja gnojil, pri gradnji objektov in pri številnih drugih tehnoloških vprašanjih.</w:t>
      </w:r>
    </w:p>
    <w:p w14:paraId="776BDF62" w14:textId="77777777" w:rsidR="00F679A2" w:rsidRPr="007A077E" w:rsidRDefault="00F679A2" w:rsidP="005B2A49">
      <w:pPr>
        <w:spacing w:after="120" w:line="260" w:lineRule="atLeast"/>
        <w:rPr>
          <w:rFonts w:eastAsia="TimesNewRoman"/>
          <w:szCs w:val="20"/>
        </w:rPr>
      </w:pPr>
      <w:r w:rsidRPr="007A077E">
        <w:rPr>
          <w:szCs w:val="20"/>
        </w:rPr>
        <w:t xml:space="preserve">Med raziskovalnimi nalogami, ki jih izvajajo slovenski raziskovalci, velja izpostaviti ciljne raziskovalne projekte. V zadnjih desetih letih so bili ti usmerjeni v genomsko selekcijo na primeru rjave pasme govedi, optimiranje prehrane krav molznic, v tehnološke rešitve za boljše izkoriščanje lucerne v prehrani prežvekovalcev, tehnološko ekonomske modele prireje govejega mesa na travinju, ohranjanje avtohtonih pasem domačih živali, genomsko selekcijo in genotipizacijo pri mlečnih pasmah govedi v Sloveniji, obvladovanje paratuberkuloze v rejah krav molznic in dvig konkurenčnosti slovenske govedoreje. Poleg teh so bili raziskovalci vključeni v ERA NET projekta na področju zdravstvenega menedžmenta pri izvirnih kombiniranih pasmah goveda in ekonomsko zanimivih sistemov proste reje živali. </w:t>
      </w:r>
    </w:p>
    <w:p w14:paraId="0065A58C" w14:textId="77777777" w:rsidR="00F679A2" w:rsidRPr="005B2A49" w:rsidRDefault="00F679A2" w:rsidP="005B2A49">
      <w:pPr>
        <w:autoSpaceDE w:val="0"/>
        <w:autoSpaceDN w:val="0"/>
        <w:adjustRightInd w:val="0"/>
        <w:spacing w:after="120" w:line="260" w:lineRule="atLeast"/>
        <w:rPr>
          <w:szCs w:val="20"/>
        </w:rPr>
      </w:pPr>
      <w:r w:rsidRPr="005B2A49">
        <w:rPr>
          <w:szCs w:val="20"/>
        </w:rPr>
        <w:t>Nadalje so bili iz PRP 2014-2020 v sklopu EIP za področje govedoreje odobreni projekti, ki so se nanašali na:</w:t>
      </w:r>
    </w:p>
    <w:p w14:paraId="568C918C"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 xml:space="preserve">razvoj tehnologij pridelave in predelave z beljakovinami bogatih rastlin pri zrnatih stročnicah, </w:t>
      </w:r>
    </w:p>
    <w:p w14:paraId="69B88FB6"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modele lokalne oskrbe na  primeru senenega mesa in mleka,</w:t>
      </w:r>
    </w:p>
    <w:p w14:paraId="686E17E6"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rejo različnih pasem govedi za meso in izdelke vrhunske kakovosti,</w:t>
      </w:r>
    </w:p>
    <w:p w14:paraId="6297CA23"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blaženje in prilagajanje na podnebne spremembe na kmetijskem gospodarstvu z izboljšanjem tehnologije pridelave in konzerviranja z beljakovinami bogate krme,</w:t>
      </w:r>
    </w:p>
    <w:p w14:paraId="74329D05"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 xml:space="preserve">genomsko selekcijo z domačim obračunom genomskih plemenskih vrednosti za slovensko rjavo in črno-belo pasmo govedi ter testiranje in selekcija govedi na genotip A2 beta kazeina, </w:t>
      </w:r>
    </w:p>
    <w:p w14:paraId="54BEAFC4" w14:textId="0371319A"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lastRenderedPageBreak/>
        <w:t>pridelavo in predelavo z beljakovinami bogatih rastlin –</w:t>
      </w:r>
      <w:r w:rsidR="00EB5B3D">
        <w:rPr>
          <w:rFonts w:ascii="Arial" w:hAnsi="Arial"/>
          <w:sz w:val="22"/>
        </w:rPr>
        <w:t xml:space="preserve"> </w:t>
      </w:r>
      <w:r w:rsidRPr="005B2A49">
        <w:rPr>
          <w:rFonts w:ascii="Arial" w:hAnsi="Arial"/>
          <w:sz w:val="22"/>
        </w:rPr>
        <w:t>travinja in metuljnic,</w:t>
      </w:r>
    </w:p>
    <w:p w14:paraId="3269E239" w14:textId="77777777" w:rsidR="00F679A2" w:rsidRPr="005B2A49" w:rsidRDefault="00F679A2" w:rsidP="005B2A49">
      <w:pPr>
        <w:pStyle w:val="Odstavekseznama"/>
        <w:numPr>
          <w:ilvl w:val="0"/>
          <w:numId w:val="181"/>
        </w:numPr>
        <w:autoSpaceDE w:val="0"/>
        <w:autoSpaceDN w:val="0"/>
        <w:adjustRightInd w:val="0"/>
        <w:spacing w:after="120" w:line="260" w:lineRule="atLeast"/>
        <w:rPr>
          <w:rFonts w:ascii="Arial" w:hAnsi="Arial"/>
          <w:sz w:val="22"/>
        </w:rPr>
      </w:pPr>
      <w:r w:rsidRPr="005B2A49">
        <w:rPr>
          <w:rFonts w:ascii="Arial" w:hAnsi="Arial"/>
          <w:sz w:val="22"/>
        </w:rPr>
        <w:t>trajnostno rabo tal in zagotavljanje rodovitnosti tal na primeru govedorejske kmetije.</w:t>
      </w:r>
    </w:p>
    <w:p w14:paraId="23186D64" w14:textId="419F48F1" w:rsidR="00F679A2" w:rsidRDefault="00F679A2" w:rsidP="005B2A49">
      <w:pPr>
        <w:spacing w:after="120" w:line="260" w:lineRule="atLeast"/>
        <w:rPr>
          <w:szCs w:val="20"/>
        </w:rPr>
      </w:pPr>
      <w:r w:rsidRPr="005B2A49">
        <w:rPr>
          <w:szCs w:val="20"/>
        </w:rPr>
        <w:t>Vključevanje večjega števila partnerjev in tudi rejcev govedi v EIP projekte zagotavlja hitrejši prenos znanja v prakso.</w:t>
      </w:r>
    </w:p>
    <w:p w14:paraId="16BE143A" w14:textId="77777777" w:rsidR="00C25531" w:rsidRPr="005B2A49" w:rsidRDefault="00C25531" w:rsidP="005B2A49">
      <w:pPr>
        <w:spacing w:after="120" w:line="260" w:lineRule="atLeast"/>
        <w:rPr>
          <w:szCs w:val="20"/>
        </w:rPr>
      </w:pPr>
    </w:p>
    <w:p w14:paraId="7AF48BD5" w14:textId="77777777" w:rsidR="00F679A2" w:rsidRDefault="00F679A2" w:rsidP="00F679A2">
      <w:pPr>
        <w:pStyle w:val="Naslov3"/>
        <w:rPr>
          <w:rFonts w:eastAsia="Calibri"/>
        </w:rPr>
      </w:pPr>
      <w:bookmarkStart w:id="3103" w:name="_Toc86822568"/>
      <w:r w:rsidRPr="0022702B">
        <w:rPr>
          <w:rFonts w:eastAsia="Calibri"/>
        </w:rPr>
        <w:t>Ključne ugotovitve</w:t>
      </w:r>
      <w:bookmarkEnd w:id="3103"/>
    </w:p>
    <w:p w14:paraId="6BDD4B91" w14:textId="3B76F35D"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Glede na analizo stanja v govedoreji, sta v povezavi z neposrednimi in OMD plačili, obseg proizvodnje in dohodkovna vzdržnost relativno stabilna. Sektor se počasi, a vztrajno prestrukturira, zlasti v mlečnem sektorju kar se izkazuje z koncentracijo proizvodnje</w:t>
      </w:r>
      <w:r w:rsidR="00EB5B3D">
        <w:rPr>
          <w:rFonts w:ascii="Arial" w:hAnsi="Arial"/>
          <w:sz w:val="22"/>
        </w:rPr>
        <w:t>.</w:t>
      </w:r>
      <w:r w:rsidRPr="005B2A49">
        <w:rPr>
          <w:rFonts w:ascii="Arial" w:hAnsi="Arial"/>
          <w:sz w:val="22"/>
        </w:rPr>
        <w:t xml:space="preserve"> Manjše reje se najprej ekstenzvirajo (iz reje krav za mleko v rejo pitancev), v naslednjem koraku pa se opusti tudi reja pitancev. Dolgoročno to pomeni opuščanje govedoreje v hribovitih območijh in neizbežno zaraščanje kulturne krajine.</w:t>
      </w:r>
    </w:p>
    <w:p w14:paraId="23A8F2E9"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Številne študije kažejo na to, da se z izboljšanjem tehnologije in modernejšimi hlevina govedorejskih kmetijah doseže večji ekonomski učinek, zato so potrebne dodatne naložbe v opremo za pripravo krme, digitalizacijo procesov reje, za učinkovito izkoriščanje domače krme na kmetijskih gospodarstvih in dobro delovanje javnih služb, ki delujejo na področju kmetijstva.</w:t>
      </w:r>
    </w:p>
    <w:p w14:paraId="237BAA97" w14:textId="5FC60B6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 xml:space="preserve">Celotna proizvodnja mleka je v zadnjem desetletju relativno stabilna. V zadnjih petih letih se je povečala oddaja mleka v mlekarne, število rejcev se sicer zmanjšuje, hkrati pa se povečuje mlečnost na žival. Kakovost mleka v zadnjih letih niha, v ekstra razred v zadnjih 10 letih lahko uvrstimo 88,36 </w:t>
      </w:r>
      <w:r w:rsidR="00F11FB0">
        <w:rPr>
          <w:rFonts w:ascii="Arial" w:hAnsi="Arial"/>
          <w:sz w:val="22"/>
        </w:rPr>
        <w:t>–</w:t>
      </w:r>
      <w:r w:rsidRPr="005B2A49">
        <w:rPr>
          <w:rFonts w:ascii="Arial" w:hAnsi="Arial"/>
          <w:sz w:val="22"/>
        </w:rPr>
        <w:t xml:space="preserve"> 967 % mleka, ki je imelo 4,12 </w:t>
      </w:r>
      <w:r w:rsidR="00F11FB0">
        <w:rPr>
          <w:rFonts w:ascii="Arial" w:hAnsi="Arial"/>
          <w:sz w:val="22"/>
        </w:rPr>
        <w:t>–</w:t>
      </w:r>
      <w:r w:rsidRPr="005B2A49">
        <w:rPr>
          <w:rFonts w:ascii="Arial" w:hAnsi="Arial"/>
          <w:sz w:val="22"/>
        </w:rPr>
        <w:t xml:space="preserve"> 4</w:t>
      </w:r>
      <w:r w:rsidR="00F11FB0">
        <w:rPr>
          <w:rFonts w:ascii="Arial" w:hAnsi="Arial"/>
          <w:sz w:val="22"/>
        </w:rPr>
        <w:t>,</w:t>
      </w:r>
      <w:r w:rsidRPr="005B2A49">
        <w:rPr>
          <w:rFonts w:ascii="Arial" w:hAnsi="Arial"/>
          <w:sz w:val="22"/>
        </w:rPr>
        <w:t>20% maščob in 3,35 - 3,39 % beljakovin.</w:t>
      </w:r>
    </w:p>
    <w:p w14:paraId="5A4C2371"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Za povečanje ponudbe mesa govedi v shemah višje kakovosti primanjkuje telet za nadaljnje pitanje, ki so rojena v Sloveniji, zato so nujne investicije in prestrukturiranje kmetijskih gospodarstev, proizvodno vezane podpore, povezovanje deležnikov ter podpore za uveljavitev sheme izbrana kakovost.</w:t>
      </w:r>
    </w:p>
    <w:p w14:paraId="35F895EB"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Sektor bi lahko napredoval z boljšo organiziranostjo, trenutno ni organiziranega trga s  plemensko živino, nastopanje na trgu je težavno, prav tako zagotavljanje živali za izbrano kakovost, zato bi morali okrepiti povezovanje in sodelovanje rejcev (medsebojno in v verigi).</w:t>
      </w:r>
    </w:p>
    <w:p w14:paraId="1C9C397B"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Za ohranjanje govedoreje in hkratno zmanjševanje vpliva na okolje je na eni strani potrebno boljše izkoriščanje naravnih danosti na OMD – tudi z izkoriščanjem potenciala za rejo mlade živine in plemenskih živali in na drugi zmanjševanje obsega govedoreje na nižinskih območjih, za kar bodo potrebne dodatne investicije za prestrukturiranja in povezovanje rejcev.</w:t>
      </w:r>
    </w:p>
    <w:p w14:paraId="3055E6BF"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Pri proizvodnji mleka, kjer ima Slovenija visok delež samooskrbe, beležimo velik obseg izvoza kakovostnega surovega mleka, zato je v Sloveniji potrebno okrepiti predelavo mleka v izdelke z višjo dodano vrednostjo.</w:t>
      </w:r>
    </w:p>
    <w:p w14:paraId="6A81F6AA"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t xml:space="preserve">Na področju govejega mesa beležimo velik obseg izvoza živih živali za zakol obenem pa beležimo uvoz govejega mesa v Slovenijo.   </w:t>
      </w:r>
    </w:p>
    <w:p w14:paraId="16E0CA53" w14:textId="77777777" w:rsidR="00F679A2" w:rsidRPr="005B2A49" w:rsidRDefault="00F679A2" w:rsidP="005B2A49">
      <w:pPr>
        <w:pStyle w:val="Odstavekseznama"/>
        <w:numPr>
          <w:ilvl w:val="0"/>
          <w:numId w:val="202"/>
        </w:numPr>
        <w:autoSpaceDE w:val="0"/>
        <w:autoSpaceDN w:val="0"/>
        <w:adjustRightInd w:val="0"/>
        <w:spacing w:after="120" w:line="260" w:lineRule="atLeast"/>
      </w:pPr>
      <w:r w:rsidRPr="005B2A49">
        <w:rPr>
          <w:rFonts w:ascii="Arial" w:hAnsi="Arial"/>
          <w:sz w:val="22"/>
        </w:rPr>
        <w:lastRenderedPageBreak/>
        <w:t>Slovenija ima  zaradi velikega deleža travinja velik potencial za ekološko proizvodnjo, problem pa je trženje. Veliko ekološkega mesa se proda kot konvencionalno  meso.</w:t>
      </w:r>
    </w:p>
    <w:p w14:paraId="48BEA193" w14:textId="77777777" w:rsidR="00F679A2" w:rsidRDefault="00F679A2" w:rsidP="00F679A2">
      <w:pPr>
        <w:tabs>
          <w:tab w:val="left" w:pos="2160"/>
        </w:tabs>
        <w:spacing w:after="120" w:line="360" w:lineRule="auto"/>
        <w:ind w:left="357"/>
        <w:rPr>
          <w:rFonts w:eastAsia="Calibri"/>
          <w:szCs w:val="20"/>
        </w:rPr>
      </w:pPr>
    </w:p>
    <w:p w14:paraId="544972EC" w14:textId="77777777" w:rsidR="00F679A2" w:rsidRDefault="00F679A2" w:rsidP="00F679A2">
      <w:pPr>
        <w:pStyle w:val="Naslov2"/>
      </w:pPr>
      <w:bookmarkStart w:id="3104" w:name="_Toc86822569"/>
      <w:r w:rsidRPr="0022702B">
        <w:t>Prašičereja</w:t>
      </w:r>
      <w:bookmarkEnd w:id="3104"/>
    </w:p>
    <w:p w14:paraId="20CA9E81" w14:textId="77777777" w:rsidR="00F679A2" w:rsidRPr="0022702B" w:rsidRDefault="00F679A2" w:rsidP="00F679A2">
      <w:pPr>
        <w:rPr>
          <w:rFonts w:eastAsia="Calibri"/>
          <w:lang w:eastAsia="en-US"/>
        </w:rPr>
      </w:pPr>
    </w:p>
    <w:p w14:paraId="182F7B61" w14:textId="77777777" w:rsidR="00F679A2" w:rsidRPr="005B2A49" w:rsidRDefault="00F679A2" w:rsidP="005B2A49">
      <w:pPr>
        <w:spacing w:after="120" w:line="260" w:lineRule="atLeast"/>
        <w:rPr>
          <w:rFonts w:eastAsia="Calibri"/>
          <w:szCs w:val="20"/>
        </w:rPr>
      </w:pPr>
      <w:r w:rsidRPr="005B2A49">
        <w:rPr>
          <w:rFonts w:eastAsia="Calibri"/>
          <w:szCs w:val="20"/>
        </w:rPr>
        <w:t>Prašičereja ima v Sloveniji dolgo tradicijo, tako z deležem mesa prašičev v slovenski tradicionalni prehrani, kot z višjo kakovostjo mesa in izdelkov z dobrimi senzoričnimi in kulinaričnimi lastnostmi ter tipičnimi izdelki iz mesa prašičev. Po drugi strani je zaradi smradu in drugih negativnih vplivov na okolje reja prašičev med prebivalci vse manj priljubljena zato nastajajo vedno večji konflikti pri umeščanju prašičerejskih objektov v prostor.</w:t>
      </w:r>
    </w:p>
    <w:p w14:paraId="514D6328" w14:textId="2C3BE65B" w:rsidR="00F679A2" w:rsidRDefault="00F679A2" w:rsidP="005B2A49">
      <w:pPr>
        <w:spacing w:after="120" w:line="260" w:lineRule="atLeast"/>
        <w:rPr>
          <w:bCs/>
          <w:szCs w:val="20"/>
        </w:rPr>
      </w:pPr>
      <w:r w:rsidRPr="005B2A49">
        <w:rPr>
          <w:rFonts w:eastAsia="Calibri"/>
          <w:szCs w:val="20"/>
        </w:rPr>
        <w:t>Reja prašičev sicer omogoča marsikateri kmetiji zaokrožitev proizvodnje in ustvarjanje dodatnega dohodka za obstoj kmetije. Reja je konkurenčna zlasti na večjih farmah (znanje, tehnologija, organizacija ter povezanost v verigi).</w:t>
      </w:r>
    </w:p>
    <w:p w14:paraId="20E1DEA8" w14:textId="77777777" w:rsidR="00F679A2" w:rsidRDefault="00F679A2" w:rsidP="00F679A2">
      <w:pPr>
        <w:pStyle w:val="Naslov3"/>
        <w:rPr>
          <w:rFonts w:eastAsia="Calibri"/>
        </w:rPr>
      </w:pPr>
      <w:bookmarkStart w:id="3105" w:name="_Toc86822570"/>
      <w:r w:rsidRPr="0022702B">
        <w:rPr>
          <w:rFonts w:eastAsia="Calibri"/>
        </w:rPr>
        <w:t>Stanje v sektorju in osnovni ekonomski kazalniki</w:t>
      </w:r>
      <w:bookmarkEnd w:id="3105"/>
    </w:p>
    <w:p w14:paraId="1427A6CE"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Prispevek prireje mesa prašičev k vrednosti slovenskega kmetijstva se je v zadnjem desetletju zmanjševal. Po letu 2015, ko je bil zabeležen najnižji delež (3,3 %), je v letu 2019 znašal 4,2 %. K vrednosti živinoreje prašičereja od leta 2013 prispeva manj kot 10 %, leta 2019 je bil delež le 9,7 %. Panoga v primerjavi z drugimi kmetijskimi panogami od leta 2000 nazaduje. Leta 2005 se je s prašičerejo ukvarjalo 44 %, leta 2016 pa 32% kmetijskih gospodarstev (SURS podatki raziskovanja strukture kmetijskih gospodarstev). </w:t>
      </w:r>
    </w:p>
    <w:p w14:paraId="5036E329"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zadnjem popisu kmetijskih gospodarstev (2013–2016) se je skupno število prašičev zmanjšalo za 5 % in leta 2016 znašalo 266 tisoč živali, zmanjšalo pa se je tudi povprečno število prašičev na gospodarstvo (iz 17,2 prašiča v letu 2007 na 12,1 prašiča v letu 2016). Intenzivna reja prašičev je skoncentrirana predvsem v pomurski, podravski in osrednjeslovenski regiji, kjer je skoraj polovica vseh prašičerejskih gospodarstev in kjer redijo več kot 76 % vseh prašičev v Sloveniji. Po številu prašičev na gospodarstvo izstopa predvsem osrednjeslovenska regija s povprečno 42 prašiči na kmetijsko gospodarstvo. To je kar desetkrat več kot v koroški regiji, kjer redijo manj kot štiri prašiče na kmetijsko gospodarstvo. </w:t>
      </w:r>
    </w:p>
    <w:p w14:paraId="64B569D1" w14:textId="77777777" w:rsidR="00F679A2" w:rsidRPr="005B2A49" w:rsidRDefault="00F679A2" w:rsidP="005B2A49">
      <w:pPr>
        <w:spacing w:after="120" w:line="260" w:lineRule="atLeast"/>
        <w:rPr>
          <w:rFonts w:eastAsia="Calibri"/>
          <w:szCs w:val="20"/>
        </w:rPr>
      </w:pPr>
      <w:r w:rsidRPr="005B2A49">
        <w:rPr>
          <w:rFonts w:eastAsia="Calibri"/>
          <w:szCs w:val="20"/>
        </w:rPr>
        <w:t>Ciklično nihanje števila živali, ki je sicer značilno za prašičerejo, je po izrazitem zmanjšanju v letih 2003 in 2004, v letih 2005 in 2006 ponovno nekoliko poraslo (na 575 tisoč) in se po letu 2006 spremenilo v trend zmanjševanja staleža, ki se je v zadnjih letih nekoliko umiril. Po podatkih SURS je bilo konec leta 2019 v hlevih okoli 240 tisoč živali, kar je najmanj do sedaj. Število prašičev v ekološki reji stagnira in je nizko, tako da je bilo v letu 2019 vključenih le 3.252 prašičev oziroma 1,4 % črede.</w:t>
      </w:r>
    </w:p>
    <w:p w14:paraId="1EA97389" w14:textId="77777777" w:rsidR="00F679A2" w:rsidRPr="005B2A49" w:rsidRDefault="00F679A2" w:rsidP="005B2A49">
      <w:pPr>
        <w:spacing w:after="120" w:line="260" w:lineRule="atLeast"/>
        <w:rPr>
          <w:rFonts w:eastAsia="Calibri"/>
          <w:szCs w:val="20"/>
        </w:rPr>
      </w:pPr>
      <w:r w:rsidRPr="005B2A49">
        <w:rPr>
          <w:rFonts w:eastAsia="Calibri"/>
          <w:szCs w:val="20"/>
        </w:rPr>
        <w:t xml:space="preserve">Slovenija ima izrazito dvopolarno strukturo kmetijskih gospodarstev s prašiči. Večina gospodarstev (87 %) še vedno redi manj kot 10 prašičev, večina staleža prašičev pa je na gospodarstvih, ki redijo 100 ali več prašičev (55 %). </w:t>
      </w:r>
    </w:p>
    <w:p w14:paraId="65C204DE"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letih 2007-2013 se je zmanjševal tudi prirast prašičev, ki pa se je v zadnjih šestih letih ustalil. V letu 2019 je bil 2 % nad ravnijo leta 2018 in je znašal dobrih 38 tisoč ton. V rejah se še naprej zmanjšuje interes za zagotavljanje plemenskega materiala, kar je </w:t>
      </w:r>
      <w:r w:rsidRPr="005B2A49">
        <w:rPr>
          <w:rFonts w:eastAsia="Calibri"/>
          <w:szCs w:val="20"/>
        </w:rPr>
        <w:lastRenderedPageBreak/>
        <w:t>podlaga oziroma pogoj za dolgoročen obstoj panoge in stabilnost trga s prašičjim mesom.</w:t>
      </w:r>
    </w:p>
    <w:p w14:paraId="5F419808" w14:textId="3EF918F8" w:rsidR="00F679A2" w:rsidRDefault="00F679A2" w:rsidP="00F679A2">
      <w:pPr>
        <w:pStyle w:val="SCSlika0"/>
      </w:pPr>
      <w:bookmarkStart w:id="3106" w:name="_Toc86822728"/>
      <w:r>
        <w:t xml:space="preserve">Slika </w:t>
      </w:r>
      <w:r>
        <w:rPr>
          <w:noProof/>
        </w:rPr>
        <w:fldChar w:fldCharType="begin"/>
      </w:r>
      <w:r>
        <w:rPr>
          <w:noProof/>
        </w:rPr>
        <w:instrText xml:space="preserve"> SEQ Slika \* ARABIC </w:instrText>
      </w:r>
      <w:r>
        <w:rPr>
          <w:noProof/>
        </w:rPr>
        <w:fldChar w:fldCharType="separate"/>
      </w:r>
      <w:r w:rsidR="0088117A">
        <w:rPr>
          <w:noProof/>
        </w:rPr>
        <w:t>56</w:t>
      </w:r>
      <w:r>
        <w:rPr>
          <w:noProof/>
        </w:rPr>
        <w:fldChar w:fldCharType="end"/>
      </w:r>
      <w:r>
        <w:t xml:space="preserve">: </w:t>
      </w:r>
      <w:r w:rsidRPr="00D91539">
        <w:t>Število in prirast prašičev (2007–2019)</w:t>
      </w:r>
      <w:bookmarkEnd w:id="3106"/>
    </w:p>
    <w:p w14:paraId="72724D82" w14:textId="77777777" w:rsidR="00F679A2" w:rsidRPr="007418EE" w:rsidRDefault="00F679A2" w:rsidP="00F679A2">
      <w:pPr>
        <w:spacing w:line="360" w:lineRule="auto"/>
        <w:rPr>
          <w:szCs w:val="20"/>
        </w:rPr>
      </w:pPr>
      <w:r w:rsidRPr="007418EE">
        <w:rPr>
          <w:noProof/>
          <w:szCs w:val="20"/>
          <w:lang w:eastAsia="sl-SI"/>
        </w:rPr>
        <w:drawing>
          <wp:inline distT="0" distB="0" distL="0" distR="0" wp14:anchorId="09F293B1" wp14:editId="3A189517">
            <wp:extent cx="5704840" cy="2218055"/>
            <wp:effectExtent l="0" t="0" r="0" b="0"/>
            <wp:docPr id="24169625" name="Slika 2416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261475EE" w14:textId="77777777" w:rsidR="00F679A2" w:rsidRPr="007418EE" w:rsidRDefault="00F679A2" w:rsidP="00F679A2">
      <w:pPr>
        <w:spacing w:line="360" w:lineRule="auto"/>
        <w:rPr>
          <w:bCs/>
          <w:sz w:val="16"/>
          <w:szCs w:val="16"/>
        </w:rPr>
      </w:pPr>
      <w:r w:rsidRPr="007418EE">
        <w:rPr>
          <w:bCs/>
          <w:sz w:val="16"/>
          <w:szCs w:val="16"/>
        </w:rPr>
        <w:t>Vir: SURS</w:t>
      </w:r>
      <w:r>
        <w:rPr>
          <w:bCs/>
          <w:sz w:val="16"/>
          <w:szCs w:val="16"/>
        </w:rPr>
        <w:t xml:space="preserve"> (ZP-2019)</w:t>
      </w:r>
    </w:p>
    <w:p w14:paraId="79FCEF1E" w14:textId="77777777" w:rsidR="00F679A2" w:rsidRPr="005B2A49" w:rsidRDefault="00F679A2" w:rsidP="005B2A49">
      <w:pPr>
        <w:spacing w:after="120" w:line="260" w:lineRule="atLeast"/>
        <w:rPr>
          <w:rFonts w:eastAsia="Calibri"/>
          <w:szCs w:val="20"/>
        </w:rPr>
      </w:pPr>
      <w:r w:rsidRPr="005B2A49">
        <w:rPr>
          <w:rFonts w:eastAsia="Calibri"/>
          <w:szCs w:val="20"/>
        </w:rPr>
        <w:t xml:space="preserve">Domača prireja mesa prašičev je v letu 2019 znašala 30,5 tisoč ton, poraba pa slabih 76,7 tisoč ton. Najvišja je bila v letih 2004-2006 (okoli 90 tisoč ton), nato v obdobju 2007-2010 okoli 85 tisoč ton in v letu 2018 78 tisoč ton. Poraba prašičjega mesa na prebivalca je v letu 2019 znašala 36,7 kg in med leti nekoliko niha ter je v zadnjem desetletju za okoli petino večja od povprečja v EU. </w:t>
      </w:r>
    </w:p>
    <w:p w14:paraId="776E52EC" w14:textId="77777777" w:rsidR="00F679A2" w:rsidRPr="005B2A49" w:rsidRDefault="00F679A2" w:rsidP="005B2A49">
      <w:pPr>
        <w:spacing w:after="120" w:line="260" w:lineRule="atLeast"/>
        <w:rPr>
          <w:rFonts w:eastAsia="Calibri"/>
          <w:szCs w:val="20"/>
        </w:rPr>
      </w:pPr>
      <w:r w:rsidRPr="005B2A49">
        <w:rPr>
          <w:rFonts w:eastAsia="Calibri"/>
          <w:szCs w:val="20"/>
        </w:rPr>
        <w:t>Stopnja samooskrbe je bila 80 % v letih 2000 do 2004, v letu 2016 je znašala najmanj v zgodovini Slovenije (34 %) in je do leta 2019 narasla na slabih 40 %.</w:t>
      </w:r>
    </w:p>
    <w:p w14:paraId="5E701FD8" w14:textId="77777777" w:rsidR="00F679A2" w:rsidRPr="005B2A49" w:rsidRDefault="00F679A2" w:rsidP="005B2A49">
      <w:pPr>
        <w:spacing w:after="120" w:line="260" w:lineRule="atLeast"/>
        <w:rPr>
          <w:rFonts w:eastAsia="Calibri"/>
          <w:szCs w:val="20"/>
        </w:rPr>
      </w:pPr>
      <w:r w:rsidRPr="005B2A49">
        <w:rPr>
          <w:rFonts w:eastAsia="Calibri"/>
          <w:szCs w:val="20"/>
        </w:rPr>
        <w:t>Slovenija je tradicionalna neto uvoznica prašičjega mesa, večinoma se povečujeta tako izvoz kot uvoz prašičjega mesa. V letu 2019 je skupni obseg zunanje trgovine s prašiči (v ekvivalentu klavnih polovic) znašal 87,8 tisoč ton, primanjkljaj pa 46 tisoč ton. Povečevanje izvoza prašičjega mesa se je začelo po letu 2013 in je doseglo v letu 2019 skoraj 21 tisoč ton. Slovenija izvaža predvsem izdelke iz prašičjega mesa (67 % izvoza), preostalo predstavlja izvoz mesa, izvoza živih živali pa skoraj ni bilo. V uvozu največji delež predstavlja meso (84 %), preostalo pa izdelki in žive živali. Uvoz živih živali je skoncentriran na uvoz pujskov za nadaljnjo rejo.</w:t>
      </w:r>
    </w:p>
    <w:p w14:paraId="0E8281E8"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več kot desetletju splošno slabega ekonomskega položaja prašičerejcev so bile razmere v letu 2019 nadvse ugodne. Dohodki so se po močnem znižanju od leta 2006, ko so bili med najnižjimi v sklopu kmetijskih proizvodnih usmeritev, izrazito povečali. </w:t>
      </w:r>
    </w:p>
    <w:p w14:paraId="3FBE4BFE" w14:textId="43D3804F" w:rsidR="00F679A2" w:rsidRDefault="00F679A2" w:rsidP="00F679A2">
      <w:pPr>
        <w:pStyle w:val="SCSlika0"/>
      </w:pPr>
      <w:bookmarkStart w:id="3107" w:name="_Toc86822729"/>
      <w:r>
        <w:lastRenderedPageBreak/>
        <w:t xml:space="preserve">Slika </w:t>
      </w:r>
      <w:r>
        <w:rPr>
          <w:noProof/>
        </w:rPr>
        <w:fldChar w:fldCharType="begin"/>
      </w:r>
      <w:r>
        <w:rPr>
          <w:noProof/>
        </w:rPr>
        <w:instrText xml:space="preserve"> SEQ Slika \* ARABIC </w:instrText>
      </w:r>
      <w:r>
        <w:rPr>
          <w:noProof/>
        </w:rPr>
        <w:fldChar w:fldCharType="separate"/>
      </w:r>
      <w:r w:rsidR="0088117A">
        <w:rPr>
          <w:noProof/>
        </w:rPr>
        <w:t>57</w:t>
      </w:r>
      <w:r>
        <w:rPr>
          <w:noProof/>
        </w:rPr>
        <w:fldChar w:fldCharType="end"/>
      </w:r>
      <w:r>
        <w:t xml:space="preserve">: </w:t>
      </w:r>
      <w:r w:rsidRPr="00D91539">
        <w:t>Osnovni ekonomski kazalniki pri pitanju prašičev (indeks; povprečje 2014–2018 = 100)</w:t>
      </w:r>
      <w:bookmarkEnd w:id="3107"/>
    </w:p>
    <w:p w14:paraId="02761749" w14:textId="77777777" w:rsidR="00F679A2" w:rsidRPr="007418EE" w:rsidRDefault="00F679A2" w:rsidP="00F679A2">
      <w:pPr>
        <w:spacing w:line="360" w:lineRule="auto"/>
        <w:jc w:val="center"/>
        <w:rPr>
          <w:noProof/>
          <w:szCs w:val="20"/>
        </w:rPr>
      </w:pPr>
      <w:r w:rsidRPr="007418EE">
        <w:rPr>
          <w:noProof/>
          <w:szCs w:val="20"/>
          <w:lang w:eastAsia="sl-SI"/>
        </w:rPr>
        <w:drawing>
          <wp:inline distT="0" distB="0" distL="0" distR="0" wp14:anchorId="5C1C5823" wp14:editId="466E2D2D">
            <wp:extent cx="5706110" cy="2143760"/>
            <wp:effectExtent l="0" t="0" r="8890" b="8890"/>
            <wp:docPr id="24169626" name="Slika 2416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06110" cy="2143760"/>
                    </a:xfrm>
                    <a:prstGeom prst="rect">
                      <a:avLst/>
                    </a:prstGeom>
                    <a:noFill/>
                    <a:ln>
                      <a:noFill/>
                    </a:ln>
                  </pic:spPr>
                </pic:pic>
              </a:graphicData>
            </a:graphic>
          </wp:inline>
        </w:drawing>
      </w:r>
    </w:p>
    <w:p w14:paraId="0767EDFE" w14:textId="77777777" w:rsidR="00F679A2" w:rsidRPr="007418EE" w:rsidRDefault="00F679A2" w:rsidP="00F679A2">
      <w:pPr>
        <w:widowControl w:val="0"/>
        <w:spacing w:line="360" w:lineRule="auto"/>
        <w:ind w:left="170" w:hanging="170"/>
        <w:rPr>
          <w:sz w:val="16"/>
          <w:szCs w:val="16"/>
        </w:rPr>
      </w:pPr>
      <w:r w:rsidRPr="007418EE">
        <w:rPr>
          <w:sz w:val="16"/>
          <w:szCs w:val="16"/>
        </w:rPr>
        <w:t>Vir: Modelne kalkulacije KIS</w:t>
      </w:r>
      <w:r>
        <w:rPr>
          <w:sz w:val="16"/>
          <w:szCs w:val="16"/>
        </w:rPr>
        <w:t xml:space="preserve"> (ZP-2019)</w:t>
      </w:r>
    </w:p>
    <w:p w14:paraId="3921CBAB" w14:textId="77777777" w:rsidR="00F679A2" w:rsidRPr="005B2A49" w:rsidRDefault="00F679A2" w:rsidP="005B2A49">
      <w:pPr>
        <w:spacing w:after="120" w:line="260" w:lineRule="atLeast"/>
        <w:rPr>
          <w:rFonts w:eastAsia="Calibri"/>
          <w:szCs w:val="20"/>
        </w:rPr>
      </w:pPr>
      <w:r w:rsidRPr="005B2A49">
        <w:rPr>
          <w:rFonts w:eastAsia="Calibri"/>
          <w:szCs w:val="20"/>
        </w:rPr>
        <w:t xml:space="preserve">Cene prašičev se v Sloveniji oblikujejo pod močnim vplivom cen na evropskem trgu, ki med leti ciklično zelo nihajo. Slovenija se že nekaj let uvršča v prvo tretjino držav z najvišjo odkupno ceno v EU. Odkupna cena v letu 2019 je bila 7 % nad povprečjem EU. </w:t>
      </w:r>
    </w:p>
    <w:p w14:paraId="608F37E6" w14:textId="77777777" w:rsidR="00F679A2" w:rsidRPr="005B2A49" w:rsidRDefault="00F679A2" w:rsidP="005B2A49">
      <w:pPr>
        <w:spacing w:after="120" w:line="260" w:lineRule="atLeast"/>
        <w:rPr>
          <w:rFonts w:eastAsia="Calibri"/>
          <w:szCs w:val="20"/>
        </w:rPr>
      </w:pPr>
      <w:r w:rsidRPr="005B2A49">
        <w:rPr>
          <w:rFonts w:eastAsia="Calibri"/>
          <w:szCs w:val="20"/>
        </w:rPr>
        <w:t xml:space="preserve">Vpliv prašičereje na okolje v glavnem ni ugoden zaradi potencialnega onesnaževanja predvsem podtalnice z nitrati in kloridi, površinskih voda s fosfati in okolice z amonijakom ter smradom. Prašičereja ni priljubljena zlasti v urbanih okoljih (smrad, vedno večji konflikti pri umeščanju prašičerejskih objektov v prostor). Zato so potrebna večja vlaganja v čistilne naprave, opremo in drugo infrastrukturo. </w:t>
      </w:r>
    </w:p>
    <w:p w14:paraId="71606CD6" w14:textId="77777777" w:rsidR="00F679A2" w:rsidRPr="005B2A49" w:rsidRDefault="00F679A2" w:rsidP="005B2A49">
      <w:pPr>
        <w:spacing w:after="120" w:line="260" w:lineRule="atLeast"/>
        <w:rPr>
          <w:rFonts w:eastAsia="Calibri"/>
          <w:szCs w:val="20"/>
        </w:rPr>
      </w:pPr>
      <w:r w:rsidRPr="005B2A49">
        <w:rPr>
          <w:rFonts w:eastAsia="Calibri"/>
          <w:szCs w:val="20"/>
        </w:rPr>
        <w:t>Zaradi značilnosti prašičereje je nujno dosledno izboljševanje in izvajanje biovarnostnih ukrepov. Pri odprtih rejah (na primer ekološke reje) je tveganje večje kot pri zaprtih rejah. Še posebej je velika nevarnost vnosa afiriške prašičje kuge (APK) in drugih kužnih bolezni.</w:t>
      </w:r>
    </w:p>
    <w:p w14:paraId="1B3C385E"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okviru SKP 2014 – 2020 lahko prašičerejci za svoje kmetijske površine uveljavljajo osnovno plačilo, plačilo za zeleno komponento in, če so mladi kmetje, tudi plačilo za mlade kmete, prav tako pa je pomembna podpora za strna žita in glede na podatke tudi podpora za zelenjadnice. Po podatkih ARSKTRP o izplačilih neposrednih plačil za leto 2019 je seštevek osnovnega plačila (plačilna pravica) in plačila za zeleno komponento na kmetijskih gospodarstvih, ki imajo tudi prašiče 269 EUR/ha. Povprečna vrednost plačilnih pravic znaša 172 EUR/ha, kar je nekoliko nad povprečjem (160 EUR/ha). Kmetijska gospodarstva, ki redijo prašiče pa uveljavljajo tudi proizvodno vezano podporo za strna žita, ki jo je prejelo 7.770 KMG in proizvodno vezano podporo za zelenjavo, ki jo je prejelo 292 KMG. </w:t>
      </w:r>
    </w:p>
    <w:p w14:paraId="704B33E7" w14:textId="77777777" w:rsidR="00F679A2" w:rsidRPr="005B2A49" w:rsidRDefault="00F679A2" w:rsidP="005B2A49">
      <w:pPr>
        <w:spacing w:after="120" w:line="260" w:lineRule="atLeast"/>
        <w:rPr>
          <w:rFonts w:eastAsia="Calibri"/>
          <w:szCs w:val="20"/>
        </w:rPr>
      </w:pPr>
      <w:r w:rsidRPr="005B2A49">
        <w:rPr>
          <w:rFonts w:eastAsia="Calibri"/>
          <w:szCs w:val="20"/>
        </w:rPr>
        <w:t>Skupno je bilo v programskem obdobju PRP 2014-2020 do 31. 8. 2019 odobrenih 80 vlog pri ukrepih investicij, mladih kmetov, prenosa znanja in informiranja ter dobrobiti živali za prašičerejska kmetijska gospodarstva z zneskom 21,22 milijona EUR. Od tega je bilo do 31. 8. 2019 izplačanih 13,21 milijona EUR. Dodatno so ta KMG prejela tudi približno 14 milijonov sredstev v okviru KOPOP podukrepov, med drugimi tudi za ohranjanje avtohtone pasme krškopoljski prašič.</w:t>
      </w:r>
    </w:p>
    <w:p w14:paraId="1013293F" w14:textId="77777777" w:rsidR="00F679A2" w:rsidRPr="005B2A49" w:rsidRDefault="00F679A2" w:rsidP="005B2A49">
      <w:pPr>
        <w:spacing w:after="120" w:line="260" w:lineRule="atLeast"/>
        <w:rPr>
          <w:rFonts w:eastAsia="Calibri"/>
          <w:szCs w:val="20"/>
        </w:rPr>
      </w:pPr>
      <w:r w:rsidRPr="005B2A49">
        <w:rPr>
          <w:rFonts w:eastAsia="Calibri"/>
          <w:szCs w:val="20"/>
        </w:rPr>
        <w:t xml:space="preserve">Na področju dobrobiti prašičev se stanje izboljšuje. Ukrep se izvaja od leta 2014, vanj pa je bilo do sedaj vključenih 302 kmetijskih gospodarstev. V letu 2019 je bilo v ukrepu </w:t>
      </w:r>
      <w:r w:rsidRPr="005B2A49">
        <w:rPr>
          <w:rFonts w:eastAsia="Calibri"/>
          <w:szCs w:val="20"/>
        </w:rPr>
        <w:lastRenderedPageBreak/>
        <w:t>že 50 % vseh GVŽ prašičev. Izvajanje ukrepa dobrobiti živali je potrebno ohraniti in krepiti še naprej, težave so pri pridobivanju dodatnih zemljišč za povečanje proizvodnje, potrebna so velika vlaganja v posodobitev in novogradnje objektov in opreme, digitalizacije ipd.</w:t>
      </w:r>
    </w:p>
    <w:p w14:paraId="4A2200F8" w14:textId="77777777" w:rsidR="00F679A2" w:rsidRPr="005B2A49" w:rsidRDefault="00F679A2" w:rsidP="005B2A49">
      <w:pPr>
        <w:spacing w:after="120" w:line="260" w:lineRule="atLeast"/>
        <w:rPr>
          <w:rFonts w:eastAsia="Calibri"/>
          <w:szCs w:val="20"/>
        </w:rPr>
      </w:pPr>
      <w:r w:rsidRPr="005B2A49">
        <w:rPr>
          <w:rFonts w:eastAsia="Calibri"/>
          <w:szCs w:val="20"/>
        </w:rPr>
        <w:t>Ukrepi podpor de minimis v prašičereji so bili v preteklosti uporabljeni le izjemoma za blažitev poslabšanja ekonomskega položaja.</w:t>
      </w:r>
    </w:p>
    <w:p w14:paraId="158C14F2" w14:textId="77777777" w:rsidR="00F679A2" w:rsidRPr="005B2A49" w:rsidRDefault="00F679A2" w:rsidP="005B2A49">
      <w:pPr>
        <w:spacing w:after="120" w:line="260" w:lineRule="atLeast"/>
        <w:rPr>
          <w:rFonts w:eastAsia="Calibri"/>
          <w:szCs w:val="20"/>
        </w:rPr>
      </w:pPr>
      <w:r w:rsidRPr="005B2A49">
        <w:rPr>
          <w:rFonts w:eastAsia="Calibri"/>
          <w:szCs w:val="20"/>
        </w:rPr>
        <w:t>Poleg podpor prek zemljišč in podpor iz PRP-ja so rejci upravičeni do regresa za zavarovanje živali (bolezni) - 20 % sofinanciranja premije in v letu 2019 do 30 % sofinanciranja in imajo pravico vračila dela trošarine za gorivo iz kmetijstva 70 % od leta 2009 dalje.</w:t>
      </w:r>
    </w:p>
    <w:p w14:paraId="3A0C3C24" w14:textId="77777777" w:rsidR="00F679A2" w:rsidRPr="005B2A49" w:rsidRDefault="00F679A2" w:rsidP="005B2A49">
      <w:pPr>
        <w:spacing w:after="120" w:line="260" w:lineRule="atLeast"/>
        <w:rPr>
          <w:rFonts w:eastAsia="Calibri"/>
          <w:szCs w:val="20"/>
        </w:rPr>
      </w:pPr>
      <w:r w:rsidRPr="005B2A49">
        <w:rPr>
          <w:rFonts w:eastAsia="Calibri"/>
          <w:szCs w:val="20"/>
        </w:rPr>
        <w:t>Prašičereja je vključena v izvajanje javne službe strokovnih nalog v živinoreji in javne službe nalog genske banke v živinoreji. V javno službo strokovnih nalog na področju prašičereje so vključene naslednje pasme oz. linije: slovenska landrace (linija 11), slovenski veliki beli prašič (linija 22), pietrain (44), slovenska landrace (linija 55), krškopoljski prašič (88), hibrid 12, hibrid 21 in hibrid 54. V sklopu teh nalog se izvaja predvsem izboljševanje proizvodnih in neproizvodnih lastnosti čistopasemskih plemenskih živali ter ohranjanje genetskega napredka, skrbi se za plemenski material in živali, ki so vpisane v rodovniške knjige in registre ter doseganje boljše kakovosti živinorejskih proizvodov.</w:t>
      </w:r>
    </w:p>
    <w:p w14:paraId="026BFBB6" w14:textId="77777777" w:rsidR="00F679A2" w:rsidRPr="005B2A49" w:rsidRDefault="00F679A2" w:rsidP="005B2A49">
      <w:pPr>
        <w:spacing w:after="120" w:line="260" w:lineRule="atLeast"/>
        <w:rPr>
          <w:rFonts w:eastAsia="Calibri"/>
          <w:szCs w:val="20"/>
        </w:rPr>
      </w:pPr>
      <w:r w:rsidRPr="005B2A49">
        <w:rPr>
          <w:rFonts w:eastAsia="Calibri"/>
          <w:szCs w:val="20"/>
        </w:rPr>
        <w:t>V okviru javne službe nalog genske banke v živinoreji se varuje/ohranja edina avtohtona pasma prašičev, krškopoljski prašič, ki ima drugo stopnjo ogroženosti. V letu 2019 se je Register pasem z zootehniško oceno vodil za pet pasem prašičev: krškopoljski prašič, slovenska landrace (linija 11), slovenska landrace (linija 55), slovenski veliki beli prašič (linija 22) in pietrain (44). Javna služba opravlja naloge na področjih spremljanja stanja in karakterizacije pasem, mehanizmih trajnostne rabe in razvoja, oblik ohranjanja živalskih genskih virov ter politik upravljanja živalskih genskih virov.</w:t>
      </w:r>
    </w:p>
    <w:p w14:paraId="03A4254D" w14:textId="77777777" w:rsidR="00F679A2" w:rsidRPr="005B2A49" w:rsidRDefault="00F679A2" w:rsidP="005B2A49">
      <w:pPr>
        <w:spacing w:after="120" w:line="260" w:lineRule="atLeast"/>
        <w:rPr>
          <w:rFonts w:eastAsia="Calibri"/>
          <w:szCs w:val="20"/>
        </w:rPr>
      </w:pPr>
      <w:r w:rsidRPr="005B2A49">
        <w:rPr>
          <w:rFonts w:eastAsia="Calibri"/>
          <w:szCs w:val="20"/>
        </w:rPr>
        <w:t>Rejcem prašičev je svetovanje zagotovljeno preko javne službe kmetijskega svetovanja, ki na primer svetuje na področjih tehnologij reje, dobrobiti živali, biovarnostnih ukrepov, sestave krmnega obroka, rabe in skladiščenja gnojil, pri gradnji objektov in drugih tehnoloških vprašanjih.</w:t>
      </w:r>
    </w:p>
    <w:p w14:paraId="4B37A695" w14:textId="77777777" w:rsidR="00F679A2" w:rsidRDefault="00F679A2" w:rsidP="005B2A49">
      <w:pPr>
        <w:spacing w:after="120" w:line="260" w:lineRule="atLeast"/>
        <w:rPr>
          <w:rFonts w:eastAsia="Calibri"/>
          <w:szCs w:val="20"/>
        </w:rPr>
      </w:pPr>
      <w:r w:rsidRPr="005B2A49">
        <w:rPr>
          <w:rFonts w:eastAsia="Calibri"/>
          <w:szCs w:val="20"/>
        </w:rPr>
        <w:t>V zadnjih desetih letih so slovenski raziskovalci na področju prašičereje izvajali štiri ciljne raziskovalne programe, ki so bili usmerjeni v celovite rešitve sistemov rej, v proizvode višje kakovosti z uporabo tehnologije, alternativnih krmil in naravnih dodatkov ter dobrobiti prašičev v povezavi s tehnologijo in  zdravstvenim stanjem. Izvajala sta se aplikativni projekt in ERA-Net projekt na področju imunokastracije merjaščkov glede vpliva na kakovost proizvodov ter EIP projekta na področju sledljivosti porekla pri pasmi krškopoljski prašič in reje prašičev za proizvodnjo izdelkov višje kakovosti.</w:t>
      </w:r>
    </w:p>
    <w:p w14:paraId="30FE8806" w14:textId="77777777" w:rsidR="00F679A2" w:rsidRDefault="00F679A2" w:rsidP="00F679A2">
      <w:pPr>
        <w:rPr>
          <w:highlight w:val="yellow"/>
        </w:rPr>
      </w:pPr>
    </w:p>
    <w:p w14:paraId="2FB519EF" w14:textId="77777777" w:rsidR="00F679A2" w:rsidRPr="0022702B" w:rsidRDefault="00F679A2" w:rsidP="00F679A2">
      <w:pPr>
        <w:pStyle w:val="Naslov3"/>
        <w:rPr>
          <w:rFonts w:eastAsia="Calibri"/>
        </w:rPr>
      </w:pPr>
      <w:bookmarkStart w:id="3108" w:name="_Toc86822571"/>
      <w:r w:rsidRPr="0022702B">
        <w:rPr>
          <w:rFonts w:eastAsia="Calibri"/>
        </w:rPr>
        <w:t>Ključne ugotovitve</w:t>
      </w:r>
      <w:bookmarkEnd w:id="3108"/>
    </w:p>
    <w:p w14:paraId="02A1E65C" w14:textId="77777777" w:rsidR="00F679A2" w:rsidRP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Število prašičev v Sloveniji se v zadnjem desetletju zmanjšuje. Zmanjšuje se interes rejcev za zagotavljanje plemenskega materiala, pujskov za nadaljnjo rejo v Sloveniji ni dovolj in rejci so odvisni od uvoza živali, posledično je onemogočena ponudba sheme kakovosti Izbrana kakovost Slovenije. Potrebne so naložbe in boljša organiziranost prašičerejcev.</w:t>
      </w:r>
    </w:p>
    <w:p w14:paraId="180F0595" w14:textId="77777777" w:rsidR="00F679A2" w:rsidRP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lastRenderedPageBreak/>
        <w:t xml:space="preserve">Na oblikovanje cen v Sloveniji imajo velik vpliv cene na evropskih trgih (vpliv azijskega trga, Covid-19 idr.). </w:t>
      </w:r>
    </w:p>
    <w:p w14:paraId="1355D46A" w14:textId="77777777" w:rsidR="00F679A2" w:rsidRP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Panoga ima v Sloveniji dovolj tržnega potenciala, saj je samooskrba le 40 %, potrošniki pa so navajeni na uporabo prašičjega mesa.</w:t>
      </w:r>
    </w:p>
    <w:p w14:paraId="5EC2A239" w14:textId="61C309D0" w:rsidR="00F679A2" w:rsidRP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 xml:space="preserve">Večja podjetja kooperantom zagotavljajo znanje in repromaterial ter ustrezno tehnologijo. Rejci </w:t>
      </w:r>
      <w:r w:rsidR="002D10A4">
        <w:rPr>
          <w:rFonts w:ascii="Arial" w:hAnsi="Arial"/>
          <w:sz w:val="22"/>
        </w:rPr>
        <w:t xml:space="preserve">so slabo </w:t>
      </w:r>
      <w:r w:rsidRPr="00F679A2">
        <w:rPr>
          <w:rFonts w:ascii="Arial" w:hAnsi="Arial"/>
          <w:sz w:val="22"/>
        </w:rPr>
        <w:t xml:space="preserve"> organizirani in imamo </w:t>
      </w:r>
      <w:r w:rsidR="002D10A4">
        <w:rPr>
          <w:rFonts w:ascii="Arial" w:hAnsi="Arial"/>
          <w:sz w:val="22"/>
        </w:rPr>
        <w:t xml:space="preserve">samo eno </w:t>
      </w:r>
      <w:r w:rsidRPr="00F679A2">
        <w:rPr>
          <w:rFonts w:ascii="Arial" w:hAnsi="Arial"/>
          <w:sz w:val="22"/>
        </w:rPr>
        <w:t>organizacij</w:t>
      </w:r>
      <w:r w:rsidR="002D10A4">
        <w:rPr>
          <w:rFonts w:ascii="Arial" w:hAnsi="Arial"/>
          <w:sz w:val="22"/>
        </w:rPr>
        <w:t>o</w:t>
      </w:r>
      <w:r w:rsidRPr="00F679A2">
        <w:rPr>
          <w:rFonts w:ascii="Arial" w:hAnsi="Arial"/>
          <w:sz w:val="22"/>
        </w:rPr>
        <w:t xml:space="preserve"> proizvajalcev,</w:t>
      </w:r>
      <w:r w:rsidR="002D10A4">
        <w:rPr>
          <w:rFonts w:ascii="Arial" w:hAnsi="Arial"/>
          <w:sz w:val="22"/>
        </w:rPr>
        <w:t xml:space="preserve"> vzpostavljanje organizacij proizvajalcev</w:t>
      </w:r>
      <w:r w:rsidRPr="00F679A2">
        <w:rPr>
          <w:rFonts w:ascii="Arial" w:hAnsi="Arial"/>
          <w:sz w:val="22"/>
        </w:rPr>
        <w:t xml:space="preserve"> bi bilo treba zaradi zagotavljanja pujskov in tudi uspešne organizirane prodaje spodbujati in okrepiti.</w:t>
      </w:r>
    </w:p>
    <w:p w14:paraId="6BD65BFE" w14:textId="09ED2C69" w:rsidR="00F679A2" w:rsidRDefault="00F679A2" w:rsidP="005B2A49">
      <w:pPr>
        <w:pStyle w:val="Odstavekseznama"/>
        <w:numPr>
          <w:ilvl w:val="0"/>
          <w:numId w:val="202"/>
        </w:numPr>
        <w:autoSpaceDE w:val="0"/>
        <w:autoSpaceDN w:val="0"/>
        <w:adjustRightInd w:val="0"/>
        <w:spacing w:after="120" w:line="260" w:lineRule="atLeast"/>
      </w:pPr>
      <w:r w:rsidRPr="00F679A2">
        <w:rPr>
          <w:rFonts w:ascii="Arial" w:hAnsi="Arial"/>
          <w:sz w:val="22"/>
        </w:rPr>
        <w:t xml:space="preserve">Prašičereja v </w:t>
      </w:r>
      <w:r w:rsidRPr="005B2A49">
        <w:rPr>
          <w:rFonts w:ascii="Arial" w:hAnsi="Arial"/>
          <w:sz w:val="22"/>
        </w:rPr>
        <w:t>urbanih okoljih</w:t>
      </w:r>
      <w:r w:rsidRPr="00F679A2">
        <w:rPr>
          <w:rFonts w:ascii="Arial" w:hAnsi="Arial"/>
          <w:sz w:val="22"/>
        </w:rPr>
        <w:t xml:space="preserve"> ni priljubljena (smrad, vedno večji konflikti pri umeščanju prašičerejskih objektov v prostoru), APK in druge prenosljive bolezni predstavljajo resno grožnjo prireji prašičev v Sloveniji, zato bodo potrebne dodatne naložbe za okrepitev biovarnosti.</w:t>
      </w:r>
    </w:p>
    <w:p w14:paraId="6ACD73AC" w14:textId="77777777" w:rsidR="00F679A2" w:rsidRPr="002E7B9B" w:rsidRDefault="00F679A2" w:rsidP="005B2A49">
      <w:pPr>
        <w:pStyle w:val="Odstavekseznama"/>
        <w:autoSpaceDE w:val="0"/>
        <w:autoSpaceDN w:val="0"/>
        <w:adjustRightInd w:val="0"/>
        <w:spacing w:after="120" w:line="260" w:lineRule="atLeast"/>
        <w:ind w:left="360"/>
      </w:pPr>
    </w:p>
    <w:p w14:paraId="1993FFB5" w14:textId="77777777" w:rsidR="00F679A2" w:rsidRPr="0022702B" w:rsidRDefault="00701492" w:rsidP="00F679A2">
      <w:pPr>
        <w:pStyle w:val="Naslov2"/>
      </w:pPr>
      <w:hyperlink r:id="rId86" w:history="1">
        <w:bookmarkStart w:id="3109" w:name="_Toc86822572"/>
        <w:r w:rsidR="00F679A2" w:rsidRPr="0022702B">
          <w:t>Perutninarstvo</w:t>
        </w:r>
        <w:bookmarkEnd w:id="3109"/>
      </w:hyperlink>
    </w:p>
    <w:p w14:paraId="5DC593E6" w14:textId="77777777" w:rsidR="00F679A2" w:rsidRPr="005B2A49" w:rsidRDefault="00F679A2" w:rsidP="005B2A49">
      <w:pPr>
        <w:spacing w:after="120" w:line="260" w:lineRule="atLeast"/>
        <w:rPr>
          <w:rFonts w:eastAsia="Calibri"/>
          <w:szCs w:val="20"/>
        </w:rPr>
      </w:pPr>
      <w:r w:rsidRPr="005B2A49">
        <w:rPr>
          <w:rFonts w:eastAsia="Calibri"/>
          <w:szCs w:val="20"/>
        </w:rPr>
        <w:t xml:space="preserve">Perutnina je tradicionalno prisotna skoraj na vsakem kmetijskem gospodarstvu, panoga s prirejo perutninskega mesa in jajc pa se je razvila v zadnjih desetletjih in dosega pomemben delež v kmetijskih proizvodnji. Prireja perutninskega mesa in jajc je tržno in izvozno naravnana, večina proizvodnje se odvija v kooperaciji s komercialno uspešnimi pasmami/linijami. Še vedno pa je v tradicionalnih rejah in v genski banki v živinoreji zaslediti štajersko kokoš, slovensko grahasto kokoš, slovensko srebrno kokoš, slovensko rjavo kokoš in slovensko pozno operjeno kokoš. Panoga ima še vedno velik razvojni in izvozni potencial. </w:t>
      </w:r>
    </w:p>
    <w:p w14:paraId="7FC7D3E4" w14:textId="77777777" w:rsidR="00F679A2" w:rsidRPr="005718B1" w:rsidRDefault="00F679A2" w:rsidP="00F679A2"/>
    <w:p w14:paraId="3018BCE7" w14:textId="77777777" w:rsidR="00F679A2" w:rsidRDefault="00F679A2" w:rsidP="00F679A2">
      <w:pPr>
        <w:pStyle w:val="Naslov3"/>
        <w:rPr>
          <w:rFonts w:eastAsia="Calibri"/>
        </w:rPr>
      </w:pPr>
      <w:bookmarkStart w:id="3110" w:name="_Toc86822573"/>
      <w:r w:rsidRPr="0022702B">
        <w:rPr>
          <w:rFonts w:eastAsia="Calibri"/>
        </w:rPr>
        <w:t>Stanje v sektorju in osnovni ekonomski kazalniki</w:t>
      </w:r>
      <w:bookmarkEnd w:id="3110"/>
      <w:r w:rsidRPr="0022702B">
        <w:rPr>
          <w:rFonts w:eastAsia="Calibri"/>
        </w:rPr>
        <w:t xml:space="preserve"> </w:t>
      </w:r>
    </w:p>
    <w:p w14:paraId="4ECB97DC" w14:textId="7D83B565" w:rsidR="00F679A2" w:rsidRPr="005B2A49" w:rsidRDefault="00F679A2" w:rsidP="005B2A49">
      <w:pPr>
        <w:spacing w:after="120" w:line="260" w:lineRule="atLeast"/>
        <w:rPr>
          <w:rFonts w:eastAsia="Calibri"/>
          <w:szCs w:val="20"/>
        </w:rPr>
      </w:pPr>
      <w:r w:rsidRPr="005B2A49">
        <w:rPr>
          <w:rFonts w:eastAsia="Calibri"/>
          <w:szCs w:val="20"/>
        </w:rPr>
        <w:t>Prireja perutninskega mesa v Sloveniji je v zadnjem desetletju dosegla okoli 8</w:t>
      </w:r>
      <w:r w:rsidR="009E7E6E">
        <w:rPr>
          <w:rFonts w:eastAsia="Calibri"/>
          <w:szCs w:val="20"/>
        </w:rPr>
        <w:t> </w:t>
      </w:r>
      <w:r w:rsidRPr="005B2A49">
        <w:rPr>
          <w:rFonts w:eastAsia="Calibri"/>
          <w:szCs w:val="20"/>
        </w:rPr>
        <w:t>% skupne vrednosti kmetijstva, v okviru živinorejske proizvodnje pa okoli 18</w:t>
      </w:r>
      <w:r w:rsidR="009E7E6E">
        <w:rPr>
          <w:rFonts w:eastAsia="Calibri"/>
          <w:szCs w:val="20"/>
        </w:rPr>
        <w:t> </w:t>
      </w:r>
      <w:r w:rsidRPr="005B2A49">
        <w:rPr>
          <w:rFonts w:eastAsia="Calibri"/>
          <w:szCs w:val="20"/>
        </w:rPr>
        <w:t xml:space="preserve">%. </w:t>
      </w:r>
      <w:r w:rsidR="00460106">
        <w:rPr>
          <w:rFonts w:eastAsia="Calibri"/>
          <w:szCs w:val="20"/>
        </w:rPr>
        <w:t>P</w:t>
      </w:r>
      <w:r w:rsidRPr="005B2A49">
        <w:rPr>
          <w:rFonts w:eastAsia="Calibri"/>
          <w:szCs w:val="20"/>
        </w:rPr>
        <w:t>rireja jajc k skupni kmetijski proizvodnji v zadnjih letih prispeva okoli 3</w:t>
      </w:r>
      <w:r w:rsidR="009E7E6E">
        <w:rPr>
          <w:rFonts w:eastAsia="Calibri"/>
          <w:szCs w:val="20"/>
        </w:rPr>
        <w:t> </w:t>
      </w:r>
      <w:r w:rsidRPr="005B2A49">
        <w:rPr>
          <w:rFonts w:eastAsia="Calibri"/>
          <w:szCs w:val="20"/>
        </w:rPr>
        <w:t>%, k vrednosti živinoreje pa okoli 7 %.</w:t>
      </w:r>
    </w:p>
    <w:p w14:paraId="738DA677" w14:textId="7712E7A0" w:rsidR="00F679A2" w:rsidRDefault="00F679A2" w:rsidP="005B2A49">
      <w:pPr>
        <w:spacing w:after="120" w:line="260" w:lineRule="atLeast"/>
      </w:pPr>
      <w:r w:rsidRPr="005B2A49">
        <w:rPr>
          <w:rFonts w:eastAsia="Calibri"/>
          <w:szCs w:val="20"/>
        </w:rPr>
        <w:t>Število kmetijskih gospodarstev, kjer redijo perutnino se je po statističnih podatkih od leta 2005 do 2010 zmanjšalo (iz 45.512 na 36.240), nato pa se je rahlo povečevalo in v letu 2016 znašalo 37.840 kmetijskih gospodarstev. Glede na kategorije živali je največ kmetijskih gospodarstev z rejo kokoši nesnic, sledijo kmetijska gospodarstva, ki zapadejo v kategorijo druge kokoši (petelini, jarkice) in kmetijska gospodarstva z rejo pitovnih piščancev. Po podatkih registra obratov rej kokoši nesnic je bilo na dan 31.</w:t>
      </w:r>
      <w:r w:rsidR="009E7E6E">
        <w:rPr>
          <w:rFonts w:eastAsia="Calibri"/>
          <w:szCs w:val="20"/>
        </w:rPr>
        <w:t> </w:t>
      </w:r>
      <w:r w:rsidRPr="005B2A49">
        <w:rPr>
          <w:rFonts w:eastAsia="Calibri"/>
          <w:szCs w:val="20"/>
        </w:rPr>
        <w:t>3.</w:t>
      </w:r>
      <w:r w:rsidR="009E7E6E">
        <w:rPr>
          <w:rFonts w:eastAsia="Calibri"/>
          <w:szCs w:val="20"/>
        </w:rPr>
        <w:t> </w:t>
      </w:r>
      <w:r w:rsidRPr="005B2A49">
        <w:rPr>
          <w:rFonts w:eastAsia="Calibri"/>
          <w:szCs w:val="20"/>
        </w:rPr>
        <w:t>2020 registriranih 200 obratov (43 proste reje, 86 hlevske reje, 46 baterijske reje in 25 ekološke reje). V povsem zaprtem sistemu poteka 2/3 reje kokoši nesnic.</w:t>
      </w:r>
      <w:r w:rsidR="00460106">
        <w:rPr>
          <w:rFonts w:eastAsia="Calibri"/>
          <w:szCs w:val="20"/>
        </w:rPr>
        <w:t xml:space="preserve"> </w:t>
      </w:r>
      <w:r w:rsidR="00460106">
        <w:t>V letu 2005 je bilo na kmetijskem gospodarstvu povprečno 72,4 kljunov, v letu 2016 pa 164,4 kljunov.</w:t>
      </w:r>
    </w:p>
    <w:p w14:paraId="71379BC2" w14:textId="77777777" w:rsidR="00726070" w:rsidRDefault="00726070" w:rsidP="005B2A49">
      <w:pPr>
        <w:pStyle w:val="SCPreglednica"/>
      </w:pPr>
    </w:p>
    <w:p w14:paraId="40804FCD" w14:textId="174CDEB8" w:rsidR="00726070" w:rsidRDefault="00726070" w:rsidP="00726070">
      <w:pPr>
        <w:pStyle w:val="SCPreglednica"/>
      </w:pPr>
      <w:bookmarkStart w:id="3111" w:name="_Toc86822650"/>
      <w:r>
        <w:t xml:space="preserve">Tabela </w:t>
      </w:r>
      <w:r>
        <w:rPr>
          <w:noProof/>
        </w:rPr>
        <w:fldChar w:fldCharType="begin"/>
      </w:r>
      <w:r>
        <w:rPr>
          <w:noProof/>
        </w:rPr>
        <w:instrText xml:space="preserve"> SEQ Tabela \* ARABIC </w:instrText>
      </w:r>
      <w:r>
        <w:rPr>
          <w:noProof/>
        </w:rPr>
        <w:fldChar w:fldCharType="separate"/>
      </w:r>
      <w:r w:rsidR="0088117A">
        <w:rPr>
          <w:noProof/>
        </w:rPr>
        <w:t>12</w:t>
      </w:r>
      <w:r>
        <w:rPr>
          <w:noProof/>
        </w:rPr>
        <w:fldChar w:fldCharType="end"/>
      </w:r>
      <w:r>
        <w:t xml:space="preserve">: </w:t>
      </w:r>
      <w:r w:rsidRPr="00726070">
        <w:t>Število perutnine po vrstah in število kmetijskih gospodarstev v letih 2000-2016</w:t>
      </w:r>
      <w:bookmarkEnd w:id="3111"/>
    </w:p>
    <w:tbl>
      <w:tblPr>
        <w:tblW w:w="10247" w:type="dxa"/>
        <w:tblCellMar>
          <w:left w:w="70" w:type="dxa"/>
          <w:right w:w="70" w:type="dxa"/>
        </w:tblCellMar>
        <w:tblLook w:val="04A0" w:firstRow="1" w:lastRow="0" w:firstColumn="1" w:lastColumn="0" w:noHBand="0" w:noVBand="1"/>
      </w:tblPr>
      <w:tblGrid>
        <w:gridCol w:w="848"/>
        <w:gridCol w:w="763"/>
        <w:gridCol w:w="763"/>
        <w:gridCol w:w="763"/>
        <w:gridCol w:w="763"/>
        <w:gridCol w:w="763"/>
        <w:gridCol w:w="763"/>
        <w:gridCol w:w="763"/>
        <w:gridCol w:w="639"/>
        <w:gridCol w:w="569"/>
        <w:gridCol w:w="569"/>
        <w:gridCol w:w="569"/>
        <w:gridCol w:w="569"/>
        <w:gridCol w:w="569"/>
        <w:gridCol w:w="574"/>
      </w:tblGrid>
      <w:tr w:rsidR="00460106" w:rsidRPr="00842ABF" w14:paraId="57BFE4EF" w14:textId="77777777" w:rsidTr="00726070">
        <w:trPr>
          <w:trHeight w:val="30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DC593" w14:textId="77777777" w:rsidR="00460106" w:rsidRPr="00842ABF" w:rsidRDefault="00460106" w:rsidP="00460106">
            <w:pPr>
              <w:spacing w:line="240" w:lineRule="auto"/>
              <w:rPr>
                <w:sz w:val="14"/>
                <w:szCs w:val="14"/>
                <w:lang w:eastAsia="sl-SI"/>
              </w:rPr>
            </w:pPr>
            <w:r w:rsidRPr="00842ABF">
              <w:rPr>
                <w:sz w:val="14"/>
                <w:szCs w:val="14"/>
                <w:lang w:eastAsia="sl-SI"/>
              </w:rPr>
              <w:t> </w:t>
            </w:r>
          </w:p>
        </w:tc>
        <w:tc>
          <w:tcPr>
            <w:tcW w:w="534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8617DA2" w14:textId="77777777" w:rsidR="00460106" w:rsidRPr="0098075F" w:rsidRDefault="00460106" w:rsidP="00460106">
            <w:pPr>
              <w:spacing w:line="240" w:lineRule="auto"/>
              <w:rPr>
                <w:b/>
                <w:sz w:val="14"/>
                <w:szCs w:val="14"/>
                <w:lang w:eastAsia="sl-SI"/>
              </w:rPr>
            </w:pPr>
            <w:r w:rsidRPr="0098075F">
              <w:rPr>
                <w:b/>
                <w:sz w:val="14"/>
                <w:szCs w:val="14"/>
                <w:lang w:eastAsia="sl-SI"/>
              </w:rPr>
              <w:t>Število živali </w:t>
            </w:r>
          </w:p>
        </w:tc>
        <w:tc>
          <w:tcPr>
            <w:tcW w:w="4058" w:type="dxa"/>
            <w:gridSpan w:val="7"/>
            <w:tcBorders>
              <w:top w:val="single" w:sz="4" w:space="0" w:color="auto"/>
              <w:left w:val="nil"/>
              <w:bottom w:val="single" w:sz="4" w:space="0" w:color="auto"/>
              <w:right w:val="single" w:sz="4" w:space="0" w:color="auto"/>
            </w:tcBorders>
            <w:shd w:val="clear" w:color="auto" w:fill="auto"/>
            <w:noWrap/>
            <w:vAlign w:val="bottom"/>
            <w:hideMark/>
          </w:tcPr>
          <w:p w14:paraId="6F1D7289" w14:textId="77777777" w:rsidR="00460106" w:rsidRPr="0098075F" w:rsidRDefault="00460106" w:rsidP="00460106">
            <w:pPr>
              <w:spacing w:line="240" w:lineRule="auto"/>
              <w:rPr>
                <w:b/>
                <w:sz w:val="14"/>
                <w:szCs w:val="14"/>
                <w:lang w:eastAsia="sl-SI"/>
              </w:rPr>
            </w:pPr>
            <w:r w:rsidRPr="0098075F">
              <w:rPr>
                <w:b/>
                <w:sz w:val="14"/>
                <w:szCs w:val="14"/>
                <w:lang w:eastAsia="sl-SI"/>
              </w:rPr>
              <w:t> Število kmetijskih gospodarstev </w:t>
            </w:r>
          </w:p>
        </w:tc>
      </w:tr>
      <w:tr w:rsidR="00460106" w:rsidRPr="00842ABF" w14:paraId="4669E2BE"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77BE85B4" w14:textId="77777777" w:rsidR="00460106" w:rsidRPr="00842ABF" w:rsidRDefault="00460106" w:rsidP="00460106">
            <w:pPr>
              <w:spacing w:line="240" w:lineRule="auto"/>
              <w:rPr>
                <w:sz w:val="14"/>
                <w:szCs w:val="14"/>
                <w:lang w:eastAsia="sl-SI"/>
              </w:rPr>
            </w:pPr>
            <w:r w:rsidRPr="00842ABF">
              <w:rPr>
                <w:sz w:val="14"/>
                <w:szCs w:val="14"/>
                <w:lang w:eastAsia="sl-SI"/>
              </w:rPr>
              <w:t> </w:t>
            </w:r>
          </w:p>
        </w:tc>
        <w:tc>
          <w:tcPr>
            <w:tcW w:w="763" w:type="dxa"/>
            <w:tcBorders>
              <w:top w:val="nil"/>
              <w:left w:val="nil"/>
              <w:bottom w:val="single" w:sz="4" w:space="0" w:color="auto"/>
              <w:right w:val="single" w:sz="4" w:space="0" w:color="auto"/>
            </w:tcBorders>
            <w:shd w:val="clear" w:color="auto" w:fill="auto"/>
            <w:noWrap/>
            <w:vAlign w:val="bottom"/>
            <w:hideMark/>
          </w:tcPr>
          <w:p w14:paraId="631C4545" w14:textId="77777777" w:rsidR="00460106" w:rsidRPr="00842ABF" w:rsidRDefault="00460106" w:rsidP="00460106">
            <w:pPr>
              <w:spacing w:line="240" w:lineRule="auto"/>
              <w:rPr>
                <w:sz w:val="14"/>
                <w:szCs w:val="14"/>
                <w:lang w:eastAsia="sl-SI"/>
              </w:rPr>
            </w:pPr>
            <w:r w:rsidRPr="00842ABF">
              <w:rPr>
                <w:sz w:val="14"/>
                <w:szCs w:val="14"/>
                <w:lang w:eastAsia="sl-SI"/>
              </w:rPr>
              <w:t>2000</w:t>
            </w:r>
          </w:p>
        </w:tc>
        <w:tc>
          <w:tcPr>
            <w:tcW w:w="763" w:type="dxa"/>
            <w:tcBorders>
              <w:top w:val="nil"/>
              <w:left w:val="nil"/>
              <w:bottom w:val="single" w:sz="4" w:space="0" w:color="auto"/>
              <w:right w:val="single" w:sz="4" w:space="0" w:color="auto"/>
            </w:tcBorders>
            <w:shd w:val="clear" w:color="auto" w:fill="auto"/>
            <w:noWrap/>
            <w:vAlign w:val="bottom"/>
            <w:hideMark/>
          </w:tcPr>
          <w:p w14:paraId="4E9A6412" w14:textId="77777777" w:rsidR="00460106" w:rsidRPr="00842ABF" w:rsidRDefault="00460106" w:rsidP="00460106">
            <w:pPr>
              <w:spacing w:line="240" w:lineRule="auto"/>
              <w:rPr>
                <w:sz w:val="14"/>
                <w:szCs w:val="14"/>
                <w:lang w:eastAsia="sl-SI"/>
              </w:rPr>
            </w:pPr>
            <w:r w:rsidRPr="00842ABF">
              <w:rPr>
                <w:sz w:val="14"/>
                <w:szCs w:val="14"/>
                <w:lang w:eastAsia="sl-SI"/>
              </w:rPr>
              <w:t>2003</w:t>
            </w:r>
          </w:p>
        </w:tc>
        <w:tc>
          <w:tcPr>
            <w:tcW w:w="763" w:type="dxa"/>
            <w:tcBorders>
              <w:top w:val="nil"/>
              <w:left w:val="nil"/>
              <w:bottom w:val="single" w:sz="4" w:space="0" w:color="auto"/>
              <w:right w:val="single" w:sz="4" w:space="0" w:color="auto"/>
            </w:tcBorders>
            <w:shd w:val="clear" w:color="auto" w:fill="auto"/>
            <w:noWrap/>
            <w:vAlign w:val="bottom"/>
            <w:hideMark/>
          </w:tcPr>
          <w:p w14:paraId="13FDF7FC" w14:textId="77777777" w:rsidR="00460106" w:rsidRPr="00842ABF" w:rsidRDefault="00460106" w:rsidP="00460106">
            <w:pPr>
              <w:spacing w:line="240" w:lineRule="auto"/>
              <w:rPr>
                <w:sz w:val="14"/>
                <w:szCs w:val="14"/>
                <w:lang w:eastAsia="sl-SI"/>
              </w:rPr>
            </w:pPr>
            <w:r w:rsidRPr="00842ABF">
              <w:rPr>
                <w:sz w:val="14"/>
                <w:szCs w:val="14"/>
                <w:lang w:eastAsia="sl-SI"/>
              </w:rPr>
              <w:t>2005</w:t>
            </w:r>
          </w:p>
        </w:tc>
        <w:tc>
          <w:tcPr>
            <w:tcW w:w="763" w:type="dxa"/>
            <w:tcBorders>
              <w:top w:val="nil"/>
              <w:left w:val="nil"/>
              <w:bottom w:val="single" w:sz="4" w:space="0" w:color="auto"/>
              <w:right w:val="single" w:sz="4" w:space="0" w:color="auto"/>
            </w:tcBorders>
            <w:shd w:val="clear" w:color="auto" w:fill="auto"/>
            <w:noWrap/>
            <w:vAlign w:val="bottom"/>
            <w:hideMark/>
          </w:tcPr>
          <w:p w14:paraId="111F322D" w14:textId="77777777" w:rsidR="00460106" w:rsidRPr="00842ABF" w:rsidRDefault="00460106" w:rsidP="00460106">
            <w:pPr>
              <w:spacing w:line="240" w:lineRule="auto"/>
              <w:rPr>
                <w:sz w:val="14"/>
                <w:szCs w:val="14"/>
                <w:lang w:eastAsia="sl-SI"/>
              </w:rPr>
            </w:pPr>
            <w:r w:rsidRPr="00842ABF">
              <w:rPr>
                <w:sz w:val="14"/>
                <w:szCs w:val="14"/>
                <w:lang w:eastAsia="sl-SI"/>
              </w:rPr>
              <w:t>2007</w:t>
            </w:r>
          </w:p>
        </w:tc>
        <w:tc>
          <w:tcPr>
            <w:tcW w:w="763" w:type="dxa"/>
            <w:tcBorders>
              <w:top w:val="nil"/>
              <w:left w:val="nil"/>
              <w:bottom w:val="single" w:sz="4" w:space="0" w:color="auto"/>
              <w:right w:val="single" w:sz="4" w:space="0" w:color="auto"/>
            </w:tcBorders>
            <w:shd w:val="clear" w:color="auto" w:fill="auto"/>
            <w:noWrap/>
            <w:vAlign w:val="bottom"/>
            <w:hideMark/>
          </w:tcPr>
          <w:p w14:paraId="74D4A197" w14:textId="77777777" w:rsidR="00460106" w:rsidRPr="00842ABF" w:rsidRDefault="00460106" w:rsidP="00460106">
            <w:pPr>
              <w:spacing w:line="240" w:lineRule="auto"/>
              <w:rPr>
                <w:sz w:val="14"/>
                <w:szCs w:val="14"/>
                <w:lang w:eastAsia="sl-SI"/>
              </w:rPr>
            </w:pPr>
            <w:r w:rsidRPr="00842ABF">
              <w:rPr>
                <w:sz w:val="14"/>
                <w:szCs w:val="14"/>
                <w:lang w:eastAsia="sl-SI"/>
              </w:rPr>
              <w:t>2010</w:t>
            </w:r>
          </w:p>
        </w:tc>
        <w:tc>
          <w:tcPr>
            <w:tcW w:w="763" w:type="dxa"/>
            <w:tcBorders>
              <w:top w:val="nil"/>
              <w:left w:val="nil"/>
              <w:bottom w:val="single" w:sz="4" w:space="0" w:color="auto"/>
              <w:right w:val="single" w:sz="4" w:space="0" w:color="auto"/>
            </w:tcBorders>
            <w:shd w:val="clear" w:color="auto" w:fill="auto"/>
            <w:noWrap/>
            <w:vAlign w:val="bottom"/>
            <w:hideMark/>
          </w:tcPr>
          <w:p w14:paraId="1C48155E" w14:textId="77777777" w:rsidR="00460106" w:rsidRPr="00842ABF" w:rsidRDefault="00460106" w:rsidP="00460106">
            <w:pPr>
              <w:spacing w:line="240" w:lineRule="auto"/>
              <w:rPr>
                <w:sz w:val="14"/>
                <w:szCs w:val="14"/>
                <w:lang w:eastAsia="sl-SI"/>
              </w:rPr>
            </w:pPr>
            <w:r w:rsidRPr="00842ABF">
              <w:rPr>
                <w:sz w:val="14"/>
                <w:szCs w:val="14"/>
                <w:lang w:eastAsia="sl-SI"/>
              </w:rPr>
              <w:t>2013</w:t>
            </w:r>
          </w:p>
        </w:tc>
        <w:tc>
          <w:tcPr>
            <w:tcW w:w="763" w:type="dxa"/>
            <w:tcBorders>
              <w:top w:val="nil"/>
              <w:left w:val="nil"/>
              <w:bottom w:val="single" w:sz="4" w:space="0" w:color="auto"/>
              <w:right w:val="single" w:sz="4" w:space="0" w:color="auto"/>
            </w:tcBorders>
            <w:shd w:val="clear" w:color="auto" w:fill="auto"/>
            <w:noWrap/>
            <w:vAlign w:val="bottom"/>
            <w:hideMark/>
          </w:tcPr>
          <w:p w14:paraId="14688633" w14:textId="77777777" w:rsidR="00460106" w:rsidRPr="00842ABF" w:rsidRDefault="00460106" w:rsidP="00460106">
            <w:pPr>
              <w:spacing w:line="240" w:lineRule="auto"/>
              <w:rPr>
                <w:sz w:val="14"/>
                <w:szCs w:val="14"/>
                <w:lang w:eastAsia="sl-SI"/>
              </w:rPr>
            </w:pPr>
            <w:r w:rsidRPr="00842ABF">
              <w:rPr>
                <w:sz w:val="14"/>
                <w:szCs w:val="14"/>
                <w:lang w:eastAsia="sl-SI"/>
              </w:rPr>
              <w:t>2016</w:t>
            </w:r>
          </w:p>
        </w:tc>
        <w:tc>
          <w:tcPr>
            <w:tcW w:w="639" w:type="dxa"/>
            <w:tcBorders>
              <w:top w:val="nil"/>
              <w:left w:val="nil"/>
              <w:bottom w:val="single" w:sz="4" w:space="0" w:color="auto"/>
              <w:right w:val="single" w:sz="4" w:space="0" w:color="auto"/>
            </w:tcBorders>
            <w:shd w:val="clear" w:color="auto" w:fill="auto"/>
            <w:noWrap/>
            <w:vAlign w:val="bottom"/>
            <w:hideMark/>
          </w:tcPr>
          <w:p w14:paraId="08F11E35" w14:textId="77777777" w:rsidR="00460106" w:rsidRPr="00842ABF" w:rsidRDefault="00460106" w:rsidP="00460106">
            <w:pPr>
              <w:spacing w:line="240" w:lineRule="auto"/>
              <w:rPr>
                <w:sz w:val="14"/>
                <w:szCs w:val="14"/>
                <w:lang w:eastAsia="sl-SI"/>
              </w:rPr>
            </w:pPr>
            <w:r w:rsidRPr="00842ABF">
              <w:rPr>
                <w:sz w:val="14"/>
                <w:szCs w:val="14"/>
                <w:lang w:eastAsia="sl-SI"/>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25209C44" w14:textId="77777777" w:rsidR="00460106" w:rsidRPr="00842ABF" w:rsidRDefault="00460106" w:rsidP="00460106">
            <w:pPr>
              <w:spacing w:line="240" w:lineRule="auto"/>
              <w:rPr>
                <w:sz w:val="14"/>
                <w:szCs w:val="14"/>
                <w:lang w:eastAsia="sl-SI"/>
              </w:rPr>
            </w:pPr>
            <w:r w:rsidRPr="00842ABF">
              <w:rPr>
                <w:sz w:val="14"/>
                <w:szCs w:val="14"/>
                <w:lang w:eastAsia="sl-SI"/>
              </w:rPr>
              <w:t>2003</w:t>
            </w:r>
          </w:p>
        </w:tc>
        <w:tc>
          <w:tcPr>
            <w:tcW w:w="569" w:type="dxa"/>
            <w:tcBorders>
              <w:top w:val="nil"/>
              <w:left w:val="nil"/>
              <w:bottom w:val="single" w:sz="4" w:space="0" w:color="auto"/>
              <w:right w:val="single" w:sz="4" w:space="0" w:color="auto"/>
            </w:tcBorders>
            <w:shd w:val="clear" w:color="auto" w:fill="auto"/>
            <w:noWrap/>
            <w:vAlign w:val="bottom"/>
            <w:hideMark/>
          </w:tcPr>
          <w:p w14:paraId="6F179B57" w14:textId="77777777" w:rsidR="00460106" w:rsidRPr="00842ABF" w:rsidRDefault="00460106" w:rsidP="00460106">
            <w:pPr>
              <w:spacing w:line="240" w:lineRule="auto"/>
              <w:rPr>
                <w:sz w:val="14"/>
                <w:szCs w:val="14"/>
                <w:lang w:eastAsia="sl-SI"/>
              </w:rPr>
            </w:pPr>
            <w:r w:rsidRPr="00842ABF">
              <w:rPr>
                <w:sz w:val="14"/>
                <w:szCs w:val="14"/>
                <w:lang w:eastAsia="sl-SI"/>
              </w:rPr>
              <w:t>2005</w:t>
            </w:r>
          </w:p>
        </w:tc>
        <w:tc>
          <w:tcPr>
            <w:tcW w:w="569" w:type="dxa"/>
            <w:tcBorders>
              <w:top w:val="nil"/>
              <w:left w:val="nil"/>
              <w:bottom w:val="single" w:sz="4" w:space="0" w:color="auto"/>
              <w:right w:val="single" w:sz="4" w:space="0" w:color="auto"/>
            </w:tcBorders>
            <w:shd w:val="clear" w:color="auto" w:fill="auto"/>
            <w:noWrap/>
            <w:vAlign w:val="bottom"/>
            <w:hideMark/>
          </w:tcPr>
          <w:p w14:paraId="77AF531C" w14:textId="77777777" w:rsidR="00460106" w:rsidRPr="00842ABF" w:rsidRDefault="00460106" w:rsidP="00460106">
            <w:pPr>
              <w:spacing w:line="240" w:lineRule="auto"/>
              <w:rPr>
                <w:sz w:val="14"/>
                <w:szCs w:val="14"/>
                <w:lang w:eastAsia="sl-SI"/>
              </w:rPr>
            </w:pPr>
            <w:r w:rsidRPr="00842ABF">
              <w:rPr>
                <w:sz w:val="14"/>
                <w:szCs w:val="14"/>
                <w:lang w:eastAsia="sl-SI"/>
              </w:rPr>
              <w:t>2007</w:t>
            </w:r>
          </w:p>
        </w:tc>
        <w:tc>
          <w:tcPr>
            <w:tcW w:w="569" w:type="dxa"/>
            <w:tcBorders>
              <w:top w:val="nil"/>
              <w:left w:val="nil"/>
              <w:bottom w:val="single" w:sz="4" w:space="0" w:color="auto"/>
              <w:right w:val="single" w:sz="4" w:space="0" w:color="auto"/>
            </w:tcBorders>
            <w:shd w:val="clear" w:color="auto" w:fill="auto"/>
            <w:noWrap/>
            <w:vAlign w:val="bottom"/>
            <w:hideMark/>
          </w:tcPr>
          <w:p w14:paraId="1C1458C7" w14:textId="77777777" w:rsidR="00460106" w:rsidRPr="00842ABF" w:rsidRDefault="00460106" w:rsidP="00460106">
            <w:pPr>
              <w:spacing w:line="240" w:lineRule="auto"/>
              <w:rPr>
                <w:sz w:val="14"/>
                <w:szCs w:val="14"/>
                <w:lang w:eastAsia="sl-SI"/>
              </w:rPr>
            </w:pPr>
            <w:r w:rsidRPr="00842ABF">
              <w:rPr>
                <w:sz w:val="14"/>
                <w:szCs w:val="14"/>
                <w:lang w:eastAsia="sl-SI"/>
              </w:rPr>
              <w:t>2010</w:t>
            </w:r>
          </w:p>
        </w:tc>
        <w:tc>
          <w:tcPr>
            <w:tcW w:w="569" w:type="dxa"/>
            <w:tcBorders>
              <w:top w:val="nil"/>
              <w:left w:val="nil"/>
              <w:bottom w:val="single" w:sz="4" w:space="0" w:color="auto"/>
              <w:right w:val="single" w:sz="4" w:space="0" w:color="auto"/>
            </w:tcBorders>
            <w:shd w:val="clear" w:color="auto" w:fill="auto"/>
            <w:noWrap/>
            <w:vAlign w:val="bottom"/>
            <w:hideMark/>
          </w:tcPr>
          <w:p w14:paraId="539E8AA8" w14:textId="77777777" w:rsidR="00460106" w:rsidRPr="00842ABF" w:rsidRDefault="00460106" w:rsidP="00460106">
            <w:pPr>
              <w:spacing w:line="240" w:lineRule="auto"/>
              <w:rPr>
                <w:sz w:val="14"/>
                <w:szCs w:val="14"/>
                <w:lang w:eastAsia="sl-SI"/>
              </w:rPr>
            </w:pPr>
            <w:r w:rsidRPr="00842ABF">
              <w:rPr>
                <w:sz w:val="14"/>
                <w:szCs w:val="14"/>
                <w:lang w:eastAsia="sl-SI"/>
              </w:rPr>
              <w:t>2013</w:t>
            </w:r>
          </w:p>
        </w:tc>
        <w:tc>
          <w:tcPr>
            <w:tcW w:w="574" w:type="dxa"/>
            <w:tcBorders>
              <w:top w:val="nil"/>
              <w:left w:val="nil"/>
              <w:bottom w:val="single" w:sz="4" w:space="0" w:color="auto"/>
              <w:right w:val="single" w:sz="4" w:space="0" w:color="auto"/>
            </w:tcBorders>
            <w:shd w:val="clear" w:color="auto" w:fill="auto"/>
            <w:noWrap/>
            <w:vAlign w:val="bottom"/>
            <w:hideMark/>
          </w:tcPr>
          <w:p w14:paraId="043A2A00" w14:textId="77777777" w:rsidR="00460106" w:rsidRPr="00842ABF" w:rsidRDefault="00460106" w:rsidP="00460106">
            <w:pPr>
              <w:spacing w:line="240" w:lineRule="auto"/>
              <w:rPr>
                <w:sz w:val="14"/>
                <w:szCs w:val="14"/>
                <w:lang w:eastAsia="sl-SI"/>
              </w:rPr>
            </w:pPr>
            <w:r w:rsidRPr="00842ABF">
              <w:rPr>
                <w:sz w:val="14"/>
                <w:szCs w:val="14"/>
                <w:lang w:eastAsia="sl-SI"/>
              </w:rPr>
              <w:t>2016</w:t>
            </w:r>
          </w:p>
        </w:tc>
      </w:tr>
      <w:tr w:rsidR="00460106" w:rsidRPr="00842ABF" w14:paraId="31C08327"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72C7B52" w14:textId="77777777" w:rsidR="00460106" w:rsidRPr="00842ABF" w:rsidRDefault="00460106" w:rsidP="00460106">
            <w:pPr>
              <w:spacing w:line="240" w:lineRule="auto"/>
              <w:rPr>
                <w:sz w:val="14"/>
                <w:szCs w:val="14"/>
                <w:lang w:eastAsia="sl-SI"/>
              </w:rPr>
            </w:pPr>
            <w:r w:rsidRPr="00842ABF">
              <w:rPr>
                <w:sz w:val="14"/>
                <w:szCs w:val="14"/>
                <w:lang w:eastAsia="sl-SI"/>
              </w:rPr>
              <w:t>PERUTINA - SKUPAJ</w:t>
            </w:r>
          </w:p>
        </w:tc>
        <w:tc>
          <w:tcPr>
            <w:tcW w:w="763" w:type="dxa"/>
            <w:tcBorders>
              <w:top w:val="nil"/>
              <w:left w:val="nil"/>
              <w:bottom w:val="single" w:sz="4" w:space="0" w:color="auto"/>
              <w:right w:val="single" w:sz="4" w:space="0" w:color="auto"/>
            </w:tcBorders>
            <w:shd w:val="clear" w:color="000000" w:fill="FFFFFF"/>
            <w:noWrap/>
            <w:vAlign w:val="center"/>
            <w:hideMark/>
          </w:tcPr>
          <w:p w14:paraId="3083F300" w14:textId="77777777" w:rsidR="00460106" w:rsidRPr="00842ABF" w:rsidRDefault="00460106" w:rsidP="00460106">
            <w:pPr>
              <w:spacing w:line="240" w:lineRule="auto"/>
              <w:jc w:val="right"/>
              <w:rPr>
                <w:sz w:val="14"/>
                <w:szCs w:val="14"/>
                <w:lang w:eastAsia="sl-SI"/>
              </w:rPr>
            </w:pPr>
            <w:r w:rsidRPr="00842ABF">
              <w:rPr>
                <w:sz w:val="14"/>
                <w:szCs w:val="14"/>
                <w:lang w:eastAsia="sl-SI"/>
              </w:rPr>
              <w:t>6.731.009</w:t>
            </w:r>
          </w:p>
        </w:tc>
        <w:tc>
          <w:tcPr>
            <w:tcW w:w="763" w:type="dxa"/>
            <w:tcBorders>
              <w:top w:val="nil"/>
              <w:left w:val="nil"/>
              <w:bottom w:val="single" w:sz="4" w:space="0" w:color="auto"/>
              <w:right w:val="single" w:sz="4" w:space="0" w:color="auto"/>
            </w:tcBorders>
            <w:shd w:val="clear" w:color="000000" w:fill="FFFFFF"/>
            <w:noWrap/>
            <w:vAlign w:val="center"/>
            <w:hideMark/>
          </w:tcPr>
          <w:p w14:paraId="510E044A" w14:textId="77777777" w:rsidR="00460106" w:rsidRPr="00842ABF" w:rsidRDefault="00460106" w:rsidP="00460106">
            <w:pPr>
              <w:spacing w:line="240" w:lineRule="auto"/>
              <w:jc w:val="right"/>
              <w:rPr>
                <w:sz w:val="14"/>
                <w:szCs w:val="14"/>
                <w:lang w:eastAsia="sl-SI"/>
              </w:rPr>
            </w:pPr>
            <w:r w:rsidRPr="00842ABF">
              <w:rPr>
                <w:sz w:val="14"/>
                <w:szCs w:val="14"/>
                <w:lang w:eastAsia="sl-SI"/>
              </w:rPr>
              <w:t>5.133.858</w:t>
            </w:r>
          </w:p>
        </w:tc>
        <w:tc>
          <w:tcPr>
            <w:tcW w:w="763" w:type="dxa"/>
            <w:tcBorders>
              <w:top w:val="nil"/>
              <w:left w:val="nil"/>
              <w:bottom w:val="single" w:sz="4" w:space="0" w:color="auto"/>
              <w:right w:val="single" w:sz="4" w:space="0" w:color="auto"/>
            </w:tcBorders>
            <w:shd w:val="clear" w:color="000000" w:fill="FFFFFF"/>
            <w:noWrap/>
            <w:vAlign w:val="center"/>
            <w:hideMark/>
          </w:tcPr>
          <w:p w14:paraId="21C77B0D" w14:textId="77777777" w:rsidR="00460106" w:rsidRPr="00842ABF" w:rsidRDefault="00460106" w:rsidP="00460106">
            <w:pPr>
              <w:spacing w:line="240" w:lineRule="auto"/>
              <w:jc w:val="right"/>
              <w:rPr>
                <w:sz w:val="14"/>
                <w:szCs w:val="14"/>
                <w:lang w:eastAsia="sl-SI"/>
              </w:rPr>
            </w:pPr>
            <w:r w:rsidRPr="00842ABF">
              <w:rPr>
                <w:sz w:val="14"/>
                <w:szCs w:val="14"/>
                <w:lang w:eastAsia="sl-SI"/>
              </w:rPr>
              <w:t>3.292.826</w:t>
            </w:r>
          </w:p>
        </w:tc>
        <w:tc>
          <w:tcPr>
            <w:tcW w:w="763" w:type="dxa"/>
            <w:tcBorders>
              <w:top w:val="nil"/>
              <w:left w:val="nil"/>
              <w:bottom w:val="single" w:sz="4" w:space="0" w:color="auto"/>
              <w:right w:val="single" w:sz="4" w:space="0" w:color="auto"/>
            </w:tcBorders>
            <w:shd w:val="clear" w:color="000000" w:fill="FFFFFF"/>
            <w:noWrap/>
            <w:vAlign w:val="center"/>
            <w:hideMark/>
          </w:tcPr>
          <w:p w14:paraId="7CC87856" w14:textId="77777777" w:rsidR="00460106" w:rsidRPr="00842ABF" w:rsidRDefault="00460106" w:rsidP="00460106">
            <w:pPr>
              <w:spacing w:line="240" w:lineRule="auto"/>
              <w:jc w:val="right"/>
              <w:rPr>
                <w:sz w:val="14"/>
                <w:szCs w:val="14"/>
                <w:lang w:eastAsia="sl-SI"/>
              </w:rPr>
            </w:pPr>
            <w:r w:rsidRPr="00842ABF">
              <w:rPr>
                <w:sz w:val="14"/>
                <w:szCs w:val="14"/>
                <w:lang w:eastAsia="sl-SI"/>
              </w:rPr>
              <w:t>5.364.220</w:t>
            </w:r>
          </w:p>
        </w:tc>
        <w:tc>
          <w:tcPr>
            <w:tcW w:w="763" w:type="dxa"/>
            <w:tcBorders>
              <w:top w:val="nil"/>
              <w:left w:val="nil"/>
              <w:bottom w:val="single" w:sz="4" w:space="0" w:color="auto"/>
              <w:right w:val="single" w:sz="4" w:space="0" w:color="auto"/>
            </w:tcBorders>
            <w:shd w:val="clear" w:color="000000" w:fill="FFFFFF"/>
            <w:noWrap/>
            <w:vAlign w:val="center"/>
            <w:hideMark/>
          </w:tcPr>
          <w:p w14:paraId="31BD7A8C" w14:textId="77777777" w:rsidR="00460106" w:rsidRPr="00842ABF" w:rsidRDefault="00460106" w:rsidP="00460106">
            <w:pPr>
              <w:spacing w:line="240" w:lineRule="auto"/>
              <w:jc w:val="right"/>
              <w:rPr>
                <w:sz w:val="14"/>
                <w:szCs w:val="14"/>
                <w:lang w:eastAsia="sl-SI"/>
              </w:rPr>
            </w:pPr>
            <w:r w:rsidRPr="00842ABF">
              <w:rPr>
                <w:sz w:val="14"/>
                <w:szCs w:val="14"/>
                <w:lang w:eastAsia="sl-SI"/>
              </w:rPr>
              <w:t>4.900.990</w:t>
            </w:r>
          </w:p>
        </w:tc>
        <w:tc>
          <w:tcPr>
            <w:tcW w:w="763" w:type="dxa"/>
            <w:tcBorders>
              <w:top w:val="nil"/>
              <w:left w:val="nil"/>
              <w:bottom w:val="single" w:sz="4" w:space="0" w:color="auto"/>
              <w:right w:val="single" w:sz="4" w:space="0" w:color="auto"/>
            </w:tcBorders>
            <w:shd w:val="clear" w:color="000000" w:fill="FFFFFF"/>
            <w:noWrap/>
            <w:vAlign w:val="center"/>
            <w:hideMark/>
          </w:tcPr>
          <w:p w14:paraId="4D1317B6" w14:textId="77777777" w:rsidR="00460106" w:rsidRPr="00842ABF" w:rsidRDefault="00460106" w:rsidP="00460106">
            <w:pPr>
              <w:spacing w:line="240" w:lineRule="auto"/>
              <w:jc w:val="right"/>
              <w:rPr>
                <w:sz w:val="14"/>
                <w:szCs w:val="14"/>
                <w:lang w:eastAsia="sl-SI"/>
              </w:rPr>
            </w:pPr>
            <w:r w:rsidRPr="00842ABF">
              <w:rPr>
                <w:sz w:val="14"/>
                <w:szCs w:val="14"/>
                <w:lang w:eastAsia="sl-SI"/>
              </w:rPr>
              <w:t>4.858.025</w:t>
            </w:r>
          </w:p>
        </w:tc>
        <w:tc>
          <w:tcPr>
            <w:tcW w:w="763" w:type="dxa"/>
            <w:tcBorders>
              <w:top w:val="nil"/>
              <w:left w:val="nil"/>
              <w:bottom w:val="single" w:sz="4" w:space="0" w:color="auto"/>
              <w:right w:val="single" w:sz="4" w:space="0" w:color="auto"/>
            </w:tcBorders>
            <w:shd w:val="clear" w:color="000000" w:fill="FFFFFF"/>
            <w:noWrap/>
            <w:vAlign w:val="center"/>
            <w:hideMark/>
          </w:tcPr>
          <w:p w14:paraId="70818C90" w14:textId="77777777" w:rsidR="00460106" w:rsidRPr="00842ABF" w:rsidRDefault="00460106" w:rsidP="00460106">
            <w:pPr>
              <w:spacing w:line="240" w:lineRule="auto"/>
              <w:jc w:val="right"/>
              <w:rPr>
                <w:sz w:val="14"/>
                <w:szCs w:val="14"/>
                <w:lang w:eastAsia="sl-SI"/>
              </w:rPr>
            </w:pPr>
            <w:r w:rsidRPr="00842ABF">
              <w:rPr>
                <w:sz w:val="14"/>
                <w:szCs w:val="14"/>
                <w:lang w:eastAsia="sl-SI"/>
              </w:rPr>
              <w:t>6.222.661</w:t>
            </w:r>
          </w:p>
        </w:tc>
        <w:tc>
          <w:tcPr>
            <w:tcW w:w="639" w:type="dxa"/>
            <w:tcBorders>
              <w:top w:val="nil"/>
              <w:left w:val="nil"/>
              <w:bottom w:val="single" w:sz="4" w:space="0" w:color="auto"/>
              <w:right w:val="single" w:sz="4" w:space="0" w:color="auto"/>
            </w:tcBorders>
            <w:shd w:val="clear" w:color="000000" w:fill="FFFFFF"/>
            <w:noWrap/>
            <w:vAlign w:val="center"/>
            <w:hideMark/>
          </w:tcPr>
          <w:p w14:paraId="34FA5C49" w14:textId="77777777" w:rsidR="00460106" w:rsidRPr="00842ABF" w:rsidRDefault="00460106" w:rsidP="00460106">
            <w:pPr>
              <w:spacing w:line="240" w:lineRule="auto"/>
              <w:jc w:val="right"/>
              <w:rPr>
                <w:sz w:val="14"/>
                <w:szCs w:val="14"/>
                <w:lang w:eastAsia="sl-SI"/>
              </w:rPr>
            </w:pPr>
            <w:r w:rsidRPr="00842ABF">
              <w:rPr>
                <w:sz w:val="14"/>
                <w:szCs w:val="14"/>
                <w:lang w:eastAsia="sl-SI"/>
              </w:rPr>
              <w:t>58.929</w:t>
            </w:r>
          </w:p>
        </w:tc>
        <w:tc>
          <w:tcPr>
            <w:tcW w:w="569" w:type="dxa"/>
            <w:tcBorders>
              <w:top w:val="nil"/>
              <w:left w:val="nil"/>
              <w:bottom w:val="single" w:sz="4" w:space="0" w:color="auto"/>
              <w:right w:val="single" w:sz="4" w:space="0" w:color="auto"/>
            </w:tcBorders>
            <w:shd w:val="clear" w:color="000000" w:fill="FFFFFF"/>
            <w:noWrap/>
            <w:vAlign w:val="center"/>
            <w:hideMark/>
          </w:tcPr>
          <w:p w14:paraId="03B32C9F" w14:textId="77777777" w:rsidR="00460106" w:rsidRPr="00842ABF" w:rsidRDefault="00460106" w:rsidP="00460106">
            <w:pPr>
              <w:spacing w:line="240" w:lineRule="auto"/>
              <w:jc w:val="right"/>
              <w:rPr>
                <w:sz w:val="14"/>
                <w:szCs w:val="14"/>
                <w:lang w:eastAsia="sl-SI"/>
              </w:rPr>
            </w:pPr>
            <w:r w:rsidRPr="00842ABF">
              <w:rPr>
                <w:sz w:val="14"/>
                <w:szCs w:val="14"/>
                <w:lang w:eastAsia="sl-SI"/>
              </w:rPr>
              <w:t>49.369</w:t>
            </w:r>
          </w:p>
        </w:tc>
        <w:tc>
          <w:tcPr>
            <w:tcW w:w="569" w:type="dxa"/>
            <w:tcBorders>
              <w:top w:val="nil"/>
              <w:left w:val="nil"/>
              <w:bottom w:val="single" w:sz="4" w:space="0" w:color="auto"/>
              <w:right w:val="single" w:sz="4" w:space="0" w:color="auto"/>
            </w:tcBorders>
            <w:shd w:val="clear" w:color="000000" w:fill="FFFFFF"/>
            <w:noWrap/>
            <w:vAlign w:val="center"/>
            <w:hideMark/>
          </w:tcPr>
          <w:p w14:paraId="0BC389E9" w14:textId="77777777" w:rsidR="00460106" w:rsidRPr="00842ABF" w:rsidRDefault="00460106" w:rsidP="00460106">
            <w:pPr>
              <w:spacing w:line="240" w:lineRule="auto"/>
              <w:jc w:val="right"/>
              <w:rPr>
                <w:sz w:val="14"/>
                <w:szCs w:val="14"/>
                <w:lang w:eastAsia="sl-SI"/>
              </w:rPr>
            </w:pPr>
            <w:r w:rsidRPr="00842ABF">
              <w:rPr>
                <w:sz w:val="14"/>
                <w:szCs w:val="14"/>
                <w:lang w:eastAsia="sl-SI"/>
              </w:rPr>
              <w:t>45.512</w:t>
            </w:r>
          </w:p>
        </w:tc>
        <w:tc>
          <w:tcPr>
            <w:tcW w:w="569" w:type="dxa"/>
            <w:tcBorders>
              <w:top w:val="nil"/>
              <w:left w:val="nil"/>
              <w:bottom w:val="single" w:sz="4" w:space="0" w:color="auto"/>
              <w:right w:val="single" w:sz="4" w:space="0" w:color="auto"/>
            </w:tcBorders>
            <w:shd w:val="clear" w:color="000000" w:fill="FFFFFF"/>
            <w:noWrap/>
            <w:vAlign w:val="center"/>
            <w:hideMark/>
          </w:tcPr>
          <w:p w14:paraId="678E6152" w14:textId="77777777" w:rsidR="00460106" w:rsidRPr="00842ABF" w:rsidRDefault="00460106" w:rsidP="00460106">
            <w:pPr>
              <w:spacing w:line="240" w:lineRule="auto"/>
              <w:jc w:val="right"/>
              <w:rPr>
                <w:sz w:val="14"/>
                <w:szCs w:val="14"/>
                <w:lang w:eastAsia="sl-SI"/>
              </w:rPr>
            </w:pPr>
            <w:r w:rsidRPr="00842ABF">
              <w:rPr>
                <w:sz w:val="14"/>
                <w:szCs w:val="14"/>
                <w:lang w:eastAsia="sl-SI"/>
              </w:rPr>
              <w:t>39.786</w:t>
            </w:r>
          </w:p>
        </w:tc>
        <w:tc>
          <w:tcPr>
            <w:tcW w:w="569" w:type="dxa"/>
            <w:tcBorders>
              <w:top w:val="nil"/>
              <w:left w:val="nil"/>
              <w:bottom w:val="single" w:sz="4" w:space="0" w:color="auto"/>
              <w:right w:val="single" w:sz="4" w:space="0" w:color="auto"/>
            </w:tcBorders>
            <w:shd w:val="clear" w:color="000000" w:fill="FFFFFF"/>
            <w:noWrap/>
            <w:vAlign w:val="center"/>
            <w:hideMark/>
          </w:tcPr>
          <w:p w14:paraId="5C387109" w14:textId="77777777" w:rsidR="00460106" w:rsidRPr="00842ABF" w:rsidRDefault="00460106" w:rsidP="00460106">
            <w:pPr>
              <w:spacing w:line="240" w:lineRule="auto"/>
              <w:jc w:val="right"/>
              <w:rPr>
                <w:sz w:val="14"/>
                <w:szCs w:val="14"/>
                <w:lang w:eastAsia="sl-SI"/>
              </w:rPr>
            </w:pPr>
            <w:r w:rsidRPr="00842ABF">
              <w:rPr>
                <w:sz w:val="14"/>
                <w:szCs w:val="14"/>
                <w:lang w:eastAsia="sl-SI"/>
              </w:rPr>
              <w:t>36.240</w:t>
            </w:r>
          </w:p>
        </w:tc>
        <w:tc>
          <w:tcPr>
            <w:tcW w:w="569" w:type="dxa"/>
            <w:tcBorders>
              <w:top w:val="nil"/>
              <w:left w:val="nil"/>
              <w:bottom w:val="single" w:sz="4" w:space="0" w:color="auto"/>
              <w:right w:val="single" w:sz="4" w:space="0" w:color="auto"/>
            </w:tcBorders>
            <w:shd w:val="clear" w:color="000000" w:fill="FFFFFF"/>
            <w:noWrap/>
            <w:vAlign w:val="center"/>
            <w:hideMark/>
          </w:tcPr>
          <w:p w14:paraId="7C5555D6" w14:textId="77777777" w:rsidR="00460106" w:rsidRPr="00842ABF" w:rsidRDefault="00460106" w:rsidP="00460106">
            <w:pPr>
              <w:spacing w:line="240" w:lineRule="auto"/>
              <w:jc w:val="right"/>
              <w:rPr>
                <w:sz w:val="14"/>
                <w:szCs w:val="14"/>
                <w:lang w:eastAsia="sl-SI"/>
              </w:rPr>
            </w:pPr>
            <w:r w:rsidRPr="00842ABF">
              <w:rPr>
                <w:sz w:val="14"/>
                <w:szCs w:val="14"/>
                <w:lang w:eastAsia="sl-SI"/>
              </w:rPr>
              <w:t>36.657</w:t>
            </w:r>
          </w:p>
        </w:tc>
        <w:tc>
          <w:tcPr>
            <w:tcW w:w="574" w:type="dxa"/>
            <w:tcBorders>
              <w:top w:val="nil"/>
              <w:left w:val="nil"/>
              <w:bottom w:val="single" w:sz="4" w:space="0" w:color="auto"/>
              <w:right w:val="single" w:sz="4" w:space="0" w:color="auto"/>
            </w:tcBorders>
            <w:shd w:val="clear" w:color="000000" w:fill="FFFFFF"/>
            <w:noWrap/>
            <w:vAlign w:val="center"/>
            <w:hideMark/>
          </w:tcPr>
          <w:p w14:paraId="70CADE56" w14:textId="77777777" w:rsidR="00460106" w:rsidRPr="00842ABF" w:rsidRDefault="00460106" w:rsidP="00460106">
            <w:pPr>
              <w:spacing w:line="240" w:lineRule="auto"/>
              <w:jc w:val="right"/>
              <w:rPr>
                <w:sz w:val="14"/>
                <w:szCs w:val="14"/>
                <w:lang w:eastAsia="sl-SI"/>
              </w:rPr>
            </w:pPr>
            <w:r w:rsidRPr="00842ABF">
              <w:rPr>
                <w:sz w:val="14"/>
                <w:szCs w:val="14"/>
                <w:lang w:eastAsia="sl-SI"/>
              </w:rPr>
              <w:t>37.840</w:t>
            </w:r>
          </w:p>
        </w:tc>
      </w:tr>
      <w:tr w:rsidR="00460106" w:rsidRPr="00842ABF" w14:paraId="0FC75B88"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41743706" w14:textId="77777777" w:rsidR="00460106" w:rsidRPr="00842ABF" w:rsidRDefault="00460106" w:rsidP="00460106">
            <w:pPr>
              <w:spacing w:line="240" w:lineRule="auto"/>
              <w:rPr>
                <w:sz w:val="14"/>
                <w:szCs w:val="14"/>
                <w:lang w:eastAsia="sl-SI"/>
              </w:rPr>
            </w:pPr>
            <w:r w:rsidRPr="00842ABF">
              <w:rPr>
                <w:sz w:val="14"/>
                <w:szCs w:val="14"/>
                <w:lang w:eastAsia="sl-SI"/>
              </w:rPr>
              <w:lastRenderedPageBreak/>
              <w:t>Kokoši nesnice</w:t>
            </w:r>
          </w:p>
        </w:tc>
        <w:tc>
          <w:tcPr>
            <w:tcW w:w="763" w:type="dxa"/>
            <w:tcBorders>
              <w:top w:val="nil"/>
              <w:left w:val="nil"/>
              <w:bottom w:val="single" w:sz="4" w:space="0" w:color="auto"/>
              <w:right w:val="single" w:sz="4" w:space="0" w:color="auto"/>
            </w:tcBorders>
            <w:shd w:val="clear" w:color="000000" w:fill="FFFFFF"/>
            <w:noWrap/>
            <w:vAlign w:val="center"/>
            <w:hideMark/>
          </w:tcPr>
          <w:p w14:paraId="226FC270" w14:textId="77777777" w:rsidR="00460106" w:rsidRPr="00842ABF" w:rsidRDefault="00460106" w:rsidP="00460106">
            <w:pPr>
              <w:spacing w:line="240" w:lineRule="auto"/>
              <w:jc w:val="right"/>
              <w:rPr>
                <w:sz w:val="14"/>
                <w:szCs w:val="14"/>
                <w:lang w:eastAsia="sl-SI"/>
              </w:rPr>
            </w:pPr>
            <w:r w:rsidRPr="00842ABF">
              <w:rPr>
                <w:sz w:val="14"/>
                <w:szCs w:val="14"/>
                <w:lang w:eastAsia="sl-SI"/>
              </w:rPr>
              <w:t>1.581.388</w:t>
            </w:r>
          </w:p>
        </w:tc>
        <w:tc>
          <w:tcPr>
            <w:tcW w:w="763" w:type="dxa"/>
            <w:tcBorders>
              <w:top w:val="nil"/>
              <w:left w:val="nil"/>
              <w:bottom w:val="single" w:sz="4" w:space="0" w:color="auto"/>
              <w:right w:val="single" w:sz="4" w:space="0" w:color="auto"/>
            </w:tcBorders>
            <w:shd w:val="clear" w:color="000000" w:fill="FFFFFF"/>
            <w:noWrap/>
            <w:vAlign w:val="center"/>
            <w:hideMark/>
          </w:tcPr>
          <w:p w14:paraId="348313B0" w14:textId="77777777" w:rsidR="00460106" w:rsidRPr="00842ABF" w:rsidRDefault="00460106" w:rsidP="00460106">
            <w:pPr>
              <w:spacing w:line="240" w:lineRule="auto"/>
              <w:jc w:val="right"/>
              <w:rPr>
                <w:sz w:val="14"/>
                <w:szCs w:val="14"/>
                <w:lang w:eastAsia="sl-SI"/>
              </w:rPr>
            </w:pPr>
            <w:r w:rsidRPr="00842ABF">
              <w:rPr>
                <w:sz w:val="14"/>
                <w:szCs w:val="14"/>
                <w:lang w:eastAsia="sl-SI"/>
              </w:rPr>
              <w:t>1.387.408</w:t>
            </w:r>
          </w:p>
        </w:tc>
        <w:tc>
          <w:tcPr>
            <w:tcW w:w="763" w:type="dxa"/>
            <w:tcBorders>
              <w:top w:val="nil"/>
              <w:left w:val="nil"/>
              <w:bottom w:val="single" w:sz="4" w:space="0" w:color="auto"/>
              <w:right w:val="single" w:sz="4" w:space="0" w:color="auto"/>
            </w:tcBorders>
            <w:shd w:val="clear" w:color="000000" w:fill="FFFFFF"/>
            <w:noWrap/>
            <w:vAlign w:val="center"/>
            <w:hideMark/>
          </w:tcPr>
          <w:p w14:paraId="239707FA" w14:textId="77777777" w:rsidR="00460106" w:rsidRPr="00842ABF" w:rsidRDefault="00460106" w:rsidP="00460106">
            <w:pPr>
              <w:spacing w:line="240" w:lineRule="auto"/>
              <w:jc w:val="right"/>
              <w:rPr>
                <w:sz w:val="14"/>
                <w:szCs w:val="14"/>
                <w:lang w:eastAsia="sl-SI"/>
              </w:rPr>
            </w:pPr>
            <w:r w:rsidRPr="00842ABF">
              <w:rPr>
                <w:sz w:val="14"/>
                <w:szCs w:val="14"/>
                <w:lang w:eastAsia="sl-SI"/>
              </w:rPr>
              <w:t>1.072.156</w:t>
            </w:r>
          </w:p>
        </w:tc>
        <w:tc>
          <w:tcPr>
            <w:tcW w:w="763" w:type="dxa"/>
            <w:tcBorders>
              <w:top w:val="nil"/>
              <w:left w:val="nil"/>
              <w:bottom w:val="single" w:sz="4" w:space="0" w:color="auto"/>
              <w:right w:val="single" w:sz="4" w:space="0" w:color="auto"/>
            </w:tcBorders>
            <w:shd w:val="clear" w:color="000000" w:fill="FFFFFF"/>
            <w:noWrap/>
            <w:vAlign w:val="center"/>
            <w:hideMark/>
          </w:tcPr>
          <w:p w14:paraId="7419CEC5" w14:textId="77777777" w:rsidR="00460106" w:rsidRPr="00842ABF" w:rsidRDefault="00460106" w:rsidP="00460106">
            <w:pPr>
              <w:spacing w:line="240" w:lineRule="auto"/>
              <w:jc w:val="right"/>
              <w:rPr>
                <w:sz w:val="14"/>
                <w:szCs w:val="14"/>
                <w:lang w:eastAsia="sl-SI"/>
              </w:rPr>
            </w:pPr>
            <w:r w:rsidRPr="00842ABF">
              <w:rPr>
                <w:sz w:val="14"/>
                <w:szCs w:val="14"/>
                <w:lang w:eastAsia="sl-SI"/>
              </w:rPr>
              <w:t>1.272.588</w:t>
            </w:r>
          </w:p>
        </w:tc>
        <w:tc>
          <w:tcPr>
            <w:tcW w:w="763" w:type="dxa"/>
            <w:tcBorders>
              <w:top w:val="nil"/>
              <w:left w:val="nil"/>
              <w:bottom w:val="single" w:sz="4" w:space="0" w:color="auto"/>
              <w:right w:val="single" w:sz="4" w:space="0" w:color="auto"/>
            </w:tcBorders>
            <w:shd w:val="clear" w:color="000000" w:fill="FFFFFF"/>
            <w:noWrap/>
            <w:vAlign w:val="center"/>
            <w:hideMark/>
          </w:tcPr>
          <w:p w14:paraId="1D1E4A50" w14:textId="77777777" w:rsidR="00460106" w:rsidRPr="00842ABF" w:rsidRDefault="00460106" w:rsidP="00460106">
            <w:pPr>
              <w:spacing w:line="240" w:lineRule="auto"/>
              <w:jc w:val="right"/>
              <w:rPr>
                <w:sz w:val="14"/>
                <w:szCs w:val="14"/>
                <w:lang w:eastAsia="sl-SI"/>
              </w:rPr>
            </w:pPr>
            <w:r w:rsidRPr="00842ABF">
              <w:rPr>
                <w:sz w:val="14"/>
                <w:szCs w:val="14"/>
                <w:lang w:eastAsia="sl-SI"/>
              </w:rPr>
              <w:t>1.500.192</w:t>
            </w:r>
          </w:p>
        </w:tc>
        <w:tc>
          <w:tcPr>
            <w:tcW w:w="763" w:type="dxa"/>
            <w:tcBorders>
              <w:top w:val="nil"/>
              <w:left w:val="nil"/>
              <w:bottom w:val="single" w:sz="4" w:space="0" w:color="auto"/>
              <w:right w:val="single" w:sz="4" w:space="0" w:color="auto"/>
            </w:tcBorders>
            <w:shd w:val="clear" w:color="000000" w:fill="FFFFFF"/>
            <w:noWrap/>
            <w:vAlign w:val="center"/>
            <w:hideMark/>
          </w:tcPr>
          <w:p w14:paraId="2E15A486" w14:textId="77777777" w:rsidR="00460106" w:rsidRPr="00842ABF" w:rsidRDefault="00460106" w:rsidP="00460106">
            <w:pPr>
              <w:spacing w:line="240" w:lineRule="auto"/>
              <w:jc w:val="right"/>
              <w:rPr>
                <w:sz w:val="14"/>
                <w:szCs w:val="14"/>
                <w:lang w:eastAsia="sl-SI"/>
              </w:rPr>
            </w:pPr>
            <w:r w:rsidRPr="00842ABF">
              <w:rPr>
                <w:sz w:val="14"/>
                <w:szCs w:val="14"/>
                <w:lang w:eastAsia="sl-SI"/>
              </w:rPr>
              <w:t>1.177.654</w:t>
            </w:r>
          </w:p>
        </w:tc>
        <w:tc>
          <w:tcPr>
            <w:tcW w:w="763" w:type="dxa"/>
            <w:tcBorders>
              <w:top w:val="nil"/>
              <w:left w:val="nil"/>
              <w:bottom w:val="single" w:sz="4" w:space="0" w:color="auto"/>
              <w:right w:val="single" w:sz="4" w:space="0" w:color="auto"/>
            </w:tcBorders>
            <w:shd w:val="clear" w:color="000000" w:fill="FFFFFF"/>
            <w:noWrap/>
            <w:vAlign w:val="center"/>
            <w:hideMark/>
          </w:tcPr>
          <w:p w14:paraId="0F556AC5" w14:textId="77777777" w:rsidR="00460106" w:rsidRPr="00842ABF" w:rsidRDefault="00460106" w:rsidP="00460106">
            <w:pPr>
              <w:spacing w:line="240" w:lineRule="auto"/>
              <w:jc w:val="right"/>
              <w:rPr>
                <w:sz w:val="14"/>
                <w:szCs w:val="14"/>
                <w:lang w:eastAsia="sl-SI"/>
              </w:rPr>
            </w:pPr>
            <w:r w:rsidRPr="00842ABF">
              <w:rPr>
                <w:sz w:val="14"/>
                <w:szCs w:val="14"/>
                <w:lang w:eastAsia="sl-SI"/>
              </w:rPr>
              <w:t>1.607.519</w:t>
            </w:r>
          </w:p>
        </w:tc>
        <w:tc>
          <w:tcPr>
            <w:tcW w:w="639" w:type="dxa"/>
            <w:tcBorders>
              <w:top w:val="nil"/>
              <w:left w:val="nil"/>
              <w:bottom w:val="single" w:sz="4" w:space="0" w:color="auto"/>
              <w:right w:val="single" w:sz="4" w:space="0" w:color="auto"/>
            </w:tcBorders>
            <w:shd w:val="clear" w:color="000000" w:fill="FFFFFF"/>
            <w:noWrap/>
            <w:vAlign w:val="center"/>
            <w:hideMark/>
          </w:tcPr>
          <w:p w14:paraId="5AEDC2FC" w14:textId="77777777" w:rsidR="00460106" w:rsidRPr="00842ABF" w:rsidRDefault="00460106" w:rsidP="00460106">
            <w:pPr>
              <w:spacing w:line="240" w:lineRule="auto"/>
              <w:jc w:val="right"/>
              <w:rPr>
                <w:sz w:val="14"/>
                <w:szCs w:val="14"/>
                <w:lang w:eastAsia="sl-SI"/>
              </w:rPr>
            </w:pPr>
            <w:r w:rsidRPr="00842ABF">
              <w:rPr>
                <w:sz w:val="14"/>
                <w:szCs w:val="14"/>
                <w:lang w:eastAsia="sl-SI"/>
              </w:rPr>
              <w:t>55.773</w:t>
            </w:r>
          </w:p>
        </w:tc>
        <w:tc>
          <w:tcPr>
            <w:tcW w:w="569" w:type="dxa"/>
            <w:tcBorders>
              <w:top w:val="nil"/>
              <w:left w:val="nil"/>
              <w:bottom w:val="single" w:sz="4" w:space="0" w:color="auto"/>
              <w:right w:val="single" w:sz="4" w:space="0" w:color="auto"/>
            </w:tcBorders>
            <w:shd w:val="clear" w:color="000000" w:fill="FFFFFF"/>
            <w:noWrap/>
            <w:vAlign w:val="center"/>
            <w:hideMark/>
          </w:tcPr>
          <w:p w14:paraId="6E5E18F5" w14:textId="77777777" w:rsidR="00460106" w:rsidRPr="00842ABF" w:rsidRDefault="00460106" w:rsidP="00460106">
            <w:pPr>
              <w:spacing w:line="240" w:lineRule="auto"/>
              <w:jc w:val="right"/>
              <w:rPr>
                <w:sz w:val="14"/>
                <w:szCs w:val="14"/>
                <w:lang w:eastAsia="sl-SI"/>
              </w:rPr>
            </w:pPr>
            <w:r w:rsidRPr="00842ABF">
              <w:rPr>
                <w:sz w:val="14"/>
                <w:szCs w:val="14"/>
                <w:lang w:eastAsia="sl-SI"/>
              </w:rPr>
              <w:t>47.888</w:t>
            </w:r>
          </w:p>
        </w:tc>
        <w:tc>
          <w:tcPr>
            <w:tcW w:w="569" w:type="dxa"/>
            <w:tcBorders>
              <w:top w:val="nil"/>
              <w:left w:val="nil"/>
              <w:bottom w:val="single" w:sz="4" w:space="0" w:color="auto"/>
              <w:right w:val="single" w:sz="4" w:space="0" w:color="auto"/>
            </w:tcBorders>
            <w:shd w:val="clear" w:color="000000" w:fill="FFFFFF"/>
            <w:noWrap/>
            <w:vAlign w:val="center"/>
            <w:hideMark/>
          </w:tcPr>
          <w:p w14:paraId="2AF05FEC" w14:textId="77777777" w:rsidR="00460106" w:rsidRPr="00842ABF" w:rsidRDefault="00460106" w:rsidP="00460106">
            <w:pPr>
              <w:spacing w:line="240" w:lineRule="auto"/>
              <w:jc w:val="right"/>
              <w:rPr>
                <w:sz w:val="14"/>
                <w:szCs w:val="14"/>
                <w:lang w:eastAsia="sl-SI"/>
              </w:rPr>
            </w:pPr>
            <w:r w:rsidRPr="00842ABF">
              <w:rPr>
                <w:sz w:val="14"/>
                <w:szCs w:val="14"/>
                <w:lang w:eastAsia="sl-SI"/>
              </w:rPr>
              <w:t>43.818</w:t>
            </w:r>
          </w:p>
        </w:tc>
        <w:tc>
          <w:tcPr>
            <w:tcW w:w="569" w:type="dxa"/>
            <w:tcBorders>
              <w:top w:val="nil"/>
              <w:left w:val="nil"/>
              <w:bottom w:val="single" w:sz="4" w:space="0" w:color="auto"/>
              <w:right w:val="single" w:sz="4" w:space="0" w:color="auto"/>
            </w:tcBorders>
            <w:shd w:val="clear" w:color="000000" w:fill="FFFFFF"/>
            <w:noWrap/>
            <w:vAlign w:val="center"/>
            <w:hideMark/>
          </w:tcPr>
          <w:p w14:paraId="629CB062" w14:textId="77777777" w:rsidR="00460106" w:rsidRPr="00842ABF" w:rsidRDefault="00460106" w:rsidP="00460106">
            <w:pPr>
              <w:spacing w:line="240" w:lineRule="auto"/>
              <w:jc w:val="right"/>
              <w:rPr>
                <w:sz w:val="14"/>
                <w:szCs w:val="14"/>
                <w:lang w:eastAsia="sl-SI"/>
              </w:rPr>
            </w:pPr>
            <w:r w:rsidRPr="00842ABF">
              <w:rPr>
                <w:sz w:val="14"/>
                <w:szCs w:val="14"/>
                <w:lang w:eastAsia="sl-SI"/>
              </w:rPr>
              <w:t>37.978</w:t>
            </w:r>
          </w:p>
        </w:tc>
        <w:tc>
          <w:tcPr>
            <w:tcW w:w="569" w:type="dxa"/>
            <w:tcBorders>
              <w:top w:val="nil"/>
              <w:left w:val="nil"/>
              <w:bottom w:val="single" w:sz="4" w:space="0" w:color="auto"/>
              <w:right w:val="single" w:sz="4" w:space="0" w:color="auto"/>
            </w:tcBorders>
            <w:shd w:val="clear" w:color="000000" w:fill="FFFFFF"/>
            <w:noWrap/>
            <w:vAlign w:val="center"/>
            <w:hideMark/>
          </w:tcPr>
          <w:p w14:paraId="30277CAA" w14:textId="77777777" w:rsidR="00460106" w:rsidRPr="00842ABF" w:rsidRDefault="00460106" w:rsidP="00460106">
            <w:pPr>
              <w:spacing w:line="240" w:lineRule="auto"/>
              <w:jc w:val="right"/>
              <w:rPr>
                <w:sz w:val="14"/>
                <w:szCs w:val="14"/>
                <w:lang w:eastAsia="sl-SI"/>
              </w:rPr>
            </w:pPr>
            <w:r w:rsidRPr="00842ABF">
              <w:rPr>
                <w:sz w:val="14"/>
                <w:szCs w:val="14"/>
                <w:lang w:eastAsia="sl-SI"/>
              </w:rPr>
              <w:t>34.837</w:t>
            </w:r>
          </w:p>
        </w:tc>
        <w:tc>
          <w:tcPr>
            <w:tcW w:w="569" w:type="dxa"/>
            <w:tcBorders>
              <w:top w:val="nil"/>
              <w:left w:val="nil"/>
              <w:bottom w:val="single" w:sz="4" w:space="0" w:color="auto"/>
              <w:right w:val="single" w:sz="4" w:space="0" w:color="auto"/>
            </w:tcBorders>
            <w:shd w:val="clear" w:color="000000" w:fill="FFFFFF"/>
            <w:noWrap/>
            <w:vAlign w:val="center"/>
            <w:hideMark/>
          </w:tcPr>
          <w:p w14:paraId="75E65029" w14:textId="77777777" w:rsidR="00460106" w:rsidRPr="00842ABF" w:rsidRDefault="00460106" w:rsidP="00460106">
            <w:pPr>
              <w:spacing w:line="240" w:lineRule="auto"/>
              <w:jc w:val="right"/>
              <w:rPr>
                <w:sz w:val="14"/>
                <w:szCs w:val="14"/>
                <w:lang w:eastAsia="sl-SI"/>
              </w:rPr>
            </w:pPr>
            <w:r w:rsidRPr="00842ABF">
              <w:rPr>
                <w:sz w:val="14"/>
                <w:szCs w:val="14"/>
                <w:lang w:eastAsia="sl-SI"/>
              </w:rPr>
              <w:t>35.499</w:t>
            </w:r>
          </w:p>
        </w:tc>
        <w:tc>
          <w:tcPr>
            <w:tcW w:w="574" w:type="dxa"/>
            <w:tcBorders>
              <w:top w:val="nil"/>
              <w:left w:val="nil"/>
              <w:bottom w:val="single" w:sz="4" w:space="0" w:color="auto"/>
              <w:right w:val="single" w:sz="4" w:space="0" w:color="auto"/>
            </w:tcBorders>
            <w:shd w:val="clear" w:color="000000" w:fill="FFFFFF"/>
            <w:noWrap/>
            <w:vAlign w:val="center"/>
            <w:hideMark/>
          </w:tcPr>
          <w:p w14:paraId="1F9E1CE6" w14:textId="77777777" w:rsidR="00460106" w:rsidRPr="00842ABF" w:rsidRDefault="00460106" w:rsidP="00460106">
            <w:pPr>
              <w:spacing w:line="240" w:lineRule="auto"/>
              <w:jc w:val="right"/>
              <w:rPr>
                <w:sz w:val="14"/>
                <w:szCs w:val="14"/>
                <w:lang w:eastAsia="sl-SI"/>
              </w:rPr>
            </w:pPr>
            <w:r w:rsidRPr="00842ABF">
              <w:rPr>
                <w:sz w:val="14"/>
                <w:szCs w:val="14"/>
                <w:lang w:eastAsia="sl-SI"/>
              </w:rPr>
              <w:t>36.711</w:t>
            </w:r>
          </w:p>
        </w:tc>
      </w:tr>
      <w:tr w:rsidR="00460106" w:rsidRPr="00842ABF" w14:paraId="179F952B"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E0F17D1" w14:textId="77777777" w:rsidR="00460106" w:rsidRPr="00842ABF" w:rsidRDefault="00460106" w:rsidP="00460106">
            <w:pPr>
              <w:spacing w:line="240" w:lineRule="auto"/>
              <w:rPr>
                <w:sz w:val="14"/>
                <w:szCs w:val="14"/>
                <w:lang w:eastAsia="sl-SI"/>
              </w:rPr>
            </w:pPr>
            <w:r w:rsidRPr="00842ABF">
              <w:rPr>
                <w:sz w:val="14"/>
                <w:szCs w:val="14"/>
                <w:lang w:eastAsia="sl-SI"/>
              </w:rPr>
              <w:t>Pitovni piščanci</w:t>
            </w:r>
          </w:p>
        </w:tc>
        <w:tc>
          <w:tcPr>
            <w:tcW w:w="763" w:type="dxa"/>
            <w:tcBorders>
              <w:top w:val="nil"/>
              <w:left w:val="nil"/>
              <w:bottom w:val="single" w:sz="4" w:space="0" w:color="auto"/>
              <w:right w:val="single" w:sz="4" w:space="0" w:color="auto"/>
            </w:tcBorders>
            <w:shd w:val="clear" w:color="000000" w:fill="FFFFFF"/>
            <w:noWrap/>
            <w:vAlign w:val="center"/>
            <w:hideMark/>
          </w:tcPr>
          <w:p w14:paraId="54119B98" w14:textId="77777777" w:rsidR="00460106" w:rsidRPr="00842ABF" w:rsidRDefault="00460106" w:rsidP="00460106">
            <w:pPr>
              <w:spacing w:line="240" w:lineRule="auto"/>
              <w:jc w:val="right"/>
              <w:rPr>
                <w:sz w:val="14"/>
                <w:szCs w:val="14"/>
                <w:lang w:eastAsia="sl-SI"/>
              </w:rPr>
            </w:pPr>
            <w:r w:rsidRPr="00842ABF">
              <w:rPr>
                <w:sz w:val="14"/>
                <w:szCs w:val="14"/>
                <w:lang w:eastAsia="sl-SI"/>
              </w:rPr>
              <w:t>4.253.811</w:t>
            </w:r>
          </w:p>
        </w:tc>
        <w:tc>
          <w:tcPr>
            <w:tcW w:w="763" w:type="dxa"/>
            <w:tcBorders>
              <w:top w:val="nil"/>
              <w:left w:val="nil"/>
              <w:bottom w:val="single" w:sz="4" w:space="0" w:color="auto"/>
              <w:right w:val="single" w:sz="4" w:space="0" w:color="auto"/>
            </w:tcBorders>
            <w:shd w:val="clear" w:color="000000" w:fill="FFFFFF"/>
            <w:noWrap/>
            <w:vAlign w:val="center"/>
            <w:hideMark/>
          </w:tcPr>
          <w:p w14:paraId="428AFAFF" w14:textId="77777777" w:rsidR="00460106" w:rsidRPr="00842ABF" w:rsidRDefault="00460106" w:rsidP="00460106">
            <w:pPr>
              <w:spacing w:line="240" w:lineRule="auto"/>
              <w:jc w:val="right"/>
              <w:rPr>
                <w:sz w:val="14"/>
                <w:szCs w:val="14"/>
                <w:lang w:eastAsia="sl-SI"/>
              </w:rPr>
            </w:pPr>
            <w:r w:rsidRPr="00842ABF">
              <w:rPr>
                <w:sz w:val="14"/>
                <w:szCs w:val="14"/>
                <w:lang w:eastAsia="sl-SI"/>
              </w:rPr>
              <w:t>2.604.304</w:t>
            </w:r>
          </w:p>
        </w:tc>
        <w:tc>
          <w:tcPr>
            <w:tcW w:w="763" w:type="dxa"/>
            <w:tcBorders>
              <w:top w:val="nil"/>
              <w:left w:val="nil"/>
              <w:bottom w:val="single" w:sz="4" w:space="0" w:color="auto"/>
              <w:right w:val="single" w:sz="4" w:space="0" w:color="auto"/>
            </w:tcBorders>
            <w:shd w:val="clear" w:color="000000" w:fill="FFFFFF"/>
            <w:noWrap/>
            <w:vAlign w:val="center"/>
            <w:hideMark/>
          </w:tcPr>
          <w:p w14:paraId="68CBEE3D" w14:textId="77777777" w:rsidR="00460106" w:rsidRPr="00842ABF" w:rsidRDefault="00460106" w:rsidP="00460106">
            <w:pPr>
              <w:spacing w:line="240" w:lineRule="auto"/>
              <w:jc w:val="right"/>
              <w:rPr>
                <w:sz w:val="14"/>
                <w:szCs w:val="14"/>
                <w:lang w:eastAsia="sl-SI"/>
              </w:rPr>
            </w:pPr>
            <w:r w:rsidRPr="00842ABF">
              <w:rPr>
                <w:sz w:val="14"/>
                <w:szCs w:val="14"/>
                <w:lang w:eastAsia="sl-SI"/>
              </w:rPr>
              <w:t>1.714.779</w:t>
            </w:r>
          </w:p>
        </w:tc>
        <w:tc>
          <w:tcPr>
            <w:tcW w:w="763" w:type="dxa"/>
            <w:tcBorders>
              <w:top w:val="nil"/>
              <w:left w:val="nil"/>
              <w:bottom w:val="single" w:sz="4" w:space="0" w:color="auto"/>
              <w:right w:val="single" w:sz="4" w:space="0" w:color="auto"/>
            </w:tcBorders>
            <w:shd w:val="clear" w:color="000000" w:fill="FFFFFF"/>
            <w:noWrap/>
            <w:vAlign w:val="center"/>
            <w:hideMark/>
          </w:tcPr>
          <w:p w14:paraId="727F7FAF" w14:textId="77777777" w:rsidR="00460106" w:rsidRPr="00842ABF" w:rsidRDefault="00460106" w:rsidP="00460106">
            <w:pPr>
              <w:spacing w:line="240" w:lineRule="auto"/>
              <w:jc w:val="right"/>
              <w:rPr>
                <w:sz w:val="14"/>
                <w:szCs w:val="14"/>
                <w:lang w:eastAsia="sl-SI"/>
              </w:rPr>
            </w:pPr>
            <w:r w:rsidRPr="00842ABF">
              <w:rPr>
                <w:sz w:val="14"/>
                <w:szCs w:val="14"/>
                <w:lang w:eastAsia="sl-SI"/>
              </w:rPr>
              <w:t>3.430.688</w:t>
            </w:r>
          </w:p>
        </w:tc>
        <w:tc>
          <w:tcPr>
            <w:tcW w:w="763" w:type="dxa"/>
            <w:tcBorders>
              <w:top w:val="nil"/>
              <w:left w:val="nil"/>
              <w:bottom w:val="single" w:sz="4" w:space="0" w:color="auto"/>
              <w:right w:val="single" w:sz="4" w:space="0" w:color="auto"/>
            </w:tcBorders>
            <w:shd w:val="clear" w:color="000000" w:fill="FFFFFF"/>
            <w:noWrap/>
            <w:vAlign w:val="center"/>
            <w:hideMark/>
          </w:tcPr>
          <w:p w14:paraId="20526180" w14:textId="77777777" w:rsidR="00460106" w:rsidRPr="00842ABF" w:rsidRDefault="00460106" w:rsidP="00460106">
            <w:pPr>
              <w:spacing w:line="240" w:lineRule="auto"/>
              <w:jc w:val="right"/>
              <w:rPr>
                <w:sz w:val="14"/>
                <w:szCs w:val="14"/>
                <w:lang w:eastAsia="sl-SI"/>
              </w:rPr>
            </w:pPr>
            <w:r w:rsidRPr="00842ABF">
              <w:rPr>
                <w:sz w:val="14"/>
                <w:szCs w:val="14"/>
                <w:lang w:eastAsia="sl-SI"/>
              </w:rPr>
              <w:t>2.797.207</w:t>
            </w:r>
          </w:p>
        </w:tc>
        <w:tc>
          <w:tcPr>
            <w:tcW w:w="763" w:type="dxa"/>
            <w:tcBorders>
              <w:top w:val="nil"/>
              <w:left w:val="nil"/>
              <w:bottom w:val="single" w:sz="4" w:space="0" w:color="auto"/>
              <w:right w:val="single" w:sz="4" w:space="0" w:color="auto"/>
            </w:tcBorders>
            <w:shd w:val="clear" w:color="000000" w:fill="FFFFFF"/>
            <w:noWrap/>
            <w:vAlign w:val="center"/>
            <w:hideMark/>
          </w:tcPr>
          <w:p w14:paraId="137327F8" w14:textId="77777777" w:rsidR="00460106" w:rsidRPr="00842ABF" w:rsidRDefault="00460106" w:rsidP="00460106">
            <w:pPr>
              <w:spacing w:line="240" w:lineRule="auto"/>
              <w:jc w:val="right"/>
              <w:rPr>
                <w:sz w:val="14"/>
                <w:szCs w:val="14"/>
                <w:lang w:eastAsia="sl-SI"/>
              </w:rPr>
            </w:pPr>
            <w:r w:rsidRPr="00842ABF">
              <w:rPr>
                <w:sz w:val="14"/>
                <w:szCs w:val="14"/>
                <w:lang w:eastAsia="sl-SI"/>
              </w:rPr>
              <w:t>2.855.129</w:t>
            </w:r>
          </w:p>
        </w:tc>
        <w:tc>
          <w:tcPr>
            <w:tcW w:w="763" w:type="dxa"/>
            <w:tcBorders>
              <w:top w:val="nil"/>
              <w:left w:val="nil"/>
              <w:bottom w:val="single" w:sz="4" w:space="0" w:color="auto"/>
              <w:right w:val="single" w:sz="4" w:space="0" w:color="auto"/>
            </w:tcBorders>
            <w:shd w:val="clear" w:color="000000" w:fill="FFFFFF"/>
            <w:noWrap/>
            <w:vAlign w:val="center"/>
            <w:hideMark/>
          </w:tcPr>
          <w:p w14:paraId="43D11EF9" w14:textId="77777777" w:rsidR="00460106" w:rsidRPr="00842ABF" w:rsidRDefault="00460106" w:rsidP="00460106">
            <w:pPr>
              <w:spacing w:line="240" w:lineRule="auto"/>
              <w:jc w:val="right"/>
              <w:rPr>
                <w:sz w:val="14"/>
                <w:szCs w:val="14"/>
                <w:lang w:eastAsia="sl-SI"/>
              </w:rPr>
            </w:pPr>
            <w:r w:rsidRPr="00842ABF">
              <w:rPr>
                <w:sz w:val="14"/>
                <w:szCs w:val="14"/>
                <w:lang w:eastAsia="sl-SI"/>
              </w:rPr>
              <w:t>3.941.612</w:t>
            </w:r>
          </w:p>
        </w:tc>
        <w:tc>
          <w:tcPr>
            <w:tcW w:w="639" w:type="dxa"/>
            <w:tcBorders>
              <w:top w:val="nil"/>
              <w:left w:val="nil"/>
              <w:bottom w:val="single" w:sz="4" w:space="0" w:color="auto"/>
              <w:right w:val="single" w:sz="4" w:space="0" w:color="auto"/>
            </w:tcBorders>
            <w:shd w:val="clear" w:color="000000" w:fill="FFFFFF"/>
            <w:noWrap/>
            <w:vAlign w:val="center"/>
            <w:hideMark/>
          </w:tcPr>
          <w:p w14:paraId="489E140B" w14:textId="77777777" w:rsidR="00460106" w:rsidRPr="00842ABF" w:rsidRDefault="00460106" w:rsidP="00460106">
            <w:pPr>
              <w:spacing w:line="240" w:lineRule="auto"/>
              <w:jc w:val="right"/>
              <w:rPr>
                <w:sz w:val="14"/>
                <w:szCs w:val="14"/>
                <w:lang w:eastAsia="sl-SI"/>
              </w:rPr>
            </w:pPr>
            <w:r w:rsidRPr="00842ABF">
              <w:rPr>
                <w:sz w:val="14"/>
                <w:szCs w:val="14"/>
                <w:lang w:eastAsia="sl-SI"/>
              </w:rPr>
              <w:t>6.363</w:t>
            </w:r>
          </w:p>
        </w:tc>
        <w:tc>
          <w:tcPr>
            <w:tcW w:w="569" w:type="dxa"/>
            <w:tcBorders>
              <w:top w:val="nil"/>
              <w:left w:val="nil"/>
              <w:bottom w:val="single" w:sz="4" w:space="0" w:color="auto"/>
              <w:right w:val="single" w:sz="4" w:space="0" w:color="auto"/>
            </w:tcBorders>
            <w:shd w:val="clear" w:color="000000" w:fill="FFFFFF"/>
            <w:noWrap/>
            <w:vAlign w:val="center"/>
            <w:hideMark/>
          </w:tcPr>
          <w:p w14:paraId="7373BED0" w14:textId="77777777" w:rsidR="00460106" w:rsidRPr="00842ABF" w:rsidRDefault="00460106" w:rsidP="00460106">
            <w:pPr>
              <w:spacing w:line="240" w:lineRule="auto"/>
              <w:jc w:val="right"/>
              <w:rPr>
                <w:sz w:val="14"/>
                <w:szCs w:val="14"/>
                <w:lang w:eastAsia="sl-SI"/>
              </w:rPr>
            </w:pPr>
            <w:r w:rsidRPr="00842ABF">
              <w:rPr>
                <w:sz w:val="14"/>
                <w:szCs w:val="14"/>
                <w:lang w:eastAsia="sl-SI"/>
              </w:rPr>
              <w:t>4.894</w:t>
            </w:r>
          </w:p>
        </w:tc>
        <w:tc>
          <w:tcPr>
            <w:tcW w:w="569" w:type="dxa"/>
            <w:tcBorders>
              <w:top w:val="nil"/>
              <w:left w:val="nil"/>
              <w:bottom w:val="single" w:sz="4" w:space="0" w:color="auto"/>
              <w:right w:val="single" w:sz="4" w:space="0" w:color="auto"/>
            </w:tcBorders>
            <w:shd w:val="clear" w:color="000000" w:fill="FFFFFF"/>
            <w:noWrap/>
            <w:vAlign w:val="center"/>
            <w:hideMark/>
          </w:tcPr>
          <w:p w14:paraId="3A6C2314" w14:textId="77777777" w:rsidR="00460106" w:rsidRPr="00842ABF" w:rsidRDefault="00460106" w:rsidP="00460106">
            <w:pPr>
              <w:spacing w:line="240" w:lineRule="auto"/>
              <w:jc w:val="right"/>
              <w:rPr>
                <w:sz w:val="14"/>
                <w:szCs w:val="14"/>
                <w:lang w:eastAsia="sl-SI"/>
              </w:rPr>
            </w:pPr>
            <w:r w:rsidRPr="00842ABF">
              <w:rPr>
                <w:sz w:val="14"/>
                <w:szCs w:val="14"/>
                <w:lang w:eastAsia="sl-SI"/>
              </w:rPr>
              <w:t>4.355</w:t>
            </w:r>
          </w:p>
        </w:tc>
        <w:tc>
          <w:tcPr>
            <w:tcW w:w="569" w:type="dxa"/>
            <w:tcBorders>
              <w:top w:val="nil"/>
              <w:left w:val="nil"/>
              <w:bottom w:val="single" w:sz="4" w:space="0" w:color="auto"/>
              <w:right w:val="single" w:sz="4" w:space="0" w:color="auto"/>
            </w:tcBorders>
            <w:shd w:val="clear" w:color="000000" w:fill="FFFFFF"/>
            <w:noWrap/>
            <w:vAlign w:val="center"/>
            <w:hideMark/>
          </w:tcPr>
          <w:p w14:paraId="618A974C" w14:textId="77777777" w:rsidR="00460106" w:rsidRPr="00842ABF" w:rsidRDefault="00460106" w:rsidP="00460106">
            <w:pPr>
              <w:spacing w:line="240" w:lineRule="auto"/>
              <w:jc w:val="right"/>
              <w:rPr>
                <w:sz w:val="14"/>
                <w:szCs w:val="14"/>
                <w:lang w:eastAsia="sl-SI"/>
              </w:rPr>
            </w:pPr>
            <w:r w:rsidRPr="00842ABF">
              <w:rPr>
                <w:sz w:val="14"/>
                <w:szCs w:val="14"/>
                <w:lang w:eastAsia="sl-SI"/>
              </w:rPr>
              <w:t>3.003</w:t>
            </w:r>
          </w:p>
        </w:tc>
        <w:tc>
          <w:tcPr>
            <w:tcW w:w="569" w:type="dxa"/>
            <w:tcBorders>
              <w:top w:val="nil"/>
              <w:left w:val="nil"/>
              <w:bottom w:val="single" w:sz="4" w:space="0" w:color="auto"/>
              <w:right w:val="single" w:sz="4" w:space="0" w:color="auto"/>
            </w:tcBorders>
            <w:shd w:val="clear" w:color="000000" w:fill="FFFFFF"/>
            <w:noWrap/>
            <w:vAlign w:val="center"/>
            <w:hideMark/>
          </w:tcPr>
          <w:p w14:paraId="1CDB2111" w14:textId="77777777" w:rsidR="00460106" w:rsidRPr="00842ABF" w:rsidRDefault="00460106" w:rsidP="00460106">
            <w:pPr>
              <w:spacing w:line="240" w:lineRule="auto"/>
              <w:jc w:val="right"/>
              <w:rPr>
                <w:sz w:val="14"/>
                <w:szCs w:val="14"/>
                <w:lang w:eastAsia="sl-SI"/>
              </w:rPr>
            </w:pPr>
            <w:r w:rsidRPr="00842ABF">
              <w:rPr>
                <w:sz w:val="14"/>
                <w:szCs w:val="14"/>
                <w:lang w:eastAsia="sl-SI"/>
              </w:rPr>
              <w:t>2.911</w:t>
            </w:r>
          </w:p>
        </w:tc>
        <w:tc>
          <w:tcPr>
            <w:tcW w:w="569" w:type="dxa"/>
            <w:tcBorders>
              <w:top w:val="nil"/>
              <w:left w:val="nil"/>
              <w:bottom w:val="single" w:sz="4" w:space="0" w:color="auto"/>
              <w:right w:val="single" w:sz="4" w:space="0" w:color="auto"/>
            </w:tcBorders>
            <w:shd w:val="clear" w:color="000000" w:fill="FFFFFF"/>
            <w:noWrap/>
            <w:vAlign w:val="center"/>
            <w:hideMark/>
          </w:tcPr>
          <w:p w14:paraId="1D905694" w14:textId="77777777" w:rsidR="00460106" w:rsidRPr="00842ABF" w:rsidRDefault="00460106" w:rsidP="00460106">
            <w:pPr>
              <w:spacing w:line="240" w:lineRule="auto"/>
              <w:jc w:val="right"/>
              <w:rPr>
                <w:sz w:val="14"/>
                <w:szCs w:val="14"/>
                <w:lang w:eastAsia="sl-SI"/>
              </w:rPr>
            </w:pPr>
            <w:r w:rsidRPr="00842ABF">
              <w:rPr>
                <w:sz w:val="14"/>
                <w:szCs w:val="14"/>
                <w:lang w:eastAsia="sl-SI"/>
              </w:rPr>
              <w:t>4.652</w:t>
            </w:r>
          </w:p>
        </w:tc>
        <w:tc>
          <w:tcPr>
            <w:tcW w:w="574" w:type="dxa"/>
            <w:tcBorders>
              <w:top w:val="nil"/>
              <w:left w:val="nil"/>
              <w:bottom w:val="single" w:sz="4" w:space="0" w:color="auto"/>
              <w:right w:val="single" w:sz="4" w:space="0" w:color="auto"/>
            </w:tcBorders>
            <w:shd w:val="clear" w:color="000000" w:fill="FFFFFF"/>
            <w:noWrap/>
            <w:vAlign w:val="center"/>
            <w:hideMark/>
          </w:tcPr>
          <w:p w14:paraId="45563798" w14:textId="77777777" w:rsidR="00460106" w:rsidRPr="00842ABF" w:rsidRDefault="00460106" w:rsidP="00460106">
            <w:pPr>
              <w:spacing w:line="240" w:lineRule="auto"/>
              <w:jc w:val="right"/>
              <w:rPr>
                <w:sz w:val="14"/>
                <w:szCs w:val="14"/>
                <w:lang w:eastAsia="sl-SI"/>
              </w:rPr>
            </w:pPr>
            <w:r w:rsidRPr="00842ABF">
              <w:rPr>
                <w:sz w:val="14"/>
                <w:szCs w:val="14"/>
                <w:lang w:eastAsia="sl-SI"/>
              </w:rPr>
              <w:t>5.514</w:t>
            </w:r>
          </w:p>
        </w:tc>
      </w:tr>
      <w:tr w:rsidR="00460106" w:rsidRPr="00842ABF" w14:paraId="6D08DBA9"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02A4904" w14:textId="77777777" w:rsidR="00460106" w:rsidRPr="00842ABF" w:rsidRDefault="00460106" w:rsidP="00460106">
            <w:pPr>
              <w:spacing w:line="240" w:lineRule="auto"/>
              <w:rPr>
                <w:sz w:val="14"/>
                <w:szCs w:val="14"/>
                <w:lang w:eastAsia="sl-SI"/>
              </w:rPr>
            </w:pPr>
            <w:r w:rsidRPr="00842ABF">
              <w:rPr>
                <w:sz w:val="14"/>
                <w:szCs w:val="14"/>
                <w:lang w:eastAsia="sl-SI"/>
              </w:rPr>
              <w:t>Druge kokoši [petelini, jarkice]</w:t>
            </w:r>
          </w:p>
        </w:tc>
        <w:tc>
          <w:tcPr>
            <w:tcW w:w="763" w:type="dxa"/>
            <w:tcBorders>
              <w:top w:val="nil"/>
              <w:left w:val="nil"/>
              <w:bottom w:val="single" w:sz="4" w:space="0" w:color="auto"/>
              <w:right w:val="single" w:sz="4" w:space="0" w:color="auto"/>
            </w:tcBorders>
            <w:shd w:val="clear" w:color="000000" w:fill="FFFFFF"/>
            <w:noWrap/>
            <w:vAlign w:val="center"/>
            <w:hideMark/>
          </w:tcPr>
          <w:p w14:paraId="514019B6" w14:textId="77777777" w:rsidR="00460106" w:rsidRPr="00842ABF" w:rsidRDefault="00460106" w:rsidP="00460106">
            <w:pPr>
              <w:spacing w:line="240" w:lineRule="auto"/>
              <w:jc w:val="right"/>
              <w:rPr>
                <w:sz w:val="14"/>
                <w:szCs w:val="14"/>
                <w:lang w:eastAsia="sl-SI"/>
              </w:rPr>
            </w:pPr>
            <w:r w:rsidRPr="00842ABF">
              <w:rPr>
                <w:sz w:val="14"/>
                <w:szCs w:val="14"/>
                <w:lang w:eastAsia="sl-SI"/>
              </w:rPr>
              <w:t>633.994</w:t>
            </w:r>
          </w:p>
        </w:tc>
        <w:tc>
          <w:tcPr>
            <w:tcW w:w="763" w:type="dxa"/>
            <w:tcBorders>
              <w:top w:val="nil"/>
              <w:left w:val="nil"/>
              <w:bottom w:val="single" w:sz="4" w:space="0" w:color="auto"/>
              <w:right w:val="single" w:sz="4" w:space="0" w:color="auto"/>
            </w:tcBorders>
            <w:shd w:val="clear" w:color="000000" w:fill="FFFFFF"/>
            <w:noWrap/>
            <w:vAlign w:val="center"/>
            <w:hideMark/>
          </w:tcPr>
          <w:p w14:paraId="23272D3E" w14:textId="77777777" w:rsidR="00460106" w:rsidRPr="00842ABF" w:rsidRDefault="00460106" w:rsidP="00460106">
            <w:pPr>
              <w:spacing w:line="240" w:lineRule="auto"/>
              <w:jc w:val="right"/>
              <w:rPr>
                <w:sz w:val="14"/>
                <w:szCs w:val="14"/>
                <w:lang w:eastAsia="sl-SI"/>
              </w:rPr>
            </w:pPr>
            <w:r w:rsidRPr="00842ABF">
              <w:rPr>
                <w:sz w:val="14"/>
                <w:szCs w:val="14"/>
                <w:lang w:eastAsia="sl-SI"/>
              </w:rPr>
              <w:t>770.840</w:t>
            </w:r>
          </w:p>
        </w:tc>
        <w:tc>
          <w:tcPr>
            <w:tcW w:w="763" w:type="dxa"/>
            <w:tcBorders>
              <w:top w:val="nil"/>
              <w:left w:val="nil"/>
              <w:bottom w:val="single" w:sz="4" w:space="0" w:color="auto"/>
              <w:right w:val="single" w:sz="4" w:space="0" w:color="auto"/>
            </w:tcBorders>
            <w:shd w:val="clear" w:color="000000" w:fill="FFFFFF"/>
            <w:noWrap/>
            <w:vAlign w:val="center"/>
            <w:hideMark/>
          </w:tcPr>
          <w:p w14:paraId="30FF59FF" w14:textId="77777777" w:rsidR="00460106" w:rsidRPr="00842ABF" w:rsidRDefault="00460106" w:rsidP="00460106">
            <w:pPr>
              <w:spacing w:line="240" w:lineRule="auto"/>
              <w:jc w:val="right"/>
              <w:rPr>
                <w:sz w:val="14"/>
                <w:szCs w:val="14"/>
                <w:lang w:eastAsia="sl-SI"/>
              </w:rPr>
            </w:pPr>
            <w:r w:rsidRPr="00842ABF">
              <w:rPr>
                <w:sz w:val="14"/>
                <w:szCs w:val="14"/>
                <w:lang w:eastAsia="sl-SI"/>
              </w:rPr>
              <w:t>294.596</w:t>
            </w:r>
          </w:p>
        </w:tc>
        <w:tc>
          <w:tcPr>
            <w:tcW w:w="763" w:type="dxa"/>
            <w:tcBorders>
              <w:top w:val="nil"/>
              <w:left w:val="nil"/>
              <w:bottom w:val="single" w:sz="4" w:space="0" w:color="auto"/>
              <w:right w:val="single" w:sz="4" w:space="0" w:color="auto"/>
            </w:tcBorders>
            <w:shd w:val="clear" w:color="000000" w:fill="FFFFFF"/>
            <w:noWrap/>
            <w:vAlign w:val="center"/>
            <w:hideMark/>
          </w:tcPr>
          <w:p w14:paraId="4F2C6780" w14:textId="77777777" w:rsidR="00460106" w:rsidRPr="00842ABF" w:rsidRDefault="00460106" w:rsidP="00460106">
            <w:pPr>
              <w:spacing w:line="240" w:lineRule="auto"/>
              <w:jc w:val="right"/>
              <w:rPr>
                <w:sz w:val="14"/>
                <w:szCs w:val="14"/>
                <w:lang w:eastAsia="sl-SI"/>
              </w:rPr>
            </w:pPr>
            <w:r w:rsidRPr="00842ABF">
              <w:rPr>
                <w:sz w:val="14"/>
                <w:szCs w:val="14"/>
                <w:lang w:eastAsia="sl-SI"/>
              </w:rPr>
              <w:t>404.532</w:t>
            </w:r>
          </w:p>
        </w:tc>
        <w:tc>
          <w:tcPr>
            <w:tcW w:w="763" w:type="dxa"/>
            <w:tcBorders>
              <w:top w:val="nil"/>
              <w:left w:val="nil"/>
              <w:bottom w:val="single" w:sz="4" w:space="0" w:color="auto"/>
              <w:right w:val="single" w:sz="4" w:space="0" w:color="auto"/>
            </w:tcBorders>
            <w:shd w:val="clear" w:color="000000" w:fill="FFFFFF"/>
            <w:noWrap/>
            <w:vAlign w:val="center"/>
            <w:hideMark/>
          </w:tcPr>
          <w:p w14:paraId="758B677F" w14:textId="77777777" w:rsidR="00460106" w:rsidRPr="00842ABF" w:rsidRDefault="00460106" w:rsidP="00460106">
            <w:pPr>
              <w:spacing w:line="240" w:lineRule="auto"/>
              <w:jc w:val="right"/>
              <w:rPr>
                <w:sz w:val="14"/>
                <w:szCs w:val="14"/>
                <w:lang w:eastAsia="sl-SI"/>
              </w:rPr>
            </w:pPr>
            <w:r w:rsidRPr="00842ABF">
              <w:rPr>
                <w:sz w:val="14"/>
                <w:szCs w:val="14"/>
                <w:lang w:eastAsia="sl-SI"/>
              </w:rPr>
              <w:t>461.213</w:t>
            </w:r>
          </w:p>
        </w:tc>
        <w:tc>
          <w:tcPr>
            <w:tcW w:w="763" w:type="dxa"/>
            <w:tcBorders>
              <w:top w:val="nil"/>
              <w:left w:val="nil"/>
              <w:bottom w:val="single" w:sz="4" w:space="0" w:color="auto"/>
              <w:right w:val="single" w:sz="4" w:space="0" w:color="auto"/>
            </w:tcBorders>
            <w:shd w:val="clear" w:color="000000" w:fill="FFFFFF"/>
            <w:noWrap/>
            <w:vAlign w:val="center"/>
            <w:hideMark/>
          </w:tcPr>
          <w:p w14:paraId="000E76B7" w14:textId="77777777" w:rsidR="00460106" w:rsidRPr="00842ABF" w:rsidRDefault="00460106" w:rsidP="00460106">
            <w:pPr>
              <w:spacing w:line="240" w:lineRule="auto"/>
              <w:jc w:val="right"/>
              <w:rPr>
                <w:sz w:val="14"/>
                <w:szCs w:val="14"/>
                <w:lang w:eastAsia="sl-SI"/>
              </w:rPr>
            </w:pPr>
            <w:r w:rsidRPr="00842ABF">
              <w:rPr>
                <w:sz w:val="14"/>
                <w:szCs w:val="14"/>
                <w:lang w:eastAsia="sl-SI"/>
              </w:rPr>
              <w:t>700.488</w:t>
            </w:r>
          </w:p>
        </w:tc>
        <w:tc>
          <w:tcPr>
            <w:tcW w:w="763" w:type="dxa"/>
            <w:tcBorders>
              <w:top w:val="nil"/>
              <w:left w:val="nil"/>
              <w:bottom w:val="single" w:sz="4" w:space="0" w:color="auto"/>
              <w:right w:val="single" w:sz="4" w:space="0" w:color="auto"/>
            </w:tcBorders>
            <w:shd w:val="clear" w:color="000000" w:fill="FFFFFF"/>
            <w:noWrap/>
            <w:vAlign w:val="center"/>
            <w:hideMark/>
          </w:tcPr>
          <w:p w14:paraId="45ECFC75" w14:textId="77777777" w:rsidR="00460106" w:rsidRPr="00842ABF" w:rsidRDefault="00460106" w:rsidP="00460106">
            <w:pPr>
              <w:spacing w:line="240" w:lineRule="auto"/>
              <w:jc w:val="right"/>
              <w:rPr>
                <w:sz w:val="14"/>
                <w:szCs w:val="14"/>
                <w:lang w:eastAsia="sl-SI"/>
              </w:rPr>
            </w:pPr>
            <w:r w:rsidRPr="00842ABF">
              <w:rPr>
                <w:sz w:val="14"/>
                <w:szCs w:val="14"/>
                <w:lang w:eastAsia="sl-SI"/>
              </w:rPr>
              <w:t>462.314</w:t>
            </w:r>
          </w:p>
        </w:tc>
        <w:tc>
          <w:tcPr>
            <w:tcW w:w="639" w:type="dxa"/>
            <w:tcBorders>
              <w:top w:val="nil"/>
              <w:left w:val="nil"/>
              <w:bottom w:val="single" w:sz="4" w:space="0" w:color="auto"/>
              <w:right w:val="single" w:sz="4" w:space="0" w:color="auto"/>
            </w:tcBorders>
            <w:shd w:val="clear" w:color="000000" w:fill="FFFFFF"/>
            <w:noWrap/>
            <w:vAlign w:val="center"/>
            <w:hideMark/>
          </w:tcPr>
          <w:p w14:paraId="2F9DF444" w14:textId="77777777" w:rsidR="00460106" w:rsidRPr="00842ABF" w:rsidRDefault="00460106" w:rsidP="00460106">
            <w:pPr>
              <w:spacing w:line="240" w:lineRule="auto"/>
              <w:jc w:val="right"/>
              <w:rPr>
                <w:sz w:val="14"/>
                <w:szCs w:val="14"/>
                <w:lang w:eastAsia="sl-SI"/>
              </w:rPr>
            </w:pPr>
            <w:r w:rsidRPr="00842ABF">
              <w:rPr>
                <w:sz w:val="14"/>
                <w:szCs w:val="14"/>
                <w:lang w:eastAsia="sl-SI"/>
              </w:rPr>
              <w:t>23.664</w:t>
            </w:r>
          </w:p>
        </w:tc>
        <w:tc>
          <w:tcPr>
            <w:tcW w:w="569" w:type="dxa"/>
            <w:tcBorders>
              <w:top w:val="nil"/>
              <w:left w:val="nil"/>
              <w:bottom w:val="single" w:sz="4" w:space="0" w:color="auto"/>
              <w:right w:val="single" w:sz="4" w:space="0" w:color="auto"/>
            </w:tcBorders>
            <w:shd w:val="clear" w:color="000000" w:fill="FFFFFF"/>
            <w:noWrap/>
            <w:vAlign w:val="center"/>
            <w:hideMark/>
          </w:tcPr>
          <w:p w14:paraId="59B09B0F" w14:textId="77777777" w:rsidR="00460106" w:rsidRPr="00842ABF" w:rsidRDefault="00460106" w:rsidP="00460106">
            <w:pPr>
              <w:spacing w:line="240" w:lineRule="auto"/>
              <w:jc w:val="right"/>
              <w:rPr>
                <w:sz w:val="14"/>
                <w:szCs w:val="14"/>
                <w:lang w:eastAsia="sl-SI"/>
              </w:rPr>
            </w:pPr>
            <w:r w:rsidRPr="00842ABF">
              <w:rPr>
                <w:sz w:val="14"/>
                <w:szCs w:val="14"/>
                <w:lang w:eastAsia="sl-SI"/>
              </w:rPr>
              <w:t>14.781</w:t>
            </w:r>
          </w:p>
        </w:tc>
        <w:tc>
          <w:tcPr>
            <w:tcW w:w="569" w:type="dxa"/>
            <w:tcBorders>
              <w:top w:val="nil"/>
              <w:left w:val="nil"/>
              <w:bottom w:val="single" w:sz="4" w:space="0" w:color="auto"/>
              <w:right w:val="single" w:sz="4" w:space="0" w:color="auto"/>
            </w:tcBorders>
            <w:shd w:val="clear" w:color="000000" w:fill="FFFFFF"/>
            <w:noWrap/>
            <w:vAlign w:val="center"/>
            <w:hideMark/>
          </w:tcPr>
          <w:p w14:paraId="67397DCA" w14:textId="77777777" w:rsidR="00460106" w:rsidRPr="00842ABF" w:rsidRDefault="00460106" w:rsidP="00460106">
            <w:pPr>
              <w:spacing w:line="240" w:lineRule="auto"/>
              <w:jc w:val="right"/>
              <w:rPr>
                <w:sz w:val="14"/>
                <w:szCs w:val="14"/>
                <w:lang w:eastAsia="sl-SI"/>
              </w:rPr>
            </w:pPr>
            <w:r w:rsidRPr="00842ABF">
              <w:rPr>
                <w:sz w:val="14"/>
                <w:szCs w:val="14"/>
                <w:lang w:eastAsia="sl-SI"/>
              </w:rPr>
              <w:t>18.172</w:t>
            </w:r>
          </w:p>
        </w:tc>
        <w:tc>
          <w:tcPr>
            <w:tcW w:w="569" w:type="dxa"/>
            <w:tcBorders>
              <w:top w:val="nil"/>
              <w:left w:val="nil"/>
              <w:bottom w:val="single" w:sz="4" w:space="0" w:color="auto"/>
              <w:right w:val="single" w:sz="4" w:space="0" w:color="auto"/>
            </w:tcBorders>
            <w:shd w:val="clear" w:color="000000" w:fill="FFFFFF"/>
            <w:noWrap/>
            <w:vAlign w:val="center"/>
            <w:hideMark/>
          </w:tcPr>
          <w:p w14:paraId="239BAB71" w14:textId="77777777" w:rsidR="00460106" w:rsidRPr="00842ABF" w:rsidRDefault="00460106" w:rsidP="00460106">
            <w:pPr>
              <w:spacing w:line="240" w:lineRule="auto"/>
              <w:jc w:val="right"/>
              <w:rPr>
                <w:sz w:val="14"/>
                <w:szCs w:val="14"/>
                <w:lang w:eastAsia="sl-SI"/>
              </w:rPr>
            </w:pPr>
            <w:r w:rsidRPr="00842ABF">
              <w:rPr>
                <w:sz w:val="14"/>
                <w:szCs w:val="14"/>
                <w:lang w:eastAsia="sl-SI"/>
              </w:rPr>
              <w:t>16.021</w:t>
            </w:r>
          </w:p>
        </w:tc>
        <w:tc>
          <w:tcPr>
            <w:tcW w:w="569" w:type="dxa"/>
            <w:tcBorders>
              <w:top w:val="nil"/>
              <w:left w:val="nil"/>
              <w:bottom w:val="single" w:sz="4" w:space="0" w:color="auto"/>
              <w:right w:val="single" w:sz="4" w:space="0" w:color="auto"/>
            </w:tcBorders>
            <w:shd w:val="clear" w:color="000000" w:fill="FFFFFF"/>
            <w:noWrap/>
            <w:vAlign w:val="center"/>
            <w:hideMark/>
          </w:tcPr>
          <w:p w14:paraId="260CC799" w14:textId="77777777" w:rsidR="00460106" w:rsidRPr="00842ABF" w:rsidRDefault="00460106" w:rsidP="00460106">
            <w:pPr>
              <w:spacing w:line="240" w:lineRule="auto"/>
              <w:jc w:val="right"/>
              <w:rPr>
                <w:sz w:val="14"/>
                <w:szCs w:val="14"/>
                <w:lang w:eastAsia="sl-SI"/>
              </w:rPr>
            </w:pPr>
            <w:r w:rsidRPr="00842ABF">
              <w:rPr>
                <w:sz w:val="14"/>
                <w:szCs w:val="14"/>
                <w:lang w:eastAsia="sl-SI"/>
              </w:rPr>
              <w:t>18.179</w:t>
            </w:r>
          </w:p>
        </w:tc>
        <w:tc>
          <w:tcPr>
            <w:tcW w:w="569" w:type="dxa"/>
            <w:tcBorders>
              <w:top w:val="nil"/>
              <w:left w:val="nil"/>
              <w:bottom w:val="single" w:sz="4" w:space="0" w:color="auto"/>
              <w:right w:val="single" w:sz="4" w:space="0" w:color="auto"/>
            </w:tcBorders>
            <w:shd w:val="clear" w:color="000000" w:fill="FFFFFF"/>
            <w:noWrap/>
            <w:vAlign w:val="center"/>
            <w:hideMark/>
          </w:tcPr>
          <w:p w14:paraId="5351FF3D" w14:textId="77777777" w:rsidR="00460106" w:rsidRPr="00842ABF" w:rsidRDefault="00460106" w:rsidP="00460106">
            <w:pPr>
              <w:spacing w:line="240" w:lineRule="auto"/>
              <w:jc w:val="right"/>
              <w:rPr>
                <w:sz w:val="14"/>
                <w:szCs w:val="14"/>
                <w:lang w:eastAsia="sl-SI"/>
              </w:rPr>
            </w:pPr>
            <w:r w:rsidRPr="00842ABF">
              <w:rPr>
                <w:sz w:val="14"/>
                <w:szCs w:val="14"/>
                <w:lang w:eastAsia="sl-SI"/>
              </w:rPr>
              <w:t>19.132</w:t>
            </w:r>
          </w:p>
        </w:tc>
        <w:tc>
          <w:tcPr>
            <w:tcW w:w="574" w:type="dxa"/>
            <w:tcBorders>
              <w:top w:val="nil"/>
              <w:left w:val="nil"/>
              <w:bottom w:val="single" w:sz="4" w:space="0" w:color="auto"/>
              <w:right w:val="single" w:sz="4" w:space="0" w:color="auto"/>
            </w:tcBorders>
            <w:shd w:val="clear" w:color="000000" w:fill="FFFFFF"/>
            <w:noWrap/>
            <w:vAlign w:val="center"/>
            <w:hideMark/>
          </w:tcPr>
          <w:p w14:paraId="0BB9AC04" w14:textId="77777777" w:rsidR="00460106" w:rsidRPr="00842ABF" w:rsidRDefault="00460106" w:rsidP="00460106">
            <w:pPr>
              <w:spacing w:line="240" w:lineRule="auto"/>
              <w:jc w:val="right"/>
              <w:rPr>
                <w:sz w:val="14"/>
                <w:szCs w:val="14"/>
                <w:lang w:eastAsia="sl-SI"/>
              </w:rPr>
            </w:pPr>
            <w:r w:rsidRPr="00842ABF">
              <w:rPr>
                <w:sz w:val="14"/>
                <w:szCs w:val="14"/>
                <w:lang w:eastAsia="sl-SI"/>
              </w:rPr>
              <w:t>19.241</w:t>
            </w:r>
          </w:p>
        </w:tc>
      </w:tr>
      <w:tr w:rsidR="00460106" w:rsidRPr="00842ABF" w14:paraId="67FEC7BC"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07DFC3CE" w14:textId="77777777" w:rsidR="00460106" w:rsidRPr="00842ABF" w:rsidRDefault="00460106" w:rsidP="00460106">
            <w:pPr>
              <w:spacing w:line="240" w:lineRule="auto"/>
              <w:rPr>
                <w:sz w:val="14"/>
                <w:szCs w:val="14"/>
                <w:lang w:eastAsia="sl-SI"/>
              </w:rPr>
            </w:pPr>
            <w:r w:rsidRPr="00842ABF">
              <w:rPr>
                <w:sz w:val="14"/>
                <w:szCs w:val="14"/>
                <w:lang w:eastAsia="sl-SI"/>
              </w:rPr>
              <w:t>Purice in purani</w:t>
            </w:r>
          </w:p>
        </w:tc>
        <w:tc>
          <w:tcPr>
            <w:tcW w:w="763" w:type="dxa"/>
            <w:tcBorders>
              <w:top w:val="nil"/>
              <w:left w:val="nil"/>
              <w:bottom w:val="single" w:sz="4" w:space="0" w:color="auto"/>
              <w:right w:val="single" w:sz="4" w:space="0" w:color="auto"/>
            </w:tcBorders>
            <w:shd w:val="clear" w:color="000000" w:fill="FFFFFF"/>
            <w:noWrap/>
            <w:vAlign w:val="center"/>
            <w:hideMark/>
          </w:tcPr>
          <w:p w14:paraId="2E676E68" w14:textId="77777777" w:rsidR="00460106" w:rsidRPr="00842ABF" w:rsidRDefault="00460106" w:rsidP="00460106">
            <w:pPr>
              <w:spacing w:line="240" w:lineRule="auto"/>
              <w:jc w:val="right"/>
              <w:rPr>
                <w:sz w:val="14"/>
                <w:szCs w:val="14"/>
                <w:lang w:eastAsia="sl-SI"/>
              </w:rPr>
            </w:pPr>
            <w:r w:rsidRPr="00842ABF">
              <w:rPr>
                <w:sz w:val="14"/>
                <w:szCs w:val="14"/>
                <w:lang w:eastAsia="sl-SI"/>
              </w:rPr>
              <w:t>199.518</w:t>
            </w:r>
          </w:p>
        </w:tc>
        <w:tc>
          <w:tcPr>
            <w:tcW w:w="763" w:type="dxa"/>
            <w:tcBorders>
              <w:top w:val="nil"/>
              <w:left w:val="nil"/>
              <w:bottom w:val="single" w:sz="4" w:space="0" w:color="auto"/>
              <w:right w:val="single" w:sz="4" w:space="0" w:color="auto"/>
            </w:tcBorders>
            <w:shd w:val="clear" w:color="000000" w:fill="FFFFFF"/>
            <w:noWrap/>
            <w:vAlign w:val="center"/>
            <w:hideMark/>
          </w:tcPr>
          <w:p w14:paraId="51036AF1" w14:textId="77777777" w:rsidR="00460106" w:rsidRPr="00842ABF" w:rsidRDefault="00460106" w:rsidP="00460106">
            <w:pPr>
              <w:spacing w:line="240" w:lineRule="auto"/>
              <w:jc w:val="right"/>
              <w:rPr>
                <w:sz w:val="14"/>
                <w:szCs w:val="14"/>
                <w:lang w:eastAsia="sl-SI"/>
              </w:rPr>
            </w:pPr>
            <w:r w:rsidRPr="00842ABF">
              <w:rPr>
                <w:sz w:val="14"/>
                <w:szCs w:val="14"/>
                <w:lang w:eastAsia="sl-SI"/>
              </w:rPr>
              <w:t>310.285</w:t>
            </w:r>
          </w:p>
        </w:tc>
        <w:tc>
          <w:tcPr>
            <w:tcW w:w="763" w:type="dxa"/>
            <w:tcBorders>
              <w:top w:val="nil"/>
              <w:left w:val="nil"/>
              <w:bottom w:val="single" w:sz="4" w:space="0" w:color="auto"/>
              <w:right w:val="single" w:sz="4" w:space="0" w:color="auto"/>
            </w:tcBorders>
            <w:shd w:val="clear" w:color="000000" w:fill="FFFFFF"/>
            <w:noWrap/>
            <w:vAlign w:val="center"/>
            <w:hideMark/>
          </w:tcPr>
          <w:p w14:paraId="0B2A6D41" w14:textId="77777777" w:rsidR="00460106" w:rsidRPr="00842ABF" w:rsidRDefault="00460106" w:rsidP="00460106">
            <w:pPr>
              <w:spacing w:line="240" w:lineRule="auto"/>
              <w:jc w:val="right"/>
              <w:rPr>
                <w:sz w:val="14"/>
                <w:szCs w:val="14"/>
                <w:lang w:eastAsia="sl-SI"/>
              </w:rPr>
            </w:pPr>
            <w:r w:rsidRPr="00842ABF">
              <w:rPr>
                <w:sz w:val="14"/>
                <w:szCs w:val="14"/>
                <w:lang w:eastAsia="sl-SI"/>
              </w:rPr>
              <w:t>151.589</w:t>
            </w:r>
          </w:p>
        </w:tc>
        <w:tc>
          <w:tcPr>
            <w:tcW w:w="763" w:type="dxa"/>
            <w:tcBorders>
              <w:top w:val="nil"/>
              <w:left w:val="nil"/>
              <w:bottom w:val="single" w:sz="4" w:space="0" w:color="auto"/>
              <w:right w:val="single" w:sz="4" w:space="0" w:color="auto"/>
            </w:tcBorders>
            <w:shd w:val="clear" w:color="000000" w:fill="FFFFFF"/>
            <w:noWrap/>
            <w:vAlign w:val="center"/>
            <w:hideMark/>
          </w:tcPr>
          <w:p w14:paraId="75AE17F3" w14:textId="77777777" w:rsidR="00460106" w:rsidRPr="00842ABF" w:rsidRDefault="00460106" w:rsidP="00460106">
            <w:pPr>
              <w:spacing w:line="240" w:lineRule="auto"/>
              <w:jc w:val="right"/>
              <w:rPr>
                <w:sz w:val="14"/>
                <w:szCs w:val="14"/>
                <w:lang w:eastAsia="sl-SI"/>
              </w:rPr>
            </w:pPr>
            <w:r w:rsidRPr="00842ABF">
              <w:rPr>
                <w:sz w:val="14"/>
                <w:szCs w:val="14"/>
                <w:lang w:eastAsia="sl-SI"/>
              </w:rPr>
              <w:t>197.245</w:t>
            </w:r>
          </w:p>
        </w:tc>
        <w:tc>
          <w:tcPr>
            <w:tcW w:w="763" w:type="dxa"/>
            <w:tcBorders>
              <w:top w:val="nil"/>
              <w:left w:val="nil"/>
              <w:bottom w:val="single" w:sz="4" w:space="0" w:color="auto"/>
              <w:right w:val="single" w:sz="4" w:space="0" w:color="auto"/>
            </w:tcBorders>
            <w:shd w:val="clear" w:color="000000" w:fill="FFFFFF"/>
            <w:noWrap/>
            <w:vAlign w:val="center"/>
            <w:hideMark/>
          </w:tcPr>
          <w:p w14:paraId="32D9AE1A" w14:textId="77777777" w:rsidR="00460106" w:rsidRPr="00842ABF" w:rsidRDefault="00460106" w:rsidP="00460106">
            <w:pPr>
              <w:spacing w:line="240" w:lineRule="auto"/>
              <w:jc w:val="right"/>
              <w:rPr>
                <w:sz w:val="14"/>
                <w:szCs w:val="14"/>
                <w:lang w:eastAsia="sl-SI"/>
              </w:rPr>
            </w:pPr>
            <w:r w:rsidRPr="00842ABF">
              <w:rPr>
                <w:sz w:val="14"/>
                <w:szCs w:val="14"/>
                <w:lang w:eastAsia="sl-SI"/>
              </w:rPr>
              <w:t>90.309</w:t>
            </w:r>
          </w:p>
        </w:tc>
        <w:tc>
          <w:tcPr>
            <w:tcW w:w="763" w:type="dxa"/>
            <w:tcBorders>
              <w:top w:val="nil"/>
              <w:left w:val="nil"/>
              <w:bottom w:val="single" w:sz="4" w:space="0" w:color="auto"/>
              <w:right w:val="single" w:sz="4" w:space="0" w:color="auto"/>
            </w:tcBorders>
            <w:shd w:val="clear" w:color="000000" w:fill="FFFFFF"/>
            <w:noWrap/>
            <w:vAlign w:val="center"/>
            <w:hideMark/>
          </w:tcPr>
          <w:p w14:paraId="63F8F9C7" w14:textId="77777777" w:rsidR="00460106" w:rsidRPr="00842ABF" w:rsidRDefault="00460106" w:rsidP="00460106">
            <w:pPr>
              <w:spacing w:line="240" w:lineRule="auto"/>
              <w:jc w:val="right"/>
              <w:rPr>
                <w:sz w:val="14"/>
                <w:szCs w:val="14"/>
                <w:lang w:eastAsia="sl-SI"/>
              </w:rPr>
            </w:pPr>
            <w:r w:rsidRPr="00842ABF">
              <w:rPr>
                <w:sz w:val="14"/>
                <w:szCs w:val="14"/>
                <w:lang w:eastAsia="sl-SI"/>
              </w:rPr>
              <w:t>98.652</w:t>
            </w:r>
          </w:p>
        </w:tc>
        <w:tc>
          <w:tcPr>
            <w:tcW w:w="763" w:type="dxa"/>
            <w:tcBorders>
              <w:top w:val="nil"/>
              <w:left w:val="nil"/>
              <w:bottom w:val="single" w:sz="4" w:space="0" w:color="auto"/>
              <w:right w:val="single" w:sz="4" w:space="0" w:color="auto"/>
            </w:tcBorders>
            <w:shd w:val="clear" w:color="000000" w:fill="FFFFFF"/>
            <w:noWrap/>
            <w:vAlign w:val="center"/>
            <w:hideMark/>
          </w:tcPr>
          <w:p w14:paraId="61933B6E" w14:textId="77777777" w:rsidR="00460106" w:rsidRPr="00842ABF" w:rsidRDefault="00460106" w:rsidP="00460106">
            <w:pPr>
              <w:spacing w:line="240" w:lineRule="auto"/>
              <w:jc w:val="right"/>
              <w:rPr>
                <w:sz w:val="14"/>
                <w:szCs w:val="14"/>
                <w:lang w:eastAsia="sl-SI"/>
              </w:rPr>
            </w:pPr>
            <w:r w:rsidRPr="00842ABF">
              <w:rPr>
                <w:sz w:val="14"/>
                <w:szCs w:val="14"/>
                <w:lang w:eastAsia="sl-SI"/>
              </w:rPr>
              <w:t>160.685</w:t>
            </w:r>
          </w:p>
        </w:tc>
        <w:tc>
          <w:tcPr>
            <w:tcW w:w="639" w:type="dxa"/>
            <w:tcBorders>
              <w:top w:val="nil"/>
              <w:left w:val="nil"/>
              <w:bottom w:val="single" w:sz="4" w:space="0" w:color="auto"/>
              <w:right w:val="single" w:sz="4" w:space="0" w:color="auto"/>
            </w:tcBorders>
            <w:shd w:val="clear" w:color="000000" w:fill="FFFFFF"/>
            <w:noWrap/>
            <w:vAlign w:val="center"/>
            <w:hideMark/>
          </w:tcPr>
          <w:p w14:paraId="685BD9A1" w14:textId="77777777" w:rsidR="00460106" w:rsidRPr="00842ABF" w:rsidRDefault="00460106" w:rsidP="00460106">
            <w:pPr>
              <w:spacing w:line="240" w:lineRule="auto"/>
              <w:jc w:val="right"/>
              <w:rPr>
                <w:sz w:val="14"/>
                <w:szCs w:val="14"/>
                <w:lang w:eastAsia="sl-SI"/>
              </w:rPr>
            </w:pPr>
            <w:r w:rsidRPr="00842ABF">
              <w:rPr>
                <w:sz w:val="14"/>
                <w:szCs w:val="14"/>
                <w:lang w:eastAsia="sl-SI"/>
              </w:rPr>
              <w:t>1.361</w:t>
            </w:r>
          </w:p>
        </w:tc>
        <w:tc>
          <w:tcPr>
            <w:tcW w:w="569" w:type="dxa"/>
            <w:tcBorders>
              <w:top w:val="nil"/>
              <w:left w:val="nil"/>
              <w:bottom w:val="single" w:sz="4" w:space="0" w:color="auto"/>
              <w:right w:val="single" w:sz="4" w:space="0" w:color="auto"/>
            </w:tcBorders>
            <w:shd w:val="clear" w:color="000000" w:fill="FFFFFF"/>
            <w:noWrap/>
            <w:vAlign w:val="center"/>
            <w:hideMark/>
          </w:tcPr>
          <w:p w14:paraId="26B8DA32" w14:textId="77777777" w:rsidR="00460106" w:rsidRPr="00842ABF" w:rsidRDefault="00460106" w:rsidP="00460106">
            <w:pPr>
              <w:spacing w:line="240" w:lineRule="auto"/>
              <w:jc w:val="right"/>
              <w:rPr>
                <w:sz w:val="14"/>
                <w:szCs w:val="14"/>
                <w:lang w:eastAsia="sl-SI"/>
              </w:rPr>
            </w:pPr>
            <w:r w:rsidRPr="00842ABF">
              <w:rPr>
                <w:sz w:val="14"/>
                <w:szCs w:val="14"/>
                <w:lang w:eastAsia="sl-SI"/>
              </w:rPr>
              <w:t>1.365</w:t>
            </w:r>
          </w:p>
        </w:tc>
        <w:tc>
          <w:tcPr>
            <w:tcW w:w="569" w:type="dxa"/>
            <w:tcBorders>
              <w:top w:val="nil"/>
              <w:left w:val="nil"/>
              <w:bottom w:val="single" w:sz="4" w:space="0" w:color="auto"/>
              <w:right w:val="single" w:sz="4" w:space="0" w:color="auto"/>
            </w:tcBorders>
            <w:shd w:val="clear" w:color="000000" w:fill="FFFFFF"/>
            <w:noWrap/>
            <w:vAlign w:val="center"/>
            <w:hideMark/>
          </w:tcPr>
          <w:p w14:paraId="1C976870" w14:textId="77777777" w:rsidR="00460106" w:rsidRPr="00842ABF" w:rsidRDefault="00460106" w:rsidP="00460106">
            <w:pPr>
              <w:spacing w:line="240" w:lineRule="auto"/>
              <w:jc w:val="right"/>
              <w:rPr>
                <w:sz w:val="14"/>
                <w:szCs w:val="14"/>
                <w:lang w:eastAsia="sl-SI"/>
              </w:rPr>
            </w:pPr>
            <w:r w:rsidRPr="00842ABF">
              <w:rPr>
                <w:sz w:val="14"/>
                <w:szCs w:val="14"/>
                <w:lang w:eastAsia="sl-SI"/>
              </w:rPr>
              <w:t>1.251</w:t>
            </w:r>
          </w:p>
        </w:tc>
        <w:tc>
          <w:tcPr>
            <w:tcW w:w="569" w:type="dxa"/>
            <w:tcBorders>
              <w:top w:val="nil"/>
              <w:left w:val="nil"/>
              <w:bottom w:val="single" w:sz="4" w:space="0" w:color="auto"/>
              <w:right w:val="single" w:sz="4" w:space="0" w:color="auto"/>
            </w:tcBorders>
            <w:shd w:val="clear" w:color="000000" w:fill="FFFFFF"/>
            <w:noWrap/>
            <w:vAlign w:val="center"/>
            <w:hideMark/>
          </w:tcPr>
          <w:p w14:paraId="778E53F8" w14:textId="77777777" w:rsidR="00460106" w:rsidRPr="00842ABF" w:rsidRDefault="00460106" w:rsidP="00460106">
            <w:pPr>
              <w:spacing w:line="240" w:lineRule="auto"/>
              <w:jc w:val="right"/>
              <w:rPr>
                <w:sz w:val="14"/>
                <w:szCs w:val="14"/>
                <w:lang w:eastAsia="sl-SI"/>
              </w:rPr>
            </w:pPr>
            <w:r w:rsidRPr="00842ABF">
              <w:rPr>
                <w:sz w:val="14"/>
                <w:szCs w:val="14"/>
                <w:lang w:eastAsia="sl-SI"/>
              </w:rPr>
              <w:t>843</w:t>
            </w:r>
          </w:p>
        </w:tc>
        <w:tc>
          <w:tcPr>
            <w:tcW w:w="569" w:type="dxa"/>
            <w:tcBorders>
              <w:top w:val="nil"/>
              <w:left w:val="nil"/>
              <w:bottom w:val="single" w:sz="4" w:space="0" w:color="auto"/>
              <w:right w:val="single" w:sz="4" w:space="0" w:color="auto"/>
            </w:tcBorders>
            <w:shd w:val="clear" w:color="000000" w:fill="FFFFFF"/>
            <w:noWrap/>
            <w:vAlign w:val="center"/>
            <w:hideMark/>
          </w:tcPr>
          <w:p w14:paraId="2A3855A5" w14:textId="77777777" w:rsidR="00460106" w:rsidRPr="00842ABF" w:rsidRDefault="00460106" w:rsidP="00460106">
            <w:pPr>
              <w:spacing w:line="240" w:lineRule="auto"/>
              <w:jc w:val="right"/>
              <w:rPr>
                <w:sz w:val="14"/>
                <w:szCs w:val="14"/>
                <w:lang w:eastAsia="sl-SI"/>
              </w:rPr>
            </w:pPr>
            <w:r w:rsidRPr="00842ABF">
              <w:rPr>
                <w:sz w:val="14"/>
                <w:szCs w:val="14"/>
                <w:lang w:eastAsia="sl-SI"/>
              </w:rPr>
              <w:t>932</w:t>
            </w:r>
          </w:p>
        </w:tc>
        <w:tc>
          <w:tcPr>
            <w:tcW w:w="569" w:type="dxa"/>
            <w:tcBorders>
              <w:top w:val="nil"/>
              <w:left w:val="nil"/>
              <w:bottom w:val="single" w:sz="4" w:space="0" w:color="auto"/>
              <w:right w:val="single" w:sz="4" w:space="0" w:color="auto"/>
            </w:tcBorders>
            <w:shd w:val="clear" w:color="000000" w:fill="FFFFFF"/>
            <w:noWrap/>
            <w:vAlign w:val="center"/>
            <w:hideMark/>
          </w:tcPr>
          <w:p w14:paraId="4E3A5ADB" w14:textId="77777777" w:rsidR="00460106" w:rsidRPr="00842ABF" w:rsidRDefault="00460106" w:rsidP="00460106">
            <w:pPr>
              <w:spacing w:line="240" w:lineRule="auto"/>
              <w:jc w:val="right"/>
              <w:rPr>
                <w:sz w:val="14"/>
                <w:szCs w:val="14"/>
                <w:lang w:eastAsia="sl-SI"/>
              </w:rPr>
            </w:pPr>
            <w:r w:rsidRPr="00842ABF">
              <w:rPr>
                <w:sz w:val="14"/>
                <w:szCs w:val="14"/>
                <w:lang w:eastAsia="sl-SI"/>
              </w:rPr>
              <w:t>1.309</w:t>
            </w:r>
          </w:p>
        </w:tc>
        <w:tc>
          <w:tcPr>
            <w:tcW w:w="574" w:type="dxa"/>
            <w:tcBorders>
              <w:top w:val="nil"/>
              <w:left w:val="nil"/>
              <w:bottom w:val="single" w:sz="4" w:space="0" w:color="auto"/>
              <w:right w:val="single" w:sz="4" w:space="0" w:color="auto"/>
            </w:tcBorders>
            <w:shd w:val="clear" w:color="000000" w:fill="FFFFFF"/>
            <w:noWrap/>
            <w:vAlign w:val="center"/>
            <w:hideMark/>
          </w:tcPr>
          <w:p w14:paraId="2FBC5B13" w14:textId="77777777" w:rsidR="00460106" w:rsidRPr="00842ABF" w:rsidRDefault="00460106" w:rsidP="00460106">
            <w:pPr>
              <w:spacing w:line="240" w:lineRule="auto"/>
              <w:jc w:val="right"/>
              <w:rPr>
                <w:sz w:val="14"/>
                <w:szCs w:val="14"/>
                <w:lang w:eastAsia="sl-SI"/>
              </w:rPr>
            </w:pPr>
            <w:r w:rsidRPr="00842ABF">
              <w:rPr>
                <w:sz w:val="14"/>
                <w:szCs w:val="14"/>
                <w:lang w:eastAsia="sl-SI"/>
              </w:rPr>
              <w:t>1.226</w:t>
            </w:r>
          </w:p>
        </w:tc>
      </w:tr>
      <w:tr w:rsidR="00460106" w:rsidRPr="00842ABF" w14:paraId="0E09BD41"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34415D5A" w14:textId="77777777" w:rsidR="00460106" w:rsidRPr="00842ABF" w:rsidRDefault="00460106" w:rsidP="00460106">
            <w:pPr>
              <w:spacing w:line="240" w:lineRule="auto"/>
              <w:rPr>
                <w:sz w:val="14"/>
                <w:szCs w:val="14"/>
                <w:lang w:eastAsia="sl-SI"/>
              </w:rPr>
            </w:pPr>
            <w:r w:rsidRPr="00842ABF">
              <w:rPr>
                <w:sz w:val="14"/>
                <w:szCs w:val="14"/>
                <w:lang w:eastAsia="sl-SI"/>
              </w:rPr>
              <w:t>Goske in gosaki</w:t>
            </w:r>
          </w:p>
        </w:tc>
        <w:tc>
          <w:tcPr>
            <w:tcW w:w="763" w:type="dxa"/>
            <w:tcBorders>
              <w:top w:val="nil"/>
              <w:left w:val="nil"/>
              <w:bottom w:val="single" w:sz="4" w:space="0" w:color="auto"/>
              <w:right w:val="single" w:sz="4" w:space="0" w:color="auto"/>
            </w:tcBorders>
            <w:shd w:val="clear" w:color="000000" w:fill="FFFFFF"/>
            <w:noWrap/>
            <w:vAlign w:val="center"/>
            <w:hideMark/>
          </w:tcPr>
          <w:p w14:paraId="4AA7084E" w14:textId="77777777" w:rsidR="00460106" w:rsidRPr="00842ABF" w:rsidRDefault="00460106" w:rsidP="00460106">
            <w:pPr>
              <w:spacing w:line="240" w:lineRule="auto"/>
              <w:jc w:val="right"/>
              <w:rPr>
                <w:sz w:val="14"/>
                <w:szCs w:val="14"/>
                <w:lang w:eastAsia="sl-SI"/>
              </w:rPr>
            </w:pPr>
            <w:r w:rsidRPr="00842ABF">
              <w:rPr>
                <w:sz w:val="14"/>
                <w:szCs w:val="14"/>
                <w:lang w:eastAsia="sl-SI"/>
              </w:rPr>
              <w:t>4.343</w:t>
            </w:r>
          </w:p>
        </w:tc>
        <w:tc>
          <w:tcPr>
            <w:tcW w:w="763" w:type="dxa"/>
            <w:tcBorders>
              <w:top w:val="nil"/>
              <w:left w:val="nil"/>
              <w:bottom w:val="single" w:sz="4" w:space="0" w:color="auto"/>
              <w:right w:val="single" w:sz="4" w:space="0" w:color="auto"/>
            </w:tcBorders>
            <w:shd w:val="clear" w:color="000000" w:fill="FFFFFF"/>
            <w:noWrap/>
            <w:vAlign w:val="center"/>
            <w:hideMark/>
          </w:tcPr>
          <w:p w14:paraId="04F68489" w14:textId="77777777" w:rsidR="00460106" w:rsidRPr="00842ABF" w:rsidRDefault="00460106" w:rsidP="00460106">
            <w:pPr>
              <w:spacing w:line="240" w:lineRule="auto"/>
              <w:jc w:val="right"/>
              <w:rPr>
                <w:sz w:val="14"/>
                <w:szCs w:val="14"/>
                <w:lang w:eastAsia="sl-SI"/>
              </w:rPr>
            </w:pPr>
            <w:r w:rsidRPr="00842ABF">
              <w:rPr>
                <w:sz w:val="14"/>
                <w:szCs w:val="14"/>
                <w:lang w:eastAsia="sl-SI"/>
              </w:rPr>
              <w:t>3.862</w:t>
            </w:r>
          </w:p>
        </w:tc>
        <w:tc>
          <w:tcPr>
            <w:tcW w:w="763" w:type="dxa"/>
            <w:tcBorders>
              <w:top w:val="nil"/>
              <w:left w:val="nil"/>
              <w:bottom w:val="single" w:sz="4" w:space="0" w:color="auto"/>
              <w:right w:val="single" w:sz="4" w:space="0" w:color="auto"/>
            </w:tcBorders>
            <w:shd w:val="clear" w:color="000000" w:fill="FFFFFF"/>
            <w:noWrap/>
            <w:vAlign w:val="center"/>
            <w:hideMark/>
          </w:tcPr>
          <w:p w14:paraId="00473A57" w14:textId="77777777" w:rsidR="00460106" w:rsidRPr="00842ABF" w:rsidRDefault="00460106" w:rsidP="00460106">
            <w:pPr>
              <w:spacing w:line="240" w:lineRule="auto"/>
              <w:jc w:val="right"/>
              <w:rPr>
                <w:sz w:val="14"/>
                <w:szCs w:val="14"/>
                <w:lang w:eastAsia="sl-SI"/>
              </w:rPr>
            </w:pPr>
            <w:r w:rsidRPr="00842ABF">
              <w:rPr>
                <w:sz w:val="14"/>
                <w:szCs w:val="14"/>
                <w:lang w:eastAsia="sl-SI"/>
              </w:rPr>
              <w:t>4.184</w:t>
            </w:r>
          </w:p>
        </w:tc>
        <w:tc>
          <w:tcPr>
            <w:tcW w:w="763" w:type="dxa"/>
            <w:tcBorders>
              <w:top w:val="nil"/>
              <w:left w:val="nil"/>
              <w:bottom w:val="single" w:sz="4" w:space="0" w:color="auto"/>
              <w:right w:val="single" w:sz="4" w:space="0" w:color="auto"/>
            </w:tcBorders>
            <w:shd w:val="clear" w:color="000000" w:fill="FFFFFF"/>
            <w:noWrap/>
            <w:vAlign w:val="center"/>
            <w:hideMark/>
          </w:tcPr>
          <w:p w14:paraId="4795C26B" w14:textId="77777777" w:rsidR="00460106" w:rsidRPr="00842ABF" w:rsidRDefault="00460106" w:rsidP="00460106">
            <w:pPr>
              <w:spacing w:line="240" w:lineRule="auto"/>
              <w:jc w:val="right"/>
              <w:rPr>
                <w:sz w:val="14"/>
                <w:szCs w:val="14"/>
                <w:lang w:eastAsia="sl-SI"/>
              </w:rPr>
            </w:pPr>
            <w:r w:rsidRPr="00842ABF">
              <w:rPr>
                <w:sz w:val="14"/>
                <w:szCs w:val="14"/>
                <w:lang w:eastAsia="sl-SI"/>
              </w:rPr>
              <w:t>2.295</w:t>
            </w:r>
          </w:p>
        </w:tc>
        <w:tc>
          <w:tcPr>
            <w:tcW w:w="763" w:type="dxa"/>
            <w:tcBorders>
              <w:top w:val="nil"/>
              <w:left w:val="nil"/>
              <w:bottom w:val="single" w:sz="4" w:space="0" w:color="auto"/>
              <w:right w:val="single" w:sz="4" w:space="0" w:color="auto"/>
            </w:tcBorders>
            <w:shd w:val="clear" w:color="000000" w:fill="FFFFFF"/>
            <w:noWrap/>
            <w:vAlign w:val="center"/>
            <w:hideMark/>
          </w:tcPr>
          <w:p w14:paraId="57506028" w14:textId="77777777" w:rsidR="00460106" w:rsidRPr="00842ABF" w:rsidRDefault="00460106" w:rsidP="00460106">
            <w:pPr>
              <w:spacing w:line="240" w:lineRule="auto"/>
              <w:jc w:val="right"/>
              <w:rPr>
                <w:sz w:val="14"/>
                <w:szCs w:val="14"/>
                <w:lang w:eastAsia="sl-SI"/>
              </w:rPr>
            </w:pPr>
            <w:r w:rsidRPr="00842ABF">
              <w:rPr>
                <w:sz w:val="14"/>
                <w:szCs w:val="14"/>
                <w:lang w:eastAsia="sl-SI"/>
              </w:rPr>
              <w:t>3.281</w:t>
            </w:r>
          </w:p>
        </w:tc>
        <w:tc>
          <w:tcPr>
            <w:tcW w:w="763" w:type="dxa"/>
            <w:tcBorders>
              <w:top w:val="nil"/>
              <w:left w:val="nil"/>
              <w:bottom w:val="single" w:sz="4" w:space="0" w:color="auto"/>
              <w:right w:val="single" w:sz="4" w:space="0" w:color="auto"/>
            </w:tcBorders>
            <w:shd w:val="clear" w:color="000000" w:fill="FFFFFF"/>
            <w:noWrap/>
            <w:vAlign w:val="center"/>
            <w:hideMark/>
          </w:tcPr>
          <w:p w14:paraId="4185CC3A"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763" w:type="dxa"/>
            <w:tcBorders>
              <w:top w:val="nil"/>
              <w:left w:val="nil"/>
              <w:bottom w:val="single" w:sz="4" w:space="0" w:color="auto"/>
              <w:right w:val="single" w:sz="4" w:space="0" w:color="auto"/>
            </w:tcBorders>
            <w:shd w:val="clear" w:color="000000" w:fill="FFFFFF"/>
            <w:noWrap/>
            <w:vAlign w:val="center"/>
            <w:hideMark/>
          </w:tcPr>
          <w:p w14:paraId="44F8A3EA" w14:textId="77777777" w:rsidR="00460106" w:rsidRPr="00842ABF" w:rsidRDefault="00460106" w:rsidP="00460106">
            <w:pPr>
              <w:spacing w:line="240" w:lineRule="auto"/>
              <w:jc w:val="right"/>
              <w:rPr>
                <w:sz w:val="14"/>
                <w:szCs w:val="14"/>
                <w:lang w:eastAsia="sl-SI"/>
              </w:rPr>
            </w:pPr>
            <w:r w:rsidRPr="00842ABF">
              <w:rPr>
                <w:sz w:val="14"/>
                <w:szCs w:val="14"/>
                <w:lang w:eastAsia="sl-SI"/>
              </w:rPr>
              <w:t>3.962</w:t>
            </w:r>
          </w:p>
        </w:tc>
        <w:tc>
          <w:tcPr>
            <w:tcW w:w="639" w:type="dxa"/>
            <w:tcBorders>
              <w:top w:val="nil"/>
              <w:left w:val="nil"/>
              <w:bottom w:val="single" w:sz="4" w:space="0" w:color="auto"/>
              <w:right w:val="single" w:sz="4" w:space="0" w:color="auto"/>
            </w:tcBorders>
            <w:shd w:val="clear" w:color="000000" w:fill="FFFFFF"/>
            <w:noWrap/>
            <w:vAlign w:val="center"/>
            <w:hideMark/>
          </w:tcPr>
          <w:p w14:paraId="11B50F7E" w14:textId="77777777" w:rsidR="00460106" w:rsidRPr="00842ABF" w:rsidRDefault="00460106" w:rsidP="00460106">
            <w:pPr>
              <w:spacing w:line="240" w:lineRule="auto"/>
              <w:jc w:val="right"/>
              <w:rPr>
                <w:sz w:val="14"/>
                <w:szCs w:val="14"/>
                <w:lang w:eastAsia="sl-SI"/>
              </w:rPr>
            </w:pPr>
            <w:r w:rsidRPr="00842ABF">
              <w:rPr>
                <w:sz w:val="14"/>
                <w:szCs w:val="14"/>
                <w:lang w:eastAsia="sl-SI"/>
              </w:rPr>
              <w:t>908</w:t>
            </w:r>
          </w:p>
        </w:tc>
        <w:tc>
          <w:tcPr>
            <w:tcW w:w="569" w:type="dxa"/>
            <w:tcBorders>
              <w:top w:val="nil"/>
              <w:left w:val="nil"/>
              <w:bottom w:val="single" w:sz="4" w:space="0" w:color="auto"/>
              <w:right w:val="single" w:sz="4" w:space="0" w:color="auto"/>
            </w:tcBorders>
            <w:shd w:val="clear" w:color="000000" w:fill="FFFFFF"/>
            <w:noWrap/>
            <w:vAlign w:val="center"/>
            <w:hideMark/>
          </w:tcPr>
          <w:p w14:paraId="6A201330" w14:textId="77777777" w:rsidR="00460106" w:rsidRPr="00842ABF" w:rsidRDefault="00460106" w:rsidP="00460106">
            <w:pPr>
              <w:spacing w:line="240" w:lineRule="auto"/>
              <w:jc w:val="right"/>
              <w:rPr>
                <w:sz w:val="14"/>
                <w:szCs w:val="14"/>
                <w:lang w:eastAsia="sl-SI"/>
              </w:rPr>
            </w:pPr>
            <w:r w:rsidRPr="00842ABF">
              <w:rPr>
                <w:sz w:val="14"/>
                <w:szCs w:val="14"/>
                <w:lang w:eastAsia="sl-SI"/>
              </w:rPr>
              <w:t>713</w:t>
            </w:r>
          </w:p>
        </w:tc>
        <w:tc>
          <w:tcPr>
            <w:tcW w:w="569" w:type="dxa"/>
            <w:tcBorders>
              <w:top w:val="nil"/>
              <w:left w:val="nil"/>
              <w:bottom w:val="single" w:sz="4" w:space="0" w:color="auto"/>
              <w:right w:val="single" w:sz="4" w:space="0" w:color="auto"/>
            </w:tcBorders>
            <w:shd w:val="clear" w:color="000000" w:fill="FFFFFF"/>
            <w:noWrap/>
            <w:vAlign w:val="center"/>
            <w:hideMark/>
          </w:tcPr>
          <w:p w14:paraId="6B8CFE0A" w14:textId="77777777" w:rsidR="00460106" w:rsidRPr="00842ABF" w:rsidRDefault="00460106" w:rsidP="00460106">
            <w:pPr>
              <w:spacing w:line="240" w:lineRule="auto"/>
              <w:jc w:val="right"/>
              <w:rPr>
                <w:sz w:val="14"/>
                <w:szCs w:val="14"/>
                <w:lang w:eastAsia="sl-SI"/>
              </w:rPr>
            </w:pPr>
            <w:r w:rsidRPr="00842ABF">
              <w:rPr>
                <w:sz w:val="14"/>
                <w:szCs w:val="14"/>
                <w:lang w:eastAsia="sl-SI"/>
              </w:rPr>
              <w:t>868</w:t>
            </w:r>
          </w:p>
        </w:tc>
        <w:tc>
          <w:tcPr>
            <w:tcW w:w="569" w:type="dxa"/>
            <w:tcBorders>
              <w:top w:val="nil"/>
              <w:left w:val="nil"/>
              <w:bottom w:val="single" w:sz="4" w:space="0" w:color="auto"/>
              <w:right w:val="single" w:sz="4" w:space="0" w:color="auto"/>
            </w:tcBorders>
            <w:shd w:val="clear" w:color="000000" w:fill="FFFFFF"/>
            <w:noWrap/>
            <w:vAlign w:val="center"/>
            <w:hideMark/>
          </w:tcPr>
          <w:p w14:paraId="1AFAAB2A" w14:textId="77777777" w:rsidR="00460106" w:rsidRPr="00842ABF" w:rsidRDefault="00460106" w:rsidP="00460106">
            <w:pPr>
              <w:spacing w:line="240" w:lineRule="auto"/>
              <w:jc w:val="right"/>
              <w:rPr>
                <w:sz w:val="14"/>
                <w:szCs w:val="14"/>
                <w:lang w:eastAsia="sl-SI"/>
              </w:rPr>
            </w:pPr>
            <w:r w:rsidRPr="00842ABF">
              <w:rPr>
                <w:sz w:val="14"/>
                <w:szCs w:val="14"/>
                <w:lang w:eastAsia="sl-SI"/>
              </w:rPr>
              <w:t>571</w:t>
            </w:r>
          </w:p>
        </w:tc>
        <w:tc>
          <w:tcPr>
            <w:tcW w:w="569" w:type="dxa"/>
            <w:tcBorders>
              <w:top w:val="nil"/>
              <w:left w:val="nil"/>
              <w:bottom w:val="single" w:sz="4" w:space="0" w:color="auto"/>
              <w:right w:val="single" w:sz="4" w:space="0" w:color="auto"/>
            </w:tcBorders>
            <w:shd w:val="clear" w:color="000000" w:fill="FFFFFF"/>
            <w:noWrap/>
            <w:vAlign w:val="center"/>
            <w:hideMark/>
          </w:tcPr>
          <w:p w14:paraId="1D852288" w14:textId="77777777" w:rsidR="00460106" w:rsidRPr="00842ABF" w:rsidRDefault="00460106" w:rsidP="00460106">
            <w:pPr>
              <w:spacing w:line="240" w:lineRule="auto"/>
              <w:jc w:val="right"/>
              <w:rPr>
                <w:sz w:val="14"/>
                <w:szCs w:val="14"/>
                <w:lang w:eastAsia="sl-SI"/>
              </w:rPr>
            </w:pPr>
            <w:r w:rsidRPr="00842ABF">
              <w:rPr>
                <w:sz w:val="14"/>
                <w:szCs w:val="14"/>
                <w:lang w:eastAsia="sl-SI"/>
              </w:rPr>
              <w:t>757</w:t>
            </w:r>
          </w:p>
        </w:tc>
        <w:tc>
          <w:tcPr>
            <w:tcW w:w="569" w:type="dxa"/>
            <w:tcBorders>
              <w:top w:val="nil"/>
              <w:left w:val="nil"/>
              <w:bottom w:val="single" w:sz="4" w:space="0" w:color="auto"/>
              <w:right w:val="single" w:sz="4" w:space="0" w:color="auto"/>
            </w:tcBorders>
            <w:shd w:val="clear" w:color="000000" w:fill="FFFFFF"/>
            <w:noWrap/>
            <w:vAlign w:val="center"/>
            <w:hideMark/>
          </w:tcPr>
          <w:p w14:paraId="178A7EB2" w14:textId="77777777" w:rsidR="00460106" w:rsidRPr="00842ABF" w:rsidRDefault="00460106" w:rsidP="00460106">
            <w:pPr>
              <w:spacing w:line="240" w:lineRule="auto"/>
              <w:jc w:val="right"/>
              <w:rPr>
                <w:sz w:val="14"/>
                <w:szCs w:val="14"/>
                <w:lang w:eastAsia="sl-SI"/>
              </w:rPr>
            </w:pPr>
            <w:r w:rsidRPr="00842ABF">
              <w:rPr>
                <w:sz w:val="14"/>
                <w:szCs w:val="14"/>
                <w:lang w:eastAsia="sl-SI"/>
              </w:rPr>
              <w:t>840</w:t>
            </w:r>
          </w:p>
        </w:tc>
        <w:tc>
          <w:tcPr>
            <w:tcW w:w="574" w:type="dxa"/>
            <w:tcBorders>
              <w:top w:val="nil"/>
              <w:left w:val="nil"/>
              <w:bottom w:val="single" w:sz="4" w:space="0" w:color="auto"/>
              <w:right w:val="single" w:sz="4" w:space="0" w:color="auto"/>
            </w:tcBorders>
            <w:shd w:val="clear" w:color="000000" w:fill="FFFFFF"/>
            <w:noWrap/>
            <w:vAlign w:val="center"/>
            <w:hideMark/>
          </w:tcPr>
          <w:p w14:paraId="372B2A7D" w14:textId="77777777" w:rsidR="00460106" w:rsidRPr="00842ABF" w:rsidRDefault="00460106" w:rsidP="00460106">
            <w:pPr>
              <w:spacing w:line="240" w:lineRule="auto"/>
              <w:jc w:val="right"/>
              <w:rPr>
                <w:sz w:val="14"/>
                <w:szCs w:val="14"/>
                <w:lang w:eastAsia="sl-SI"/>
              </w:rPr>
            </w:pPr>
            <w:r w:rsidRPr="00842ABF">
              <w:rPr>
                <w:sz w:val="14"/>
                <w:szCs w:val="14"/>
                <w:lang w:eastAsia="sl-SI"/>
              </w:rPr>
              <w:t>930</w:t>
            </w:r>
          </w:p>
        </w:tc>
      </w:tr>
      <w:tr w:rsidR="00460106" w:rsidRPr="00842ABF" w14:paraId="5AE60A08"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26AE10CD" w14:textId="77777777" w:rsidR="00460106" w:rsidRPr="00842ABF" w:rsidRDefault="00460106" w:rsidP="00460106">
            <w:pPr>
              <w:spacing w:line="240" w:lineRule="auto"/>
              <w:rPr>
                <w:sz w:val="14"/>
                <w:szCs w:val="14"/>
                <w:lang w:eastAsia="sl-SI"/>
              </w:rPr>
            </w:pPr>
            <w:r w:rsidRPr="00842ABF">
              <w:rPr>
                <w:sz w:val="14"/>
                <w:szCs w:val="14"/>
                <w:lang w:eastAsia="sl-SI"/>
              </w:rPr>
              <w:t>Race in racmani</w:t>
            </w:r>
          </w:p>
        </w:tc>
        <w:tc>
          <w:tcPr>
            <w:tcW w:w="763" w:type="dxa"/>
            <w:tcBorders>
              <w:top w:val="nil"/>
              <w:left w:val="nil"/>
              <w:bottom w:val="single" w:sz="4" w:space="0" w:color="auto"/>
              <w:right w:val="single" w:sz="4" w:space="0" w:color="auto"/>
            </w:tcBorders>
            <w:shd w:val="clear" w:color="000000" w:fill="FFFFFF"/>
            <w:noWrap/>
            <w:vAlign w:val="center"/>
            <w:hideMark/>
          </w:tcPr>
          <w:p w14:paraId="7EC7460F" w14:textId="77777777" w:rsidR="00460106" w:rsidRPr="00842ABF" w:rsidRDefault="00460106" w:rsidP="00460106">
            <w:pPr>
              <w:spacing w:line="240" w:lineRule="auto"/>
              <w:jc w:val="right"/>
              <w:rPr>
                <w:sz w:val="14"/>
                <w:szCs w:val="14"/>
                <w:lang w:eastAsia="sl-SI"/>
              </w:rPr>
            </w:pPr>
            <w:r w:rsidRPr="00842ABF">
              <w:rPr>
                <w:sz w:val="14"/>
                <w:szCs w:val="14"/>
                <w:lang w:eastAsia="sl-SI"/>
              </w:rPr>
              <w:t>19.534</w:t>
            </w:r>
          </w:p>
        </w:tc>
        <w:tc>
          <w:tcPr>
            <w:tcW w:w="763" w:type="dxa"/>
            <w:tcBorders>
              <w:top w:val="nil"/>
              <w:left w:val="nil"/>
              <w:bottom w:val="single" w:sz="4" w:space="0" w:color="auto"/>
              <w:right w:val="single" w:sz="4" w:space="0" w:color="auto"/>
            </w:tcBorders>
            <w:shd w:val="clear" w:color="000000" w:fill="FFFFFF"/>
            <w:noWrap/>
            <w:vAlign w:val="center"/>
            <w:hideMark/>
          </w:tcPr>
          <w:p w14:paraId="3DD7B97E" w14:textId="77777777" w:rsidR="00460106" w:rsidRPr="00842ABF" w:rsidRDefault="00460106" w:rsidP="00460106">
            <w:pPr>
              <w:spacing w:line="240" w:lineRule="auto"/>
              <w:jc w:val="right"/>
              <w:rPr>
                <w:sz w:val="14"/>
                <w:szCs w:val="14"/>
                <w:lang w:eastAsia="sl-SI"/>
              </w:rPr>
            </w:pPr>
            <w:r w:rsidRPr="00842ABF">
              <w:rPr>
                <w:sz w:val="14"/>
                <w:szCs w:val="14"/>
                <w:lang w:eastAsia="sl-SI"/>
              </w:rPr>
              <w:t>20.304</w:t>
            </w:r>
          </w:p>
        </w:tc>
        <w:tc>
          <w:tcPr>
            <w:tcW w:w="763" w:type="dxa"/>
            <w:tcBorders>
              <w:top w:val="nil"/>
              <w:left w:val="nil"/>
              <w:bottom w:val="single" w:sz="4" w:space="0" w:color="auto"/>
              <w:right w:val="single" w:sz="4" w:space="0" w:color="auto"/>
            </w:tcBorders>
            <w:shd w:val="clear" w:color="000000" w:fill="FFFFFF"/>
            <w:noWrap/>
            <w:vAlign w:val="center"/>
            <w:hideMark/>
          </w:tcPr>
          <w:p w14:paraId="17F3DCFC" w14:textId="77777777" w:rsidR="00460106" w:rsidRPr="00842ABF" w:rsidRDefault="00460106" w:rsidP="00460106">
            <w:pPr>
              <w:spacing w:line="240" w:lineRule="auto"/>
              <w:jc w:val="right"/>
              <w:rPr>
                <w:sz w:val="14"/>
                <w:szCs w:val="14"/>
                <w:lang w:eastAsia="sl-SI"/>
              </w:rPr>
            </w:pPr>
            <w:r w:rsidRPr="00842ABF">
              <w:rPr>
                <w:sz w:val="14"/>
                <w:szCs w:val="14"/>
                <w:lang w:eastAsia="sl-SI"/>
              </w:rPr>
              <w:t>18.498</w:t>
            </w:r>
          </w:p>
        </w:tc>
        <w:tc>
          <w:tcPr>
            <w:tcW w:w="763" w:type="dxa"/>
            <w:tcBorders>
              <w:top w:val="nil"/>
              <w:left w:val="nil"/>
              <w:bottom w:val="single" w:sz="4" w:space="0" w:color="auto"/>
              <w:right w:val="single" w:sz="4" w:space="0" w:color="auto"/>
            </w:tcBorders>
            <w:shd w:val="clear" w:color="000000" w:fill="FFFFFF"/>
            <w:noWrap/>
            <w:vAlign w:val="center"/>
            <w:hideMark/>
          </w:tcPr>
          <w:p w14:paraId="01716A98" w14:textId="77777777" w:rsidR="00460106" w:rsidRPr="00842ABF" w:rsidRDefault="00460106" w:rsidP="00460106">
            <w:pPr>
              <w:spacing w:line="240" w:lineRule="auto"/>
              <w:jc w:val="right"/>
              <w:rPr>
                <w:sz w:val="14"/>
                <w:szCs w:val="14"/>
                <w:lang w:eastAsia="sl-SI"/>
              </w:rPr>
            </w:pPr>
            <w:r w:rsidRPr="00842ABF">
              <w:rPr>
                <w:sz w:val="14"/>
                <w:szCs w:val="14"/>
                <w:lang w:eastAsia="sl-SI"/>
              </w:rPr>
              <w:t>15.058</w:t>
            </w:r>
          </w:p>
        </w:tc>
        <w:tc>
          <w:tcPr>
            <w:tcW w:w="763" w:type="dxa"/>
            <w:tcBorders>
              <w:top w:val="nil"/>
              <w:left w:val="nil"/>
              <w:bottom w:val="single" w:sz="4" w:space="0" w:color="auto"/>
              <w:right w:val="single" w:sz="4" w:space="0" w:color="auto"/>
            </w:tcBorders>
            <w:shd w:val="clear" w:color="000000" w:fill="FFFFFF"/>
            <w:noWrap/>
            <w:vAlign w:val="center"/>
            <w:hideMark/>
          </w:tcPr>
          <w:p w14:paraId="771301C9" w14:textId="77777777" w:rsidR="00460106" w:rsidRPr="00842ABF" w:rsidRDefault="00460106" w:rsidP="00460106">
            <w:pPr>
              <w:spacing w:line="240" w:lineRule="auto"/>
              <w:jc w:val="right"/>
              <w:rPr>
                <w:sz w:val="14"/>
                <w:szCs w:val="14"/>
                <w:lang w:eastAsia="sl-SI"/>
              </w:rPr>
            </w:pPr>
            <w:r w:rsidRPr="00842ABF">
              <w:rPr>
                <w:sz w:val="14"/>
                <w:szCs w:val="14"/>
                <w:lang w:eastAsia="sl-SI"/>
              </w:rPr>
              <w:t>16.280</w:t>
            </w:r>
          </w:p>
        </w:tc>
        <w:tc>
          <w:tcPr>
            <w:tcW w:w="763" w:type="dxa"/>
            <w:tcBorders>
              <w:top w:val="nil"/>
              <w:left w:val="nil"/>
              <w:bottom w:val="single" w:sz="4" w:space="0" w:color="auto"/>
              <w:right w:val="single" w:sz="4" w:space="0" w:color="auto"/>
            </w:tcBorders>
            <w:shd w:val="clear" w:color="000000" w:fill="FFFFFF"/>
            <w:noWrap/>
            <w:vAlign w:val="center"/>
            <w:hideMark/>
          </w:tcPr>
          <w:p w14:paraId="2F38818B" w14:textId="77777777" w:rsidR="00460106" w:rsidRPr="00842ABF" w:rsidRDefault="00460106" w:rsidP="00460106">
            <w:pPr>
              <w:spacing w:line="240" w:lineRule="auto"/>
              <w:jc w:val="right"/>
              <w:rPr>
                <w:sz w:val="14"/>
                <w:szCs w:val="14"/>
                <w:lang w:eastAsia="sl-SI"/>
              </w:rPr>
            </w:pPr>
            <w:r w:rsidRPr="00842ABF">
              <w:rPr>
                <w:sz w:val="14"/>
                <w:szCs w:val="14"/>
                <w:lang w:eastAsia="sl-SI"/>
              </w:rPr>
              <w:t>13.649</w:t>
            </w:r>
          </w:p>
        </w:tc>
        <w:tc>
          <w:tcPr>
            <w:tcW w:w="763" w:type="dxa"/>
            <w:tcBorders>
              <w:top w:val="nil"/>
              <w:left w:val="nil"/>
              <w:bottom w:val="single" w:sz="4" w:space="0" w:color="auto"/>
              <w:right w:val="single" w:sz="4" w:space="0" w:color="auto"/>
            </w:tcBorders>
            <w:shd w:val="clear" w:color="000000" w:fill="FFFFFF"/>
            <w:noWrap/>
            <w:vAlign w:val="center"/>
            <w:hideMark/>
          </w:tcPr>
          <w:p w14:paraId="25CE8ABD" w14:textId="77777777" w:rsidR="00460106" w:rsidRPr="00842ABF" w:rsidRDefault="00460106" w:rsidP="00460106">
            <w:pPr>
              <w:spacing w:line="240" w:lineRule="auto"/>
              <w:jc w:val="right"/>
              <w:rPr>
                <w:sz w:val="14"/>
                <w:szCs w:val="14"/>
                <w:lang w:eastAsia="sl-SI"/>
              </w:rPr>
            </w:pPr>
            <w:r w:rsidRPr="00842ABF">
              <w:rPr>
                <w:sz w:val="14"/>
                <w:szCs w:val="14"/>
                <w:lang w:eastAsia="sl-SI"/>
              </w:rPr>
              <w:t>22.555</w:t>
            </w:r>
          </w:p>
        </w:tc>
        <w:tc>
          <w:tcPr>
            <w:tcW w:w="639" w:type="dxa"/>
            <w:tcBorders>
              <w:top w:val="nil"/>
              <w:left w:val="nil"/>
              <w:bottom w:val="single" w:sz="4" w:space="0" w:color="auto"/>
              <w:right w:val="single" w:sz="4" w:space="0" w:color="auto"/>
            </w:tcBorders>
            <w:shd w:val="clear" w:color="000000" w:fill="FFFFFF"/>
            <w:noWrap/>
            <w:vAlign w:val="center"/>
            <w:hideMark/>
          </w:tcPr>
          <w:p w14:paraId="7FAD34F2" w14:textId="77777777" w:rsidR="00460106" w:rsidRPr="00842ABF" w:rsidRDefault="00460106" w:rsidP="00460106">
            <w:pPr>
              <w:spacing w:line="240" w:lineRule="auto"/>
              <w:jc w:val="right"/>
              <w:rPr>
                <w:sz w:val="14"/>
                <w:szCs w:val="14"/>
                <w:lang w:eastAsia="sl-SI"/>
              </w:rPr>
            </w:pPr>
            <w:r w:rsidRPr="00842ABF">
              <w:rPr>
                <w:sz w:val="14"/>
                <w:szCs w:val="14"/>
                <w:lang w:eastAsia="sl-SI"/>
              </w:rPr>
              <w:t>2.771</w:t>
            </w:r>
          </w:p>
        </w:tc>
        <w:tc>
          <w:tcPr>
            <w:tcW w:w="569" w:type="dxa"/>
            <w:tcBorders>
              <w:top w:val="nil"/>
              <w:left w:val="nil"/>
              <w:bottom w:val="single" w:sz="4" w:space="0" w:color="auto"/>
              <w:right w:val="single" w:sz="4" w:space="0" w:color="auto"/>
            </w:tcBorders>
            <w:shd w:val="clear" w:color="000000" w:fill="FFFFFF"/>
            <w:noWrap/>
            <w:vAlign w:val="center"/>
            <w:hideMark/>
          </w:tcPr>
          <w:p w14:paraId="32D52246" w14:textId="77777777" w:rsidR="00460106" w:rsidRPr="00842ABF" w:rsidRDefault="00460106" w:rsidP="00460106">
            <w:pPr>
              <w:spacing w:line="240" w:lineRule="auto"/>
              <w:jc w:val="right"/>
              <w:rPr>
                <w:sz w:val="14"/>
                <w:szCs w:val="14"/>
                <w:lang w:eastAsia="sl-SI"/>
              </w:rPr>
            </w:pPr>
            <w:r w:rsidRPr="00842ABF">
              <w:rPr>
                <w:sz w:val="14"/>
                <w:szCs w:val="14"/>
                <w:lang w:eastAsia="sl-SI"/>
              </w:rPr>
              <w:t>2.373</w:t>
            </w:r>
          </w:p>
        </w:tc>
        <w:tc>
          <w:tcPr>
            <w:tcW w:w="569" w:type="dxa"/>
            <w:tcBorders>
              <w:top w:val="nil"/>
              <w:left w:val="nil"/>
              <w:bottom w:val="single" w:sz="4" w:space="0" w:color="auto"/>
              <w:right w:val="single" w:sz="4" w:space="0" w:color="auto"/>
            </w:tcBorders>
            <w:shd w:val="clear" w:color="000000" w:fill="FFFFFF"/>
            <w:noWrap/>
            <w:vAlign w:val="center"/>
            <w:hideMark/>
          </w:tcPr>
          <w:p w14:paraId="3590A2BC" w14:textId="77777777" w:rsidR="00460106" w:rsidRPr="00842ABF" w:rsidRDefault="00460106" w:rsidP="00460106">
            <w:pPr>
              <w:spacing w:line="240" w:lineRule="auto"/>
              <w:jc w:val="right"/>
              <w:rPr>
                <w:sz w:val="14"/>
                <w:szCs w:val="14"/>
                <w:lang w:eastAsia="sl-SI"/>
              </w:rPr>
            </w:pPr>
            <w:r w:rsidRPr="00842ABF">
              <w:rPr>
                <w:sz w:val="14"/>
                <w:szCs w:val="14"/>
                <w:lang w:eastAsia="sl-SI"/>
              </w:rPr>
              <w:t>2.582</w:t>
            </w:r>
          </w:p>
        </w:tc>
        <w:tc>
          <w:tcPr>
            <w:tcW w:w="569" w:type="dxa"/>
            <w:tcBorders>
              <w:top w:val="nil"/>
              <w:left w:val="nil"/>
              <w:bottom w:val="single" w:sz="4" w:space="0" w:color="auto"/>
              <w:right w:val="single" w:sz="4" w:space="0" w:color="auto"/>
            </w:tcBorders>
            <w:shd w:val="clear" w:color="000000" w:fill="FFFFFF"/>
            <w:noWrap/>
            <w:vAlign w:val="center"/>
            <w:hideMark/>
          </w:tcPr>
          <w:p w14:paraId="08BFCED5" w14:textId="77777777" w:rsidR="00460106" w:rsidRPr="00842ABF" w:rsidRDefault="00460106" w:rsidP="00460106">
            <w:pPr>
              <w:spacing w:line="240" w:lineRule="auto"/>
              <w:jc w:val="right"/>
              <w:rPr>
                <w:sz w:val="14"/>
                <w:szCs w:val="14"/>
                <w:lang w:eastAsia="sl-SI"/>
              </w:rPr>
            </w:pPr>
            <w:r w:rsidRPr="00842ABF">
              <w:rPr>
                <w:sz w:val="14"/>
                <w:szCs w:val="14"/>
                <w:lang w:eastAsia="sl-SI"/>
              </w:rPr>
              <w:t>2.055</w:t>
            </w:r>
          </w:p>
        </w:tc>
        <w:tc>
          <w:tcPr>
            <w:tcW w:w="569" w:type="dxa"/>
            <w:tcBorders>
              <w:top w:val="nil"/>
              <w:left w:val="nil"/>
              <w:bottom w:val="single" w:sz="4" w:space="0" w:color="auto"/>
              <w:right w:val="single" w:sz="4" w:space="0" w:color="auto"/>
            </w:tcBorders>
            <w:shd w:val="clear" w:color="000000" w:fill="FFFFFF"/>
            <w:noWrap/>
            <w:vAlign w:val="center"/>
            <w:hideMark/>
          </w:tcPr>
          <w:p w14:paraId="416E6E43" w14:textId="77777777" w:rsidR="00460106" w:rsidRPr="00842ABF" w:rsidRDefault="00460106" w:rsidP="00460106">
            <w:pPr>
              <w:spacing w:line="240" w:lineRule="auto"/>
              <w:jc w:val="right"/>
              <w:rPr>
                <w:sz w:val="14"/>
                <w:szCs w:val="14"/>
                <w:lang w:eastAsia="sl-SI"/>
              </w:rPr>
            </w:pPr>
            <w:r w:rsidRPr="00842ABF">
              <w:rPr>
                <w:sz w:val="14"/>
                <w:szCs w:val="14"/>
                <w:lang w:eastAsia="sl-SI"/>
              </w:rPr>
              <w:t>2.382</w:t>
            </w:r>
          </w:p>
        </w:tc>
        <w:tc>
          <w:tcPr>
            <w:tcW w:w="569" w:type="dxa"/>
            <w:tcBorders>
              <w:top w:val="nil"/>
              <w:left w:val="nil"/>
              <w:bottom w:val="single" w:sz="4" w:space="0" w:color="auto"/>
              <w:right w:val="single" w:sz="4" w:space="0" w:color="auto"/>
            </w:tcBorders>
            <w:shd w:val="clear" w:color="000000" w:fill="FFFFFF"/>
            <w:noWrap/>
            <w:vAlign w:val="center"/>
            <w:hideMark/>
          </w:tcPr>
          <w:p w14:paraId="4488D29C" w14:textId="77777777" w:rsidR="00460106" w:rsidRPr="00842ABF" w:rsidRDefault="00460106" w:rsidP="00460106">
            <w:pPr>
              <w:spacing w:line="240" w:lineRule="auto"/>
              <w:jc w:val="right"/>
              <w:rPr>
                <w:sz w:val="14"/>
                <w:szCs w:val="14"/>
                <w:lang w:eastAsia="sl-SI"/>
              </w:rPr>
            </w:pPr>
            <w:r w:rsidRPr="00842ABF">
              <w:rPr>
                <w:sz w:val="14"/>
                <w:szCs w:val="14"/>
                <w:lang w:eastAsia="sl-SI"/>
              </w:rPr>
              <w:t>2.808</w:t>
            </w:r>
          </w:p>
        </w:tc>
        <w:tc>
          <w:tcPr>
            <w:tcW w:w="574" w:type="dxa"/>
            <w:tcBorders>
              <w:top w:val="nil"/>
              <w:left w:val="nil"/>
              <w:bottom w:val="single" w:sz="4" w:space="0" w:color="auto"/>
              <w:right w:val="single" w:sz="4" w:space="0" w:color="auto"/>
            </w:tcBorders>
            <w:shd w:val="clear" w:color="000000" w:fill="FFFFFF"/>
            <w:noWrap/>
            <w:vAlign w:val="center"/>
            <w:hideMark/>
          </w:tcPr>
          <w:p w14:paraId="50049572" w14:textId="77777777" w:rsidR="00460106" w:rsidRPr="00842ABF" w:rsidRDefault="00460106" w:rsidP="00460106">
            <w:pPr>
              <w:spacing w:line="240" w:lineRule="auto"/>
              <w:jc w:val="right"/>
              <w:rPr>
                <w:sz w:val="14"/>
                <w:szCs w:val="14"/>
                <w:lang w:eastAsia="sl-SI"/>
              </w:rPr>
            </w:pPr>
            <w:r w:rsidRPr="00842ABF">
              <w:rPr>
                <w:sz w:val="14"/>
                <w:szCs w:val="14"/>
                <w:lang w:eastAsia="sl-SI"/>
              </w:rPr>
              <w:t>3.736</w:t>
            </w:r>
          </w:p>
        </w:tc>
      </w:tr>
      <w:tr w:rsidR="00460106" w:rsidRPr="00842ABF" w14:paraId="3D7CF9EA"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461BCA05" w14:textId="77777777" w:rsidR="00460106" w:rsidRPr="00842ABF" w:rsidRDefault="00460106" w:rsidP="00460106">
            <w:pPr>
              <w:spacing w:line="240" w:lineRule="auto"/>
              <w:rPr>
                <w:sz w:val="14"/>
                <w:szCs w:val="14"/>
                <w:lang w:eastAsia="sl-SI"/>
              </w:rPr>
            </w:pPr>
            <w:r w:rsidRPr="00842ABF">
              <w:rPr>
                <w:sz w:val="14"/>
                <w:szCs w:val="14"/>
                <w:lang w:eastAsia="sl-SI"/>
              </w:rPr>
              <w:t>Pegatke</w:t>
            </w:r>
          </w:p>
        </w:tc>
        <w:tc>
          <w:tcPr>
            <w:tcW w:w="763" w:type="dxa"/>
            <w:tcBorders>
              <w:top w:val="nil"/>
              <w:left w:val="nil"/>
              <w:bottom w:val="single" w:sz="4" w:space="0" w:color="auto"/>
              <w:right w:val="single" w:sz="4" w:space="0" w:color="auto"/>
            </w:tcBorders>
            <w:shd w:val="clear" w:color="000000" w:fill="FFFFFF"/>
            <w:noWrap/>
            <w:vAlign w:val="center"/>
            <w:hideMark/>
          </w:tcPr>
          <w:p w14:paraId="3321F7FC" w14:textId="77777777" w:rsidR="00460106" w:rsidRPr="00842ABF" w:rsidRDefault="00460106" w:rsidP="00460106">
            <w:pPr>
              <w:spacing w:line="240" w:lineRule="auto"/>
              <w:jc w:val="right"/>
              <w:rPr>
                <w:sz w:val="14"/>
                <w:szCs w:val="14"/>
                <w:lang w:eastAsia="sl-SI"/>
              </w:rPr>
            </w:pPr>
            <w:r w:rsidRPr="00842ABF">
              <w:rPr>
                <w:sz w:val="14"/>
                <w:szCs w:val="14"/>
                <w:lang w:eastAsia="sl-SI"/>
              </w:rPr>
              <w:t>706</w:t>
            </w:r>
          </w:p>
        </w:tc>
        <w:tc>
          <w:tcPr>
            <w:tcW w:w="763" w:type="dxa"/>
            <w:tcBorders>
              <w:top w:val="nil"/>
              <w:left w:val="nil"/>
              <w:bottom w:val="single" w:sz="4" w:space="0" w:color="auto"/>
              <w:right w:val="single" w:sz="4" w:space="0" w:color="auto"/>
            </w:tcBorders>
            <w:shd w:val="clear" w:color="000000" w:fill="FFFFFF"/>
            <w:noWrap/>
            <w:vAlign w:val="center"/>
            <w:hideMark/>
          </w:tcPr>
          <w:p w14:paraId="3933540A" w14:textId="77777777" w:rsidR="00460106" w:rsidRPr="00842ABF" w:rsidRDefault="00460106" w:rsidP="00460106">
            <w:pPr>
              <w:spacing w:line="240" w:lineRule="auto"/>
              <w:jc w:val="right"/>
              <w:rPr>
                <w:sz w:val="14"/>
                <w:szCs w:val="14"/>
                <w:lang w:eastAsia="sl-SI"/>
              </w:rPr>
            </w:pPr>
            <w:r w:rsidRPr="00842ABF">
              <w:rPr>
                <w:sz w:val="14"/>
                <w:szCs w:val="14"/>
                <w:lang w:eastAsia="sl-SI"/>
              </w:rPr>
              <w:t>1.037</w:t>
            </w:r>
          </w:p>
        </w:tc>
        <w:tc>
          <w:tcPr>
            <w:tcW w:w="763" w:type="dxa"/>
            <w:tcBorders>
              <w:top w:val="nil"/>
              <w:left w:val="nil"/>
              <w:bottom w:val="single" w:sz="4" w:space="0" w:color="auto"/>
              <w:right w:val="single" w:sz="4" w:space="0" w:color="auto"/>
            </w:tcBorders>
            <w:shd w:val="clear" w:color="000000" w:fill="FFFFFF"/>
            <w:noWrap/>
            <w:vAlign w:val="center"/>
            <w:hideMark/>
          </w:tcPr>
          <w:p w14:paraId="012BE724" w14:textId="77777777" w:rsidR="00460106" w:rsidRPr="00842ABF" w:rsidRDefault="00460106" w:rsidP="00460106">
            <w:pPr>
              <w:spacing w:line="240" w:lineRule="auto"/>
              <w:jc w:val="right"/>
              <w:rPr>
                <w:sz w:val="14"/>
                <w:szCs w:val="14"/>
                <w:lang w:eastAsia="sl-SI"/>
              </w:rPr>
            </w:pPr>
            <w:r w:rsidRPr="00842ABF">
              <w:rPr>
                <w:sz w:val="14"/>
                <w:szCs w:val="14"/>
                <w:lang w:eastAsia="sl-SI"/>
              </w:rPr>
              <w:t>686</w:t>
            </w:r>
          </w:p>
        </w:tc>
        <w:tc>
          <w:tcPr>
            <w:tcW w:w="763" w:type="dxa"/>
            <w:tcBorders>
              <w:top w:val="nil"/>
              <w:left w:val="nil"/>
              <w:bottom w:val="single" w:sz="4" w:space="0" w:color="auto"/>
              <w:right w:val="single" w:sz="4" w:space="0" w:color="auto"/>
            </w:tcBorders>
            <w:shd w:val="clear" w:color="000000" w:fill="FFFFFF"/>
            <w:noWrap/>
            <w:vAlign w:val="center"/>
            <w:hideMark/>
          </w:tcPr>
          <w:p w14:paraId="0C4F0BF3" w14:textId="77777777" w:rsidR="00460106" w:rsidRPr="00842ABF" w:rsidRDefault="00460106" w:rsidP="00460106">
            <w:pPr>
              <w:spacing w:line="240" w:lineRule="auto"/>
              <w:jc w:val="right"/>
              <w:rPr>
                <w:sz w:val="14"/>
                <w:szCs w:val="14"/>
                <w:lang w:eastAsia="sl-SI"/>
              </w:rPr>
            </w:pPr>
            <w:r w:rsidRPr="00842ABF">
              <w:rPr>
                <w:sz w:val="14"/>
                <w:szCs w:val="14"/>
                <w:lang w:eastAsia="sl-SI"/>
              </w:rPr>
              <w:t>374</w:t>
            </w:r>
          </w:p>
        </w:tc>
        <w:tc>
          <w:tcPr>
            <w:tcW w:w="763" w:type="dxa"/>
            <w:tcBorders>
              <w:top w:val="nil"/>
              <w:left w:val="nil"/>
              <w:bottom w:val="single" w:sz="4" w:space="0" w:color="auto"/>
              <w:right w:val="single" w:sz="4" w:space="0" w:color="auto"/>
            </w:tcBorders>
            <w:shd w:val="clear" w:color="000000" w:fill="FFFFFF"/>
            <w:noWrap/>
            <w:vAlign w:val="center"/>
            <w:hideMark/>
          </w:tcPr>
          <w:p w14:paraId="4F8A21C6" w14:textId="77777777" w:rsidR="00460106" w:rsidRPr="00842ABF" w:rsidRDefault="00460106" w:rsidP="00460106">
            <w:pPr>
              <w:spacing w:line="240" w:lineRule="auto"/>
              <w:jc w:val="right"/>
              <w:rPr>
                <w:sz w:val="14"/>
                <w:szCs w:val="14"/>
                <w:lang w:eastAsia="sl-SI"/>
              </w:rPr>
            </w:pPr>
            <w:r w:rsidRPr="00842ABF">
              <w:rPr>
                <w:sz w:val="14"/>
                <w:szCs w:val="14"/>
                <w:lang w:eastAsia="sl-SI"/>
              </w:rPr>
              <w:t>574</w:t>
            </w:r>
          </w:p>
        </w:tc>
        <w:tc>
          <w:tcPr>
            <w:tcW w:w="763" w:type="dxa"/>
            <w:tcBorders>
              <w:top w:val="nil"/>
              <w:left w:val="nil"/>
              <w:bottom w:val="single" w:sz="4" w:space="0" w:color="auto"/>
              <w:right w:val="single" w:sz="4" w:space="0" w:color="auto"/>
            </w:tcBorders>
            <w:shd w:val="clear" w:color="000000" w:fill="FFFFFF"/>
            <w:noWrap/>
            <w:vAlign w:val="center"/>
            <w:hideMark/>
          </w:tcPr>
          <w:p w14:paraId="013E8CA0" w14:textId="77777777" w:rsidR="00460106" w:rsidRPr="00842ABF" w:rsidRDefault="00460106" w:rsidP="00460106">
            <w:pPr>
              <w:spacing w:line="240" w:lineRule="auto"/>
              <w:jc w:val="right"/>
              <w:rPr>
                <w:sz w:val="14"/>
                <w:szCs w:val="14"/>
                <w:lang w:eastAsia="sl-SI"/>
              </w:rPr>
            </w:pPr>
            <w:r w:rsidRPr="00842ABF">
              <w:rPr>
                <w:sz w:val="14"/>
                <w:szCs w:val="14"/>
                <w:lang w:eastAsia="sl-SI"/>
              </w:rPr>
              <w:t>723</w:t>
            </w:r>
          </w:p>
        </w:tc>
        <w:tc>
          <w:tcPr>
            <w:tcW w:w="763" w:type="dxa"/>
            <w:tcBorders>
              <w:top w:val="nil"/>
              <w:left w:val="nil"/>
              <w:bottom w:val="single" w:sz="4" w:space="0" w:color="auto"/>
              <w:right w:val="single" w:sz="4" w:space="0" w:color="auto"/>
            </w:tcBorders>
            <w:shd w:val="clear" w:color="000000" w:fill="FFFFFF"/>
            <w:noWrap/>
            <w:vAlign w:val="center"/>
            <w:hideMark/>
          </w:tcPr>
          <w:p w14:paraId="57A59045" w14:textId="77777777" w:rsidR="00460106" w:rsidRPr="00842ABF" w:rsidRDefault="00460106" w:rsidP="00460106">
            <w:pPr>
              <w:spacing w:line="240" w:lineRule="auto"/>
              <w:jc w:val="right"/>
              <w:rPr>
                <w:sz w:val="14"/>
                <w:szCs w:val="14"/>
                <w:lang w:eastAsia="sl-SI"/>
              </w:rPr>
            </w:pPr>
            <w:r w:rsidRPr="00842ABF">
              <w:rPr>
                <w:sz w:val="14"/>
                <w:szCs w:val="14"/>
                <w:lang w:eastAsia="sl-SI"/>
              </w:rPr>
              <w:t>996</w:t>
            </w:r>
          </w:p>
        </w:tc>
        <w:tc>
          <w:tcPr>
            <w:tcW w:w="639" w:type="dxa"/>
            <w:tcBorders>
              <w:top w:val="nil"/>
              <w:left w:val="nil"/>
              <w:bottom w:val="single" w:sz="4" w:space="0" w:color="auto"/>
              <w:right w:val="single" w:sz="4" w:space="0" w:color="auto"/>
            </w:tcBorders>
            <w:shd w:val="clear" w:color="000000" w:fill="FFFFFF"/>
            <w:noWrap/>
            <w:vAlign w:val="center"/>
            <w:hideMark/>
          </w:tcPr>
          <w:p w14:paraId="059C7F1D" w14:textId="77777777" w:rsidR="00460106" w:rsidRPr="00842ABF" w:rsidRDefault="00460106" w:rsidP="00460106">
            <w:pPr>
              <w:spacing w:line="240" w:lineRule="auto"/>
              <w:jc w:val="right"/>
              <w:rPr>
                <w:sz w:val="14"/>
                <w:szCs w:val="14"/>
                <w:lang w:eastAsia="sl-SI"/>
              </w:rPr>
            </w:pPr>
            <w:r w:rsidRPr="00842ABF">
              <w:rPr>
                <w:sz w:val="14"/>
                <w:szCs w:val="14"/>
                <w:lang w:eastAsia="sl-SI"/>
              </w:rPr>
              <w:t>188</w:t>
            </w:r>
          </w:p>
        </w:tc>
        <w:tc>
          <w:tcPr>
            <w:tcW w:w="569" w:type="dxa"/>
            <w:tcBorders>
              <w:top w:val="nil"/>
              <w:left w:val="nil"/>
              <w:bottom w:val="single" w:sz="4" w:space="0" w:color="auto"/>
              <w:right w:val="single" w:sz="4" w:space="0" w:color="auto"/>
            </w:tcBorders>
            <w:shd w:val="clear" w:color="000000" w:fill="FFFFFF"/>
            <w:noWrap/>
            <w:vAlign w:val="center"/>
            <w:hideMark/>
          </w:tcPr>
          <w:p w14:paraId="5FC52485" w14:textId="77777777" w:rsidR="00460106" w:rsidRPr="00842ABF" w:rsidRDefault="00460106" w:rsidP="00460106">
            <w:pPr>
              <w:spacing w:line="240" w:lineRule="auto"/>
              <w:jc w:val="right"/>
              <w:rPr>
                <w:sz w:val="14"/>
                <w:szCs w:val="14"/>
                <w:lang w:eastAsia="sl-SI"/>
              </w:rPr>
            </w:pPr>
            <w:r w:rsidRPr="00842ABF">
              <w:rPr>
                <w:sz w:val="14"/>
                <w:szCs w:val="14"/>
                <w:lang w:eastAsia="sl-SI"/>
              </w:rPr>
              <w:t>241</w:t>
            </w:r>
          </w:p>
        </w:tc>
        <w:tc>
          <w:tcPr>
            <w:tcW w:w="569" w:type="dxa"/>
            <w:tcBorders>
              <w:top w:val="nil"/>
              <w:left w:val="nil"/>
              <w:bottom w:val="single" w:sz="4" w:space="0" w:color="auto"/>
              <w:right w:val="single" w:sz="4" w:space="0" w:color="auto"/>
            </w:tcBorders>
            <w:shd w:val="clear" w:color="000000" w:fill="FFFFFF"/>
            <w:noWrap/>
            <w:vAlign w:val="center"/>
            <w:hideMark/>
          </w:tcPr>
          <w:p w14:paraId="2916E9DE" w14:textId="77777777" w:rsidR="00460106" w:rsidRPr="00842ABF" w:rsidRDefault="00460106" w:rsidP="00460106">
            <w:pPr>
              <w:spacing w:line="240" w:lineRule="auto"/>
              <w:jc w:val="right"/>
              <w:rPr>
                <w:sz w:val="14"/>
                <w:szCs w:val="14"/>
                <w:lang w:eastAsia="sl-SI"/>
              </w:rPr>
            </w:pPr>
            <w:r w:rsidRPr="00842ABF">
              <w:rPr>
                <w:sz w:val="14"/>
                <w:szCs w:val="14"/>
                <w:lang w:eastAsia="sl-SI"/>
              </w:rPr>
              <w:t>166</w:t>
            </w:r>
          </w:p>
        </w:tc>
        <w:tc>
          <w:tcPr>
            <w:tcW w:w="569" w:type="dxa"/>
            <w:tcBorders>
              <w:top w:val="nil"/>
              <w:left w:val="nil"/>
              <w:bottom w:val="single" w:sz="4" w:space="0" w:color="auto"/>
              <w:right w:val="single" w:sz="4" w:space="0" w:color="auto"/>
            </w:tcBorders>
            <w:shd w:val="clear" w:color="000000" w:fill="FFFFFF"/>
            <w:noWrap/>
            <w:vAlign w:val="center"/>
            <w:hideMark/>
          </w:tcPr>
          <w:p w14:paraId="6F16C489" w14:textId="77777777" w:rsidR="00460106" w:rsidRPr="00842ABF" w:rsidRDefault="00460106" w:rsidP="00460106">
            <w:pPr>
              <w:spacing w:line="240" w:lineRule="auto"/>
              <w:jc w:val="right"/>
              <w:rPr>
                <w:sz w:val="14"/>
                <w:szCs w:val="14"/>
                <w:lang w:eastAsia="sl-SI"/>
              </w:rPr>
            </w:pPr>
            <w:r w:rsidRPr="00842ABF">
              <w:rPr>
                <w:sz w:val="14"/>
                <w:szCs w:val="14"/>
                <w:lang w:eastAsia="sl-SI"/>
              </w:rPr>
              <w:t>100</w:t>
            </w:r>
          </w:p>
        </w:tc>
        <w:tc>
          <w:tcPr>
            <w:tcW w:w="569" w:type="dxa"/>
            <w:tcBorders>
              <w:top w:val="nil"/>
              <w:left w:val="nil"/>
              <w:bottom w:val="single" w:sz="4" w:space="0" w:color="auto"/>
              <w:right w:val="single" w:sz="4" w:space="0" w:color="auto"/>
            </w:tcBorders>
            <w:shd w:val="clear" w:color="000000" w:fill="FFFFFF"/>
            <w:noWrap/>
            <w:vAlign w:val="center"/>
            <w:hideMark/>
          </w:tcPr>
          <w:p w14:paraId="577EA245" w14:textId="77777777" w:rsidR="00460106" w:rsidRPr="00842ABF" w:rsidRDefault="00460106" w:rsidP="00460106">
            <w:pPr>
              <w:spacing w:line="240" w:lineRule="auto"/>
              <w:jc w:val="right"/>
              <w:rPr>
                <w:sz w:val="14"/>
                <w:szCs w:val="14"/>
                <w:lang w:eastAsia="sl-SI"/>
              </w:rPr>
            </w:pPr>
            <w:r w:rsidRPr="00842ABF">
              <w:rPr>
                <w:sz w:val="14"/>
                <w:szCs w:val="14"/>
                <w:lang w:eastAsia="sl-SI"/>
              </w:rPr>
              <w:t>130</w:t>
            </w:r>
          </w:p>
        </w:tc>
        <w:tc>
          <w:tcPr>
            <w:tcW w:w="569" w:type="dxa"/>
            <w:tcBorders>
              <w:top w:val="nil"/>
              <w:left w:val="nil"/>
              <w:bottom w:val="single" w:sz="4" w:space="0" w:color="auto"/>
              <w:right w:val="single" w:sz="4" w:space="0" w:color="auto"/>
            </w:tcBorders>
            <w:shd w:val="clear" w:color="000000" w:fill="FFFFFF"/>
            <w:noWrap/>
            <w:vAlign w:val="center"/>
            <w:hideMark/>
          </w:tcPr>
          <w:p w14:paraId="30241D7D" w14:textId="77777777" w:rsidR="00460106" w:rsidRPr="00842ABF" w:rsidRDefault="00460106" w:rsidP="00460106">
            <w:pPr>
              <w:spacing w:line="240" w:lineRule="auto"/>
              <w:jc w:val="right"/>
              <w:rPr>
                <w:sz w:val="14"/>
                <w:szCs w:val="14"/>
                <w:lang w:eastAsia="sl-SI"/>
              </w:rPr>
            </w:pPr>
            <w:r w:rsidRPr="00842ABF">
              <w:rPr>
                <w:sz w:val="14"/>
                <w:szCs w:val="14"/>
                <w:lang w:eastAsia="sl-SI"/>
              </w:rPr>
              <w:t>196</w:t>
            </w:r>
          </w:p>
        </w:tc>
        <w:tc>
          <w:tcPr>
            <w:tcW w:w="574" w:type="dxa"/>
            <w:tcBorders>
              <w:top w:val="nil"/>
              <w:left w:val="nil"/>
              <w:bottom w:val="single" w:sz="4" w:space="0" w:color="auto"/>
              <w:right w:val="single" w:sz="4" w:space="0" w:color="auto"/>
            </w:tcBorders>
            <w:shd w:val="clear" w:color="000000" w:fill="FFFFFF"/>
            <w:noWrap/>
            <w:vAlign w:val="center"/>
            <w:hideMark/>
          </w:tcPr>
          <w:p w14:paraId="748C17E1" w14:textId="77777777" w:rsidR="00460106" w:rsidRPr="00842ABF" w:rsidRDefault="00460106" w:rsidP="00460106">
            <w:pPr>
              <w:spacing w:line="240" w:lineRule="auto"/>
              <w:jc w:val="right"/>
              <w:rPr>
                <w:sz w:val="14"/>
                <w:szCs w:val="14"/>
                <w:lang w:eastAsia="sl-SI"/>
              </w:rPr>
            </w:pPr>
            <w:r w:rsidRPr="00842ABF">
              <w:rPr>
                <w:sz w:val="14"/>
                <w:szCs w:val="14"/>
                <w:lang w:eastAsia="sl-SI"/>
              </w:rPr>
              <w:t>290</w:t>
            </w:r>
          </w:p>
        </w:tc>
      </w:tr>
      <w:tr w:rsidR="00460106" w:rsidRPr="00842ABF" w14:paraId="0D0D972A"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7E8C647D" w14:textId="77777777" w:rsidR="00460106" w:rsidRPr="00842ABF" w:rsidRDefault="00460106" w:rsidP="00460106">
            <w:pPr>
              <w:spacing w:line="240" w:lineRule="auto"/>
              <w:rPr>
                <w:sz w:val="14"/>
                <w:szCs w:val="14"/>
                <w:lang w:eastAsia="sl-SI"/>
              </w:rPr>
            </w:pPr>
            <w:r w:rsidRPr="00842ABF">
              <w:rPr>
                <w:sz w:val="14"/>
                <w:szCs w:val="14"/>
                <w:lang w:eastAsia="sl-SI"/>
              </w:rPr>
              <w:t>Noji</w:t>
            </w:r>
          </w:p>
        </w:tc>
        <w:tc>
          <w:tcPr>
            <w:tcW w:w="763" w:type="dxa"/>
            <w:tcBorders>
              <w:top w:val="nil"/>
              <w:left w:val="nil"/>
              <w:bottom w:val="single" w:sz="4" w:space="0" w:color="auto"/>
              <w:right w:val="single" w:sz="4" w:space="0" w:color="auto"/>
            </w:tcBorders>
            <w:shd w:val="clear" w:color="000000" w:fill="FFFFFF"/>
            <w:noWrap/>
            <w:vAlign w:val="center"/>
            <w:hideMark/>
          </w:tcPr>
          <w:p w14:paraId="6AF8117C" w14:textId="77777777" w:rsidR="00460106" w:rsidRPr="00842ABF" w:rsidRDefault="00460106" w:rsidP="00460106">
            <w:pPr>
              <w:spacing w:line="240" w:lineRule="auto"/>
              <w:jc w:val="right"/>
              <w:rPr>
                <w:sz w:val="14"/>
                <w:szCs w:val="14"/>
                <w:lang w:eastAsia="sl-SI"/>
              </w:rPr>
            </w:pPr>
            <w:r w:rsidRPr="00842ABF">
              <w:rPr>
                <w:sz w:val="14"/>
                <w:szCs w:val="14"/>
                <w:lang w:eastAsia="sl-SI"/>
              </w:rPr>
              <w:t>1.086</w:t>
            </w:r>
          </w:p>
        </w:tc>
        <w:tc>
          <w:tcPr>
            <w:tcW w:w="763" w:type="dxa"/>
            <w:tcBorders>
              <w:top w:val="nil"/>
              <w:left w:val="nil"/>
              <w:bottom w:val="single" w:sz="4" w:space="0" w:color="auto"/>
              <w:right w:val="single" w:sz="4" w:space="0" w:color="auto"/>
            </w:tcBorders>
            <w:shd w:val="clear" w:color="000000" w:fill="FFFFFF"/>
            <w:noWrap/>
            <w:vAlign w:val="center"/>
            <w:hideMark/>
          </w:tcPr>
          <w:p w14:paraId="49C3A879" w14:textId="77777777" w:rsidR="00460106" w:rsidRPr="00842ABF" w:rsidRDefault="00460106" w:rsidP="00460106">
            <w:pPr>
              <w:spacing w:line="240" w:lineRule="auto"/>
              <w:jc w:val="right"/>
              <w:rPr>
                <w:sz w:val="14"/>
                <w:szCs w:val="14"/>
                <w:lang w:eastAsia="sl-SI"/>
              </w:rPr>
            </w:pPr>
            <w:r w:rsidRPr="00842ABF">
              <w:rPr>
                <w:sz w:val="14"/>
                <w:szCs w:val="14"/>
                <w:lang w:eastAsia="sl-SI"/>
              </w:rPr>
              <w:t>320</w:t>
            </w:r>
          </w:p>
        </w:tc>
        <w:tc>
          <w:tcPr>
            <w:tcW w:w="763" w:type="dxa"/>
            <w:tcBorders>
              <w:top w:val="nil"/>
              <w:left w:val="nil"/>
              <w:bottom w:val="single" w:sz="4" w:space="0" w:color="auto"/>
              <w:right w:val="single" w:sz="4" w:space="0" w:color="auto"/>
            </w:tcBorders>
            <w:shd w:val="clear" w:color="000000" w:fill="FFFFFF"/>
            <w:noWrap/>
            <w:vAlign w:val="center"/>
            <w:hideMark/>
          </w:tcPr>
          <w:p w14:paraId="72230F7B" w14:textId="77777777" w:rsidR="00460106" w:rsidRPr="00842ABF" w:rsidRDefault="00460106" w:rsidP="00460106">
            <w:pPr>
              <w:spacing w:line="240" w:lineRule="auto"/>
              <w:jc w:val="right"/>
              <w:rPr>
                <w:sz w:val="14"/>
                <w:szCs w:val="14"/>
                <w:lang w:eastAsia="sl-SI"/>
              </w:rPr>
            </w:pPr>
            <w:r w:rsidRPr="00842ABF">
              <w:rPr>
                <w:sz w:val="14"/>
                <w:szCs w:val="14"/>
                <w:lang w:eastAsia="sl-SI"/>
              </w:rPr>
              <w:t>276</w:t>
            </w:r>
          </w:p>
        </w:tc>
        <w:tc>
          <w:tcPr>
            <w:tcW w:w="763" w:type="dxa"/>
            <w:tcBorders>
              <w:top w:val="nil"/>
              <w:left w:val="nil"/>
              <w:bottom w:val="single" w:sz="4" w:space="0" w:color="auto"/>
              <w:right w:val="single" w:sz="4" w:space="0" w:color="auto"/>
            </w:tcBorders>
            <w:shd w:val="clear" w:color="000000" w:fill="FFFFFF"/>
            <w:noWrap/>
            <w:vAlign w:val="center"/>
            <w:hideMark/>
          </w:tcPr>
          <w:p w14:paraId="4615E69B" w14:textId="77777777" w:rsidR="00460106" w:rsidRPr="00842ABF" w:rsidRDefault="00460106" w:rsidP="00460106">
            <w:pPr>
              <w:spacing w:line="240" w:lineRule="auto"/>
              <w:jc w:val="right"/>
              <w:rPr>
                <w:sz w:val="14"/>
                <w:szCs w:val="14"/>
                <w:lang w:eastAsia="sl-SI"/>
              </w:rPr>
            </w:pPr>
            <w:r w:rsidRPr="00842ABF">
              <w:rPr>
                <w:sz w:val="14"/>
                <w:szCs w:val="14"/>
                <w:lang w:eastAsia="sl-SI"/>
              </w:rPr>
              <w:t>249</w:t>
            </w:r>
          </w:p>
        </w:tc>
        <w:tc>
          <w:tcPr>
            <w:tcW w:w="763" w:type="dxa"/>
            <w:tcBorders>
              <w:top w:val="nil"/>
              <w:left w:val="nil"/>
              <w:bottom w:val="single" w:sz="4" w:space="0" w:color="auto"/>
              <w:right w:val="single" w:sz="4" w:space="0" w:color="auto"/>
            </w:tcBorders>
            <w:shd w:val="clear" w:color="000000" w:fill="FFFFFF"/>
            <w:noWrap/>
            <w:vAlign w:val="center"/>
            <w:hideMark/>
          </w:tcPr>
          <w:p w14:paraId="513CAB23"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c>
          <w:tcPr>
            <w:tcW w:w="763" w:type="dxa"/>
            <w:tcBorders>
              <w:top w:val="nil"/>
              <w:left w:val="nil"/>
              <w:bottom w:val="single" w:sz="4" w:space="0" w:color="auto"/>
              <w:right w:val="single" w:sz="4" w:space="0" w:color="auto"/>
            </w:tcBorders>
            <w:shd w:val="clear" w:color="000000" w:fill="FFFFFF"/>
            <w:noWrap/>
            <w:vAlign w:val="center"/>
            <w:hideMark/>
          </w:tcPr>
          <w:p w14:paraId="1F7E4DF6"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763" w:type="dxa"/>
            <w:tcBorders>
              <w:top w:val="nil"/>
              <w:left w:val="nil"/>
              <w:bottom w:val="single" w:sz="4" w:space="0" w:color="auto"/>
              <w:right w:val="single" w:sz="4" w:space="0" w:color="auto"/>
            </w:tcBorders>
            <w:shd w:val="clear" w:color="000000" w:fill="FFFFFF"/>
            <w:noWrap/>
            <w:vAlign w:val="center"/>
            <w:hideMark/>
          </w:tcPr>
          <w:p w14:paraId="4B818D97"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c>
          <w:tcPr>
            <w:tcW w:w="639" w:type="dxa"/>
            <w:tcBorders>
              <w:top w:val="nil"/>
              <w:left w:val="nil"/>
              <w:bottom w:val="single" w:sz="4" w:space="0" w:color="auto"/>
              <w:right w:val="single" w:sz="4" w:space="0" w:color="auto"/>
            </w:tcBorders>
            <w:shd w:val="clear" w:color="000000" w:fill="FFFFFF"/>
            <w:noWrap/>
            <w:vAlign w:val="center"/>
            <w:hideMark/>
          </w:tcPr>
          <w:p w14:paraId="4421AEAD" w14:textId="77777777" w:rsidR="00460106" w:rsidRPr="00842ABF" w:rsidRDefault="00460106" w:rsidP="00460106">
            <w:pPr>
              <w:spacing w:line="240" w:lineRule="auto"/>
              <w:jc w:val="right"/>
              <w:rPr>
                <w:sz w:val="14"/>
                <w:szCs w:val="14"/>
                <w:lang w:eastAsia="sl-SI"/>
              </w:rPr>
            </w:pPr>
            <w:r w:rsidRPr="00842ABF">
              <w:rPr>
                <w:sz w:val="14"/>
                <w:szCs w:val="14"/>
                <w:lang w:eastAsia="sl-SI"/>
              </w:rPr>
              <w:t>76</w:t>
            </w:r>
          </w:p>
        </w:tc>
        <w:tc>
          <w:tcPr>
            <w:tcW w:w="569" w:type="dxa"/>
            <w:tcBorders>
              <w:top w:val="nil"/>
              <w:left w:val="nil"/>
              <w:bottom w:val="single" w:sz="4" w:space="0" w:color="auto"/>
              <w:right w:val="single" w:sz="4" w:space="0" w:color="auto"/>
            </w:tcBorders>
            <w:shd w:val="clear" w:color="000000" w:fill="FFFFFF"/>
            <w:noWrap/>
            <w:vAlign w:val="center"/>
            <w:hideMark/>
          </w:tcPr>
          <w:p w14:paraId="5B36EE00" w14:textId="77777777" w:rsidR="00460106" w:rsidRPr="00842ABF" w:rsidRDefault="00460106" w:rsidP="00460106">
            <w:pPr>
              <w:spacing w:line="240" w:lineRule="auto"/>
              <w:jc w:val="right"/>
              <w:rPr>
                <w:sz w:val="14"/>
                <w:szCs w:val="14"/>
                <w:lang w:eastAsia="sl-SI"/>
              </w:rPr>
            </w:pPr>
            <w:r w:rsidRPr="00842ABF">
              <w:rPr>
                <w:sz w:val="14"/>
                <w:szCs w:val="14"/>
                <w:lang w:eastAsia="sl-SI"/>
              </w:rPr>
              <w:t>74</w:t>
            </w:r>
          </w:p>
        </w:tc>
        <w:tc>
          <w:tcPr>
            <w:tcW w:w="569" w:type="dxa"/>
            <w:tcBorders>
              <w:top w:val="nil"/>
              <w:left w:val="nil"/>
              <w:bottom w:val="single" w:sz="4" w:space="0" w:color="auto"/>
              <w:right w:val="single" w:sz="4" w:space="0" w:color="auto"/>
            </w:tcBorders>
            <w:shd w:val="clear" w:color="000000" w:fill="FFFFFF"/>
            <w:noWrap/>
            <w:vAlign w:val="center"/>
            <w:hideMark/>
          </w:tcPr>
          <w:p w14:paraId="655556F5" w14:textId="77777777" w:rsidR="00460106" w:rsidRPr="00842ABF" w:rsidRDefault="00460106" w:rsidP="00460106">
            <w:pPr>
              <w:spacing w:line="240" w:lineRule="auto"/>
              <w:jc w:val="right"/>
              <w:rPr>
                <w:sz w:val="14"/>
                <w:szCs w:val="14"/>
                <w:lang w:eastAsia="sl-SI"/>
              </w:rPr>
            </w:pPr>
            <w:r w:rsidRPr="00842ABF">
              <w:rPr>
                <w:sz w:val="14"/>
                <w:szCs w:val="14"/>
                <w:lang w:eastAsia="sl-SI"/>
              </w:rPr>
              <w:t>26</w:t>
            </w:r>
          </w:p>
        </w:tc>
        <w:tc>
          <w:tcPr>
            <w:tcW w:w="569" w:type="dxa"/>
            <w:tcBorders>
              <w:top w:val="nil"/>
              <w:left w:val="nil"/>
              <w:bottom w:val="single" w:sz="4" w:space="0" w:color="auto"/>
              <w:right w:val="single" w:sz="4" w:space="0" w:color="auto"/>
            </w:tcBorders>
            <w:shd w:val="clear" w:color="000000" w:fill="FFFFFF"/>
            <w:noWrap/>
            <w:vAlign w:val="center"/>
            <w:hideMark/>
          </w:tcPr>
          <w:p w14:paraId="15F5D07F" w14:textId="77777777" w:rsidR="00460106" w:rsidRPr="00842ABF" w:rsidRDefault="00460106" w:rsidP="00460106">
            <w:pPr>
              <w:spacing w:line="240" w:lineRule="auto"/>
              <w:jc w:val="right"/>
              <w:rPr>
                <w:sz w:val="14"/>
                <w:szCs w:val="14"/>
                <w:lang w:eastAsia="sl-SI"/>
              </w:rPr>
            </w:pPr>
            <w:r w:rsidRPr="00842ABF">
              <w:rPr>
                <w:sz w:val="14"/>
                <w:szCs w:val="14"/>
                <w:lang w:eastAsia="sl-SI"/>
              </w:rPr>
              <w:t>12</w:t>
            </w:r>
          </w:p>
        </w:tc>
        <w:tc>
          <w:tcPr>
            <w:tcW w:w="569" w:type="dxa"/>
            <w:tcBorders>
              <w:top w:val="nil"/>
              <w:left w:val="nil"/>
              <w:bottom w:val="single" w:sz="4" w:space="0" w:color="auto"/>
              <w:right w:val="single" w:sz="4" w:space="0" w:color="auto"/>
            </w:tcBorders>
            <w:shd w:val="clear" w:color="000000" w:fill="FFFFFF"/>
            <w:noWrap/>
            <w:vAlign w:val="center"/>
            <w:hideMark/>
          </w:tcPr>
          <w:p w14:paraId="124C434C" w14:textId="77777777" w:rsidR="00460106" w:rsidRPr="00842ABF" w:rsidRDefault="00460106" w:rsidP="00460106">
            <w:pPr>
              <w:spacing w:line="240" w:lineRule="auto"/>
              <w:jc w:val="right"/>
              <w:rPr>
                <w:sz w:val="14"/>
                <w:szCs w:val="14"/>
                <w:lang w:eastAsia="sl-SI"/>
              </w:rPr>
            </w:pPr>
            <w:r w:rsidRPr="00842ABF">
              <w:rPr>
                <w:sz w:val="14"/>
                <w:szCs w:val="14"/>
                <w:lang w:eastAsia="sl-SI"/>
              </w:rPr>
              <w:t>23</w:t>
            </w:r>
          </w:p>
        </w:tc>
        <w:tc>
          <w:tcPr>
            <w:tcW w:w="569" w:type="dxa"/>
            <w:tcBorders>
              <w:top w:val="nil"/>
              <w:left w:val="nil"/>
              <w:bottom w:val="single" w:sz="4" w:space="0" w:color="auto"/>
              <w:right w:val="single" w:sz="4" w:space="0" w:color="auto"/>
            </w:tcBorders>
            <w:shd w:val="clear" w:color="000000" w:fill="FFFFFF"/>
            <w:noWrap/>
            <w:vAlign w:val="center"/>
            <w:hideMark/>
          </w:tcPr>
          <w:p w14:paraId="12BE8611"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574" w:type="dxa"/>
            <w:tcBorders>
              <w:top w:val="nil"/>
              <w:left w:val="nil"/>
              <w:bottom w:val="single" w:sz="4" w:space="0" w:color="auto"/>
              <w:right w:val="single" w:sz="4" w:space="0" w:color="auto"/>
            </w:tcBorders>
            <w:shd w:val="clear" w:color="000000" w:fill="FFFFFF"/>
            <w:noWrap/>
            <w:vAlign w:val="center"/>
            <w:hideMark/>
          </w:tcPr>
          <w:p w14:paraId="3229EA48"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r>
      <w:tr w:rsidR="00460106" w:rsidRPr="00842ABF" w14:paraId="54F74D96"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5D6CD2EA" w14:textId="77777777" w:rsidR="00460106" w:rsidRPr="00842ABF" w:rsidRDefault="00460106" w:rsidP="00460106">
            <w:pPr>
              <w:spacing w:line="240" w:lineRule="auto"/>
              <w:rPr>
                <w:sz w:val="14"/>
                <w:szCs w:val="14"/>
                <w:lang w:eastAsia="sl-SI"/>
              </w:rPr>
            </w:pPr>
            <w:r w:rsidRPr="00842ABF">
              <w:rPr>
                <w:sz w:val="14"/>
                <w:szCs w:val="14"/>
                <w:lang w:eastAsia="sl-SI"/>
              </w:rPr>
              <w:t>Prepelice</w:t>
            </w:r>
          </w:p>
        </w:tc>
        <w:tc>
          <w:tcPr>
            <w:tcW w:w="763" w:type="dxa"/>
            <w:tcBorders>
              <w:top w:val="nil"/>
              <w:left w:val="nil"/>
              <w:bottom w:val="single" w:sz="4" w:space="0" w:color="auto"/>
              <w:right w:val="single" w:sz="4" w:space="0" w:color="auto"/>
            </w:tcBorders>
            <w:shd w:val="clear" w:color="000000" w:fill="FFFFFF"/>
            <w:noWrap/>
            <w:vAlign w:val="center"/>
            <w:hideMark/>
          </w:tcPr>
          <w:p w14:paraId="32E43EBD" w14:textId="77777777" w:rsidR="00460106" w:rsidRPr="00842ABF" w:rsidRDefault="00460106" w:rsidP="00460106">
            <w:pPr>
              <w:spacing w:line="240" w:lineRule="auto"/>
              <w:jc w:val="right"/>
              <w:rPr>
                <w:sz w:val="14"/>
                <w:szCs w:val="14"/>
                <w:lang w:eastAsia="sl-SI"/>
              </w:rPr>
            </w:pPr>
            <w:r w:rsidRPr="00842ABF">
              <w:rPr>
                <w:sz w:val="14"/>
                <w:szCs w:val="14"/>
                <w:lang w:eastAsia="sl-SI"/>
              </w:rPr>
              <w:t>1.138</w:t>
            </w:r>
          </w:p>
        </w:tc>
        <w:tc>
          <w:tcPr>
            <w:tcW w:w="763" w:type="dxa"/>
            <w:tcBorders>
              <w:top w:val="nil"/>
              <w:left w:val="nil"/>
              <w:bottom w:val="single" w:sz="4" w:space="0" w:color="auto"/>
              <w:right w:val="single" w:sz="4" w:space="0" w:color="auto"/>
            </w:tcBorders>
            <w:shd w:val="clear" w:color="000000" w:fill="FFFFFF"/>
            <w:noWrap/>
            <w:vAlign w:val="center"/>
            <w:hideMark/>
          </w:tcPr>
          <w:p w14:paraId="7947A96E" w14:textId="77777777" w:rsidR="00460106" w:rsidRPr="00842ABF" w:rsidRDefault="00460106" w:rsidP="00460106">
            <w:pPr>
              <w:spacing w:line="240" w:lineRule="auto"/>
              <w:jc w:val="right"/>
              <w:rPr>
                <w:sz w:val="14"/>
                <w:szCs w:val="14"/>
                <w:lang w:eastAsia="sl-SI"/>
              </w:rPr>
            </w:pPr>
            <w:r w:rsidRPr="00842ABF">
              <w:rPr>
                <w:sz w:val="14"/>
                <w:szCs w:val="14"/>
                <w:lang w:eastAsia="sl-SI"/>
              </w:rPr>
              <w:t>1.272</w:t>
            </w:r>
          </w:p>
        </w:tc>
        <w:tc>
          <w:tcPr>
            <w:tcW w:w="763" w:type="dxa"/>
            <w:tcBorders>
              <w:top w:val="nil"/>
              <w:left w:val="nil"/>
              <w:bottom w:val="single" w:sz="4" w:space="0" w:color="auto"/>
              <w:right w:val="single" w:sz="4" w:space="0" w:color="auto"/>
            </w:tcBorders>
            <w:shd w:val="clear" w:color="000000" w:fill="FFFFFF"/>
            <w:noWrap/>
            <w:vAlign w:val="center"/>
            <w:hideMark/>
          </w:tcPr>
          <w:p w14:paraId="4D3BD9D2" w14:textId="77777777" w:rsidR="00460106" w:rsidRPr="00842ABF" w:rsidRDefault="00460106" w:rsidP="00460106">
            <w:pPr>
              <w:spacing w:line="240" w:lineRule="auto"/>
              <w:jc w:val="right"/>
              <w:rPr>
                <w:sz w:val="14"/>
                <w:szCs w:val="14"/>
                <w:lang w:eastAsia="sl-SI"/>
              </w:rPr>
            </w:pPr>
            <w:r w:rsidRPr="00842ABF">
              <w:rPr>
                <w:sz w:val="14"/>
                <w:szCs w:val="14"/>
                <w:lang w:eastAsia="sl-SI"/>
              </w:rPr>
              <w:t>1.994</w:t>
            </w:r>
          </w:p>
        </w:tc>
        <w:tc>
          <w:tcPr>
            <w:tcW w:w="763" w:type="dxa"/>
            <w:tcBorders>
              <w:top w:val="nil"/>
              <w:left w:val="nil"/>
              <w:bottom w:val="single" w:sz="4" w:space="0" w:color="auto"/>
              <w:right w:val="single" w:sz="4" w:space="0" w:color="auto"/>
            </w:tcBorders>
            <w:shd w:val="clear" w:color="000000" w:fill="FFFFFF"/>
            <w:noWrap/>
            <w:vAlign w:val="center"/>
            <w:hideMark/>
          </w:tcPr>
          <w:p w14:paraId="0C2026AF" w14:textId="77777777" w:rsidR="00460106" w:rsidRPr="00842ABF" w:rsidRDefault="00460106" w:rsidP="00460106">
            <w:pPr>
              <w:spacing w:line="240" w:lineRule="auto"/>
              <w:jc w:val="right"/>
              <w:rPr>
                <w:sz w:val="14"/>
                <w:szCs w:val="14"/>
                <w:lang w:eastAsia="sl-SI"/>
              </w:rPr>
            </w:pPr>
            <w:r w:rsidRPr="00842ABF">
              <w:rPr>
                <w:sz w:val="14"/>
                <w:szCs w:val="14"/>
                <w:lang w:eastAsia="sl-SI"/>
              </w:rPr>
              <w:t>791</w:t>
            </w:r>
          </w:p>
        </w:tc>
        <w:tc>
          <w:tcPr>
            <w:tcW w:w="763" w:type="dxa"/>
            <w:tcBorders>
              <w:top w:val="nil"/>
              <w:left w:val="nil"/>
              <w:bottom w:val="single" w:sz="4" w:space="0" w:color="auto"/>
              <w:right w:val="single" w:sz="4" w:space="0" w:color="auto"/>
            </w:tcBorders>
            <w:shd w:val="clear" w:color="000000" w:fill="FFFFFF"/>
            <w:noWrap/>
            <w:vAlign w:val="center"/>
            <w:hideMark/>
          </w:tcPr>
          <w:p w14:paraId="4878AF70" w14:textId="77777777" w:rsidR="00460106" w:rsidRPr="00842ABF" w:rsidRDefault="00460106" w:rsidP="00460106">
            <w:pPr>
              <w:spacing w:line="240" w:lineRule="auto"/>
              <w:jc w:val="right"/>
              <w:rPr>
                <w:sz w:val="14"/>
                <w:szCs w:val="14"/>
                <w:lang w:eastAsia="sl-SI"/>
              </w:rPr>
            </w:pPr>
            <w:r w:rsidRPr="00842ABF">
              <w:rPr>
                <w:sz w:val="14"/>
                <w:szCs w:val="14"/>
                <w:lang w:eastAsia="sl-SI"/>
              </w:rPr>
              <w:t>3.878</w:t>
            </w:r>
          </w:p>
        </w:tc>
        <w:tc>
          <w:tcPr>
            <w:tcW w:w="763" w:type="dxa"/>
            <w:tcBorders>
              <w:top w:val="nil"/>
              <w:left w:val="nil"/>
              <w:bottom w:val="single" w:sz="4" w:space="0" w:color="auto"/>
              <w:right w:val="single" w:sz="4" w:space="0" w:color="auto"/>
            </w:tcBorders>
            <w:shd w:val="clear" w:color="000000" w:fill="FFFFFF"/>
            <w:noWrap/>
            <w:vAlign w:val="center"/>
            <w:hideMark/>
          </w:tcPr>
          <w:p w14:paraId="58EF2770"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763" w:type="dxa"/>
            <w:tcBorders>
              <w:top w:val="nil"/>
              <w:left w:val="nil"/>
              <w:bottom w:val="single" w:sz="4" w:space="0" w:color="auto"/>
              <w:right w:val="single" w:sz="4" w:space="0" w:color="auto"/>
            </w:tcBorders>
            <w:shd w:val="clear" w:color="000000" w:fill="FFFFFF"/>
            <w:noWrap/>
            <w:vAlign w:val="center"/>
            <w:hideMark/>
          </w:tcPr>
          <w:p w14:paraId="69C8E607"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639" w:type="dxa"/>
            <w:tcBorders>
              <w:top w:val="nil"/>
              <w:left w:val="nil"/>
              <w:bottom w:val="single" w:sz="4" w:space="0" w:color="auto"/>
              <w:right w:val="single" w:sz="4" w:space="0" w:color="auto"/>
            </w:tcBorders>
            <w:shd w:val="clear" w:color="000000" w:fill="FFFFFF"/>
            <w:noWrap/>
            <w:vAlign w:val="center"/>
            <w:hideMark/>
          </w:tcPr>
          <w:p w14:paraId="5B2D7B6D" w14:textId="77777777" w:rsidR="00460106" w:rsidRPr="00842ABF" w:rsidRDefault="00460106" w:rsidP="00460106">
            <w:pPr>
              <w:spacing w:line="240" w:lineRule="auto"/>
              <w:jc w:val="right"/>
              <w:rPr>
                <w:sz w:val="14"/>
                <w:szCs w:val="14"/>
                <w:lang w:eastAsia="sl-SI"/>
              </w:rPr>
            </w:pPr>
            <w:r w:rsidRPr="00842ABF">
              <w:rPr>
                <w:sz w:val="14"/>
                <w:szCs w:val="14"/>
                <w:lang w:eastAsia="sl-SI"/>
              </w:rPr>
              <w:t>48</w:t>
            </w:r>
          </w:p>
        </w:tc>
        <w:tc>
          <w:tcPr>
            <w:tcW w:w="569" w:type="dxa"/>
            <w:tcBorders>
              <w:top w:val="nil"/>
              <w:left w:val="nil"/>
              <w:bottom w:val="single" w:sz="4" w:space="0" w:color="auto"/>
              <w:right w:val="single" w:sz="4" w:space="0" w:color="auto"/>
            </w:tcBorders>
            <w:shd w:val="clear" w:color="000000" w:fill="FFFFFF"/>
            <w:noWrap/>
            <w:vAlign w:val="center"/>
            <w:hideMark/>
          </w:tcPr>
          <w:p w14:paraId="7AE4D91D" w14:textId="77777777" w:rsidR="00460106" w:rsidRPr="00842ABF" w:rsidRDefault="00460106" w:rsidP="00460106">
            <w:pPr>
              <w:spacing w:line="240" w:lineRule="auto"/>
              <w:jc w:val="right"/>
              <w:rPr>
                <w:sz w:val="14"/>
                <w:szCs w:val="14"/>
                <w:lang w:eastAsia="sl-SI"/>
              </w:rPr>
            </w:pPr>
            <w:r w:rsidRPr="00842ABF">
              <w:rPr>
                <w:sz w:val="14"/>
                <w:szCs w:val="14"/>
                <w:lang w:eastAsia="sl-SI"/>
              </w:rPr>
              <w:t>68</w:t>
            </w:r>
          </w:p>
        </w:tc>
        <w:tc>
          <w:tcPr>
            <w:tcW w:w="569" w:type="dxa"/>
            <w:tcBorders>
              <w:top w:val="nil"/>
              <w:left w:val="nil"/>
              <w:bottom w:val="single" w:sz="4" w:space="0" w:color="auto"/>
              <w:right w:val="single" w:sz="4" w:space="0" w:color="auto"/>
            </w:tcBorders>
            <w:shd w:val="clear" w:color="000000" w:fill="FFFFFF"/>
            <w:noWrap/>
            <w:vAlign w:val="center"/>
            <w:hideMark/>
          </w:tcPr>
          <w:p w14:paraId="386A298B" w14:textId="77777777" w:rsidR="00460106" w:rsidRPr="00842ABF" w:rsidRDefault="00460106" w:rsidP="00460106">
            <w:pPr>
              <w:spacing w:line="240" w:lineRule="auto"/>
              <w:jc w:val="right"/>
              <w:rPr>
                <w:sz w:val="14"/>
                <w:szCs w:val="14"/>
                <w:lang w:eastAsia="sl-SI"/>
              </w:rPr>
            </w:pPr>
            <w:r w:rsidRPr="00842ABF">
              <w:rPr>
                <w:sz w:val="14"/>
                <w:szCs w:val="14"/>
                <w:lang w:eastAsia="sl-SI"/>
              </w:rPr>
              <w:t>61</w:t>
            </w:r>
          </w:p>
        </w:tc>
        <w:tc>
          <w:tcPr>
            <w:tcW w:w="569" w:type="dxa"/>
            <w:tcBorders>
              <w:top w:val="nil"/>
              <w:left w:val="nil"/>
              <w:bottom w:val="single" w:sz="4" w:space="0" w:color="auto"/>
              <w:right w:val="single" w:sz="4" w:space="0" w:color="auto"/>
            </w:tcBorders>
            <w:shd w:val="clear" w:color="000000" w:fill="FFFFFF"/>
            <w:noWrap/>
            <w:vAlign w:val="center"/>
            <w:hideMark/>
          </w:tcPr>
          <w:p w14:paraId="5BC884A6" w14:textId="77777777" w:rsidR="00460106" w:rsidRPr="00842ABF" w:rsidRDefault="00460106" w:rsidP="00460106">
            <w:pPr>
              <w:spacing w:line="240" w:lineRule="auto"/>
              <w:jc w:val="right"/>
              <w:rPr>
                <w:sz w:val="14"/>
                <w:szCs w:val="14"/>
                <w:lang w:eastAsia="sl-SI"/>
              </w:rPr>
            </w:pPr>
            <w:r w:rsidRPr="00842ABF">
              <w:rPr>
                <w:sz w:val="14"/>
                <w:szCs w:val="14"/>
                <w:lang w:eastAsia="sl-SI"/>
              </w:rPr>
              <w:t>25</w:t>
            </w:r>
          </w:p>
        </w:tc>
        <w:tc>
          <w:tcPr>
            <w:tcW w:w="569" w:type="dxa"/>
            <w:tcBorders>
              <w:top w:val="nil"/>
              <w:left w:val="nil"/>
              <w:bottom w:val="single" w:sz="4" w:space="0" w:color="auto"/>
              <w:right w:val="single" w:sz="4" w:space="0" w:color="auto"/>
            </w:tcBorders>
            <w:shd w:val="clear" w:color="000000" w:fill="FFFFFF"/>
            <w:noWrap/>
            <w:vAlign w:val="center"/>
            <w:hideMark/>
          </w:tcPr>
          <w:p w14:paraId="3695B543" w14:textId="77777777" w:rsidR="00460106" w:rsidRPr="00842ABF" w:rsidRDefault="00460106" w:rsidP="00460106">
            <w:pPr>
              <w:spacing w:line="240" w:lineRule="auto"/>
              <w:jc w:val="right"/>
              <w:rPr>
                <w:sz w:val="14"/>
                <w:szCs w:val="14"/>
                <w:lang w:eastAsia="sl-SI"/>
              </w:rPr>
            </w:pPr>
            <w:r w:rsidRPr="00842ABF">
              <w:rPr>
                <w:sz w:val="14"/>
                <w:szCs w:val="14"/>
                <w:lang w:eastAsia="sl-SI"/>
              </w:rPr>
              <w:t>51</w:t>
            </w:r>
          </w:p>
        </w:tc>
        <w:tc>
          <w:tcPr>
            <w:tcW w:w="569" w:type="dxa"/>
            <w:tcBorders>
              <w:top w:val="nil"/>
              <w:left w:val="nil"/>
              <w:bottom w:val="single" w:sz="4" w:space="0" w:color="auto"/>
              <w:right w:val="single" w:sz="4" w:space="0" w:color="auto"/>
            </w:tcBorders>
            <w:shd w:val="clear" w:color="000000" w:fill="FFFFFF"/>
            <w:noWrap/>
            <w:vAlign w:val="center"/>
            <w:hideMark/>
          </w:tcPr>
          <w:p w14:paraId="2857A6D4"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574" w:type="dxa"/>
            <w:tcBorders>
              <w:top w:val="nil"/>
              <w:left w:val="nil"/>
              <w:bottom w:val="single" w:sz="4" w:space="0" w:color="auto"/>
              <w:right w:val="single" w:sz="4" w:space="0" w:color="auto"/>
            </w:tcBorders>
            <w:shd w:val="clear" w:color="000000" w:fill="FFFFFF"/>
            <w:noWrap/>
            <w:vAlign w:val="center"/>
            <w:hideMark/>
          </w:tcPr>
          <w:p w14:paraId="45A7E48A"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r>
      <w:tr w:rsidR="00460106" w:rsidRPr="00842ABF" w14:paraId="73B397CA" w14:textId="77777777" w:rsidTr="00726070">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2E6849F6" w14:textId="77777777" w:rsidR="00460106" w:rsidRPr="00842ABF" w:rsidRDefault="00460106" w:rsidP="00460106">
            <w:pPr>
              <w:spacing w:line="240" w:lineRule="auto"/>
              <w:rPr>
                <w:sz w:val="14"/>
                <w:szCs w:val="14"/>
                <w:lang w:eastAsia="sl-SI"/>
              </w:rPr>
            </w:pPr>
            <w:r w:rsidRPr="00842ABF">
              <w:rPr>
                <w:sz w:val="14"/>
                <w:szCs w:val="14"/>
                <w:lang w:eastAsia="sl-SI"/>
              </w:rPr>
              <w:t>Druga perutnina</w:t>
            </w:r>
          </w:p>
        </w:tc>
        <w:tc>
          <w:tcPr>
            <w:tcW w:w="763" w:type="dxa"/>
            <w:tcBorders>
              <w:top w:val="nil"/>
              <w:left w:val="nil"/>
              <w:bottom w:val="single" w:sz="4" w:space="0" w:color="auto"/>
              <w:right w:val="single" w:sz="4" w:space="0" w:color="auto"/>
            </w:tcBorders>
            <w:shd w:val="clear" w:color="000000" w:fill="FFFFFF"/>
            <w:noWrap/>
            <w:vAlign w:val="center"/>
            <w:hideMark/>
          </w:tcPr>
          <w:p w14:paraId="71EA2D5E" w14:textId="77777777" w:rsidR="00460106" w:rsidRPr="00842ABF" w:rsidRDefault="00460106" w:rsidP="00460106">
            <w:pPr>
              <w:spacing w:line="240" w:lineRule="auto"/>
              <w:jc w:val="right"/>
              <w:rPr>
                <w:sz w:val="14"/>
                <w:szCs w:val="14"/>
                <w:lang w:eastAsia="sl-SI"/>
              </w:rPr>
            </w:pPr>
            <w:r w:rsidRPr="00842ABF">
              <w:rPr>
                <w:sz w:val="14"/>
                <w:szCs w:val="14"/>
                <w:lang w:eastAsia="sl-SI"/>
              </w:rPr>
              <w:t>35.491</w:t>
            </w:r>
          </w:p>
        </w:tc>
        <w:tc>
          <w:tcPr>
            <w:tcW w:w="763" w:type="dxa"/>
            <w:tcBorders>
              <w:top w:val="nil"/>
              <w:left w:val="nil"/>
              <w:bottom w:val="single" w:sz="4" w:space="0" w:color="auto"/>
              <w:right w:val="single" w:sz="4" w:space="0" w:color="auto"/>
            </w:tcBorders>
            <w:shd w:val="clear" w:color="000000" w:fill="FFFFFF"/>
            <w:noWrap/>
            <w:vAlign w:val="center"/>
            <w:hideMark/>
          </w:tcPr>
          <w:p w14:paraId="3FDB6888" w14:textId="77777777" w:rsidR="00460106" w:rsidRPr="00842ABF" w:rsidRDefault="00460106" w:rsidP="00460106">
            <w:pPr>
              <w:spacing w:line="240" w:lineRule="auto"/>
              <w:jc w:val="right"/>
              <w:rPr>
                <w:sz w:val="14"/>
                <w:szCs w:val="14"/>
                <w:lang w:eastAsia="sl-SI"/>
              </w:rPr>
            </w:pPr>
            <w:r w:rsidRPr="00842ABF">
              <w:rPr>
                <w:sz w:val="14"/>
                <w:szCs w:val="14"/>
                <w:lang w:eastAsia="sl-SI"/>
              </w:rPr>
              <w:t>34.226</w:t>
            </w:r>
          </w:p>
        </w:tc>
        <w:tc>
          <w:tcPr>
            <w:tcW w:w="763" w:type="dxa"/>
            <w:tcBorders>
              <w:top w:val="nil"/>
              <w:left w:val="nil"/>
              <w:bottom w:val="single" w:sz="4" w:space="0" w:color="auto"/>
              <w:right w:val="single" w:sz="4" w:space="0" w:color="auto"/>
            </w:tcBorders>
            <w:shd w:val="clear" w:color="000000" w:fill="FFFFFF"/>
            <w:noWrap/>
            <w:vAlign w:val="center"/>
            <w:hideMark/>
          </w:tcPr>
          <w:p w14:paraId="5F460D22" w14:textId="77777777" w:rsidR="00460106" w:rsidRPr="00842ABF" w:rsidRDefault="00460106" w:rsidP="00460106">
            <w:pPr>
              <w:spacing w:line="240" w:lineRule="auto"/>
              <w:jc w:val="right"/>
              <w:rPr>
                <w:sz w:val="14"/>
                <w:szCs w:val="14"/>
                <w:lang w:eastAsia="sl-SI"/>
              </w:rPr>
            </w:pPr>
            <w:r w:rsidRPr="00842ABF">
              <w:rPr>
                <w:sz w:val="14"/>
                <w:szCs w:val="14"/>
                <w:lang w:eastAsia="sl-SI"/>
              </w:rPr>
              <w:t>34.069</w:t>
            </w:r>
          </w:p>
        </w:tc>
        <w:tc>
          <w:tcPr>
            <w:tcW w:w="763" w:type="dxa"/>
            <w:tcBorders>
              <w:top w:val="nil"/>
              <w:left w:val="nil"/>
              <w:bottom w:val="single" w:sz="4" w:space="0" w:color="auto"/>
              <w:right w:val="single" w:sz="4" w:space="0" w:color="auto"/>
            </w:tcBorders>
            <w:shd w:val="clear" w:color="000000" w:fill="FFFFFF"/>
            <w:noWrap/>
            <w:vAlign w:val="center"/>
            <w:hideMark/>
          </w:tcPr>
          <w:p w14:paraId="1D72C87D" w14:textId="77777777" w:rsidR="00460106" w:rsidRPr="00842ABF" w:rsidRDefault="00460106" w:rsidP="00460106">
            <w:pPr>
              <w:spacing w:line="240" w:lineRule="auto"/>
              <w:jc w:val="right"/>
              <w:rPr>
                <w:sz w:val="14"/>
                <w:szCs w:val="14"/>
                <w:lang w:eastAsia="sl-SI"/>
              </w:rPr>
            </w:pPr>
            <w:r w:rsidRPr="00842ABF">
              <w:rPr>
                <w:sz w:val="14"/>
                <w:szCs w:val="14"/>
                <w:lang w:eastAsia="sl-SI"/>
              </w:rPr>
              <w:t>40.399</w:t>
            </w:r>
          </w:p>
        </w:tc>
        <w:tc>
          <w:tcPr>
            <w:tcW w:w="763" w:type="dxa"/>
            <w:tcBorders>
              <w:top w:val="nil"/>
              <w:left w:val="nil"/>
              <w:bottom w:val="single" w:sz="4" w:space="0" w:color="auto"/>
              <w:right w:val="single" w:sz="4" w:space="0" w:color="auto"/>
            </w:tcBorders>
            <w:shd w:val="clear" w:color="000000" w:fill="FFFFFF"/>
            <w:noWrap/>
            <w:vAlign w:val="center"/>
            <w:hideMark/>
          </w:tcPr>
          <w:p w14:paraId="578235E8"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c>
          <w:tcPr>
            <w:tcW w:w="763" w:type="dxa"/>
            <w:tcBorders>
              <w:top w:val="nil"/>
              <w:left w:val="nil"/>
              <w:bottom w:val="single" w:sz="4" w:space="0" w:color="auto"/>
              <w:right w:val="single" w:sz="4" w:space="0" w:color="auto"/>
            </w:tcBorders>
            <w:shd w:val="clear" w:color="000000" w:fill="FFFFFF"/>
            <w:noWrap/>
            <w:vAlign w:val="center"/>
            <w:hideMark/>
          </w:tcPr>
          <w:p w14:paraId="395ADE99"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763" w:type="dxa"/>
            <w:tcBorders>
              <w:top w:val="nil"/>
              <w:left w:val="nil"/>
              <w:bottom w:val="single" w:sz="4" w:space="0" w:color="auto"/>
              <w:right w:val="single" w:sz="4" w:space="0" w:color="auto"/>
            </w:tcBorders>
            <w:shd w:val="clear" w:color="000000" w:fill="FFFFFF"/>
            <w:noWrap/>
            <w:vAlign w:val="center"/>
            <w:hideMark/>
          </w:tcPr>
          <w:p w14:paraId="6E1A5AD6"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c>
          <w:tcPr>
            <w:tcW w:w="639" w:type="dxa"/>
            <w:tcBorders>
              <w:top w:val="nil"/>
              <w:left w:val="nil"/>
              <w:bottom w:val="single" w:sz="4" w:space="0" w:color="auto"/>
              <w:right w:val="single" w:sz="4" w:space="0" w:color="auto"/>
            </w:tcBorders>
            <w:shd w:val="clear" w:color="000000" w:fill="FFFFFF"/>
            <w:noWrap/>
            <w:vAlign w:val="center"/>
            <w:hideMark/>
          </w:tcPr>
          <w:p w14:paraId="041BB9FC" w14:textId="77777777" w:rsidR="00460106" w:rsidRPr="00842ABF" w:rsidRDefault="00460106" w:rsidP="00460106">
            <w:pPr>
              <w:spacing w:line="240" w:lineRule="auto"/>
              <w:jc w:val="right"/>
              <w:rPr>
                <w:sz w:val="14"/>
                <w:szCs w:val="14"/>
                <w:lang w:eastAsia="sl-SI"/>
              </w:rPr>
            </w:pPr>
            <w:r w:rsidRPr="00842ABF">
              <w:rPr>
                <w:sz w:val="14"/>
                <w:szCs w:val="14"/>
                <w:lang w:eastAsia="sl-SI"/>
              </w:rPr>
              <w:t>548</w:t>
            </w:r>
          </w:p>
        </w:tc>
        <w:tc>
          <w:tcPr>
            <w:tcW w:w="569" w:type="dxa"/>
            <w:tcBorders>
              <w:top w:val="nil"/>
              <w:left w:val="nil"/>
              <w:bottom w:val="single" w:sz="4" w:space="0" w:color="auto"/>
              <w:right w:val="single" w:sz="4" w:space="0" w:color="auto"/>
            </w:tcBorders>
            <w:shd w:val="clear" w:color="000000" w:fill="FFFFFF"/>
            <w:noWrap/>
            <w:vAlign w:val="center"/>
            <w:hideMark/>
          </w:tcPr>
          <w:p w14:paraId="36BA9DF0" w14:textId="77777777" w:rsidR="00460106" w:rsidRPr="00842ABF" w:rsidRDefault="00460106" w:rsidP="00460106">
            <w:pPr>
              <w:spacing w:line="240" w:lineRule="auto"/>
              <w:jc w:val="right"/>
              <w:rPr>
                <w:sz w:val="14"/>
                <w:szCs w:val="14"/>
                <w:lang w:eastAsia="sl-SI"/>
              </w:rPr>
            </w:pPr>
            <w:r w:rsidRPr="00842ABF">
              <w:rPr>
                <w:sz w:val="14"/>
                <w:szCs w:val="14"/>
                <w:lang w:eastAsia="sl-SI"/>
              </w:rPr>
              <w:t>26</w:t>
            </w:r>
          </w:p>
        </w:tc>
        <w:tc>
          <w:tcPr>
            <w:tcW w:w="569" w:type="dxa"/>
            <w:tcBorders>
              <w:top w:val="nil"/>
              <w:left w:val="nil"/>
              <w:bottom w:val="single" w:sz="4" w:space="0" w:color="auto"/>
              <w:right w:val="single" w:sz="4" w:space="0" w:color="auto"/>
            </w:tcBorders>
            <w:shd w:val="clear" w:color="000000" w:fill="FFFFFF"/>
            <w:noWrap/>
            <w:vAlign w:val="center"/>
            <w:hideMark/>
          </w:tcPr>
          <w:p w14:paraId="3049CC2B" w14:textId="77777777" w:rsidR="00460106" w:rsidRPr="00842ABF" w:rsidRDefault="00460106" w:rsidP="00460106">
            <w:pPr>
              <w:spacing w:line="240" w:lineRule="auto"/>
              <w:jc w:val="right"/>
              <w:rPr>
                <w:sz w:val="14"/>
                <w:szCs w:val="14"/>
                <w:lang w:eastAsia="sl-SI"/>
              </w:rPr>
            </w:pPr>
            <w:r w:rsidRPr="00842ABF">
              <w:rPr>
                <w:sz w:val="14"/>
                <w:szCs w:val="14"/>
                <w:lang w:eastAsia="sl-SI"/>
              </w:rPr>
              <w:t>21</w:t>
            </w:r>
          </w:p>
        </w:tc>
        <w:tc>
          <w:tcPr>
            <w:tcW w:w="569" w:type="dxa"/>
            <w:tcBorders>
              <w:top w:val="nil"/>
              <w:left w:val="nil"/>
              <w:bottom w:val="single" w:sz="4" w:space="0" w:color="auto"/>
              <w:right w:val="single" w:sz="4" w:space="0" w:color="auto"/>
            </w:tcBorders>
            <w:shd w:val="clear" w:color="000000" w:fill="FFFFFF"/>
            <w:noWrap/>
            <w:vAlign w:val="center"/>
            <w:hideMark/>
          </w:tcPr>
          <w:p w14:paraId="1A2A4825" w14:textId="77777777" w:rsidR="00460106" w:rsidRPr="00842ABF" w:rsidRDefault="00460106" w:rsidP="00460106">
            <w:pPr>
              <w:spacing w:line="240" w:lineRule="auto"/>
              <w:jc w:val="right"/>
              <w:rPr>
                <w:sz w:val="14"/>
                <w:szCs w:val="14"/>
                <w:lang w:eastAsia="sl-SI"/>
              </w:rPr>
            </w:pPr>
            <w:r w:rsidRPr="00842ABF">
              <w:rPr>
                <w:sz w:val="14"/>
                <w:szCs w:val="14"/>
                <w:lang w:eastAsia="sl-SI"/>
              </w:rPr>
              <w:t>287</w:t>
            </w:r>
          </w:p>
        </w:tc>
        <w:tc>
          <w:tcPr>
            <w:tcW w:w="569" w:type="dxa"/>
            <w:tcBorders>
              <w:top w:val="nil"/>
              <w:left w:val="nil"/>
              <w:bottom w:val="single" w:sz="4" w:space="0" w:color="auto"/>
              <w:right w:val="single" w:sz="4" w:space="0" w:color="auto"/>
            </w:tcBorders>
            <w:shd w:val="clear" w:color="000000" w:fill="FFFFFF"/>
            <w:noWrap/>
            <w:vAlign w:val="center"/>
            <w:hideMark/>
          </w:tcPr>
          <w:p w14:paraId="631E6198" w14:textId="77777777" w:rsidR="00460106" w:rsidRPr="00842ABF" w:rsidRDefault="00460106" w:rsidP="00460106">
            <w:pPr>
              <w:spacing w:line="240" w:lineRule="auto"/>
              <w:jc w:val="right"/>
              <w:rPr>
                <w:sz w:val="14"/>
                <w:szCs w:val="14"/>
                <w:lang w:eastAsia="sl-SI"/>
              </w:rPr>
            </w:pPr>
            <w:r w:rsidRPr="00842ABF">
              <w:rPr>
                <w:sz w:val="14"/>
                <w:szCs w:val="14"/>
                <w:lang w:eastAsia="sl-SI"/>
              </w:rPr>
              <w:t>161</w:t>
            </w:r>
          </w:p>
        </w:tc>
        <w:tc>
          <w:tcPr>
            <w:tcW w:w="569" w:type="dxa"/>
            <w:tcBorders>
              <w:top w:val="nil"/>
              <w:left w:val="nil"/>
              <w:bottom w:val="single" w:sz="4" w:space="0" w:color="auto"/>
              <w:right w:val="single" w:sz="4" w:space="0" w:color="auto"/>
            </w:tcBorders>
            <w:shd w:val="clear" w:color="000000" w:fill="FFFFFF"/>
            <w:noWrap/>
            <w:vAlign w:val="center"/>
            <w:hideMark/>
          </w:tcPr>
          <w:p w14:paraId="1F93003A" w14:textId="77777777" w:rsidR="00460106" w:rsidRPr="00842ABF" w:rsidRDefault="00460106" w:rsidP="00460106">
            <w:pPr>
              <w:spacing w:line="240" w:lineRule="auto"/>
              <w:jc w:val="right"/>
              <w:rPr>
                <w:sz w:val="14"/>
                <w:szCs w:val="14"/>
                <w:lang w:eastAsia="sl-SI"/>
              </w:rPr>
            </w:pPr>
            <w:r w:rsidRPr="00842ABF">
              <w:rPr>
                <w:sz w:val="14"/>
                <w:szCs w:val="14"/>
                <w:lang w:eastAsia="sl-SI"/>
              </w:rPr>
              <w:t>N</w:t>
            </w:r>
          </w:p>
        </w:tc>
        <w:tc>
          <w:tcPr>
            <w:tcW w:w="574" w:type="dxa"/>
            <w:tcBorders>
              <w:top w:val="nil"/>
              <w:left w:val="nil"/>
              <w:bottom w:val="single" w:sz="4" w:space="0" w:color="auto"/>
              <w:right w:val="single" w:sz="4" w:space="0" w:color="auto"/>
            </w:tcBorders>
            <w:shd w:val="clear" w:color="000000" w:fill="FFFFFF"/>
            <w:noWrap/>
            <w:vAlign w:val="center"/>
            <w:hideMark/>
          </w:tcPr>
          <w:p w14:paraId="657C7C26" w14:textId="77777777" w:rsidR="00460106" w:rsidRPr="00842ABF" w:rsidRDefault="00460106" w:rsidP="00460106">
            <w:pPr>
              <w:spacing w:line="240" w:lineRule="auto"/>
              <w:jc w:val="right"/>
              <w:rPr>
                <w:sz w:val="14"/>
                <w:szCs w:val="14"/>
                <w:lang w:eastAsia="sl-SI"/>
              </w:rPr>
            </w:pPr>
            <w:r w:rsidRPr="00842ABF">
              <w:rPr>
                <w:sz w:val="14"/>
                <w:szCs w:val="14"/>
                <w:lang w:eastAsia="sl-SI"/>
              </w:rPr>
              <w:t>z</w:t>
            </w:r>
          </w:p>
        </w:tc>
      </w:tr>
    </w:tbl>
    <w:p w14:paraId="4BD3265B" w14:textId="77777777" w:rsidR="00460106" w:rsidRPr="00875BB7" w:rsidRDefault="00460106" w:rsidP="00460106">
      <w:pPr>
        <w:spacing w:before="200" w:line="360" w:lineRule="auto"/>
        <w:rPr>
          <w:color w:val="273443"/>
          <w:sz w:val="16"/>
          <w:szCs w:val="16"/>
          <w:lang w:eastAsia="sl-SI"/>
        </w:rPr>
      </w:pPr>
      <w:r w:rsidRPr="00875BB7">
        <w:rPr>
          <w:sz w:val="16"/>
          <w:szCs w:val="16"/>
        </w:rPr>
        <w:t xml:space="preserve">Vir: SURS; </w:t>
      </w:r>
      <w:r w:rsidRPr="00875BB7">
        <w:rPr>
          <w:color w:val="273443"/>
          <w:sz w:val="16"/>
          <w:szCs w:val="16"/>
          <w:lang w:eastAsia="sl-SI"/>
        </w:rPr>
        <w:t>z</w:t>
      </w:r>
      <w:r w:rsidRPr="00E03638">
        <w:rPr>
          <w:color w:val="273443"/>
          <w:sz w:val="16"/>
          <w:szCs w:val="16"/>
          <w:lang w:eastAsia="sl-SI"/>
        </w:rPr>
        <w:t>-</w:t>
      </w:r>
      <w:r w:rsidRPr="00875BB7">
        <w:rPr>
          <w:color w:val="273443"/>
          <w:sz w:val="16"/>
          <w:szCs w:val="16"/>
          <w:lang w:eastAsia="sl-SI"/>
        </w:rPr>
        <w:t>statistično zaupno; M</w:t>
      </w:r>
      <w:r w:rsidRPr="00E03638">
        <w:rPr>
          <w:color w:val="273443"/>
          <w:sz w:val="16"/>
          <w:szCs w:val="16"/>
          <w:lang w:eastAsia="sl-SI"/>
        </w:rPr>
        <w:t>-</w:t>
      </w:r>
      <w:r w:rsidRPr="00875BB7">
        <w:rPr>
          <w:color w:val="273443"/>
          <w:sz w:val="16"/>
          <w:szCs w:val="16"/>
          <w:lang w:eastAsia="sl-SI"/>
        </w:rPr>
        <w:t>manj zanesljiva ocena – previdna uporaba, N</w:t>
      </w:r>
      <w:r w:rsidRPr="00E03638">
        <w:rPr>
          <w:color w:val="273443"/>
          <w:sz w:val="16"/>
          <w:szCs w:val="16"/>
          <w:lang w:eastAsia="sl-SI"/>
        </w:rPr>
        <w:t>-</w:t>
      </w:r>
      <w:r w:rsidRPr="00875BB7">
        <w:rPr>
          <w:color w:val="273443"/>
          <w:sz w:val="16"/>
          <w:szCs w:val="16"/>
          <w:lang w:eastAsia="sl-SI"/>
        </w:rPr>
        <w:t>za objavo premalo zanesljiva ocen</w:t>
      </w:r>
      <w:r>
        <w:rPr>
          <w:color w:val="273443"/>
          <w:sz w:val="16"/>
          <w:szCs w:val="16"/>
          <w:lang w:eastAsia="sl-SI"/>
        </w:rPr>
        <w:t>a</w:t>
      </w:r>
    </w:p>
    <w:p w14:paraId="1C381161" w14:textId="77777777" w:rsidR="00F679A2" w:rsidRPr="005B2A49" w:rsidRDefault="00F679A2" w:rsidP="005B2A49">
      <w:pPr>
        <w:spacing w:after="120" w:line="260" w:lineRule="atLeast"/>
        <w:rPr>
          <w:rFonts w:eastAsia="Calibri"/>
          <w:szCs w:val="20"/>
        </w:rPr>
      </w:pPr>
      <w:r w:rsidRPr="005B2A49">
        <w:rPr>
          <w:rFonts w:eastAsia="Calibri"/>
          <w:szCs w:val="20"/>
        </w:rPr>
        <w:t xml:space="preserve">Skupno število rejene perutnine se je od leta 2006 do 2019 povečalo iz 3,1 milijona na 6,6 milijona živali. Po številu živali prevladuje reja pitovnih piščancev, katerih število je (med vsemi kategorijami perutnine) v tem obdobju tudi najbolj naraslo. </w:t>
      </w:r>
    </w:p>
    <w:p w14:paraId="2DFF6A51" w14:textId="77777777" w:rsidR="00F679A2" w:rsidRPr="005B2A49" w:rsidRDefault="00F679A2" w:rsidP="005B2A49">
      <w:pPr>
        <w:spacing w:after="120" w:line="260" w:lineRule="atLeast"/>
        <w:rPr>
          <w:rFonts w:eastAsia="Calibri"/>
          <w:szCs w:val="20"/>
        </w:rPr>
      </w:pPr>
      <w:r w:rsidRPr="005B2A49">
        <w:rPr>
          <w:rFonts w:eastAsia="Calibri"/>
          <w:szCs w:val="20"/>
        </w:rPr>
        <w:t>Prireja mesa se je v obdobju 2006–2019 gibala med 50 in 71 tisoč tonami, poraba pa med 46 tisoč in 65 tisoč ton. V Sloveniji se je poraba perutninskega mesa od leta 2013 do leta 2018 povečala za dodatnih 6,4 kg/prebivalca in je znašala 31,2 kg na prebivalca, medtem ko je bila v letu 2019 ponovno nekoliko manjša (30,8 kg/prebivalca). V letu 2018 je povprečna poraba perutninskega mesa v EU znašala 24,8 kg/prebivalca, kar kaže na četrtino večjo porabo perutninskega mesa v Sloveniji.</w:t>
      </w:r>
    </w:p>
    <w:p w14:paraId="0B3ED07B" w14:textId="77777777" w:rsidR="0043618D" w:rsidRPr="005B2A49" w:rsidRDefault="0043618D" w:rsidP="005B2A49">
      <w:pPr>
        <w:spacing w:after="120" w:line="260" w:lineRule="atLeast"/>
        <w:rPr>
          <w:rFonts w:eastAsia="Calibri"/>
          <w:szCs w:val="20"/>
        </w:rPr>
      </w:pPr>
      <w:r w:rsidRPr="005B2A49">
        <w:rPr>
          <w:rFonts w:eastAsia="Calibri"/>
          <w:szCs w:val="20"/>
        </w:rPr>
        <w:t>V letu 2016 je piščance redilo 5,5 tisoč kmetijskih gospodarstev, kar je skoraj enkrat več (+89 %) kot leta 2010. Ta kmetijska gospodarstva so skupaj redila skoraj 4 milijone kljunov, kar je za 41 % več kot leta 2010. Velika večina rejcev (93 %) redi do 100 kljunov, kar predstavlja manj kot 3 % celotne jate. Pri tržno usmerjenih rejah se je v obdobju od zadnjega popolnega popisa povečala koncentracija prireje. Število tistih, ki redijo med 5 in 10 tisoč piščancev se je v letu 2016 zmanjšalo za 29 %, medtem ko je bilo rejcev, ki redijo nad 10 tisoč piščancev, za 12 % več kot leta 2010.</w:t>
      </w:r>
    </w:p>
    <w:p w14:paraId="002D7203" w14:textId="77777777" w:rsidR="0043618D" w:rsidRPr="005B2A49" w:rsidRDefault="0043618D" w:rsidP="005B2A49">
      <w:pPr>
        <w:spacing w:after="120" w:line="260" w:lineRule="atLeast"/>
        <w:rPr>
          <w:rFonts w:eastAsia="Calibri"/>
          <w:szCs w:val="20"/>
        </w:rPr>
      </w:pPr>
      <w:r w:rsidRPr="005B2A49">
        <w:rPr>
          <w:rFonts w:eastAsia="Calibri"/>
          <w:szCs w:val="20"/>
        </w:rPr>
        <w:t>V letu 2016 je nekaj manj kot 37 tisoč kmetijskih gospodarstev redilo 1,6 milijona kokoši nesnic. Med letoma 2010 in 2016 se je število kmetijskih gospodarstev z nesnicami povečalo za dobrih 5 %, medtem ko se je velikost jate povečala za 7 %. Še vedno prevladuje samooskrbni način reje, saj je tudi v letu 2016 velika večina rejcev (99 %) redila do 100 kljunov. Ti rejci so redili dobro četrtino (27 %) celotne jate. Pri tržno usmerjenih rejah se je med zadnjima popisoma povečala koncentracija prireje. Število tistih, ki redijo med 3 in 5 tisoč kokoši nesnic, se je v letu 2016 zmanjšalo za 43 %, medtem ko je bilo rejcev, ki redijo nad 5 tisoč kokoši nesnic, za 9 % več kot leta 2010.</w:t>
      </w:r>
    </w:p>
    <w:p w14:paraId="5208610E" w14:textId="77777777" w:rsidR="0043618D" w:rsidRPr="005B2A49" w:rsidRDefault="0043618D" w:rsidP="005B2A49">
      <w:pPr>
        <w:spacing w:after="120" w:line="260" w:lineRule="atLeast"/>
        <w:rPr>
          <w:rFonts w:eastAsia="Calibri"/>
          <w:szCs w:val="20"/>
        </w:rPr>
      </w:pPr>
      <w:r w:rsidRPr="005B2A49">
        <w:rPr>
          <w:rFonts w:eastAsia="Calibri"/>
          <w:szCs w:val="20"/>
        </w:rPr>
        <w:t>V letih 2006-2019 opazen trend povečevanja tako v prireji mesa kot tudi porabi perutninskega mesa. Prireja mesa se je v obdobju 2006–2019 gibala med 50 in 71 tisoč tonami, poraba pa med 46 tisoč in 65 tisoč ton. V Sloveniji se je poraba perutninskega mesa od leta 2013 do leta 2018 povečala za dodatnih 6,4 kg/prebivalca in je znašala 31,2 kg na prebivalca, medtem ko je bila v letu 2019 ponovno nekoliko manjša (30,8 kg/prebivalca). V letu 2018 je povprečna poraba perutninskega mesa v EU znašala 24,8 kg/prebivalca, kar kaže na četrtino večjo porabo perutninskega mesa v Sloveniji.</w:t>
      </w:r>
    </w:p>
    <w:p w14:paraId="3A9E621E" w14:textId="73EDDE6C" w:rsidR="00F679A2" w:rsidRPr="005B2A49" w:rsidRDefault="00F679A2" w:rsidP="005B2A49">
      <w:pPr>
        <w:spacing w:after="120" w:line="260" w:lineRule="atLeast"/>
        <w:rPr>
          <w:rFonts w:eastAsia="Calibri"/>
          <w:szCs w:val="20"/>
        </w:rPr>
      </w:pPr>
      <w:r w:rsidRPr="005B2A49">
        <w:rPr>
          <w:rFonts w:eastAsia="Calibri"/>
          <w:szCs w:val="20"/>
        </w:rPr>
        <w:t xml:space="preserve">Prireja vseh jajc se je v letih 2006 – 2019 gibala med 15,8 tisoč ton (v letu 2006) in 25,2 tisoč ton (v letu 2019). </w:t>
      </w:r>
      <w:r w:rsidR="0043618D">
        <w:t xml:space="preserve">Za </w:t>
      </w:r>
      <w:r w:rsidR="0043618D" w:rsidRPr="009D60D5">
        <w:t>prehran</w:t>
      </w:r>
      <w:r w:rsidR="0043618D">
        <w:t>o ljudi</w:t>
      </w:r>
      <w:r w:rsidR="0043618D" w:rsidRPr="009D60D5">
        <w:t xml:space="preserve"> </w:t>
      </w:r>
      <w:r w:rsidRPr="005B2A49">
        <w:rPr>
          <w:rFonts w:eastAsia="Calibri"/>
          <w:szCs w:val="20"/>
        </w:rPr>
        <w:t>je namenjenih več kot 80</w:t>
      </w:r>
      <w:r w:rsidR="009E7E6E">
        <w:rPr>
          <w:rFonts w:eastAsia="Calibri"/>
          <w:szCs w:val="20"/>
        </w:rPr>
        <w:t> </w:t>
      </w:r>
      <w:r w:rsidRPr="005B2A49">
        <w:rPr>
          <w:rFonts w:eastAsia="Calibri"/>
          <w:szCs w:val="20"/>
        </w:rPr>
        <w:t xml:space="preserve">% celotne prireje jajc </w:t>
      </w:r>
      <w:r w:rsidRPr="005B2A49">
        <w:rPr>
          <w:rFonts w:eastAsia="Calibri"/>
          <w:szCs w:val="20"/>
        </w:rPr>
        <w:lastRenderedPageBreak/>
        <w:t xml:space="preserve">v Sloveniji. </w:t>
      </w:r>
      <w:r w:rsidR="0043618D">
        <w:t>V letih 2006-2019 je opazen trend povečevanja</w:t>
      </w:r>
      <w:r w:rsidR="0043618D" w:rsidRPr="005F4C54">
        <w:t xml:space="preserve"> </w:t>
      </w:r>
      <w:r w:rsidR="0043618D">
        <w:t xml:space="preserve">porabe konzumnih </w:t>
      </w:r>
      <w:r w:rsidR="0043618D" w:rsidRPr="009D60D5">
        <w:t>jajc</w:t>
      </w:r>
      <w:r w:rsidR="0043618D">
        <w:t xml:space="preserve"> na prebivalca.</w:t>
      </w:r>
      <w:r w:rsidR="0043618D" w:rsidRPr="009D60D5">
        <w:t xml:space="preserve"> </w:t>
      </w:r>
      <w:r w:rsidRPr="005B2A49">
        <w:rPr>
          <w:rFonts w:eastAsia="Calibri"/>
          <w:szCs w:val="20"/>
        </w:rPr>
        <w:t xml:space="preserve">Poraba </w:t>
      </w:r>
      <w:r w:rsidR="0043618D">
        <w:t xml:space="preserve">konzumnih </w:t>
      </w:r>
      <w:r w:rsidR="0043618D" w:rsidRPr="009D60D5">
        <w:t>jajc</w:t>
      </w:r>
      <w:r w:rsidR="0043618D">
        <w:t xml:space="preserve"> na prebivalca</w:t>
      </w:r>
      <w:r w:rsidR="0043618D" w:rsidRPr="009D60D5">
        <w:t xml:space="preserve"> </w:t>
      </w:r>
      <w:r w:rsidRPr="005B2A49">
        <w:rPr>
          <w:rFonts w:eastAsia="Calibri"/>
          <w:szCs w:val="20"/>
        </w:rPr>
        <w:t>se je od leta 2006 do leta 2019 povečala iz 7 kg/prebivalca na skoraj 12 kg/prebivalca.</w:t>
      </w:r>
    </w:p>
    <w:p w14:paraId="6926F7AE" w14:textId="0BF44EE1" w:rsidR="00F679A2" w:rsidRPr="005B2A49" w:rsidRDefault="00F679A2" w:rsidP="005B2A49">
      <w:pPr>
        <w:spacing w:after="120" w:line="260" w:lineRule="atLeast"/>
        <w:rPr>
          <w:rFonts w:eastAsia="Calibri"/>
          <w:szCs w:val="20"/>
        </w:rPr>
      </w:pPr>
      <w:r w:rsidRPr="005B2A49">
        <w:rPr>
          <w:rFonts w:eastAsia="Calibri"/>
          <w:szCs w:val="20"/>
        </w:rPr>
        <w:t>Prihodki in stroški prireje piščančjega mesa in tudi jajc so se od leta 2014 do 2019 nekoliko znižali, prihodkovno-stroškovno razmerje pa kaže na stabilen položaj.</w:t>
      </w:r>
      <w:r w:rsidR="0043618D" w:rsidRPr="005B2A49">
        <w:rPr>
          <w:rFonts w:eastAsia="Calibri"/>
          <w:szCs w:val="20"/>
        </w:rPr>
        <w:t xml:space="preserve"> Leta 2019 so se po statističnih podatkih odkupne cene perutnine za rejce agregatno zvišale za slabe 3</w:t>
      </w:r>
      <w:r w:rsidR="0043618D">
        <w:rPr>
          <w:rFonts w:eastAsia="Calibri"/>
          <w:szCs w:val="20"/>
        </w:rPr>
        <w:t> </w:t>
      </w:r>
      <w:r w:rsidR="0043618D" w:rsidRPr="005B2A49">
        <w:rPr>
          <w:rFonts w:eastAsia="Calibri"/>
          <w:szCs w:val="20"/>
        </w:rPr>
        <w:t>%, cene enodnevnih piščancev za nesnice (kategorija perutnina za nadaljnjo rejo) pa so se znižale za 4</w:t>
      </w:r>
      <w:r w:rsidR="0043618D">
        <w:rPr>
          <w:rFonts w:eastAsia="Calibri"/>
          <w:szCs w:val="20"/>
        </w:rPr>
        <w:t> </w:t>
      </w:r>
      <w:r w:rsidR="0043618D" w:rsidRPr="005B2A49">
        <w:rPr>
          <w:rFonts w:eastAsia="Calibri"/>
          <w:szCs w:val="20"/>
        </w:rPr>
        <w:t>%. Če se je po statističnih podatkih cena pitovnih piščancev v letu 2019 zvišala za 3</w:t>
      </w:r>
      <w:r w:rsidR="0043618D">
        <w:rPr>
          <w:rFonts w:eastAsia="Calibri"/>
          <w:szCs w:val="20"/>
        </w:rPr>
        <w:t> </w:t>
      </w:r>
      <w:r w:rsidR="0043618D" w:rsidRPr="005B2A49">
        <w:rPr>
          <w:rFonts w:eastAsia="Calibri"/>
          <w:szCs w:val="20"/>
        </w:rPr>
        <w:t>%, se je po podatkih reprezentativnih klavnic tržna cena zaklanih piščancev (tj. 65</w:t>
      </w:r>
      <w:r w:rsidR="0043618D">
        <w:rPr>
          <w:rFonts w:eastAsia="Calibri"/>
          <w:szCs w:val="20"/>
        </w:rPr>
        <w:t> </w:t>
      </w:r>
      <w:r w:rsidR="0043618D" w:rsidRPr="005B2A49">
        <w:rPr>
          <w:rFonts w:eastAsia="Calibri"/>
          <w:szCs w:val="20"/>
        </w:rPr>
        <w:t>% piščancev) znižala za odstotek.</w:t>
      </w:r>
    </w:p>
    <w:p w14:paraId="16F8C5CD" w14:textId="077AC99A" w:rsidR="00F679A2" w:rsidRPr="005B2A49" w:rsidRDefault="00F679A2" w:rsidP="005B2A49">
      <w:pPr>
        <w:spacing w:after="120" w:line="260" w:lineRule="atLeast"/>
        <w:rPr>
          <w:rFonts w:eastAsia="Calibri"/>
          <w:szCs w:val="20"/>
        </w:rPr>
      </w:pPr>
      <w:r w:rsidRPr="005B2A49">
        <w:rPr>
          <w:rFonts w:eastAsia="Calibri"/>
          <w:szCs w:val="20"/>
        </w:rPr>
        <w:t xml:space="preserve">Odkupne cene perutnine so se od leta 2006 do leta 2013 zviševale, po letu 2013 pa so se zniževale (z izjemo leta 2019). </w:t>
      </w:r>
      <w:r w:rsidR="0043618D">
        <w:t>Zaradi višjih odkupnih cen perutnine in višje vrednosti gnoja se je skupna vrednost proizvodnje zvišala za dobre 3 %, kar je dvakrat toliko od zvišanja skupnih stroškov prireje. Prihodkovno-stroškovno razmerje se je izboljšalo in je na ravni povprečja zadnjega petletnega obdobja (2014–2018).</w:t>
      </w:r>
      <w:r w:rsidR="0043618D" w:rsidRPr="009D60D5">
        <w:t xml:space="preserve"> </w:t>
      </w:r>
      <w:r w:rsidRPr="005B2A49">
        <w:rPr>
          <w:rFonts w:eastAsia="Calibri"/>
          <w:szCs w:val="20"/>
        </w:rPr>
        <w:t>Tržna cena zaklanih piščancev (65</w:t>
      </w:r>
      <w:r w:rsidR="0043618D">
        <w:rPr>
          <w:rFonts w:eastAsia="Calibri"/>
          <w:szCs w:val="20"/>
        </w:rPr>
        <w:t> </w:t>
      </w:r>
      <w:r w:rsidRPr="005B2A49">
        <w:rPr>
          <w:rFonts w:eastAsia="Calibri"/>
          <w:szCs w:val="20"/>
        </w:rPr>
        <w:t xml:space="preserve">% piščancev) je v Sloveniji višja od povprečne cene v EU, Slovenija pa se od leta 2014 dalje nahaja v sredini držav članic EU. </w:t>
      </w:r>
    </w:p>
    <w:p w14:paraId="60C8F90D" w14:textId="3B8D05EE" w:rsidR="00F679A2" w:rsidRPr="005B2A49" w:rsidRDefault="00F679A2" w:rsidP="005B2A49">
      <w:pPr>
        <w:spacing w:after="120" w:line="260" w:lineRule="atLeast"/>
        <w:rPr>
          <w:rFonts w:eastAsia="Calibri"/>
          <w:szCs w:val="20"/>
        </w:rPr>
      </w:pPr>
      <w:r w:rsidRPr="005B2A49">
        <w:rPr>
          <w:rFonts w:eastAsia="Calibri"/>
          <w:szCs w:val="20"/>
        </w:rPr>
        <w:t xml:space="preserve">Odkupne cene jajc so se po letu 2013 zniževale, v letih 2018 in 2019 pa je opazna ponovna rast. </w:t>
      </w:r>
      <w:r w:rsidR="0043618D">
        <w:t xml:space="preserve">Prihodkovno-stroškovno razmerje pri proizvodnji jajc je pred letom 2014 precej nihalo, v zadnjih letih pa so razmere med leti precej podobne. Ekonomski rezultati pri proizvodnji jajc leta 2019 so na ravni povprečja zadnjega petletnega obdobja. Tako ocenjujemo, da je kljub spremembam, predvsem v tehnologijah pridelave na slovenskem trgu, stanje v prireji jajc zadnja leta stabilno. </w:t>
      </w:r>
      <w:r w:rsidRPr="005B2A49">
        <w:rPr>
          <w:rFonts w:eastAsia="Calibri"/>
          <w:szCs w:val="20"/>
        </w:rPr>
        <w:t>V letu 2019 so bile cene na slovenskih reprezentativnih trgih (pakirni centri), tako kot v predhodnih letih, višje od povprečnih cen v EU. Slovenija se nahaja v sredini držav članic EU, pri čemer velja omeniti, da so med državami članicami velike razlike v cenah konzumnih jajc.</w:t>
      </w:r>
    </w:p>
    <w:p w14:paraId="19074EAD" w14:textId="02CFD0A5" w:rsidR="00F679A2" w:rsidRPr="005B2A49" w:rsidRDefault="0043618D" w:rsidP="005B2A49">
      <w:pPr>
        <w:spacing w:after="120" w:line="360" w:lineRule="auto"/>
        <w:rPr>
          <w:rFonts w:eastAsia="Calibri"/>
          <w:szCs w:val="20"/>
        </w:rPr>
      </w:pPr>
      <w:r>
        <w:t xml:space="preserve">V samooskrbi s perutninskim mesom in jajci so opazna medletna nihanja. </w:t>
      </w:r>
      <w:r w:rsidR="00F679A2" w:rsidRPr="005B2A49">
        <w:rPr>
          <w:rFonts w:eastAsia="Calibri"/>
          <w:szCs w:val="20"/>
        </w:rPr>
        <w:t>Slovenija je samooskrbna s perutninskim mesom. V obdobju 2006 – 2019 se je stopnja samooskrbe gibala med 103</w:t>
      </w:r>
      <w:r>
        <w:rPr>
          <w:rFonts w:eastAsia="Calibri"/>
          <w:szCs w:val="20"/>
        </w:rPr>
        <w:t> </w:t>
      </w:r>
      <w:r w:rsidR="00F679A2" w:rsidRPr="005B2A49">
        <w:rPr>
          <w:rFonts w:eastAsia="Calibri"/>
          <w:szCs w:val="20"/>
        </w:rPr>
        <w:t>% in 117</w:t>
      </w:r>
      <w:r>
        <w:rPr>
          <w:rFonts w:eastAsia="Calibri"/>
          <w:szCs w:val="20"/>
        </w:rPr>
        <w:t> </w:t>
      </w:r>
      <w:r w:rsidR="00F679A2" w:rsidRPr="005B2A49">
        <w:rPr>
          <w:rFonts w:eastAsia="Calibri"/>
          <w:szCs w:val="20"/>
        </w:rPr>
        <w:t>%, v letu 2019 je bila 1</w:t>
      </w:r>
      <w:r>
        <w:rPr>
          <w:rFonts w:eastAsia="Calibri"/>
          <w:szCs w:val="20"/>
        </w:rPr>
        <w:t>11 %</w:t>
      </w:r>
      <w:r w:rsidR="00F679A2" w:rsidRPr="005B2A49">
        <w:rPr>
          <w:rFonts w:eastAsia="Calibri"/>
          <w:szCs w:val="20"/>
        </w:rPr>
        <w:t>. Stopnja samooskrbe z jajci (tako valilna kot ostala jajca) je že več let visoka, vendar ne samozadostna. V letu 2019 je bila stopnja samooskrbe z jajci 95-odstotna.</w:t>
      </w:r>
    </w:p>
    <w:p w14:paraId="48620C5A" w14:textId="2904A1B1" w:rsidR="00F679A2" w:rsidRPr="005B2A49" w:rsidRDefault="00F679A2" w:rsidP="005B2A49">
      <w:pPr>
        <w:spacing w:after="120" w:line="260" w:lineRule="atLeast"/>
        <w:rPr>
          <w:rFonts w:eastAsia="Calibri"/>
          <w:szCs w:val="20"/>
        </w:rPr>
      </w:pPr>
      <w:r w:rsidRPr="005B2A49">
        <w:rPr>
          <w:rFonts w:eastAsia="Calibri"/>
          <w:szCs w:val="20"/>
        </w:rPr>
        <w:t>Slovenija je neto izvoznica perutninskega mesa in živih živali. Povečujeta se tako izvoz kot uvoz, pri čemer v zadnjih nekaj letih hitrejša rast izvoza ustvarja še ugodnejšo zunanjetrgovinsko bilanco. Večino izvoza in uvoza predstavlja meso (okoli 75</w:t>
      </w:r>
      <w:r w:rsidR="0043618D">
        <w:rPr>
          <w:rFonts w:eastAsia="Calibri"/>
          <w:szCs w:val="20"/>
        </w:rPr>
        <w:t> </w:t>
      </w:r>
      <w:r w:rsidRPr="005B2A49">
        <w:rPr>
          <w:rFonts w:eastAsia="Calibri"/>
          <w:szCs w:val="20"/>
        </w:rPr>
        <w:t>% oziroma 85</w:t>
      </w:r>
      <w:r w:rsidR="0043618D">
        <w:rPr>
          <w:rFonts w:eastAsia="Calibri"/>
          <w:szCs w:val="20"/>
        </w:rPr>
        <w:t> </w:t>
      </w:r>
      <w:r w:rsidRPr="005B2A49">
        <w:rPr>
          <w:rFonts w:eastAsia="Calibri"/>
          <w:szCs w:val="20"/>
        </w:rPr>
        <w:t xml:space="preserve">%). V obdobju 2006 </w:t>
      </w:r>
      <w:r w:rsidR="00040F4B">
        <w:rPr>
          <w:rFonts w:eastAsia="Calibri"/>
          <w:szCs w:val="20"/>
        </w:rPr>
        <w:t>-</w:t>
      </w:r>
      <w:r w:rsidRPr="005B2A49">
        <w:rPr>
          <w:rFonts w:eastAsia="Calibri"/>
          <w:szCs w:val="20"/>
        </w:rPr>
        <w:t xml:space="preserve"> 2019 sta se povečevala tudi izvoz in uvoz jajc s tem, da je uvoz ves čas večji. </w:t>
      </w:r>
    </w:p>
    <w:p w14:paraId="7480B9CD" w14:textId="77777777" w:rsidR="00F679A2" w:rsidRPr="009D60D5" w:rsidRDefault="00F679A2" w:rsidP="005B2A49">
      <w:pPr>
        <w:spacing w:after="120" w:line="260" w:lineRule="atLeast"/>
        <w:rPr>
          <w:rFonts w:eastAsia="Calibri"/>
          <w:szCs w:val="20"/>
        </w:rPr>
      </w:pPr>
      <w:r w:rsidRPr="005B2A49">
        <w:rPr>
          <w:rFonts w:eastAsia="Calibri"/>
          <w:szCs w:val="20"/>
        </w:rPr>
        <w:t>V obdobju od leta 2010 do 2019 se je število ekološko rejene perutnine povečevalo od 28.000 živali do nekaj manj kot 97.000 živali v 2019, ko je opaziti rahlo zmanjšanje števila ekološko rejene perutnine glede na trend povečevanja iz predhodnih let. Prireja ekološkega perutninskega mesa se je od 2012 do 2019 povečala iz približno 17 ton na 27 ton. V omenjenem obdobju se je povečevala tudi prireja ekoloških konzumnih jajc, saj je bilo v letu 2019 prirejenih nekaj manj kot 12 milijonov ekoloških konzumnih jajc (okrog 3 % vseh konzumnih jajc).</w:t>
      </w:r>
    </w:p>
    <w:p w14:paraId="0964D6E7" w14:textId="5EDBED4B" w:rsidR="00F679A2" w:rsidRPr="005B2A49" w:rsidRDefault="00040F4B" w:rsidP="005B2A49">
      <w:pPr>
        <w:spacing w:after="120" w:line="260" w:lineRule="atLeast"/>
        <w:rPr>
          <w:rFonts w:eastAsia="Calibri"/>
          <w:szCs w:val="20"/>
        </w:rPr>
      </w:pPr>
      <w:r w:rsidRPr="00875BB7">
        <w:lastRenderedPageBreak/>
        <w:t xml:space="preserve">Perutninarstvo prispeva 2 % izpustov toplogrednih plinov na področju živinoreje, 1,5 % k izpustom toplogrednih plinov na področju kmetijstva oziroma 0,15 % k vsem izpustom toplogrednih plinov v Sloveniji. Perutninarstvo prispeva 6,2 % izpustov amonijaka na področju kmetijstva. Izpuste amonijaka bi bilo mogoče zmanjšati </w:t>
      </w:r>
      <w:r>
        <w:t>z obroki, ki so prilagojeni potrebam posameznih kategorij perutnine</w:t>
      </w:r>
      <w:r w:rsidRPr="00875BB7">
        <w:t>, izboljšanju načinov reje,</w:t>
      </w:r>
      <w:r>
        <w:t xml:space="preserve"> zračenjem hlevov</w:t>
      </w:r>
      <w:r w:rsidRPr="00875BB7">
        <w:t xml:space="preserve"> skladiščenja živinskih gnojil in uvajanju gnojenja z majhnimi izpusti</w:t>
      </w:r>
      <w:r>
        <w:t xml:space="preserve">. </w:t>
      </w:r>
    </w:p>
    <w:p w14:paraId="7B0403D0" w14:textId="276C7D90" w:rsidR="00F679A2" w:rsidRPr="005B2A49" w:rsidRDefault="00F679A2" w:rsidP="005B2A49">
      <w:pPr>
        <w:spacing w:after="120" w:line="260" w:lineRule="atLeast"/>
        <w:rPr>
          <w:rFonts w:eastAsia="Calibri"/>
          <w:szCs w:val="20"/>
        </w:rPr>
      </w:pPr>
      <w:r w:rsidRPr="005B2A49">
        <w:rPr>
          <w:rFonts w:eastAsia="Calibri"/>
          <w:szCs w:val="20"/>
        </w:rPr>
        <w:t xml:space="preserve">V okviru Programa varstva biotske raznovrstnosti v živinoreji za obdobje 2017-2023 se varuje/ohranja edina avtohtona pasma, štajerska kokoš, ki ima drugo stopnjo ogroženosti. Poleg štajerske kokoši se skrbi tudi za ohranitev štirih tradicionalnih pasem kokoši, katere pa imajo najvišjo stopnjo ogroženosti t.j. kritična in sicer zaradi zelo slabe geografske razširjenosti. V letu 2019 se je Register pasem z zootehniško oceno vodil za pet pasem kokoši: štajerska kokoš, slovenska grahasta kokoš, slovenska srebrna kokoš, slovenska rjava kokoš, slovenska pozno operjena kokoš. </w:t>
      </w:r>
    </w:p>
    <w:p w14:paraId="10AE21A2" w14:textId="7D7DF8F3" w:rsidR="00F679A2" w:rsidRPr="005B2A49" w:rsidRDefault="00F679A2" w:rsidP="005B2A49">
      <w:pPr>
        <w:spacing w:after="120" w:line="260" w:lineRule="atLeast"/>
        <w:rPr>
          <w:rFonts w:eastAsia="Calibri"/>
          <w:szCs w:val="20"/>
        </w:rPr>
      </w:pPr>
      <w:r w:rsidRPr="005B2A49">
        <w:rPr>
          <w:rFonts w:eastAsia="Calibri"/>
          <w:szCs w:val="20"/>
        </w:rPr>
        <w:t xml:space="preserve">Splošna javnost želi, da se dobrobit živali okrepi na vseh področjih, vključno s perutninarstvom. </w:t>
      </w:r>
      <w:r w:rsidR="00040F4B" w:rsidRPr="00875BB7">
        <w:t>V letu</w:t>
      </w:r>
      <w:r w:rsidR="00040F4B">
        <w:t xml:space="preserve"> 2020 se je 66,0 % vseh nesnic redilo v baterijski (23,0 %) ali hlevski reji (43,0 %).</w:t>
      </w:r>
    </w:p>
    <w:p w14:paraId="034CEC64" w14:textId="4D6607DA" w:rsidR="00F679A2" w:rsidRDefault="00F679A2" w:rsidP="005B2A49">
      <w:pPr>
        <w:spacing w:after="120" w:line="260" w:lineRule="atLeast"/>
        <w:rPr>
          <w:rFonts w:eastAsia="Calibri"/>
          <w:szCs w:val="20"/>
        </w:rPr>
      </w:pPr>
      <w:r w:rsidRPr="005B2A49">
        <w:rPr>
          <w:rFonts w:eastAsia="Calibri"/>
          <w:szCs w:val="20"/>
        </w:rPr>
        <w:t>Dosedanje podpore SKP 2014 – 2020 za sektor perutninarstva izhajajo iz splošnih ukrepov, ki so vezani na površine in različnih ukrepov PRP 2014-2020 (M4, M6 itd.). Do dne 31. 8. 2019 je bilo v okviru podukrepa M04.1 Podpora za naložbe v kmetijska gospodarstva izplačano približno 1,5 mio EUR, v okviru podukrepa 4.2 Podpora za naložbe v predelavo/trženje in/ali razvoj kmetijskih proizvodov nekaj čez 0,5 mio EUR, v okviru podukrepa 6.1 Pomoč za zagon dejavnosti za mlade kmete približno 0,4 mio EUR in v okviru podukrepa 6.3 Pomoč za zagon dejavnosti, namenjene razvoju majhnih kmetij je bilo izplačano 10.500 EUR.</w:t>
      </w:r>
    </w:p>
    <w:p w14:paraId="5E48192D" w14:textId="77777777" w:rsidR="00C25531" w:rsidRPr="005B2A49" w:rsidRDefault="00C25531" w:rsidP="005B2A49">
      <w:pPr>
        <w:spacing w:after="120" w:line="260" w:lineRule="atLeast"/>
        <w:rPr>
          <w:rFonts w:eastAsia="Calibri"/>
          <w:szCs w:val="20"/>
        </w:rPr>
      </w:pPr>
    </w:p>
    <w:p w14:paraId="39157612" w14:textId="77777777" w:rsidR="00F679A2" w:rsidRPr="0022702B" w:rsidRDefault="00F679A2" w:rsidP="00F679A2">
      <w:pPr>
        <w:pStyle w:val="Naslov3"/>
        <w:rPr>
          <w:rFonts w:eastAsia="Calibri"/>
        </w:rPr>
      </w:pPr>
      <w:bookmarkStart w:id="3112" w:name="_Toc86822574"/>
      <w:r w:rsidRPr="0022702B">
        <w:rPr>
          <w:rFonts w:eastAsia="Calibri"/>
        </w:rPr>
        <w:t>Ključne ugotovitve</w:t>
      </w:r>
      <w:bookmarkEnd w:id="3112"/>
    </w:p>
    <w:p w14:paraId="3236AC6C" w14:textId="49A1531B" w:rsidR="00040F4B" w:rsidRDefault="00040F4B" w:rsidP="005B2A49">
      <w:pPr>
        <w:pStyle w:val="Odstavekseznama"/>
        <w:numPr>
          <w:ilvl w:val="0"/>
          <w:numId w:val="184"/>
        </w:numPr>
        <w:spacing w:after="120" w:line="260" w:lineRule="atLeast"/>
        <w:ind w:left="357" w:hanging="357"/>
        <w:rPr>
          <w:rFonts w:ascii="Arial" w:eastAsia="Calibri" w:hAnsi="Arial"/>
          <w:sz w:val="22"/>
        </w:rPr>
      </w:pPr>
      <w:r w:rsidRPr="005B2A49">
        <w:rPr>
          <w:rFonts w:ascii="Arial" w:eastAsia="Calibri" w:hAnsi="Arial"/>
          <w:sz w:val="22"/>
        </w:rPr>
        <w:t>V Sloveniji je perutninarstvo stabilna panoga, ki je zaradi urejene kooperacijske reje in vzpostavljenih poslovnih povezav, izpostavljena manjšim tveganjem.</w:t>
      </w:r>
    </w:p>
    <w:p w14:paraId="79E4AAB2" w14:textId="2FC731B0" w:rsidR="00F679A2" w:rsidRPr="005B2A49" w:rsidRDefault="00040F4B" w:rsidP="005B2A49">
      <w:pPr>
        <w:pStyle w:val="Odstavekseznama"/>
        <w:numPr>
          <w:ilvl w:val="0"/>
          <w:numId w:val="184"/>
        </w:numPr>
        <w:spacing w:after="120" w:line="260" w:lineRule="atLeast"/>
        <w:ind w:left="357" w:hanging="357"/>
        <w:rPr>
          <w:rFonts w:ascii="Arial" w:eastAsia="Calibri" w:hAnsi="Arial"/>
          <w:sz w:val="22"/>
        </w:rPr>
      </w:pPr>
      <w:r w:rsidRPr="005B2A49">
        <w:rPr>
          <w:rFonts w:ascii="Arial" w:eastAsia="Calibri" w:hAnsi="Arial"/>
          <w:sz w:val="22"/>
        </w:rPr>
        <w:t>Za izboljšanje pogojev reje oziroma dobrobiti živali, zmanjšanje izpusta toplogrednih plinov in amonijaka, tehnološke dovršenosti proizvodnje ter izboljšanje biovarnosti je potrebna je posodobitev opreme in objektov</w:t>
      </w:r>
      <w:r w:rsidR="00F679A2" w:rsidRPr="005B2A49">
        <w:rPr>
          <w:rFonts w:ascii="Arial" w:eastAsia="Calibri" w:hAnsi="Arial"/>
          <w:sz w:val="22"/>
        </w:rPr>
        <w:t>.</w:t>
      </w:r>
    </w:p>
    <w:p w14:paraId="389E0739" w14:textId="27E48331" w:rsidR="00F679A2" w:rsidRDefault="00040F4B" w:rsidP="005B2A49">
      <w:pPr>
        <w:pStyle w:val="Odstavekseznama"/>
        <w:numPr>
          <w:ilvl w:val="0"/>
          <w:numId w:val="184"/>
        </w:numPr>
        <w:spacing w:after="120" w:line="260" w:lineRule="atLeast"/>
        <w:ind w:left="357" w:hanging="357"/>
        <w:rPr>
          <w:rFonts w:ascii="Arial" w:eastAsia="Calibri" w:hAnsi="Arial"/>
          <w:sz w:val="22"/>
        </w:rPr>
      </w:pPr>
      <w:r w:rsidRPr="005B2A49">
        <w:rPr>
          <w:rFonts w:ascii="Arial" w:eastAsia="Calibri" w:hAnsi="Arial"/>
          <w:sz w:val="22"/>
        </w:rPr>
        <w:t>Potrebno je izvajanje ukrepa dobrobiti živali, še posebej zaradi učinkovitejšega prilagajanja rejcev zahtevam potrošnikov.</w:t>
      </w:r>
    </w:p>
    <w:p w14:paraId="2CC31FD8" w14:textId="0F150EC7" w:rsidR="00C25531" w:rsidRPr="005B2A49" w:rsidRDefault="00C25531" w:rsidP="005B2A49">
      <w:pPr>
        <w:pStyle w:val="Odstavekseznama"/>
        <w:spacing w:after="120" w:line="260" w:lineRule="atLeast"/>
        <w:ind w:left="357"/>
        <w:rPr>
          <w:rFonts w:ascii="Arial" w:eastAsia="Calibri" w:hAnsi="Arial"/>
          <w:sz w:val="22"/>
        </w:rPr>
      </w:pPr>
    </w:p>
    <w:p w14:paraId="2187EAAE" w14:textId="77777777" w:rsidR="00F679A2" w:rsidRPr="0022702B" w:rsidRDefault="00F679A2" w:rsidP="00F679A2">
      <w:pPr>
        <w:pStyle w:val="Naslov2"/>
      </w:pPr>
      <w:bookmarkStart w:id="3113" w:name="_Toc86822575"/>
      <w:r w:rsidRPr="0022702B">
        <w:t>Drobnica</w:t>
      </w:r>
      <w:bookmarkEnd w:id="3113"/>
    </w:p>
    <w:p w14:paraId="7642C7EF" w14:textId="77777777" w:rsidR="00F679A2" w:rsidRPr="005B2A49" w:rsidRDefault="00F679A2" w:rsidP="005B2A49">
      <w:pPr>
        <w:spacing w:after="120" w:line="260" w:lineRule="atLeast"/>
        <w:rPr>
          <w:rFonts w:eastAsia="Calibri"/>
          <w:szCs w:val="20"/>
        </w:rPr>
      </w:pPr>
      <w:r w:rsidRPr="005B2A49">
        <w:rPr>
          <w:rFonts w:eastAsia="Calibri"/>
          <w:szCs w:val="20"/>
        </w:rPr>
        <w:t xml:space="preserve">Reja drobnice je v Sloveniji tradicionalna kmetijska dejavnost in je ena do okolja najbolj prijaznih oblik živinoreje. Večina rej se nahaja v območjih z omejenimi možnostmi za kmetijsko dejavnost in imajo pomembno vlogo v okviru prizadevanj za preprečevanje hitrega zaraščanja kmetijskih površin. Zaradi načina prehranjevalnih vzorcev je drobnica pomembna za ohranjanje biotske raznovrstnosti rastlinskih ekosistemov, avtohtone in tradicionalne pasme pa za živalske ekosisteme, kar varuje okolje in ohranja kulturno krajino. Prevladuje konvencionalna ekstenzivna reja z zmernimi prirasti, razen pri rejcih, ki so usmerjeni v proizvodnjo mleka. Vedno več rej se odloča za ekološki način kmetovanja.  </w:t>
      </w:r>
    </w:p>
    <w:p w14:paraId="7AFD1AE6" w14:textId="77777777" w:rsidR="00F679A2" w:rsidRPr="005B2A49" w:rsidRDefault="00F679A2" w:rsidP="005B2A49">
      <w:pPr>
        <w:spacing w:after="120" w:line="260" w:lineRule="atLeast"/>
        <w:rPr>
          <w:rFonts w:eastAsia="Calibri"/>
          <w:szCs w:val="20"/>
        </w:rPr>
      </w:pPr>
    </w:p>
    <w:p w14:paraId="5AFDEC27" w14:textId="77777777" w:rsidR="00F679A2" w:rsidRDefault="00F679A2" w:rsidP="00F679A2">
      <w:pPr>
        <w:pStyle w:val="Naslov3"/>
        <w:rPr>
          <w:rFonts w:eastAsia="Calibri"/>
        </w:rPr>
      </w:pPr>
      <w:bookmarkStart w:id="3114" w:name="_Toc86822576"/>
      <w:r w:rsidRPr="0022702B">
        <w:rPr>
          <w:rFonts w:eastAsia="Calibri"/>
        </w:rPr>
        <w:t>Stanje v sektorju in osnovni ekonomski kazalniki</w:t>
      </w:r>
      <w:bookmarkEnd w:id="3114"/>
    </w:p>
    <w:p w14:paraId="5A598515" w14:textId="77777777" w:rsidR="00F679A2" w:rsidRPr="0022702B" w:rsidRDefault="00F679A2" w:rsidP="00F679A2">
      <w:pPr>
        <w:rPr>
          <w:rFonts w:eastAsia="Calibri"/>
        </w:rPr>
      </w:pPr>
    </w:p>
    <w:p w14:paraId="37536C91" w14:textId="77777777" w:rsidR="00F679A2" w:rsidRPr="005B2A49" w:rsidRDefault="00F679A2" w:rsidP="005B2A49">
      <w:pPr>
        <w:spacing w:after="120" w:line="260" w:lineRule="atLeast"/>
        <w:rPr>
          <w:rFonts w:eastAsia="Calibri"/>
          <w:szCs w:val="20"/>
        </w:rPr>
      </w:pPr>
      <w:r w:rsidRPr="005B2A49">
        <w:rPr>
          <w:rFonts w:eastAsia="Calibri"/>
          <w:szCs w:val="20"/>
        </w:rPr>
        <w:t>Prireja mesa drobnice k skupni slovenski kmetijski proizvodnji prispeva malo manj kot odstotek vrednosti (leta 2019 0,7%), k vrednosti živinorejske proizvodnje pa dober odstotek (leta 2019 1,5 %). Statistični podatki kažejo, da se je po hitri rasti obsega reje do leta 2009, ko je število drobnice znašalo 168.004 glav, trend obrnil navzdol. Tako je stalež leta 2013 znašal 130.019 živali in se je v letih 2014 do 2019 ustalil (110 tisoč ovac in dobrih 24 tisoč koz v letu 2019).</w:t>
      </w:r>
    </w:p>
    <w:p w14:paraId="1678CCC5" w14:textId="77777777" w:rsidR="00F679A2" w:rsidRPr="005B2A49" w:rsidRDefault="00F679A2" w:rsidP="005B2A49">
      <w:pPr>
        <w:spacing w:after="120" w:line="260" w:lineRule="atLeast"/>
        <w:rPr>
          <w:rFonts w:eastAsia="Calibri"/>
          <w:szCs w:val="20"/>
        </w:rPr>
      </w:pPr>
      <w:r w:rsidRPr="005B2A49">
        <w:rPr>
          <w:rFonts w:eastAsia="Calibri"/>
          <w:szCs w:val="20"/>
        </w:rPr>
        <w:t>V Sloveniji drobnico redijo na preko 7.100 kmetijskih gospodarstvih. Po podatkih raziskovanja strukture kmetijskih gospodarstev 2016 se je število gospodarstev z drobnico v primerjavi z letom 2013 povečalo na račun porasta števila kmetijskih gospodarstev s kozami (+14 %). Pri ovcah se je povprečno število živali na kmetijsko gospodarstvo v obdobju med 2013 in 2016 povečalo z 20,9 na 21,9 živali, pri kozah pa nekoliko zmanjšalo, z 8,6 na 8,4 živali na KMG. 70 % od vseh gospodarstev z drobnico ima manj od 2 GVŽ drobnice. V Sloveniji je več kot 30 % črede drobnice vključene v ekološko kmetovanje.</w:t>
      </w:r>
    </w:p>
    <w:p w14:paraId="33547018" w14:textId="0920421E" w:rsidR="00F679A2" w:rsidRDefault="00F679A2" w:rsidP="00F679A2">
      <w:pPr>
        <w:pStyle w:val="SCSlika0"/>
      </w:pPr>
      <w:bookmarkStart w:id="3115" w:name="_Toc86822730"/>
      <w:r>
        <w:t xml:space="preserve">Slika </w:t>
      </w:r>
      <w:r>
        <w:rPr>
          <w:noProof/>
        </w:rPr>
        <w:fldChar w:fldCharType="begin"/>
      </w:r>
      <w:r>
        <w:rPr>
          <w:noProof/>
        </w:rPr>
        <w:instrText xml:space="preserve"> SEQ Slika \* ARABIC </w:instrText>
      </w:r>
      <w:r>
        <w:rPr>
          <w:noProof/>
        </w:rPr>
        <w:fldChar w:fldCharType="separate"/>
      </w:r>
      <w:r w:rsidR="0088117A">
        <w:rPr>
          <w:noProof/>
        </w:rPr>
        <w:t>58</w:t>
      </w:r>
      <w:r>
        <w:rPr>
          <w:noProof/>
        </w:rPr>
        <w:fldChar w:fldCharType="end"/>
      </w:r>
      <w:r>
        <w:t xml:space="preserve">: </w:t>
      </w:r>
      <w:r w:rsidRPr="009D60D5">
        <w:t>Število drobnice in prirast (2007–2019)</w:t>
      </w:r>
      <w:bookmarkEnd w:id="3115"/>
    </w:p>
    <w:p w14:paraId="495D09FB" w14:textId="77777777" w:rsidR="00F679A2" w:rsidRPr="00915839" w:rsidRDefault="00F679A2" w:rsidP="00F679A2">
      <w:pPr>
        <w:spacing w:line="360" w:lineRule="auto"/>
        <w:jc w:val="center"/>
      </w:pPr>
      <w:r w:rsidRPr="00915839">
        <w:rPr>
          <w:noProof/>
          <w:lang w:eastAsia="sl-SI"/>
        </w:rPr>
        <w:drawing>
          <wp:inline distT="0" distB="0" distL="0" distR="0" wp14:anchorId="0BC7F7DC" wp14:editId="117C649A">
            <wp:extent cx="5705475" cy="2219325"/>
            <wp:effectExtent l="0" t="0" r="9525" b="9525"/>
            <wp:docPr id="24169627" name="Slika 2416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05475" cy="2219325"/>
                    </a:xfrm>
                    <a:prstGeom prst="rect">
                      <a:avLst/>
                    </a:prstGeom>
                    <a:noFill/>
                    <a:ln>
                      <a:noFill/>
                    </a:ln>
                  </pic:spPr>
                </pic:pic>
              </a:graphicData>
            </a:graphic>
          </wp:inline>
        </w:drawing>
      </w:r>
    </w:p>
    <w:p w14:paraId="1154C40B" w14:textId="77777777" w:rsidR="00F679A2" w:rsidRPr="00690008" w:rsidRDefault="00F679A2" w:rsidP="00F679A2">
      <w:pPr>
        <w:widowControl w:val="0"/>
        <w:spacing w:line="360" w:lineRule="auto"/>
        <w:ind w:left="170" w:hanging="170"/>
        <w:rPr>
          <w:sz w:val="16"/>
          <w:szCs w:val="16"/>
        </w:rPr>
      </w:pPr>
      <w:r w:rsidRPr="00690008">
        <w:rPr>
          <w:sz w:val="16"/>
          <w:szCs w:val="16"/>
        </w:rPr>
        <w:t>Vir: SURS</w:t>
      </w:r>
      <w:r>
        <w:rPr>
          <w:sz w:val="16"/>
          <w:szCs w:val="16"/>
        </w:rPr>
        <w:t xml:space="preserve"> (ZP-2019)</w:t>
      </w:r>
    </w:p>
    <w:p w14:paraId="7BF19603" w14:textId="77777777" w:rsidR="00F679A2" w:rsidRPr="005B2A49" w:rsidRDefault="00F679A2" w:rsidP="005B2A49">
      <w:pPr>
        <w:spacing w:after="120" w:line="260" w:lineRule="atLeast"/>
        <w:rPr>
          <w:rFonts w:eastAsia="Calibri"/>
          <w:szCs w:val="20"/>
        </w:rPr>
      </w:pPr>
      <w:r w:rsidRPr="005B2A49">
        <w:rPr>
          <w:rFonts w:eastAsia="Calibri"/>
          <w:szCs w:val="20"/>
        </w:rPr>
        <w:t>Prirast drobnice v živi masi znaša okoli 3,4 tisoč ton, pri čemer ovce prispevajo okoli 80 %, domača prireja mesa pa v zadnjih nekaj letih niha med 1,6 in 1,8 tisoč ton. Od leta 2013 dalje se zakol v klavnicah povečuje, a se še vedno največ mesa drobnice pridobi iz zakola zunaj klavnic (povprečje zadnjih pet let je okoli 91 %). Domača poraba mesa drobnice je v letu 2019 znašala 1,83 tisoč ton. Po letu 2016, ko je domača poraba z dobrimi 2 tisoč tonami mesa pomenila porabo 1 kg mesa drobnice na prebivalca, je bila v letu 2019 0,88 kg, kar je med najnižjimi vrednostmi porabe. Poraba je za približno polovico manjša od povprečne porabe v EU.</w:t>
      </w:r>
    </w:p>
    <w:p w14:paraId="7E14DDE2" w14:textId="77777777" w:rsidR="00F679A2" w:rsidRPr="005B2A49" w:rsidRDefault="00F679A2" w:rsidP="005B2A49">
      <w:pPr>
        <w:spacing w:after="120" w:line="260" w:lineRule="atLeast"/>
        <w:rPr>
          <w:rFonts w:eastAsia="Calibri"/>
          <w:szCs w:val="20"/>
        </w:rPr>
      </w:pPr>
      <w:r w:rsidRPr="005B2A49">
        <w:rPr>
          <w:rFonts w:eastAsia="Calibri"/>
          <w:szCs w:val="20"/>
        </w:rPr>
        <w:t>Po zaustavitvi večletnega zniževanja stopnje samooskrbe z mesom drobnice v letu 2016, ko je znašala 82 %, se je stopnja samooskrbe višala in v letu 2019 znašala dobrih 93 %.</w:t>
      </w:r>
    </w:p>
    <w:p w14:paraId="01911D6B" w14:textId="77777777" w:rsidR="00F679A2" w:rsidRPr="005B2A49" w:rsidRDefault="00F679A2" w:rsidP="005B2A49">
      <w:pPr>
        <w:spacing w:after="120" w:line="260" w:lineRule="atLeast"/>
        <w:rPr>
          <w:rFonts w:eastAsia="Calibri"/>
          <w:szCs w:val="20"/>
        </w:rPr>
      </w:pPr>
      <w:r w:rsidRPr="005B2A49">
        <w:rPr>
          <w:rFonts w:eastAsia="Calibri"/>
          <w:szCs w:val="20"/>
        </w:rPr>
        <w:lastRenderedPageBreak/>
        <w:t xml:space="preserve">Obseg zunanje trgovine z drobnico (večinoma gre za uvoz mesa) je v primerjavi z drugimi živalskimi proizvodi skromen. V letih 2011-2016 se je povečeval (na skoraj 441 ton), nato pa ponovno upadal ter v letu 2019 znašal le še 150 ton. </w:t>
      </w:r>
    </w:p>
    <w:p w14:paraId="37223E28" w14:textId="77777777" w:rsidR="00F679A2" w:rsidRPr="005B2A49" w:rsidRDefault="00F679A2" w:rsidP="005B2A49">
      <w:pPr>
        <w:spacing w:after="120" w:line="260" w:lineRule="atLeast"/>
        <w:rPr>
          <w:rFonts w:eastAsia="Calibri"/>
          <w:szCs w:val="20"/>
        </w:rPr>
      </w:pPr>
      <w:r w:rsidRPr="005B2A49">
        <w:rPr>
          <w:rFonts w:eastAsia="Calibri"/>
          <w:szCs w:val="20"/>
        </w:rPr>
        <w:t xml:space="preserve">Cene drobnice se v Sloveniji oblikujejo precej lokalno in na njihovo gibanje razmere na evropskem trgu nimajo pomembnega vpliva. Cene na domačem trgu so se daljše obdobje v primerjavi z evropskimi gibale različno intenzivno in tudi v različnih smereh, v zadnjih petih letih pa so dokaj stabilne. V zadnjih letih se cena lahkih jagnjet v Sloveniji giblje med zgornjo tretjino in sredino držav članic EU. </w:t>
      </w:r>
    </w:p>
    <w:p w14:paraId="37B7456C" w14:textId="77777777" w:rsidR="00F679A2" w:rsidRPr="005B2A49" w:rsidRDefault="00F679A2" w:rsidP="005B2A49">
      <w:pPr>
        <w:spacing w:after="120" w:line="260" w:lineRule="atLeast"/>
        <w:rPr>
          <w:rFonts w:eastAsia="Calibri"/>
          <w:szCs w:val="20"/>
        </w:rPr>
      </w:pPr>
      <w:r w:rsidRPr="005B2A49">
        <w:rPr>
          <w:rFonts w:eastAsia="Calibri"/>
          <w:szCs w:val="20"/>
        </w:rPr>
        <w:t>Po letu 2015 (leti 2015 in 2016 sta bili sicer nadpovprečni leti) se razmere za rejo drobnice slabšajo. Koeficient ekonomičnosti reje jagnjet, ki upošteva tudi vrednosti neposrednih plačil, je že vse obdobje od leta 2009 pod 1 (od 0,785 do 0,626 v obdobju 2009-2013), v obdobju 2014-2019 pa v povprečju 0,694, in je najnižji med vsemi živinorejskimi panogami.</w:t>
      </w:r>
    </w:p>
    <w:p w14:paraId="0CEF0AB7" w14:textId="608876EE" w:rsidR="00F679A2" w:rsidRDefault="00F679A2" w:rsidP="00F679A2">
      <w:pPr>
        <w:pStyle w:val="SCSlika0"/>
      </w:pPr>
      <w:bookmarkStart w:id="3116" w:name="_Toc86822731"/>
      <w:r>
        <w:t xml:space="preserve">Slika </w:t>
      </w:r>
      <w:r>
        <w:rPr>
          <w:noProof/>
        </w:rPr>
        <w:fldChar w:fldCharType="begin"/>
      </w:r>
      <w:r>
        <w:rPr>
          <w:noProof/>
        </w:rPr>
        <w:instrText xml:space="preserve"> SEQ Slika \* ARABIC </w:instrText>
      </w:r>
      <w:r>
        <w:rPr>
          <w:noProof/>
        </w:rPr>
        <w:fldChar w:fldCharType="separate"/>
      </w:r>
      <w:r w:rsidR="0088117A">
        <w:rPr>
          <w:noProof/>
        </w:rPr>
        <w:t>59</w:t>
      </w:r>
      <w:r>
        <w:rPr>
          <w:noProof/>
        </w:rPr>
        <w:fldChar w:fldCharType="end"/>
      </w:r>
      <w:r>
        <w:t xml:space="preserve">: </w:t>
      </w:r>
      <w:r w:rsidRPr="009D60D5">
        <w:t>Osnovni ekonomski kazalniki pri reji jagnjet (indeks; povprečje 2014–2018 = 100)</w:t>
      </w:r>
      <w:bookmarkEnd w:id="3116"/>
    </w:p>
    <w:p w14:paraId="497AD716" w14:textId="77777777" w:rsidR="00F679A2" w:rsidRPr="00A316D7" w:rsidRDefault="00F679A2" w:rsidP="00F679A2">
      <w:pPr>
        <w:spacing w:line="360" w:lineRule="auto"/>
        <w:jc w:val="center"/>
        <w:rPr>
          <w:szCs w:val="20"/>
        </w:rPr>
      </w:pPr>
      <w:r w:rsidRPr="00A316D7">
        <w:rPr>
          <w:noProof/>
          <w:szCs w:val="20"/>
          <w:lang w:eastAsia="sl-SI"/>
        </w:rPr>
        <w:drawing>
          <wp:inline distT="0" distB="0" distL="0" distR="0" wp14:anchorId="6C2C2BD4" wp14:editId="759A5395">
            <wp:extent cx="5709285" cy="2146935"/>
            <wp:effectExtent l="0" t="0" r="5715" b="5715"/>
            <wp:docPr id="24169628" name="Slika 2416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9285" cy="2146935"/>
                    </a:xfrm>
                    <a:prstGeom prst="rect">
                      <a:avLst/>
                    </a:prstGeom>
                    <a:noFill/>
                    <a:ln>
                      <a:noFill/>
                    </a:ln>
                  </pic:spPr>
                </pic:pic>
              </a:graphicData>
            </a:graphic>
          </wp:inline>
        </w:drawing>
      </w:r>
    </w:p>
    <w:p w14:paraId="089A4136" w14:textId="77777777" w:rsidR="00F679A2" w:rsidRPr="00A316D7" w:rsidRDefault="00F679A2" w:rsidP="00F679A2">
      <w:pPr>
        <w:widowControl w:val="0"/>
        <w:spacing w:line="360" w:lineRule="auto"/>
        <w:ind w:left="170" w:hanging="170"/>
        <w:rPr>
          <w:szCs w:val="20"/>
        </w:rPr>
      </w:pPr>
      <w:r w:rsidRPr="005718B1">
        <w:rPr>
          <w:sz w:val="16"/>
          <w:szCs w:val="16"/>
        </w:rPr>
        <w:t>Vir: Modelne kalkulacije KIS</w:t>
      </w:r>
      <w:r>
        <w:rPr>
          <w:sz w:val="16"/>
          <w:szCs w:val="16"/>
        </w:rPr>
        <w:t xml:space="preserve"> (ZP-2019)</w:t>
      </w:r>
    </w:p>
    <w:p w14:paraId="20C45C68" w14:textId="77777777" w:rsidR="00F679A2" w:rsidRPr="005B2A49" w:rsidRDefault="00F679A2" w:rsidP="005B2A49">
      <w:pPr>
        <w:spacing w:after="120" w:line="260" w:lineRule="atLeast"/>
        <w:rPr>
          <w:rFonts w:eastAsia="Calibri"/>
          <w:szCs w:val="20"/>
        </w:rPr>
      </w:pPr>
      <w:r w:rsidRPr="005B2A49">
        <w:rPr>
          <w:rFonts w:eastAsia="Calibri"/>
          <w:szCs w:val="20"/>
        </w:rPr>
        <w:t xml:space="preserve">Reja drobnice je ena do okolja najbolj prijaznih oblik živinoreje. Večina rej se nahaja v območjih z omejenimi možnostmi za kmetijsko dejavnost in pomembno delujejo proti zaraščanju kmetijskih površin tudi zaradi nadomeščanja govedoreje, kjer se v teh območjih opušča. Zaradi načina prehranjevalnih vzorcev drobnica pomaga ohranjati biotsko raznovrstnost rastlinskih ekosistemov, vzreja avtohtonih in tradicionalnih pasem pa živalske ekosisteme, kar varuje okolje in ohranja kulturno krajino. </w:t>
      </w:r>
    </w:p>
    <w:p w14:paraId="2819C691" w14:textId="77777777" w:rsidR="00F679A2" w:rsidRPr="005B2A49" w:rsidRDefault="00F679A2" w:rsidP="005B2A49">
      <w:pPr>
        <w:spacing w:after="120" w:line="260" w:lineRule="atLeast"/>
        <w:rPr>
          <w:rFonts w:eastAsia="Calibri"/>
          <w:szCs w:val="20"/>
        </w:rPr>
      </w:pPr>
      <w:r w:rsidRPr="005B2A49">
        <w:rPr>
          <w:rFonts w:eastAsia="Calibri"/>
          <w:szCs w:val="20"/>
        </w:rPr>
        <w:t>V okviru neposrednih plačil SKP 2014-2020, so rejci drobnice, preko kmetijskih zemljišč, upravičeni do: osnovne sheme (plačilnih pravic), zelene komponente, sheme za mlade kmete in plačila za območja z naravnimi omejitvami (PONO).</w:t>
      </w:r>
    </w:p>
    <w:p w14:paraId="7FE378C5" w14:textId="77777777" w:rsidR="00F679A2" w:rsidRPr="005B2A49" w:rsidRDefault="00F679A2" w:rsidP="005B2A49">
      <w:pPr>
        <w:spacing w:after="120" w:line="260" w:lineRule="atLeast"/>
        <w:rPr>
          <w:rFonts w:eastAsia="Calibri"/>
          <w:szCs w:val="20"/>
        </w:rPr>
      </w:pPr>
      <w:r w:rsidRPr="005B2A49">
        <w:rPr>
          <w:rFonts w:eastAsia="Calibri"/>
          <w:szCs w:val="20"/>
        </w:rPr>
        <w:t>V letu 2019 so KMG-ji z drobnico prejeli 13 milijonov evrov od 134 milijonov evrov neposrednih plačil. Povprečna vrednost plačilnih pravic za KMG-je z drobnico je v letu 2019 znašala 140 evrov, kar je pod povprečjem, ki znaša 160 evrov. Poleg podpor prek zemljišč in podpor iz PRP-ja so rejci upravičeni do regresa za zavarovanje živali (bolezni) - 20 % sofinanciranja premije in v letu 2019 do 30 % sofinanciranja in imajo pravico vračila dela trošarine za gorivo iz kmetijstva 70 % od leta 2009 dalje.</w:t>
      </w:r>
    </w:p>
    <w:p w14:paraId="549D2470" w14:textId="77777777" w:rsidR="00F679A2" w:rsidRPr="005B2A49" w:rsidRDefault="00F679A2" w:rsidP="005B2A49">
      <w:pPr>
        <w:spacing w:after="120" w:line="260" w:lineRule="atLeast"/>
        <w:rPr>
          <w:rFonts w:eastAsia="Calibri"/>
          <w:szCs w:val="20"/>
        </w:rPr>
      </w:pPr>
      <w:r w:rsidRPr="005B2A49">
        <w:rPr>
          <w:rFonts w:eastAsia="Calibri"/>
          <w:szCs w:val="20"/>
        </w:rPr>
        <w:t xml:space="preserve">Na področju dobrobiti drobnice se stanje izboljšuje, ukrep dobrobit živali za drobnico se izvaja od leta 2017, do zdaj je bilo vključenih 722 KMG. V letu 2019 je bilo v ukrepu 27 </w:t>
      </w:r>
      <w:r w:rsidRPr="005B2A49">
        <w:rPr>
          <w:rFonts w:eastAsia="Calibri"/>
          <w:szCs w:val="20"/>
        </w:rPr>
        <w:lastRenderedPageBreak/>
        <w:t>% vseh GVŽ drobnice. Izvajanje ukrepa dobrobiti živali je potrebno ohraniti in krepiti še naprej, težave so pri pridobivanju dodatnih zemljišč za povečanje proizvodnje, potrebna so velika vlaganja v posodobitev in novogradnje objektov in opreme, sektor zaostaja v digitalizaciji, pri promociji, razvoju nišnih in novih proizvodov, starostna struktura rejcev je slaba.</w:t>
      </w:r>
    </w:p>
    <w:p w14:paraId="2B8BB4BB"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Sloveniji delujeta na področju reje drobnice javna služba strokovnih nalog v živinoreji in javna služba nalog genske banke v živinoreji. V javno službo strokovnih nalog na področju reje drobnice so vključene naslednje pasme ovc in koz: jezersko solčavska pasma, belokranjska pramenka, istrska pramenka, oplemenjena jezersko solčavska pasma, bovška ovca, drežniška koza, burska pasma koz, slovenska srnasta pasma koz in slovenska sanska pasma koz. Javna služba skrbi za izboljševanje proizvodnih in neproizvodnih lastnosti čistopasemskih plemenskih živali, izboljševanje oziroma ohranjanje genetskega napredka, zagotavljanje zadostnega števila plemenskega materiala, povečevanje števila plemenskih živali, ki so vpisane v rodovniške knjige in registre ter doseganje boljše kakovosti proizvodov pri reji ovc in koz. </w:t>
      </w:r>
      <w:r w:rsidRPr="00F679A2">
        <w:rPr>
          <w:rFonts w:eastAsia="Calibri"/>
          <w:szCs w:val="20"/>
        </w:rPr>
        <w:t>V letu 2019 je bilo v kontrolo mlečnosti vključenih 4.990 ovc v 35 tropih in 2.399 koz v 39 tropih.</w:t>
      </w:r>
      <w:r w:rsidRPr="005B2A49">
        <w:rPr>
          <w:rFonts w:eastAsia="Calibri"/>
          <w:szCs w:val="20"/>
        </w:rPr>
        <w:t xml:space="preserve"> V kontrolo porekla in proizvodnje je bilo leta 2019 vključenih 10.281 ovc mesnih pasem v 195 tropih in 1.685 koz mesnih pasem v 76 tropih.</w:t>
      </w:r>
    </w:p>
    <w:p w14:paraId="29A12DD2" w14:textId="77777777" w:rsidR="00F679A2" w:rsidRPr="005B2A49" w:rsidRDefault="00F679A2" w:rsidP="005B2A49">
      <w:pPr>
        <w:spacing w:after="120" w:line="260" w:lineRule="atLeast"/>
        <w:rPr>
          <w:rFonts w:eastAsia="Calibri"/>
          <w:szCs w:val="20"/>
        </w:rPr>
      </w:pPr>
      <w:r w:rsidRPr="005B2A49">
        <w:rPr>
          <w:rFonts w:eastAsia="Calibri"/>
          <w:szCs w:val="20"/>
        </w:rPr>
        <w:t>V okviru javne službe nalog genske banke v živinoreji se varujejo/ohranjajo štiri avtohtone pasme ovc in ena avtohtona pasma koz ter dve tradicionalni pasmi ovc in dve tradicionalni pasmi koz. V letu 2019 se je Register pasem z zootehniško oceno vodil za šest pasem ovc: jezersko solčavska, bovška, belokranjska pramenka, istrska pramenka, oplemenjena jezersko solčavska in oplemenjena bovška ter štiri pasme koz: drežniška, slovenska sanska, slovenska srnasta ter burska pasma. Javna služba opravlja naloge na področjih spremljanja stanja in karakterizacije pasem, mehanizmih trajnostne rabe in razvoja, oblik ohranjanja živalskih genskih virov ter politik upravljanja živalskih genskih virov.</w:t>
      </w:r>
    </w:p>
    <w:p w14:paraId="27679A7F" w14:textId="77777777" w:rsidR="00F679A2" w:rsidRPr="005B2A49" w:rsidRDefault="00F679A2" w:rsidP="005B2A49">
      <w:pPr>
        <w:spacing w:after="120" w:line="260" w:lineRule="atLeast"/>
        <w:rPr>
          <w:rFonts w:eastAsia="Calibri"/>
          <w:szCs w:val="20"/>
        </w:rPr>
      </w:pPr>
      <w:r w:rsidRPr="005B2A49">
        <w:rPr>
          <w:rFonts w:eastAsia="Calibri"/>
          <w:szCs w:val="20"/>
        </w:rPr>
        <w:t>Rejcem drobnice je svetovanje zagotovljeno preko javne službe kmetijskega svetovanja, ki na primer svetuje na področju tehnologije reje in paše, dobrobiti živali, sestave krmnega obroka, rabe in skladiščenja gnojil, pri gradnji objektov, aktivnosti povezane z reševanjem problematike zveri in drugih tehnoloških vprašanjih.</w:t>
      </w:r>
    </w:p>
    <w:p w14:paraId="4C9EBF5F" w14:textId="77777777" w:rsidR="00F679A2" w:rsidRPr="005B2A49" w:rsidRDefault="00F679A2" w:rsidP="005B2A49">
      <w:pPr>
        <w:spacing w:after="120" w:line="260" w:lineRule="atLeast"/>
        <w:rPr>
          <w:rFonts w:eastAsia="Calibri"/>
          <w:szCs w:val="20"/>
        </w:rPr>
      </w:pPr>
      <w:r w:rsidRPr="005B2A49">
        <w:rPr>
          <w:rFonts w:eastAsia="Calibri"/>
          <w:szCs w:val="20"/>
        </w:rPr>
        <w:t>V obdobju od leta 2014 sta se na področju reje drobnice izvajala ciljni raziskovalni program, ki je bil usmerjen v ekološko in konvencionalno rejo koz za proizvodnjo mleka ter EIP projekt o reji različnih pasem drobnice za meso in izdelke vrhunske kakovosti.</w:t>
      </w:r>
    </w:p>
    <w:p w14:paraId="01207310" w14:textId="77777777" w:rsidR="00F679A2" w:rsidRDefault="00F679A2" w:rsidP="00F679A2">
      <w:pPr>
        <w:pStyle w:val="Naslov3"/>
        <w:rPr>
          <w:rFonts w:eastAsia="Calibri"/>
        </w:rPr>
      </w:pPr>
      <w:bookmarkStart w:id="3117" w:name="_Toc86822577"/>
      <w:r w:rsidRPr="0022702B">
        <w:rPr>
          <w:rFonts w:eastAsia="Calibri"/>
        </w:rPr>
        <w:t>Ključne ugotovitve</w:t>
      </w:r>
      <w:bookmarkEnd w:id="3117"/>
    </w:p>
    <w:p w14:paraId="54EACE3B" w14:textId="77777777" w:rsidR="00F679A2" w:rsidRPr="0022702B" w:rsidRDefault="00F679A2" w:rsidP="00F679A2">
      <w:pPr>
        <w:rPr>
          <w:rFonts w:eastAsia="Calibri"/>
        </w:rPr>
      </w:pPr>
    </w:p>
    <w:p w14:paraId="4EF687B9" w14:textId="77777777" w:rsidR="00F679A2" w:rsidRDefault="00F679A2" w:rsidP="005B2A49">
      <w:pPr>
        <w:numPr>
          <w:ilvl w:val="0"/>
          <w:numId w:val="185"/>
        </w:numPr>
        <w:spacing w:after="120" w:line="260" w:lineRule="atLeast"/>
        <w:ind w:left="357" w:hanging="357"/>
        <w:rPr>
          <w:szCs w:val="20"/>
        </w:rPr>
      </w:pPr>
      <w:r w:rsidRPr="00585BC8">
        <w:rPr>
          <w:szCs w:val="20"/>
        </w:rPr>
        <w:t xml:space="preserve">Število </w:t>
      </w:r>
      <w:r>
        <w:rPr>
          <w:szCs w:val="20"/>
        </w:rPr>
        <w:t xml:space="preserve">drobnice </w:t>
      </w:r>
      <w:r w:rsidRPr="00585BC8">
        <w:rPr>
          <w:szCs w:val="20"/>
        </w:rPr>
        <w:t xml:space="preserve">v Sloveniji </w:t>
      </w:r>
      <w:r>
        <w:rPr>
          <w:szCs w:val="20"/>
        </w:rPr>
        <w:t>je med letoma 2009 in 2013 upadalo, v letih 2018-2019 pa se je ustalilo na okoli 135 tisoč. Glede na razpoložljive podatke se je tudi p</w:t>
      </w:r>
      <w:r w:rsidRPr="00585BC8">
        <w:rPr>
          <w:szCs w:val="20"/>
        </w:rPr>
        <w:t xml:space="preserve">rirast </w:t>
      </w:r>
      <w:r>
        <w:rPr>
          <w:szCs w:val="20"/>
        </w:rPr>
        <w:t>v</w:t>
      </w:r>
      <w:r w:rsidRPr="00585BC8">
        <w:rPr>
          <w:szCs w:val="20"/>
        </w:rPr>
        <w:t xml:space="preserve"> zadnjih šestih letih ustalil in znaša okoli 3</w:t>
      </w:r>
      <w:r>
        <w:rPr>
          <w:szCs w:val="20"/>
        </w:rPr>
        <w:t>,4</w:t>
      </w:r>
      <w:r w:rsidRPr="00585BC8">
        <w:rPr>
          <w:szCs w:val="20"/>
        </w:rPr>
        <w:t xml:space="preserve"> tisoč ton.</w:t>
      </w:r>
      <w:r>
        <w:rPr>
          <w:szCs w:val="20"/>
        </w:rPr>
        <w:t xml:space="preserve"> Za kmetijska gospodarstva je značilna </w:t>
      </w:r>
      <w:r w:rsidRPr="00B5388F">
        <w:rPr>
          <w:szCs w:val="20"/>
        </w:rPr>
        <w:t>nizka obtežba kmetijskih gospodarstev z drobnico, majhne črede na kmetijskih gospodarstvih</w:t>
      </w:r>
      <w:r>
        <w:rPr>
          <w:szCs w:val="20"/>
        </w:rPr>
        <w:t xml:space="preserve"> (70 % gospodarstev z drobnico redi manj kot 2 GVŽ drobnice)</w:t>
      </w:r>
      <w:r w:rsidRPr="00B5388F">
        <w:rPr>
          <w:szCs w:val="20"/>
        </w:rPr>
        <w:t xml:space="preserve">, </w:t>
      </w:r>
      <w:r>
        <w:rPr>
          <w:szCs w:val="20"/>
        </w:rPr>
        <w:t xml:space="preserve">reje so </w:t>
      </w:r>
      <w:r w:rsidRPr="00B5388F">
        <w:rPr>
          <w:szCs w:val="20"/>
        </w:rPr>
        <w:t>večinoma tradicionaln</w:t>
      </w:r>
      <w:r>
        <w:rPr>
          <w:szCs w:val="20"/>
        </w:rPr>
        <w:t xml:space="preserve">e, večina avtohtonih pasem ima stopnjo kritične ogroženosti.  </w:t>
      </w:r>
    </w:p>
    <w:p w14:paraId="62C1A4CA" w14:textId="77777777" w:rsidR="00F679A2" w:rsidRPr="00585BC8" w:rsidRDefault="00F679A2" w:rsidP="005B2A49">
      <w:pPr>
        <w:numPr>
          <w:ilvl w:val="0"/>
          <w:numId w:val="185"/>
        </w:numPr>
        <w:spacing w:after="120" w:line="260" w:lineRule="atLeast"/>
        <w:ind w:left="357" w:hanging="357"/>
        <w:rPr>
          <w:szCs w:val="20"/>
        </w:rPr>
      </w:pPr>
      <w:r w:rsidRPr="002B53FE">
        <w:rPr>
          <w:szCs w:val="20"/>
        </w:rPr>
        <w:t>Prireja</w:t>
      </w:r>
      <w:r w:rsidRPr="00585BC8">
        <w:rPr>
          <w:szCs w:val="20"/>
        </w:rPr>
        <w:t xml:space="preserve"> </w:t>
      </w:r>
      <w:r>
        <w:rPr>
          <w:szCs w:val="20"/>
        </w:rPr>
        <w:t xml:space="preserve">mesa drobnice </w:t>
      </w:r>
      <w:r w:rsidRPr="00585BC8">
        <w:rPr>
          <w:szCs w:val="20"/>
        </w:rPr>
        <w:t>je n</w:t>
      </w:r>
      <w:r>
        <w:rPr>
          <w:szCs w:val="20"/>
        </w:rPr>
        <w:t>izkoek</w:t>
      </w:r>
      <w:r w:rsidRPr="00585BC8">
        <w:rPr>
          <w:szCs w:val="20"/>
        </w:rPr>
        <w:t>o</w:t>
      </w:r>
      <w:r>
        <w:rPr>
          <w:szCs w:val="20"/>
        </w:rPr>
        <w:t>no</w:t>
      </w:r>
      <w:r w:rsidRPr="00585BC8">
        <w:rPr>
          <w:szCs w:val="20"/>
        </w:rPr>
        <w:t xml:space="preserve">mična, </w:t>
      </w:r>
      <w:r>
        <w:rPr>
          <w:szCs w:val="20"/>
        </w:rPr>
        <w:t>zato ne privablja mladih kmetov, starostna struktura rejcev j</w:t>
      </w:r>
      <w:r w:rsidRPr="002B53FE">
        <w:rPr>
          <w:szCs w:val="20"/>
        </w:rPr>
        <w:t>e</w:t>
      </w:r>
      <w:r>
        <w:rPr>
          <w:szCs w:val="20"/>
        </w:rPr>
        <w:t xml:space="preserve"> slaba. </w:t>
      </w:r>
    </w:p>
    <w:p w14:paraId="39DBB865" w14:textId="77777777" w:rsidR="00F679A2" w:rsidRDefault="00F679A2" w:rsidP="005B2A49">
      <w:pPr>
        <w:numPr>
          <w:ilvl w:val="0"/>
          <w:numId w:val="185"/>
        </w:numPr>
        <w:spacing w:after="120" w:line="260" w:lineRule="atLeast"/>
        <w:ind w:left="357" w:hanging="357"/>
        <w:rPr>
          <w:szCs w:val="20"/>
        </w:rPr>
      </w:pPr>
      <w:r w:rsidRPr="00B5388F">
        <w:rPr>
          <w:szCs w:val="20"/>
        </w:rPr>
        <w:lastRenderedPageBreak/>
        <w:t xml:space="preserve">Panoga ima v Sloveniji </w:t>
      </w:r>
      <w:r>
        <w:rPr>
          <w:szCs w:val="20"/>
        </w:rPr>
        <w:t>velik tržni potencial</w:t>
      </w:r>
      <w:r w:rsidRPr="00B5388F">
        <w:rPr>
          <w:szCs w:val="20"/>
        </w:rPr>
        <w:t xml:space="preserve">, saj je poraba mesa na prebivalca le 0,88 kg in polovico manjša od povprečja v EU. </w:t>
      </w:r>
    </w:p>
    <w:p w14:paraId="3D3DBA75" w14:textId="77777777" w:rsidR="00F679A2" w:rsidRPr="00B5388F" w:rsidRDefault="00F679A2" w:rsidP="005B2A49">
      <w:pPr>
        <w:numPr>
          <w:ilvl w:val="0"/>
          <w:numId w:val="185"/>
        </w:numPr>
        <w:spacing w:after="120" w:line="260" w:lineRule="atLeast"/>
        <w:ind w:left="357" w:hanging="357"/>
        <w:rPr>
          <w:szCs w:val="20"/>
        </w:rPr>
      </w:pPr>
      <w:r>
        <w:rPr>
          <w:szCs w:val="20"/>
        </w:rPr>
        <w:t>Reja drobnice omogoča dohodek na kmetijah v OMD, kjer se lahko pase tudi na za druge vrste domačih živali nedostopnih površinah ter preprečuje zaraščanje površin, pozitivno deluje na biotsko raznovrstnost rastlin in živali ter ohranja kulturno krajino.</w:t>
      </w:r>
    </w:p>
    <w:p w14:paraId="0426E416" w14:textId="740E734C" w:rsidR="00F679A2" w:rsidRDefault="00F679A2" w:rsidP="005B2A49">
      <w:pPr>
        <w:numPr>
          <w:ilvl w:val="0"/>
          <w:numId w:val="185"/>
        </w:numPr>
        <w:spacing w:after="120" w:line="260" w:lineRule="atLeast"/>
        <w:ind w:left="357" w:hanging="357"/>
        <w:rPr>
          <w:szCs w:val="20"/>
        </w:rPr>
      </w:pPr>
      <w:r>
        <w:rPr>
          <w:szCs w:val="20"/>
        </w:rPr>
        <w:t>Del r</w:t>
      </w:r>
      <w:r w:rsidRPr="00585BC8">
        <w:rPr>
          <w:szCs w:val="20"/>
        </w:rPr>
        <w:t>ejc</w:t>
      </w:r>
      <w:r>
        <w:rPr>
          <w:szCs w:val="20"/>
        </w:rPr>
        <w:t>ev je v zadnjih letih organiziran v skupini proizvajalcev za prirejo mesa, večina pa ni organizirana.</w:t>
      </w:r>
    </w:p>
    <w:p w14:paraId="696A1934" w14:textId="77777777" w:rsidR="00C25531" w:rsidRPr="002D4B01" w:rsidRDefault="00C25531" w:rsidP="005B2A49">
      <w:pPr>
        <w:spacing w:after="120" w:line="260" w:lineRule="atLeast"/>
        <w:ind w:left="357"/>
        <w:rPr>
          <w:szCs w:val="20"/>
        </w:rPr>
      </w:pPr>
    </w:p>
    <w:p w14:paraId="6308E1B4" w14:textId="77777777" w:rsidR="00F679A2" w:rsidRPr="0022702B" w:rsidRDefault="00F679A2" w:rsidP="00F679A2">
      <w:pPr>
        <w:pStyle w:val="Naslov2"/>
      </w:pPr>
      <w:bookmarkStart w:id="3118" w:name="_Toc86822578"/>
      <w:r w:rsidRPr="0022702B">
        <w:t>Čebelarstvo</w:t>
      </w:r>
      <w:bookmarkEnd w:id="3118"/>
    </w:p>
    <w:p w14:paraId="66C79BB1" w14:textId="77777777" w:rsidR="00F679A2" w:rsidRPr="005B2A49" w:rsidRDefault="00F679A2" w:rsidP="005B2A49">
      <w:pPr>
        <w:spacing w:after="120" w:line="260" w:lineRule="atLeast"/>
        <w:rPr>
          <w:rFonts w:eastAsia="Calibri"/>
          <w:szCs w:val="20"/>
        </w:rPr>
      </w:pPr>
      <w:r w:rsidRPr="005B2A49">
        <w:rPr>
          <w:rFonts w:eastAsia="Calibri"/>
          <w:szCs w:val="20"/>
        </w:rPr>
        <w:t>Čebelarstvo je tako v Sloveniji kot v tujini izjemno pomembno zaradi opraševanja</w:t>
      </w:r>
      <w:r w:rsidRPr="005B2A49" w:rsidDel="36B3072D">
        <w:rPr>
          <w:rFonts w:eastAsia="Calibri"/>
          <w:szCs w:val="20"/>
        </w:rPr>
        <w:t xml:space="preserve"> </w:t>
      </w:r>
      <w:r w:rsidRPr="005B2A49">
        <w:rPr>
          <w:rFonts w:eastAsia="Calibri"/>
          <w:szCs w:val="20"/>
        </w:rPr>
        <w:t xml:space="preserve">kmetijskih rastlin in vloge čebel v naravnih ekosistemih, v Sloveniji pa še zaradi posebnosti, kot so kranjska čebela, tradicionalni AŽ (Albert Žnideršič) panji, edinstvene panjske končnice ter kakovostni čebelji proizvodi. </w:t>
      </w:r>
    </w:p>
    <w:p w14:paraId="12ACC552" w14:textId="11C1CF40" w:rsidR="00F679A2" w:rsidRDefault="00F679A2" w:rsidP="005B2A49">
      <w:pPr>
        <w:spacing w:after="120" w:line="260" w:lineRule="atLeast"/>
        <w:rPr>
          <w:rFonts w:eastAsia="Calibri"/>
          <w:szCs w:val="20"/>
        </w:rPr>
      </w:pPr>
      <w:r w:rsidRPr="005B2A49">
        <w:rPr>
          <w:rFonts w:eastAsia="Calibri"/>
          <w:szCs w:val="20"/>
        </w:rPr>
        <w:t>V Sloveniji ima kranjska čebela poseben status zaščitene vrste, zato so ukrepi kmetijske politike prvenstveno namenjeni predvsem k ohranitvi pasemske čistosti kranjske čebele ter enakomerni in zadostni poseljenosti čebeljih družin po Sloveniji.</w:t>
      </w:r>
    </w:p>
    <w:p w14:paraId="53389614" w14:textId="77777777" w:rsidR="00C25531" w:rsidRPr="005B2A49" w:rsidRDefault="00C25531" w:rsidP="005B2A49">
      <w:pPr>
        <w:spacing w:after="120" w:line="260" w:lineRule="atLeast"/>
        <w:rPr>
          <w:rFonts w:eastAsia="Calibri"/>
          <w:szCs w:val="20"/>
        </w:rPr>
      </w:pPr>
    </w:p>
    <w:p w14:paraId="091AA379" w14:textId="77777777" w:rsidR="00F679A2" w:rsidRDefault="00F679A2" w:rsidP="00F679A2">
      <w:pPr>
        <w:pStyle w:val="Naslov3"/>
        <w:rPr>
          <w:rFonts w:eastAsia="Calibri"/>
        </w:rPr>
      </w:pPr>
      <w:bookmarkStart w:id="3119" w:name="_Toc86822579"/>
      <w:r w:rsidRPr="00271FF1">
        <w:rPr>
          <w:rFonts w:eastAsia="Calibri"/>
        </w:rPr>
        <w:t>Stanje in osnovni ekonomski kazalniki</w:t>
      </w:r>
      <w:bookmarkEnd w:id="3119"/>
    </w:p>
    <w:p w14:paraId="77498352" w14:textId="77777777" w:rsidR="00F679A2" w:rsidRPr="005B2A49" w:rsidRDefault="00F679A2" w:rsidP="005B2A49">
      <w:pPr>
        <w:spacing w:after="120" w:line="260" w:lineRule="atLeast"/>
        <w:rPr>
          <w:rFonts w:eastAsia="Calibri"/>
          <w:szCs w:val="20"/>
        </w:rPr>
      </w:pPr>
      <w:r w:rsidRPr="005B2A49">
        <w:rPr>
          <w:rFonts w:eastAsia="Calibri"/>
          <w:szCs w:val="20"/>
        </w:rPr>
        <w:t>Po podatkih centralnega registra čebelnjakov je bilo oktobra 2019 v Sloveniji 11.066 čebelarjev, ki so čebelarili z 208.260 čebeljimi družinami. Število čebeljih družin v Sloveniji raste od leta 2014 v povprečju za 7 % letno, v zadnjih desetih letih se je povečalo za 46 %. Na nekaterih območjih Slovenije je zelo velika gostota čebeljih družin, saj smo z gostoto 6,9 čebelje družine/km² v evropskem vrhu. Velika gostota čebeljih družin na določenih območjih lahko vodi predvsem do povečanega pojava bolezni in pomanjkanja pašnih virov.</w:t>
      </w:r>
    </w:p>
    <w:p w14:paraId="5A3FCC4F" w14:textId="4821602E" w:rsidR="00F679A2" w:rsidRPr="005B2A49" w:rsidRDefault="00F679A2" w:rsidP="005B2A49">
      <w:pPr>
        <w:spacing w:after="120" w:line="260" w:lineRule="atLeast"/>
        <w:rPr>
          <w:rFonts w:eastAsia="Calibri"/>
          <w:szCs w:val="20"/>
        </w:rPr>
      </w:pPr>
      <w:r w:rsidRPr="005B2A49">
        <w:rPr>
          <w:rFonts w:eastAsia="Calibri"/>
          <w:szCs w:val="20"/>
        </w:rPr>
        <w:t xml:space="preserve">Prevladujoči so manjši čebelarji, ki se s čebelarstvom ukvarjajo ljubiteljsko in svoje čebelje pridelke prodajo neposredno na domu, kjer dosegajo višje cene. V letu 2019 so imeli čebelarji v povprečju 18,8 čebeljih družin. Prevladujoči način čebelarjenja je v AŽ-panjih, kjer je naseljenih </w:t>
      </w:r>
      <w:r w:rsidR="00B56C8D">
        <w:rPr>
          <w:rFonts w:eastAsia="Calibri"/>
          <w:szCs w:val="20"/>
        </w:rPr>
        <w:t>približno</w:t>
      </w:r>
      <w:r w:rsidRPr="005B2A49">
        <w:rPr>
          <w:rFonts w:eastAsia="Calibri"/>
          <w:szCs w:val="20"/>
        </w:rPr>
        <w:t xml:space="preserve"> 9</w:t>
      </w:r>
      <w:r w:rsidR="00B56C8D">
        <w:rPr>
          <w:rFonts w:eastAsia="Calibri"/>
          <w:szCs w:val="20"/>
        </w:rPr>
        <w:t>0</w:t>
      </w:r>
      <w:r w:rsidRPr="005B2A49">
        <w:rPr>
          <w:rFonts w:eastAsia="Calibri"/>
          <w:szCs w:val="20"/>
        </w:rPr>
        <w:t xml:space="preserve"> % čebeljih družin. </w:t>
      </w:r>
    </w:p>
    <w:p w14:paraId="5C8DE5B6"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podatkih Statističnega urada je bil leta 2019 pridelek medu v Sloveniji le 653 ton. Pridelek niha med leti zaradi vremenskih razmer, leta 2001 je bil rekordnih 2.550 ton, leta 2014, pa ga je bilo le 471 ton. </w:t>
      </w:r>
    </w:p>
    <w:p w14:paraId="4AB2705A" w14:textId="77777777" w:rsidR="00F679A2" w:rsidRPr="005B2A49" w:rsidRDefault="00F679A2" w:rsidP="005B2A49">
      <w:pPr>
        <w:spacing w:after="120" w:line="260" w:lineRule="atLeast"/>
        <w:rPr>
          <w:rFonts w:eastAsia="Calibri"/>
          <w:szCs w:val="20"/>
        </w:rPr>
      </w:pPr>
      <w:r w:rsidRPr="005B2A49">
        <w:rPr>
          <w:rFonts w:eastAsia="Calibri"/>
          <w:szCs w:val="20"/>
        </w:rPr>
        <w:t xml:space="preserve">Največja grožnja čebeljim družinam je še zmeraj varoja, ki prenaša še druge povzročitelje, in sicer viruse. Pri zdravstvenem varstvu čebel ugotavljamo, da v Sloveniji ni dovolj učinkovitih zdravil za zdravljenje varoze. </w:t>
      </w:r>
    </w:p>
    <w:p w14:paraId="3A8D027D" w14:textId="77777777" w:rsidR="00F679A2" w:rsidRPr="005B2A49" w:rsidRDefault="00F679A2" w:rsidP="005B2A49">
      <w:pPr>
        <w:spacing w:after="120" w:line="260" w:lineRule="atLeast"/>
        <w:rPr>
          <w:rFonts w:eastAsia="Calibri"/>
          <w:szCs w:val="20"/>
        </w:rPr>
      </w:pPr>
      <w:r w:rsidRPr="005B2A49">
        <w:rPr>
          <w:rFonts w:eastAsia="Calibri"/>
          <w:szCs w:val="20"/>
        </w:rPr>
        <w:t>Razvija se ekološko čebelarstvo, v letu 2018 je 65 čebelarjev pridelalo 44 ton ekološkega medu, v letu 2019 pa 42 ton. V letih od 2011 do 2019 je bilo v Sloveniji v ekološko čebelarstvo vključenih med 1.400 in 3.245 čebeljih družin.</w:t>
      </w:r>
    </w:p>
    <w:p w14:paraId="4EA54E6D" w14:textId="12EACFCF" w:rsidR="00F679A2" w:rsidRDefault="00F679A2" w:rsidP="00F679A2">
      <w:pPr>
        <w:pStyle w:val="SCPreglednica"/>
      </w:pPr>
      <w:bookmarkStart w:id="3120" w:name="_Toc86822651"/>
      <w:r>
        <w:t xml:space="preserve">Tabela </w:t>
      </w:r>
      <w:r>
        <w:rPr>
          <w:noProof/>
        </w:rPr>
        <w:fldChar w:fldCharType="begin"/>
      </w:r>
      <w:r>
        <w:rPr>
          <w:noProof/>
        </w:rPr>
        <w:instrText xml:space="preserve"> SEQ Tabela \* ARABIC </w:instrText>
      </w:r>
      <w:r>
        <w:rPr>
          <w:noProof/>
        </w:rPr>
        <w:fldChar w:fldCharType="separate"/>
      </w:r>
      <w:r w:rsidR="0088117A">
        <w:rPr>
          <w:noProof/>
        </w:rPr>
        <w:t>13</w:t>
      </w:r>
      <w:r>
        <w:rPr>
          <w:noProof/>
        </w:rPr>
        <w:fldChar w:fldCharType="end"/>
      </w:r>
      <w:r>
        <w:t xml:space="preserve">: </w:t>
      </w:r>
      <w:r w:rsidRPr="00C4167C">
        <w:t>Število čebelarjev, čebelnjakov in čebeljih družin ter količina pridelanega medu</w:t>
      </w:r>
      <w:bookmarkEnd w:id="3120"/>
    </w:p>
    <w:tbl>
      <w:tblPr>
        <w:tblW w:w="4959" w:type="pct"/>
        <w:tblLayout w:type="fixed"/>
        <w:tblCellMar>
          <w:left w:w="70" w:type="dxa"/>
          <w:right w:w="70" w:type="dxa"/>
        </w:tblCellMar>
        <w:tblLook w:val="04A0" w:firstRow="1" w:lastRow="0" w:firstColumn="1" w:lastColumn="0" w:noHBand="0" w:noVBand="1"/>
      </w:tblPr>
      <w:tblGrid>
        <w:gridCol w:w="1089"/>
        <w:gridCol w:w="659"/>
        <w:gridCol w:w="659"/>
        <w:gridCol w:w="658"/>
        <w:gridCol w:w="658"/>
        <w:gridCol w:w="658"/>
        <w:gridCol w:w="658"/>
        <w:gridCol w:w="658"/>
        <w:gridCol w:w="658"/>
        <w:gridCol w:w="658"/>
        <w:gridCol w:w="658"/>
        <w:gridCol w:w="658"/>
        <w:gridCol w:w="659"/>
      </w:tblGrid>
      <w:tr w:rsidR="00F679A2" w:rsidRPr="00673630" w14:paraId="437055E0" w14:textId="77777777" w:rsidTr="00B97309">
        <w:trPr>
          <w:trHeight w:val="332"/>
        </w:trPr>
        <w:tc>
          <w:tcPr>
            <w:tcW w:w="1089"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36BE7D58" w14:textId="77777777" w:rsidR="00F679A2" w:rsidRPr="00D64438" w:rsidRDefault="00F679A2" w:rsidP="00B97309">
            <w:pPr>
              <w:spacing w:line="360" w:lineRule="auto"/>
              <w:rPr>
                <w:b/>
                <w:bCs/>
                <w:sz w:val="16"/>
                <w:szCs w:val="16"/>
              </w:rPr>
            </w:pPr>
            <w:r w:rsidRPr="00D64438">
              <w:rPr>
                <w:b/>
                <w:bCs/>
                <w:sz w:val="16"/>
                <w:szCs w:val="16"/>
              </w:rPr>
              <w:t>Leto</w:t>
            </w:r>
          </w:p>
        </w:tc>
        <w:tc>
          <w:tcPr>
            <w:tcW w:w="659" w:type="dxa"/>
            <w:tcBorders>
              <w:top w:val="single" w:sz="12" w:space="0" w:color="76923C"/>
              <w:left w:val="single" w:sz="4" w:space="0" w:color="auto"/>
              <w:bottom w:val="single" w:sz="4" w:space="0" w:color="auto"/>
              <w:right w:val="single" w:sz="4" w:space="0" w:color="auto"/>
            </w:tcBorders>
            <w:vAlign w:val="center"/>
          </w:tcPr>
          <w:p w14:paraId="44DB7954" w14:textId="77777777" w:rsidR="00F679A2" w:rsidRPr="00D64438" w:rsidRDefault="00F679A2" w:rsidP="00B97309">
            <w:pPr>
              <w:spacing w:line="360" w:lineRule="auto"/>
              <w:rPr>
                <w:b/>
                <w:bCs/>
                <w:sz w:val="16"/>
                <w:szCs w:val="16"/>
              </w:rPr>
            </w:pPr>
            <w:r w:rsidRPr="00D64438">
              <w:rPr>
                <w:b/>
                <w:bCs/>
                <w:sz w:val="16"/>
                <w:szCs w:val="16"/>
              </w:rPr>
              <w:t>2008</w:t>
            </w:r>
          </w:p>
        </w:tc>
        <w:tc>
          <w:tcPr>
            <w:tcW w:w="659"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32CA559F" w14:textId="77777777" w:rsidR="00F679A2" w:rsidRPr="00D64438" w:rsidRDefault="00F679A2" w:rsidP="00B97309">
            <w:pPr>
              <w:spacing w:line="360" w:lineRule="auto"/>
              <w:rPr>
                <w:b/>
                <w:bCs/>
                <w:sz w:val="16"/>
                <w:szCs w:val="16"/>
              </w:rPr>
            </w:pPr>
            <w:r w:rsidRPr="00D64438">
              <w:rPr>
                <w:b/>
                <w:bCs/>
                <w:sz w:val="16"/>
                <w:szCs w:val="16"/>
              </w:rPr>
              <w:t>2009</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174380E4" w14:textId="77777777" w:rsidR="00F679A2" w:rsidRPr="00D64438" w:rsidRDefault="00F679A2" w:rsidP="00B97309">
            <w:pPr>
              <w:spacing w:line="360" w:lineRule="auto"/>
              <w:rPr>
                <w:b/>
                <w:bCs/>
                <w:sz w:val="16"/>
                <w:szCs w:val="16"/>
              </w:rPr>
            </w:pPr>
            <w:r w:rsidRPr="00D64438">
              <w:rPr>
                <w:b/>
                <w:bCs/>
                <w:sz w:val="16"/>
                <w:szCs w:val="16"/>
              </w:rPr>
              <w:t>2010</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13B47349" w14:textId="77777777" w:rsidR="00F679A2" w:rsidRPr="00D64438" w:rsidRDefault="00F679A2" w:rsidP="00B97309">
            <w:pPr>
              <w:spacing w:line="360" w:lineRule="auto"/>
              <w:rPr>
                <w:b/>
                <w:bCs/>
                <w:sz w:val="16"/>
                <w:szCs w:val="16"/>
              </w:rPr>
            </w:pPr>
            <w:r w:rsidRPr="00D64438">
              <w:rPr>
                <w:b/>
                <w:bCs/>
                <w:sz w:val="16"/>
                <w:szCs w:val="16"/>
              </w:rPr>
              <w:t>2011</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0CB783CD" w14:textId="77777777" w:rsidR="00F679A2" w:rsidRPr="00D64438" w:rsidRDefault="00F679A2" w:rsidP="00B97309">
            <w:pPr>
              <w:spacing w:line="360" w:lineRule="auto"/>
              <w:rPr>
                <w:b/>
                <w:bCs/>
                <w:sz w:val="16"/>
                <w:szCs w:val="16"/>
              </w:rPr>
            </w:pPr>
            <w:r w:rsidRPr="00D64438">
              <w:rPr>
                <w:b/>
                <w:bCs/>
                <w:sz w:val="16"/>
                <w:szCs w:val="16"/>
              </w:rPr>
              <w:t>2012</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7747FF80" w14:textId="77777777" w:rsidR="00F679A2" w:rsidRPr="00D64438" w:rsidRDefault="00F679A2" w:rsidP="00B97309">
            <w:pPr>
              <w:spacing w:line="360" w:lineRule="auto"/>
              <w:rPr>
                <w:b/>
                <w:bCs/>
                <w:sz w:val="16"/>
                <w:szCs w:val="16"/>
              </w:rPr>
            </w:pPr>
            <w:r w:rsidRPr="00D64438">
              <w:rPr>
                <w:b/>
                <w:bCs/>
                <w:sz w:val="16"/>
                <w:szCs w:val="16"/>
              </w:rPr>
              <w:t>2013</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2021BBE7" w14:textId="77777777" w:rsidR="00F679A2" w:rsidRPr="00D64438" w:rsidRDefault="00F679A2" w:rsidP="00B97309">
            <w:pPr>
              <w:spacing w:line="360" w:lineRule="auto"/>
              <w:rPr>
                <w:b/>
                <w:bCs/>
                <w:sz w:val="16"/>
                <w:szCs w:val="16"/>
              </w:rPr>
            </w:pPr>
            <w:r w:rsidRPr="00D64438">
              <w:rPr>
                <w:b/>
                <w:bCs/>
                <w:sz w:val="16"/>
                <w:szCs w:val="16"/>
              </w:rPr>
              <w:t>2014</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49323DB2" w14:textId="77777777" w:rsidR="00F679A2" w:rsidRPr="00D64438" w:rsidRDefault="00F679A2" w:rsidP="00B97309">
            <w:pPr>
              <w:spacing w:line="360" w:lineRule="auto"/>
              <w:rPr>
                <w:b/>
                <w:bCs/>
                <w:sz w:val="16"/>
                <w:szCs w:val="16"/>
              </w:rPr>
            </w:pPr>
            <w:r w:rsidRPr="00D64438">
              <w:rPr>
                <w:b/>
                <w:bCs/>
                <w:sz w:val="16"/>
                <w:szCs w:val="16"/>
              </w:rPr>
              <w:t>2015</w:t>
            </w:r>
          </w:p>
        </w:tc>
        <w:tc>
          <w:tcPr>
            <w:tcW w:w="658" w:type="dxa"/>
            <w:tcBorders>
              <w:top w:val="single" w:sz="12" w:space="0" w:color="76923C"/>
              <w:left w:val="single" w:sz="4" w:space="0" w:color="auto"/>
              <w:bottom w:val="single" w:sz="4" w:space="0" w:color="auto"/>
              <w:right w:val="single" w:sz="4" w:space="0" w:color="auto"/>
            </w:tcBorders>
            <w:vAlign w:val="center"/>
          </w:tcPr>
          <w:p w14:paraId="2775B905" w14:textId="77777777" w:rsidR="00F679A2" w:rsidRPr="00D64438" w:rsidRDefault="00F679A2" w:rsidP="00B97309">
            <w:pPr>
              <w:spacing w:line="360" w:lineRule="auto"/>
              <w:rPr>
                <w:b/>
                <w:bCs/>
                <w:sz w:val="16"/>
                <w:szCs w:val="16"/>
              </w:rPr>
            </w:pPr>
            <w:r w:rsidRPr="00D64438">
              <w:rPr>
                <w:b/>
                <w:bCs/>
                <w:sz w:val="16"/>
                <w:szCs w:val="16"/>
              </w:rPr>
              <w:t>2016</w:t>
            </w:r>
          </w:p>
        </w:tc>
        <w:tc>
          <w:tcPr>
            <w:tcW w:w="658" w:type="dxa"/>
            <w:tcBorders>
              <w:top w:val="single" w:sz="12" w:space="0" w:color="76923C"/>
              <w:left w:val="single" w:sz="4" w:space="0" w:color="auto"/>
              <w:bottom w:val="single" w:sz="4" w:space="0" w:color="auto"/>
              <w:right w:val="single" w:sz="4" w:space="0" w:color="auto"/>
            </w:tcBorders>
            <w:vAlign w:val="center"/>
          </w:tcPr>
          <w:p w14:paraId="6A47C91C" w14:textId="77777777" w:rsidR="00F679A2" w:rsidRPr="00D64438" w:rsidRDefault="00F679A2" w:rsidP="00B97309">
            <w:pPr>
              <w:spacing w:line="360" w:lineRule="auto"/>
              <w:rPr>
                <w:b/>
                <w:bCs/>
                <w:sz w:val="16"/>
                <w:szCs w:val="16"/>
              </w:rPr>
            </w:pPr>
            <w:r w:rsidRPr="00D64438">
              <w:rPr>
                <w:b/>
                <w:bCs/>
                <w:sz w:val="16"/>
                <w:szCs w:val="16"/>
              </w:rPr>
              <w:t>2017</w:t>
            </w:r>
          </w:p>
        </w:tc>
        <w:tc>
          <w:tcPr>
            <w:tcW w:w="658" w:type="dxa"/>
            <w:tcBorders>
              <w:top w:val="single" w:sz="12" w:space="0" w:color="76923C"/>
              <w:left w:val="single" w:sz="4" w:space="0" w:color="auto"/>
              <w:bottom w:val="single" w:sz="4" w:space="0" w:color="auto"/>
              <w:right w:val="single" w:sz="4" w:space="0" w:color="auto"/>
            </w:tcBorders>
            <w:vAlign w:val="center"/>
          </w:tcPr>
          <w:p w14:paraId="5EFB1E46" w14:textId="77777777" w:rsidR="00F679A2" w:rsidRPr="00D64438" w:rsidRDefault="00F679A2" w:rsidP="00B97309">
            <w:pPr>
              <w:spacing w:line="360" w:lineRule="auto"/>
              <w:rPr>
                <w:b/>
                <w:bCs/>
                <w:sz w:val="16"/>
                <w:szCs w:val="16"/>
              </w:rPr>
            </w:pPr>
            <w:r w:rsidRPr="00D64438">
              <w:rPr>
                <w:b/>
                <w:bCs/>
                <w:sz w:val="16"/>
                <w:szCs w:val="16"/>
              </w:rPr>
              <w:t>2018</w:t>
            </w:r>
          </w:p>
        </w:tc>
        <w:tc>
          <w:tcPr>
            <w:tcW w:w="659" w:type="dxa"/>
            <w:tcBorders>
              <w:top w:val="single" w:sz="12" w:space="0" w:color="76923C"/>
              <w:left w:val="single" w:sz="4" w:space="0" w:color="auto"/>
              <w:bottom w:val="single" w:sz="4" w:space="0" w:color="auto"/>
              <w:right w:val="single" w:sz="4" w:space="0" w:color="auto"/>
            </w:tcBorders>
            <w:vAlign w:val="center"/>
          </w:tcPr>
          <w:p w14:paraId="62C53ADF" w14:textId="77777777" w:rsidR="00F679A2" w:rsidRDefault="00F679A2" w:rsidP="00B97309">
            <w:pPr>
              <w:spacing w:line="360" w:lineRule="auto"/>
              <w:rPr>
                <w:b/>
                <w:bCs/>
                <w:sz w:val="16"/>
                <w:szCs w:val="16"/>
              </w:rPr>
            </w:pPr>
            <w:r>
              <w:rPr>
                <w:b/>
                <w:bCs/>
                <w:sz w:val="16"/>
                <w:szCs w:val="16"/>
              </w:rPr>
              <w:t>2019</w:t>
            </w:r>
          </w:p>
        </w:tc>
      </w:tr>
      <w:tr w:rsidR="00F679A2" w:rsidRPr="00673630" w14:paraId="468D2C79" w14:textId="77777777" w:rsidTr="00B97309">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479B5C8C" w14:textId="77777777" w:rsidR="00F679A2" w:rsidRPr="00D64438" w:rsidRDefault="00F679A2" w:rsidP="00B97309">
            <w:pPr>
              <w:spacing w:line="360" w:lineRule="auto"/>
              <w:rPr>
                <w:sz w:val="16"/>
                <w:szCs w:val="16"/>
              </w:rPr>
            </w:pPr>
            <w:r w:rsidRPr="00D64438">
              <w:rPr>
                <w:sz w:val="16"/>
                <w:szCs w:val="16"/>
              </w:rPr>
              <w:lastRenderedPageBreak/>
              <w:t>Število čebelarjev</w:t>
            </w:r>
          </w:p>
        </w:tc>
        <w:tc>
          <w:tcPr>
            <w:tcW w:w="659" w:type="dxa"/>
            <w:tcBorders>
              <w:top w:val="single" w:sz="4" w:space="0" w:color="auto"/>
              <w:left w:val="single" w:sz="4" w:space="0" w:color="auto"/>
              <w:bottom w:val="single" w:sz="4" w:space="0" w:color="auto"/>
              <w:right w:val="single" w:sz="4" w:space="0" w:color="auto"/>
            </w:tcBorders>
            <w:vAlign w:val="center"/>
          </w:tcPr>
          <w:p w14:paraId="2E3A4F76" w14:textId="77777777" w:rsidR="00F679A2" w:rsidRPr="00D64438" w:rsidRDefault="00F679A2" w:rsidP="00B97309">
            <w:pPr>
              <w:spacing w:line="360" w:lineRule="auto"/>
              <w:rPr>
                <w:bCs/>
                <w:sz w:val="16"/>
                <w:szCs w:val="16"/>
              </w:rPr>
            </w:pPr>
            <w:r w:rsidRPr="00D64438">
              <w:rPr>
                <w:bCs/>
                <w:sz w:val="16"/>
                <w:szCs w:val="16"/>
              </w:rPr>
              <w:t>7.475</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72B3A" w14:textId="77777777" w:rsidR="00F679A2" w:rsidRPr="00D64438" w:rsidRDefault="00F679A2" w:rsidP="00B97309">
            <w:pPr>
              <w:spacing w:line="360" w:lineRule="auto"/>
              <w:rPr>
                <w:bCs/>
                <w:sz w:val="16"/>
                <w:szCs w:val="16"/>
              </w:rPr>
            </w:pPr>
            <w:r w:rsidRPr="00D64438">
              <w:rPr>
                <w:sz w:val="16"/>
                <w:szCs w:val="16"/>
              </w:rPr>
              <w:t>8.838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1FCE1" w14:textId="77777777" w:rsidR="00F679A2" w:rsidRPr="00D64438" w:rsidRDefault="00F679A2" w:rsidP="00B97309">
            <w:pPr>
              <w:spacing w:line="360" w:lineRule="auto"/>
              <w:rPr>
                <w:bCs/>
                <w:sz w:val="16"/>
                <w:szCs w:val="16"/>
              </w:rPr>
            </w:pPr>
            <w:r w:rsidRPr="00D64438">
              <w:rPr>
                <w:sz w:val="16"/>
                <w:szCs w:val="16"/>
              </w:rPr>
              <w:t>9.019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F0F0C" w14:textId="77777777" w:rsidR="00F679A2" w:rsidRPr="00D64438" w:rsidRDefault="00F679A2" w:rsidP="00B97309">
            <w:pPr>
              <w:spacing w:line="360" w:lineRule="auto"/>
              <w:rPr>
                <w:bCs/>
                <w:sz w:val="16"/>
                <w:szCs w:val="16"/>
              </w:rPr>
            </w:pPr>
            <w:r w:rsidRPr="00D64438">
              <w:rPr>
                <w:sz w:val="16"/>
                <w:szCs w:val="16"/>
              </w:rPr>
              <w:t>9.532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0E187" w14:textId="77777777" w:rsidR="00F679A2" w:rsidRPr="00D64438" w:rsidRDefault="00F679A2" w:rsidP="00B97309">
            <w:pPr>
              <w:spacing w:line="360" w:lineRule="auto"/>
              <w:rPr>
                <w:bCs/>
                <w:sz w:val="16"/>
                <w:szCs w:val="16"/>
              </w:rPr>
            </w:pPr>
            <w:r w:rsidRPr="00D64438">
              <w:rPr>
                <w:sz w:val="16"/>
                <w:szCs w:val="16"/>
              </w:rPr>
              <w:t>9.638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8CB4B" w14:textId="77777777" w:rsidR="00F679A2" w:rsidRPr="00D64438" w:rsidRDefault="00F679A2" w:rsidP="00B97309">
            <w:pPr>
              <w:spacing w:line="360" w:lineRule="auto"/>
              <w:rPr>
                <w:bCs/>
                <w:sz w:val="16"/>
                <w:szCs w:val="16"/>
              </w:rPr>
            </w:pPr>
            <w:r w:rsidRPr="00D64438">
              <w:rPr>
                <w:bCs/>
                <w:sz w:val="16"/>
                <w:szCs w:val="16"/>
              </w:rPr>
              <w:t>9.885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BB3A7" w14:textId="77777777" w:rsidR="00F679A2" w:rsidRPr="00D64438" w:rsidRDefault="00F679A2" w:rsidP="00B97309">
            <w:pPr>
              <w:spacing w:line="360" w:lineRule="auto"/>
              <w:rPr>
                <w:bCs/>
                <w:sz w:val="16"/>
                <w:szCs w:val="16"/>
              </w:rPr>
            </w:pPr>
            <w:r w:rsidRPr="00D64438">
              <w:rPr>
                <w:bCs/>
                <w:sz w:val="16"/>
                <w:szCs w:val="16"/>
              </w:rPr>
              <w:t>10.145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80716" w14:textId="77777777" w:rsidR="00F679A2" w:rsidRPr="00D64438" w:rsidRDefault="00F679A2" w:rsidP="00B97309">
            <w:pPr>
              <w:spacing w:line="360" w:lineRule="auto"/>
              <w:rPr>
                <w:bCs/>
                <w:sz w:val="16"/>
                <w:szCs w:val="16"/>
              </w:rPr>
            </w:pPr>
            <w:r w:rsidRPr="00D64438">
              <w:rPr>
                <w:bCs/>
                <w:sz w:val="16"/>
                <w:szCs w:val="16"/>
              </w:rPr>
              <w:t>10.369</w:t>
            </w:r>
          </w:p>
        </w:tc>
        <w:tc>
          <w:tcPr>
            <w:tcW w:w="658" w:type="dxa"/>
            <w:tcBorders>
              <w:top w:val="single" w:sz="4" w:space="0" w:color="auto"/>
              <w:left w:val="single" w:sz="4" w:space="0" w:color="auto"/>
              <w:bottom w:val="single" w:sz="4" w:space="0" w:color="auto"/>
              <w:right w:val="single" w:sz="4" w:space="0" w:color="auto"/>
            </w:tcBorders>
            <w:vAlign w:val="center"/>
          </w:tcPr>
          <w:p w14:paraId="3134D180" w14:textId="77777777" w:rsidR="00F679A2" w:rsidRPr="00D64438" w:rsidRDefault="00F679A2" w:rsidP="00B97309">
            <w:pPr>
              <w:spacing w:line="360" w:lineRule="auto"/>
              <w:rPr>
                <w:bCs/>
                <w:sz w:val="16"/>
                <w:szCs w:val="16"/>
              </w:rPr>
            </w:pPr>
            <w:r w:rsidRPr="00D64438">
              <w:rPr>
                <w:bCs/>
                <w:sz w:val="16"/>
                <w:szCs w:val="16"/>
              </w:rPr>
              <w:t>10.667</w:t>
            </w:r>
          </w:p>
        </w:tc>
        <w:tc>
          <w:tcPr>
            <w:tcW w:w="658" w:type="dxa"/>
            <w:tcBorders>
              <w:top w:val="single" w:sz="4" w:space="0" w:color="auto"/>
              <w:left w:val="single" w:sz="4" w:space="0" w:color="auto"/>
              <w:bottom w:val="single" w:sz="4" w:space="0" w:color="auto"/>
              <w:right w:val="single" w:sz="4" w:space="0" w:color="auto"/>
            </w:tcBorders>
            <w:vAlign w:val="center"/>
          </w:tcPr>
          <w:p w14:paraId="5255F4AA" w14:textId="77777777" w:rsidR="00F679A2" w:rsidRPr="00D64438" w:rsidRDefault="00F679A2" w:rsidP="00B97309">
            <w:pPr>
              <w:spacing w:line="360" w:lineRule="auto"/>
              <w:rPr>
                <w:bCs/>
                <w:sz w:val="16"/>
                <w:szCs w:val="16"/>
              </w:rPr>
            </w:pPr>
            <w:r w:rsidRPr="00D64438">
              <w:rPr>
                <w:bCs/>
                <w:sz w:val="16"/>
                <w:szCs w:val="16"/>
              </w:rPr>
              <w:t>10.579</w:t>
            </w:r>
          </w:p>
        </w:tc>
        <w:tc>
          <w:tcPr>
            <w:tcW w:w="658" w:type="dxa"/>
            <w:tcBorders>
              <w:top w:val="single" w:sz="4" w:space="0" w:color="auto"/>
              <w:left w:val="single" w:sz="4" w:space="0" w:color="auto"/>
              <w:bottom w:val="single" w:sz="4" w:space="0" w:color="auto"/>
              <w:right w:val="single" w:sz="4" w:space="0" w:color="auto"/>
            </w:tcBorders>
            <w:vAlign w:val="center"/>
          </w:tcPr>
          <w:p w14:paraId="4697FD71" w14:textId="77777777" w:rsidR="00F679A2" w:rsidRPr="00D64438" w:rsidRDefault="00F679A2" w:rsidP="00B97309">
            <w:pPr>
              <w:spacing w:line="360" w:lineRule="auto"/>
              <w:rPr>
                <w:bCs/>
                <w:sz w:val="16"/>
                <w:szCs w:val="16"/>
              </w:rPr>
            </w:pPr>
            <w:r w:rsidRPr="00D64438">
              <w:rPr>
                <w:bCs/>
                <w:sz w:val="16"/>
                <w:szCs w:val="16"/>
              </w:rPr>
              <w:t>10.933</w:t>
            </w:r>
          </w:p>
        </w:tc>
        <w:tc>
          <w:tcPr>
            <w:tcW w:w="659" w:type="dxa"/>
            <w:tcBorders>
              <w:top w:val="single" w:sz="4" w:space="0" w:color="auto"/>
              <w:left w:val="single" w:sz="4" w:space="0" w:color="auto"/>
              <w:bottom w:val="single" w:sz="4" w:space="0" w:color="auto"/>
              <w:right w:val="single" w:sz="4" w:space="0" w:color="auto"/>
            </w:tcBorders>
            <w:vAlign w:val="center"/>
          </w:tcPr>
          <w:p w14:paraId="4FE2B02A" w14:textId="77777777" w:rsidR="00F679A2" w:rsidRDefault="00F679A2" w:rsidP="00B97309">
            <w:pPr>
              <w:spacing w:line="360" w:lineRule="auto"/>
              <w:rPr>
                <w:bCs/>
                <w:sz w:val="16"/>
                <w:szCs w:val="16"/>
              </w:rPr>
            </w:pPr>
            <w:r>
              <w:rPr>
                <w:bCs/>
                <w:sz w:val="16"/>
                <w:szCs w:val="16"/>
              </w:rPr>
              <w:t>11.066</w:t>
            </w:r>
          </w:p>
        </w:tc>
      </w:tr>
      <w:tr w:rsidR="00F679A2" w:rsidRPr="00673630" w14:paraId="6FE38C00" w14:textId="77777777" w:rsidTr="00B97309">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30F00968" w14:textId="77777777" w:rsidR="00F679A2" w:rsidRPr="00D64438" w:rsidRDefault="00F679A2" w:rsidP="00B97309">
            <w:pPr>
              <w:spacing w:line="360" w:lineRule="auto"/>
              <w:rPr>
                <w:sz w:val="16"/>
                <w:szCs w:val="16"/>
              </w:rPr>
            </w:pPr>
            <w:r w:rsidRPr="00D64438">
              <w:rPr>
                <w:sz w:val="16"/>
                <w:szCs w:val="16"/>
              </w:rPr>
              <w:t>Število čebelnjakov</w:t>
            </w:r>
          </w:p>
        </w:tc>
        <w:tc>
          <w:tcPr>
            <w:tcW w:w="659" w:type="dxa"/>
            <w:tcBorders>
              <w:top w:val="single" w:sz="4" w:space="0" w:color="auto"/>
              <w:left w:val="single" w:sz="4" w:space="0" w:color="auto"/>
              <w:bottom w:val="single" w:sz="4" w:space="0" w:color="auto"/>
              <w:right w:val="single" w:sz="4" w:space="0" w:color="auto"/>
            </w:tcBorders>
            <w:vAlign w:val="center"/>
          </w:tcPr>
          <w:p w14:paraId="03A5A065" w14:textId="77777777" w:rsidR="00F679A2" w:rsidRPr="00D64438" w:rsidRDefault="00F679A2" w:rsidP="00B97309">
            <w:pPr>
              <w:spacing w:line="360" w:lineRule="auto"/>
              <w:rPr>
                <w:bCs/>
                <w:sz w:val="16"/>
                <w:szCs w:val="16"/>
              </w:rPr>
            </w:pPr>
            <w:r w:rsidRPr="00D64438">
              <w:rPr>
                <w:sz w:val="16"/>
                <w:szCs w:val="16"/>
              </w:rPr>
              <w:t>10.414</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6EC5B" w14:textId="77777777" w:rsidR="00F679A2" w:rsidRPr="00D64438" w:rsidRDefault="00F679A2" w:rsidP="00B97309">
            <w:pPr>
              <w:spacing w:line="360" w:lineRule="auto"/>
              <w:rPr>
                <w:bCs/>
                <w:sz w:val="16"/>
                <w:szCs w:val="16"/>
              </w:rPr>
            </w:pPr>
            <w:r w:rsidRPr="00D64438">
              <w:rPr>
                <w:sz w:val="16"/>
                <w:szCs w:val="16"/>
              </w:rPr>
              <w:t>11.253</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6123D" w14:textId="77777777" w:rsidR="00F679A2" w:rsidRPr="00D64438" w:rsidRDefault="00F679A2" w:rsidP="00B97309">
            <w:pPr>
              <w:spacing w:line="360" w:lineRule="auto"/>
              <w:rPr>
                <w:bCs/>
                <w:sz w:val="16"/>
                <w:szCs w:val="16"/>
              </w:rPr>
            </w:pPr>
            <w:r w:rsidRPr="00D64438">
              <w:rPr>
                <w:sz w:val="16"/>
                <w:szCs w:val="16"/>
              </w:rPr>
              <w:t>11.504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663F6" w14:textId="77777777" w:rsidR="00F679A2" w:rsidRPr="00D64438" w:rsidRDefault="00F679A2" w:rsidP="00B97309">
            <w:pPr>
              <w:spacing w:line="360" w:lineRule="auto"/>
              <w:rPr>
                <w:bCs/>
                <w:sz w:val="16"/>
                <w:szCs w:val="16"/>
              </w:rPr>
            </w:pPr>
            <w:r w:rsidRPr="00D64438">
              <w:rPr>
                <w:sz w:val="16"/>
                <w:szCs w:val="16"/>
              </w:rPr>
              <w:t>12.206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597E1" w14:textId="77777777" w:rsidR="00F679A2" w:rsidRPr="00D64438" w:rsidRDefault="00F679A2" w:rsidP="00B97309">
            <w:pPr>
              <w:spacing w:line="360" w:lineRule="auto"/>
              <w:rPr>
                <w:bCs/>
                <w:sz w:val="16"/>
                <w:szCs w:val="16"/>
              </w:rPr>
            </w:pPr>
            <w:r w:rsidRPr="00D64438">
              <w:rPr>
                <w:sz w:val="16"/>
                <w:szCs w:val="16"/>
              </w:rPr>
              <w:t>12.469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05F77" w14:textId="77777777" w:rsidR="00F679A2" w:rsidRPr="00D64438" w:rsidRDefault="00F679A2" w:rsidP="00B97309">
            <w:pPr>
              <w:spacing w:line="360" w:lineRule="auto"/>
              <w:rPr>
                <w:bCs/>
                <w:sz w:val="16"/>
                <w:szCs w:val="16"/>
              </w:rPr>
            </w:pPr>
            <w:r w:rsidRPr="00D64438">
              <w:rPr>
                <w:bCs/>
                <w:sz w:val="16"/>
                <w:szCs w:val="16"/>
              </w:rPr>
              <w:t>12.545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B3211" w14:textId="77777777" w:rsidR="00F679A2" w:rsidRPr="00D64438" w:rsidRDefault="00F679A2" w:rsidP="00B97309">
            <w:pPr>
              <w:spacing w:line="360" w:lineRule="auto"/>
              <w:rPr>
                <w:bCs/>
                <w:sz w:val="16"/>
                <w:szCs w:val="16"/>
              </w:rPr>
            </w:pPr>
            <w:r w:rsidRPr="00D64438">
              <w:rPr>
                <w:bCs/>
                <w:sz w:val="16"/>
                <w:szCs w:val="16"/>
              </w:rPr>
              <w:t>13.164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CAE35" w14:textId="77777777" w:rsidR="00F679A2" w:rsidRPr="00D64438" w:rsidRDefault="00F679A2" w:rsidP="00B97309">
            <w:pPr>
              <w:spacing w:line="360" w:lineRule="auto"/>
              <w:rPr>
                <w:bCs/>
                <w:sz w:val="16"/>
                <w:szCs w:val="16"/>
              </w:rPr>
            </w:pPr>
            <w:r w:rsidRPr="00D64438">
              <w:rPr>
                <w:bCs/>
                <w:sz w:val="16"/>
                <w:szCs w:val="16"/>
              </w:rPr>
              <w:t>13.165</w:t>
            </w:r>
          </w:p>
        </w:tc>
        <w:tc>
          <w:tcPr>
            <w:tcW w:w="658" w:type="dxa"/>
            <w:tcBorders>
              <w:top w:val="single" w:sz="4" w:space="0" w:color="auto"/>
              <w:left w:val="single" w:sz="4" w:space="0" w:color="auto"/>
              <w:bottom w:val="single" w:sz="4" w:space="0" w:color="auto"/>
              <w:right w:val="single" w:sz="4" w:space="0" w:color="auto"/>
            </w:tcBorders>
            <w:vAlign w:val="center"/>
          </w:tcPr>
          <w:p w14:paraId="63F42701" w14:textId="77777777" w:rsidR="00F679A2" w:rsidRPr="00D64438" w:rsidRDefault="00F679A2" w:rsidP="00B97309">
            <w:pPr>
              <w:spacing w:line="360" w:lineRule="auto"/>
              <w:rPr>
                <w:bCs/>
                <w:sz w:val="16"/>
                <w:szCs w:val="16"/>
              </w:rPr>
            </w:pPr>
            <w:r w:rsidRPr="00D64438">
              <w:rPr>
                <w:bCs/>
                <w:sz w:val="16"/>
                <w:szCs w:val="16"/>
              </w:rPr>
              <w:t>13.939</w:t>
            </w:r>
          </w:p>
        </w:tc>
        <w:tc>
          <w:tcPr>
            <w:tcW w:w="658" w:type="dxa"/>
            <w:tcBorders>
              <w:top w:val="single" w:sz="4" w:space="0" w:color="auto"/>
              <w:left w:val="single" w:sz="4" w:space="0" w:color="auto"/>
              <w:bottom w:val="single" w:sz="4" w:space="0" w:color="auto"/>
              <w:right w:val="single" w:sz="4" w:space="0" w:color="auto"/>
            </w:tcBorders>
            <w:vAlign w:val="center"/>
          </w:tcPr>
          <w:p w14:paraId="288945F4" w14:textId="77777777" w:rsidR="00F679A2" w:rsidRPr="00D64438" w:rsidRDefault="00F679A2" w:rsidP="00B97309">
            <w:pPr>
              <w:spacing w:line="360" w:lineRule="auto"/>
              <w:rPr>
                <w:bCs/>
                <w:sz w:val="16"/>
                <w:szCs w:val="16"/>
              </w:rPr>
            </w:pPr>
            <w:r w:rsidRPr="00D64438">
              <w:rPr>
                <w:bCs/>
                <w:sz w:val="16"/>
                <w:szCs w:val="16"/>
              </w:rPr>
              <w:t>13.975</w:t>
            </w:r>
          </w:p>
        </w:tc>
        <w:tc>
          <w:tcPr>
            <w:tcW w:w="658" w:type="dxa"/>
            <w:tcBorders>
              <w:top w:val="single" w:sz="4" w:space="0" w:color="auto"/>
              <w:left w:val="single" w:sz="4" w:space="0" w:color="auto"/>
              <w:bottom w:val="single" w:sz="4" w:space="0" w:color="auto"/>
              <w:right w:val="single" w:sz="4" w:space="0" w:color="auto"/>
            </w:tcBorders>
            <w:vAlign w:val="center"/>
          </w:tcPr>
          <w:p w14:paraId="354D6D65" w14:textId="77777777" w:rsidR="00F679A2" w:rsidRPr="00D64438" w:rsidRDefault="00F679A2" w:rsidP="00B97309">
            <w:pPr>
              <w:spacing w:line="360" w:lineRule="auto"/>
              <w:rPr>
                <w:bCs/>
                <w:sz w:val="16"/>
                <w:szCs w:val="16"/>
              </w:rPr>
            </w:pPr>
            <w:r w:rsidRPr="00D64438">
              <w:rPr>
                <w:bCs/>
                <w:sz w:val="16"/>
                <w:szCs w:val="16"/>
              </w:rPr>
              <w:t>13.982</w:t>
            </w:r>
          </w:p>
        </w:tc>
        <w:tc>
          <w:tcPr>
            <w:tcW w:w="659" w:type="dxa"/>
            <w:tcBorders>
              <w:top w:val="single" w:sz="4" w:space="0" w:color="auto"/>
              <w:left w:val="single" w:sz="4" w:space="0" w:color="auto"/>
              <w:bottom w:val="single" w:sz="4" w:space="0" w:color="auto"/>
              <w:right w:val="single" w:sz="4" w:space="0" w:color="auto"/>
            </w:tcBorders>
            <w:vAlign w:val="center"/>
          </w:tcPr>
          <w:p w14:paraId="766A87AA" w14:textId="77777777" w:rsidR="00F679A2" w:rsidRDefault="00F679A2" w:rsidP="00B97309">
            <w:pPr>
              <w:spacing w:line="360" w:lineRule="auto"/>
              <w:rPr>
                <w:bCs/>
                <w:sz w:val="16"/>
                <w:szCs w:val="16"/>
              </w:rPr>
            </w:pPr>
            <w:r>
              <w:rPr>
                <w:bCs/>
                <w:sz w:val="16"/>
                <w:szCs w:val="16"/>
              </w:rPr>
              <w:t>15.036</w:t>
            </w:r>
          </w:p>
        </w:tc>
      </w:tr>
      <w:tr w:rsidR="00F679A2" w:rsidRPr="00673630" w14:paraId="781FFE62" w14:textId="77777777" w:rsidTr="00B97309">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077ED6F6" w14:textId="77777777" w:rsidR="00F679A2" w:rsidRPr="00D64438" w:rsidRDefault="00F679A2" w:rsidP="00B97309">
            <w:pPr>
              <w:spacing w:line="360" w:lineRule="auto"/>
              <w:rPr>
                <w:sz w:val="16"/>
                <w:szCs w:val="16"/>
              </w:rPr>
            </w:pPr>
            <w:r w:rsidRPr="00D64438">
              <w:rPr>
                <w:sz w:val="16"/>
                <w:szCs w:val="16"/>
              </w:rPr>
              <w:t>Število čebeljih družin</w:t>
            </w:r>
          </w:p>
        </w:tc>
        <w:tc>
          <w:tcPr>
            <w:tcW w:w="659" w:type="dxa"/>
            <w:tcBorders>
              <w:top w:val="single" w:sz="4" w:space="0" w:color="auto"/>
              <w:left w:val="single" w:sz="4" w:space="0" w:color="auto"/>
              <w:bottom w:val="single" w:sz="4" w:space="0" w:color="auto"/>
              <w:right w:val="single" w:sz="4" w:space="0" w:color="auto"/>
            </w:tcBorders>
            <w:vAlign w:val="center"/>
          </w:tcPr>
          <w:p w14:paraId="280951B1" w14:textId="77777777" w:rsidR="00F679A2" w:rsidRPr="005718B1" w:rsidRDefault="00F679A2" w:rsidP="00B97309">
            <w:pPr>
              <w:spacing w:line="360" w:lineRule="auto"/>
              <w:rPr>
                <w:bCs/>
                <w:sz w:val="14"/>
                <w:szCs w:val="14"/>
              </w:rPr>
            </w:pPr>
            <w:r w:rsidRPr="005718B1">
              <w:rPr>
                <w:sz w:val="14"/>
                <w:szCs w:val="14"/>
              </w:rPr>
              <w:t>137.211</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FC13B" w14:textId="77777777" w:rsidR="00F679A2" w:rsidRPr="005718B1" w:rsidRDefault="00F679A2" w:rsidP="00B97309">
            <w:pPr>
              <w:spacing w:line="360" w:lineRule="auto"/>
              <w:rPr>
                <w:bCs/>
                <w:sz w:val="14"/>
                <w:szCs w:val="14"/>
              </w:rPr>
            </w:pPr>
            <w:r w:rsidRPr="005718B1">
              <w:rPr>
                <w:sz w:val="14"/>
                <w:szCs w:val="14"/>
              </w:rPr>
              <w:t>142.751</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4A451" w14:textId="77777777" w:rsidR="00F679A2" w:rsidRPr="005718B1" w:rsidRDefault="00F679A2" w:rsidP="00B97309">
            <w:pPr>
              <w:snapToGrid w:val="0"/>
              <w:spacing w:line="360" w:lineRule="auto"/>
              <w:rPr>
                <w:sz w:val="14"/>
                <w:szCs w:val="14"/>
              </w:rPr>
            </w:pPr>
            <w:r w:rsidRPr="005718B1">
              <w:rPr>
                <w:sz w:val="14"/>
                <w:szCs w:val="14"/>
              </w:rPr>
              <w:t>150.000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06D85" w14:textId="77777777" w:rsidR="00F679A2" w:rsidRPr="005718B1" w:rsidRDefault="00F679A2" w:rsidP="00B97309">
            <w:pPr>
              <w:spacing w:line="360" w:lineRule="auto"/>
              <w:rPr>
                <w:bCs/>
                <w:sz w:val="14"/>
                <w:szCs w:val="14"/>
              </w:rPr>
            </w:pPr>
            <w:r w:rsidRPr="005718B1">
              <w:rPr>
                <w:sz w:val="14"/>
                <w:szCs w:val="14"/>
              </w:rPr>
              <w:t>167.750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68D11" w14:textId="77777777" w:rsidR="00F679A2" w:rsidRPr="005718B1" w:rsidRDefault="00F679A2" w:rsidP="00B97309">
            <w:pPr>
              <w:spacing w:line="360" w:lineRule="auto"/>
              <w:rPr>
                <w:bCs/>
                <w:sz w:val="14"/>
                <w:szCs w:val="14"/>
              </w:rPr>
            </w:pPr>
            <w:r w:rsidRPr="005718B1">
              <w:rPr>
                <w:sz w:val="14"/>
                <w:szCs w:val="14"/>
              </w:rPr>
              <w:t>167.000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E817E" w14:textId="77777777" w:rsidR="00F679A2" w:rsidRPr="005718B1" w:rsidRDefault="00F679A2" w:rsidP="00B97309">
            <w:pPr>
              <w:spacing w:line="360" w:lineRule="auto"/>
              <w:rPr>
                <w:bCs/>
                <w:sz w:val="14"/>
                <w:szCs w:val="14"/>
              </w:rPr>
            </w:pPr>
            <w:r w:rsidRPr="005718B1">
              <w:rPr>
                <w:sz w:val="14"/>
                <w:szCs w:val="14"/>
              </w:rPr>
              <w:t>147.882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AA115" w14:textId="77777777" w:rsidR="00F679A2" w:rsidRPr="005718B1" w:rsidRDefault="00F679A2" w:rsidP="00B97309">
            <w:pPr>
              <w:spacing w:line="360" w:lineRule="auto"/>
              <w:rPr>
                <w:bCs/>
                <w:sz w:val="14"/>
                <w:szCs w:val="14"/>
              </w:rPr>
            </w:pPr>
            <w:r w:rsidRPr="005718B1">
              <w:rPr>
                <w:sz w:val="14"/>
                <w:szCs w:val="14"/>
              </w:rPr>
              <w:t>176.436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26219" w14:textId="77777777" w:rsidR="00F679A2" w:rsidRPr="005718B1" w:rsidRDefault="00F679A2" w:rsidP="00B97309">
            <w:pPr>
              <w:spacing w:line="360" w:lineRule="auto"/>
              <w:rPr>
                <w:bCs/>
                <w:sz w:val="14"/>
                <w:szCs w:val="14"/>
              </w:rPr>
            </w:pPr>
            <w:r w:rsidRPr="005718B1">
              <w:rPr>
                <w:sz w:val="14"/>
                <w:szCs w:val="14"/>
              </w:rPr>
              <w:t>168.869</w:t>
            </w:r>
          </w:p>
        </w:tc>
        <w:tc>
          <w:tcPr>
            <w:tcW w:w="658" w:type="dxa"/>
            <w:tcBorders>
              <w:top w:val="single" w:sz="4" w:space="0" w:color="auto"/>
              <w:left w:val="single" w:sz="4" w:space="0" w:color="auto"/>
              <w:bottom w:val="single" w:sz="4" w:space="0" w:color="auto"/>
              <w:right w:val="single" w:sz="4" w:space="0" w:color="auto"/>
            </w:tcBorders>
            <w:vAlign w:val="center"/>
          </w:tcPr>
          <w:p w14:paraId="289A06CB" w14:textId="77777777" w:rsidR="00F679A2" w:rsidRPr="005718B1" w:rsidRDefault="00F679A2" w:rsidP="00B97309">
            <w:pPr>
              <w:spacing w:line="360" w:lineRule="auto"/>
              <w:rPr>
                <w:bCs/>
                <w:sz w:val="14"/>
                <w:szCs w:val="14"/>
              </w:rPr>
            </w:pPr>
            <w:r w:rsidRPr="005718B1">
              <w:rPr>
                <w:bCs/>
                <w:sz w:val="14"/>
                <w:szCs w:val="14"/>
              </w:rPr>
              <w:t>181.480</w:t>
            </w:r>
          </w:p>
        </w:tc>
        <w:tc>
          <w:tcPr>
            <w:tcW w:w="658" w:type="dxa"/>
            <w:tcBorders>
              <w:top w:val="single" w:sz="4" w:space="0" w:color="auto"/>
              <w:left w:val="single" w:sz="4" w:space="0" w:color="auto"/>
              <w:bottom w:val="single" w:sz="4" w:space="0" w:color="auto"/>
              <w:right w:val="single" w:sz="4" w:space="0" w:color="auto"/>
            </w:tcBorders>
            <w:vAlign w:val="center"/>
          </w:tcPr>
          <w:p w14:paraId="380353F3" w14:textId="77777777" w:rsidR="00F679A2" w:rsidRPr="005718B1" w:rsidRDefault="00F679A2" w:rsidP="00B97309">
            <w:pPr>
              <w:spacing w:line="360" w:lineRule="auto"/>
              <w:rPr>
                <w:bCs/>
                <w:sz w:val="14"/>
                <w:szCs w:val="14"/>
              </w:rPr>
            </w:pPr>
            <w:r w:rsidRPr="005718B1">
              <w:rPr>
                <w:bCs/>
                <w:sz w:val="14"/>
                <w:szCs w:val="14"/>
              </w:rPr>
              <w:t>195.259</w:t>
            </w:r>
          </w:p>
        </w:tc>
        <w:tc>
          <w:tcPr>
            <w:tcW w:w="658" w:type="dxa"/>
            <w:tcBorders>
              <w:top w:val="single" w:sz="4" w:space="0" w:color="auto"/>
              <w:left w:val="single" w:sz="4" w:space="0" w:color="auto"/>
              <w:bottom w:val="single" w:sz="4" w:space="0" w:color="auto"/>
              <w:right w:val="single" w:sz="4" w:space="0" w:color="auto"/>
            </w:tcBorders>
            <w:vAlign w:val="center"/>
          </w:tcPr>
          <w:p w14:paraId="72B851CA" w14:textId="77777777" w:rsidR="00F679A2" w:rsidRPr="005718B1" w:rsidRDefault="00F679A2" w:rsidP="00B97309">
            <w:pPr>
              <w:spacing w:line="360" w:lineRule="auto"/>
              <w:rPr>
                <w:bCs/>
                <w:sz w:val="14"/>
                <w:szCs w:val="14"/>
              </w:rPr>
            </w:pPr>
            <w:r w:rsidRPr="005718B1">
              <w:rPr>
                <w:bCs/>
                <w:sz w:val="14"/>
                <w:szCs w:val="14"/>
              </w:rPr>
              <w:t>204.736</w:t>
            </w:r>
          </w:p>
        </w:tc>
        <w:tc>
          <w:tcPr>
            <w:tcW w:w="659" w:type="dxa"/>
            <w:tcBorders>
              <w:top w:val="single" w:sz="4" w:space="0" w:color="auto"/>
              <w:left w:val="single" w:sz="4" w:space="0" w:color="auto"/>
              <w:bottom w:val="single" w:sz="4" w:space="0" w:color="auto"/>
              <w:right w:val="single" w:sz="4" w:space="0" w:color="auto"/>
            </w:tcBorders>
            <w:vAlign w:val="center"/>
          </w:tcPr>
          <w:p w14:paraId="24269B49" w14:textId="77777777" w:rsidR="00F679A2" w:rsidRPr="005718B1" w:rsidRDefault="00F679A2" w:rsidP="00B97309">
            <w:pPr>
              <w:spacing w:line="360" w:lineRule="auto"/>
              <w:rPr>
                <w:bCs/>
                <w:sz w:val="14"/>
                <w:szCs w:val="14"/>
              </w:rPr>
            </w:pPr>
            <w:r w:rsidRPr="005718B1">
              <w:rPr>
                <w:bCs/>
                <w:sz w:val="14"/>
                <w:szCs w:val="14"/>
              </w:rPr>
              <w:t>208.260</w:t>
            </w:r>
          </w:p>
        </w:tc>
      </w:tr>
      <w:tr w:rsidR="00F679A2" w:rsidRPr="00673630" w14:paraId="5073C903" w14:textId="77777777" w:rsidTr="00B97309">
        <w:trPr>
          <w:trHeight w:val="407"/>
        </w:trPr>
        <w:tc>
          <w:tcPr>
            <w:tcW w:w="1089" w:type="dxa"/>
            <w:tcBorders>
              <w:top w:val="single" w:sz="4" w:space="0" w:color="auto"/>
              <w:left w:val="single" w:sz="4" w:space="0" w:color="auto"/>
              <w:bottom w:val="single" w:sz="12" w:space="0" w:color="76923C"/>
              <w:right w:val="single" w:sz="4" w:space="0" w:color="auto"/>
            </w:tcBorders>
            <w:shd w:val="clear" w:color="auto" w:fill="auto"/>
            <w:vAlign w:val="center"/>
          </w:tcPr>
          <w:p w14:paraId="7E6EDEA6" w14:textId="77777777" w:rsidR="00F679A2" w:rsidRPr="00D64438" w:rsidRDefault="00F679A2" w:rsidP="00B97309">
            <w:pPr>
              <w:spacing w:line="360" w:lineRule="auto"/>
              <w:rPr>
                <w:sz w:val="16"/>
                <w:szCs w:val="16"/>
              </w:rPr>
            </w:pPr>
            <w:r>
              <w:rPr>
                <w:sz w:val="16"/>
                <w:szCs w:val="16"/>
              </w:rPr>
              <w:t>Pridelek</w:t>
            </w:r>
            <w:r w:rsidRPr="00D64438">
              <w:rPr>
                <w:sz w:val="16"/>
                <w:szCs w:val="16"/>
              </w:rPr>
              <w:t xml:space="preserve"> v 1000 kg</w:t>
            </w:r>
          </w:p>
        </w:tc>
        <w:tc>
          <w:tcPr>
            <w:tcW w:w="659" w:type="dxa"/>
            <w:tcBorders>
              <w:top w:val="single" w:sz="4" w:space="0" w:color="auto"/>
              <w:left w:val="single" w:sz="4" w:space="0" w:color="auto"/>
              <w:bottom w:val="single" w:sz="12" w:space="0" w:color="76923C"/>
              <w:right w:val="single" w:sz="4" w:space="0" w:color="auto"/>
            </w:tcBorders>
            <w:vAlign w:val="center"/>
          </w:tcPr>
          <w:p w14:paraId="7E60799E" w14:textId="77777777" w:rsidR="00F679A2" w:rsidRPr="00D64438" w:rsidRDefault="00F679A2" w:rsidP="00B97309">
            <w:pPr>
              <w:spacing w:line="360" w:lineRule="auto"/>
              <w:rPr>
                <w:bCs/>
                <w:sz w:val="16"/>
                <w:szCs w:val="16"/>
              </w:rPr>
            </w:pPr>
            <w:r w:rsidRPr="00D64438">
              <w:rPr>
                <w:bCs/>
                <w:sz w:val="16"/>
                <w:szCs w:val="16"/>
              </w:rPr>
              <w:t>1.580</w:t>
            </w:r>
          </w:p>
        </w:tc>
        <w:tc>
          <w:tcPr>
            <w:tcW w:w="659"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56269137" w14:textId="77777777" w:rsidR="00F679A2" w:rsidRPr="00D64438" w:rsidRDefault="00F679A2" w:rsidP="00B97309">
            <w:pPr>
              <w:spacing w:line="360" w:lineRule="auto"/>
              <w:rPr>
                <w:bCs/>
                <w:sz w:val="16"/>
                <w:szCs w:val="16"/>
              </w:rPr>
            </w:pPr>
            <w:r w:rsidRPr="00D64438">
              <w:rPr>
                <w:bCs/>
                <w:sz w:val="16"/>
                <w:szCs w:val="16"/>
              </w:rPr>
              <w:t>1.910</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209DDDB3" w14:textId="77777777" w:rsidR="00F679A2" w:rsidRPr="00D64438" w:rsidRDefault="00F679A2" w:rsidP="00B97309">
            <w:pPr>
              <w:spacing w:line="360" w:lineRule="auto"/>
              <w:rPr>
                <w:bCs/>
                <w:sz w:val="16"/>
                <w:szCs w:val="16"/>
              </w:rPr>
            </w:pPr>
            <w:r w:rsidRPr="00D64438">
              <w:rPr>
                <w:bCs/>
                <w:sz w:val="16"/>
                <w:szCs w:val="16"/>
              </w:rPr>
              <w:t>1.673</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34ED306" w14:textId="77777777" w:rsidR="00F679A2" w:rsidRPr="00D64438" w:rsidRDefault="00F679A2" w:rsidP="00B97309">
            <w:pPr>
              <w:spacing w:line="360" w:lineRule="auto"/>
              <w:rPr>
                <w:bCs/>
                <w:sz w:val="16"/>
                <w:szCs w:val="16"/>
              </w:rPr>
            </w:pPr>
            <w:r w:rsidRPr="00D64438">
              <w:rPr>
                <w:bCs/>
                <w:sz w:val="16"/>
                <w:szCs w:val="16"/>
              </w:rPr>
              <w:t>2.472</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2027374" w14:textId="77777777" w:rsidR="00F679A2" w:rsidRPr="00D64438" w:rsidRDefault="00F679A2" w:rsidP="00B97309">
            <w:pPr>
              <w:spacing w:line="360" w:lineRule="auto"/>
              <w:rPr>
                <w:bCs/>
                <w:sz w:val="16"/>
                <w:szCs w:val="16"/>
              </w:rPr>
            </w:pPr>
            <w:r w:rsidRPr="00D64438">
              <w:rPr>
                <w:bCs/>
                <w:sz w:val="16"/>
                <w:szCs w:val="16"/>
              </w:rPr>
              <w:t>1.031</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13142706" w14:textId="77777777" w:rsidR="00F679A2" w:rsidRPr="00D64438" w:rsidRDefault="00F679A2" w:rsidP="00B97309">
            <w:pPr>
              <w:spacing w:line="360" w:lineRule="auto"/>
              <w:rPr>
                <w:bCs/>
                <w:sz w:val="16"/>
                <w:szCs w:val="16"/>
              </w:rPr>
            </w:pPr>
            <w:r w:rsidRPr="00D64438">
              <w:rPr>
                <w:bCs/>
                <w:sz w:val="16"/>
                <w:szCs w:val="16"/>
              </w:rPr>
              <w:t>2.400</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0729CAA7" w14:textId="4373958F" w:rsidR="00F679A2" w:rsidRPr="00D64438" w:rsidRDefault="00F679A2" w:rsidP="00B97309">
            <w:pPr>
              <w:spacing w:line="360" w:lineRule="auto"/>
              <w:rPr>
                <w:bCs/>
                <w:sz w:val="16"/>
                <w:szCs w:val="16"/>
              </w:rPr>
            </w:pPr>
            <w:r w:rsidRPr="00D64438">
              <w:rPr>
                <w:bCs/>
                <w:sz w:val="16"/>
                <w:szCs w:val="16"/>
              </w:rPr>
              <w:t>47</w:t>
            </w:r>
            <w:r w:rsidR="00B56C8D">
              <w:rPr>
                <w:bCs/>
                <w:sz w:val="16"/>
                <w:szCs w:val="16"/>
              </w:rPr>
              <w:t>1</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950285B" w14:textId="77777777" w:rsidR="00F679A2" w:rsidRPr="00D64438" w:rsidRDefault="00F679A2" w:rsidP="00B97309">
            <w:pPr>
              <w:spacing w:line="360" w:lineRule="auto"/>
              <w:rPr>
                <w:bCs/>
                <w:sz w:val="16"/>
                <w:szCs w:val="16"/>
              </w:rPr>
            </w:pPr>
            <w:r w:rsidRPr="00D64438">
              <w:rPr>
                <w:bCs/>
                <w:sz w:val="16"/>
                <w:szCs w:val="16"/>
              </w:rPr>
              <w:t>2.047</w:t>
            </w:r>
          </w:p>
        </w:tc>
        <w:tc>
          <w:tcPr>
            <w:tcW w:w="658" w:type="dxa"/>
            <w:tcBorders>
              <w:top w:val="single" w:sz="4" w:space="0" w:color="auto"/>
              <w:left w:val="single" w:sz="4" w:space="0" w:color="auto"/>
              <w:bottom w:val="single" w:sz="12" w:space="0" w:color="76923C"/>
              <w:right w:val="single" w:sz="4" w:space="0" w:color="auto"/>
            </w:tcBorders>
            <w:vAlign w:val="center"/>
          </w:tcPr>
          <w:p w14:paraId="43291409" w14:textId="77777777" w:rsidR="00F679A2" w:rsidRPr="00D64438" w:rsidRDefault="00F679A2" w:rsidP="00B97309">
            <w:pPr>
              <w:spacing w:line="360" w:lineRule="auto"/>
              <w:rPr>
                <w:bCs/>
                <w:sz w:val="16"/>
                <w:szCs w:val="16"/>
              </w:rPr>
            </w:pPr>
            <w:r w:rsidRPr="00D64438">
              <w:rPr>
                <w:bCs/>
                <w:sz w:val="16"/>
                <w:szCs w:val="16"/>
              </w:rPr>
              <w:t>1.298</w:t>
            </w:r>
          </w:p>
        </w:tc>
        <w:tc>
          <w:tcPr>
            <w:tcW w:w="658" w:type="dxa"/>
            <w:tcBorders>
              <w:top w:val="single" w:sz="4" w:space="0" w:color="auto"/>
              <w:left w:val="single" w:sz="4" w:space="0" w:color="auto"/>
              <w:bottom w:val="single" w:sz="12" w:space="0" w:color="76923C"/>
              <w:right w:val="single" w:sz="4" w:space="0" w:color="auto"/>
            </w:tcBorders>
            <w:vAlign w:val="center"/>
          </w:tcPr>
          <w:p w14:paraId="19F2631B" w14:textId="77777777" w:rsidR="00F679A2" w:rsidRPr="00D64438" w:rsidRDefault="00F679A2" w:rsidP="00B97309">
            <w:pPr>
              <w:spacing w:line="360" w:lineRule="auto"/>
              <w:rPr>
                <w:bCs/>
                <w:sz w:val="16"/>
                <w:szCs w:val="16"/>
              </w:rPr>
            </w:pPr>
            <w:r w:rsidRPr="00D64438">
              <w:rPr>
                <w:bCs/>
                <w:sz w:val="16"/>
                <w:szCs w:val="16"/>
              </w:rPr>
              <w:t>804</w:t>
            </w:r>
          </w:p>
        </w:tc>
        <w:tc>
          <w:tcPr>
            <w:tcW w:w="658" w:type="dxa"/>
            <w:tcBorders>
              <w:top w:val="single" w:sz="4" w:space="0" w:color="auto"/>
              <w:left w:val="single" w:sz="4" w:space="0" w:color="auto"/>
              <w:bottom w:val="single" w:sz="12" w:space="0" w:color="76923C"/>
              <w:right w:val="single" w:sz="4" w:space="0" w:color="auto"/>
            </w:tcBorders>
            <w:vAlign w:val="center"/>
          </w:tcPr>
          <w:p w14:paraId="02D0C161" w14:textId="77777777" w:rsidR="00F679A2" w:rsidRPr="00D64438" w:rsidRDefault="00F679A2" w:rsidP="00B97309">
            <w:pPr>
              <w:spacing w:line="360" w:lineRule="auto"/>
              <w:rPr>
                <w:bCs/>
                <w:sz w:val="16"/>
                <w:szCs w:val="16"/>
              </w:rPr>
            </w:pPr>
            <w:r w:rsidRPr="00D64438">
              <w:rPr>
                <w:bCs/>
                <w:sz w:val="16"/>
                <w:szCs w:val="16"/>
              </w:rPr>
              <w:t>1.746</w:t>
            </w:r>
          </w:p>
        </w:tc>
        <w:tc>
          <w:tcPr>
            <w:tcW w:w="659" w:type="dxa"/>
            <w:tcBorders>
              <w:top w:val="single" w:sz="4" w:space="0" w:color="auto"/>
              <w:left w:val="single" w:sz="4" w:space="0" w:color="auto"/>
              <w:bottom w:val="single" w:sz="12" w:space="0" w:color="76923C"/>
              <w:right w:val="single" w:sz="4" w:space="0" w:color="auto"/>
            </w:tcBorders>
            <w:vAlign w:val="center"/>
          </w:tcPr>
          <w:p w14:paraId="1D974D0E" w14:textId="77777777" w:rsidR="00F679A2" w:rsidRDefault="00F679A2" w:rsidP="00B97309">
            <w:pPr>
              <w:spacing w:line="360" w:lineRule="auto"/>
              <w:rPr>
                <w:bCs/>
                <w:sz w:val="16"/>
                <w:szCs w:val="16"/>
              </w:rPr>
            </w:pPr>
            <w:r>
              <w:rPr>
                <w:bCs/>
                <w:sz w:val="16"/>
                <w:szCs w:val="16"/>
              </w:rPr>
              <w:t>653</w:t>
            </w:r>
          </w:p>
        </w:tc>
      </w:tr>
    </w:tbl>
    <w:p w14:paraId="04F3480B" w14:textId="443D686A" w:rsidR="00F679A2" w:rsidRPr="005718B1" w:rsidRDefault="00F679A2" w:rsidP="00F679A2">
      <w:pPr>
        <w:widowControl w:val="0"/>
        <w:spacing w:line="360" w:lineRule="auto"/>
        <w:ind w:left="170" w:hanging="170"/>
        <w:rPr>
          <w:sz w:val="16"/>
          <w:szCs w:val="16"/>
        </w:rPr>
      </w:pPr>
      <w:r w:rsidRPr="005718B1">
        <w:rPr>
          <w:sz w:val="16"/>
          <w:szCs w:val="16"/>
        </w:rPr>
        <w:t>VIR: UVHVVR</w:t>
      </w:r>
      <w:r w:rsidR="00B56C8D">
        <w:rPr>
          <w:sz w:val="16"/>
          <w:szCs w:val="16"/>
        </w:rPr>
        <w:t xml:space="preserve"> in </w:t>
      </w:r>
      <w:r w:rsidR="00B56C8D" w:rsidRPr="00B56C8D">
        <w:rPr>
          <w:sz w:val="16"/>
          <w:szCs w:val="16"/>
        </w:rPr>
        <w:t>Poročilo o stanju kmetijstva, živilstva, gozdarstva in ribištva 20</w:t>
      </w:r>
      <w:r w:rsidR="00B56C8D">
        <w:rPr>
          <w:sz w:val="16"/>
          <w:szCs w:val="16"/>
        </w:rPr>
        <w:t>19</w:t>
      </w:r>
    </w:p>
    <w:p w14:paraId="041F7A35" w14:textId="6B3E8688" w:rsidR="00F679A2" w:rsidRPr="005B2A49" w:rsidRDefault="00F679A2" w:rsidP="005B2A49">
      <w:pPr>
        <w:spacing w:after="120" w:line="260" w:lineRule="atLeast"/>
        <w:rPr>
          <w:rFonts w:eastAsia="Calibri"/>
          <w:szCs w:val="20"/>
        </w:rPr>
      </w:pPr>
      <w:r w:rsidRPr="005B2A49">
        <w:rPr>
          <w:rFonts w:eastAsia="Calibri"/>
          <w:szCs w:val="20"/>
        </w:rPr>
        <w:t>Poraba medu na prebivalca se je v Sloveniji gibala okoli 1 kilograma, največja poraba medu z 1,4 kilograma je bila v letih 2011, 2013 in 2015. Od leta 2015 poraba medu pada in leta 2019 je z 0,</w:t>
      </w:r>
      <w:r w:rsidR="00A93904">
        <w:rPr>
          <w:rFonts w:eastAsia="Calibri"/>
          <w:szCs w:val="20"/>
        </w:rPr>
        <w:t>7</w:t>
      </w:r>
      <w:r w:rsidRPr="005B2A49">
        <w:rPr>
          <w:rFonts w:eastAsia="Calibri"/>
          <w:szCs w:val="20"/>
        </w:rPr>
        <w:t xml:space="preserve"> kilograma znašala najmanj v zadnjih desetih letih. Stopnja samooskrbe niha, </w:t>
      </w:r>
      <w:r w:rsidR="00A93904">
        <w:rPr>
          <w:rFonts w:eastAsia="Calibri"/>
          <w:szCs w:val="20"/>
        </w:rPr>
        <w:t xml:space="preserve">v zadnjih desetih letih se </w:t>
      </w:r>
      <w:r w:rsidRPr="005B2A49">
        <w:rPr>
          <w:rFonts w:eastAsia="Calibri"/>
          <w:szCs w:val="20"/>
        </w:rPr>
        <w:t xml:space="preserve">giblje med 44 in </w:t>
      </w:r>
      <w:r w:rsidR="00A93904">
        <w:rPr>
          <w:rFonts w:eastAsia="Calibri"/>
          <w:szCs w:val="20"/>
        </w:rPr>
        <w:t>85</w:t>
      </w:r>
      <w:r w:rsidRPr="005B2A49">
        <w:rPr>
          <w:rFonts w:eastAsia="Calibri"/>
          <w:szCs w:val="20"/>
        </w:rPr>
        <w:t> %. Slovenski čebelarji prodajo neposredno na domu več kot 80 % pridelanega medu. V letu 2010 se je na tržnicah prodalo 137 ton medu, v letu 2019 pa le 56 ton medu. Odkupne cene vseh vrst medu v Sloveniji so v zadnjih letih narasle. V letih med 2010 in 2019 so cene narasle iz 3,2 do 5,1 EUR/kg.</w:t>
      </w:r>
    </w:p>
    <w:p w14:paraId="469FFD2C" w14:textId="77777777" w:rsidR="00F679A2" w:rsidRPr="005B2A49" w:rsidRDefault="00F679A2" w:rsidP="005B2A49">
      <w:pPr>
        <w:spacing w:after="120" w:line="260" w:lineRule="atLeast"/>
        <w:rPr>
          <w:rFonts w:eastAsia="Calibri"/>
          <w:szCs w:val="20"/>
        </w:rPr>
      </w:pPr>
      <w:r w:rsidRPr="005B2A49">
        <w:rPr>
          <w:rFonts w:eastAsia="Calibri"/>
          <w:szCs w:val="20"/>
        </w:rPr>
        <w:t>Precej višjo ceno čebelarji dosegajo pri prodaji na tržnicah. Odkupna cena medu na tržnicah se je od leta 2010 do leta 2019 povečala za 76 % na 9,99 EUR/kg medu. Lastna cena končnega proizvoda je visoka zaradi visokih stroškov, na to pa vplivajo številni dejavniki (podnebne spremembe, zimske izgube čebeljih družin, izgube zaradi bolezni čebel, zastrupitev, požar, veter, poplave ter oblika čebelarjenja, ki je lahko stacionarna ali prevozna, usmerjena v proizvodnjo medu ali matic oziroma čebeljih družin, čebelarjenje v tradicionalnih AŽ panjih).</w:t>
      </w:r>
    </w:p>
    <w:p w14:paraId="02C06A7D" w14:textId="58BC03C5" w:rsidR="00F679A2" w:rsidRPr="005B2A49" w:rsidRDefault="00F679A2" w:rsidP="005B2A49">
      <w:pPr>
        <w:spacing w:after="120" w:line="260" w:lineRule="atLeast"/>
        <w:rPr>
          <w:rFonts w:eastAsia="Calibri"/>
          <w:szCs w:val="20"/>
        </w:rPr>
      </w:pPr>
      <w:r w:rsidRPr="005B2A49">
        <w:rPr>
          <w:rFonts w:eastAsia="Calibri"/>
          <w:szCs w:val="20"/>
        </w:rPr>
        <w:t xml:space="preserve">Izvoz medu se je v obdobju 2011-2018 povečeval (od 32 t na 378 t), v letu 2019 pa z 332 tonami nekoliko zmanjšal. Na drugi strani pa se je uvoz medu povečeval do leta 2014 (1.425 t) ter zmanjševal v letih 2015-2016. Po ponovni rasti v letu 2017 se uvoz medu zmanjšuje; v letu 2019 je bilo uvoženo </w:t>
      </w:r>
      <w:r w:rsidR="00D573B3">
        <w:rPr>
          <w:rFonts w:eastAsia="Calibri"/>
          <w:szCs w:val="20"/>
        </w:rPr>
        <w:t>857</w:t>
      </w:r>
      <w:r w:rsidRPr="005B2A49">
        <w:rPr>
          <w:rFonts w:eastAsia="Calibri"/>
          <w:szCs w:val="20"/>
        </w:rPr>
        <w:t xml:space="preserve"> t medu.</w:t>
      </w:r>
    </w:p>
    <w:p w14:paraId="2AC1E74C" w14:textId="09AC350A" w:rsidR="00F679A2" w:rsidRPr="005B2A49" w:rsidRDefault="00F679A2" w:rsidP="005B2A49">
      <w:pPr>
        <w:spacing w:after="120" w:line="260" w:lineRule="atLeast"/>
        <w:rPr>
          <w:rFonts w:eastAsia="Calibri"/>
          <w:szCs w:val="20"/>
        </w:rPr>
      </w:pPr>
      <w:r w:rsidRPr="005B2A49">
        <w:rPr>
          <w:rFonts w:eastAsia="Calibri"/>
          <w:szCs w:val="20"/>
        </w:rPr>
        <w:t xml:space="preserve">Zelo pomembno nalogo pri ohranjanju kranjske čebele imajo tudi vzrejevalci čebeljih matic.. </w:t>
      </w:r>
      <w:r w:rsidR="00C5697C">
        <w:rPr>
          <w:rFonts w:eastAsia="Calibri"/>
          <w:szCs w:val="20"/>
        </w:rPr>
        <w:t>O</w:t>
      </w:r>
      <w:r w:rsidRPr="005B2A49">
        <w:rPr>
          <w:rFonts w:eastAsia="Calibri"/>
          <w:szCs w:val="20"/>
        </w:rPr>
        <w:t xml:space="preserve">krog 35 odobrenih vzrejališč čebeljih matic letno vzredi okrog 40.000 </w:t>
      </w:r>
      <w:r w:rsidR="00C5697C">
        <w:rPr>
          <w:rFonts w:eastAsia="Calibri"/>
          <w:szCs w:val="20"/>
        </w:rPr>
        <w:t>čebeljih</w:t>
      </w:r>
      <w:r w:rsidR="00C5697C" w:rsidRPr="005B2A49">
        <w:rPr>
          <w:rFonts w:eastAsia="Calibri"/>
          <w:szCs w:val="20"/>
        </w:rPr>
        <w:t xml:space="preserve"> </w:t>
      </w:r>
      <w:r w:rsidRPr="005B2A49">
        <w:rPr>
          <w:rFonts w:eastAsia="Calibri"/>
          <w:szCs w:val="20"/>
        </w:rPr>
        <w:t>matic</w:t>
      </w:r>
      <w:r w:rsidR="00C5697C">
        <w:rPr>
          <w:rFonts w:eastAsia="Calibri"/>
          <w:szCs w:val="20"/>
        </w:rPr>
        <w:t>, ki so v večji meri gospodarske matice, v manjšem obsegu pa se vzreja tudi rodovniške matice</w:t>
      </w:r>
      <w:r w:rsidRPr="005B2A49">
        <w:rPr>
          <w:rFonts w:eastAsia="Calibri"/>
          <w:szCs w:val="20"/>
        </w:rPr>
        <w:t>. Povpraševanje po maticah kranjske čebele se vsako leto povečuje in vpliva na večjo vzrejo matic.</w:t>
      </w:r>
    </w:p>
    <w:p w14:paraId="6BD316B1" w14:textId="77777777" w:rsidR="00F679A2" w:rsidRPr="005B2A49" w:rsidRDefault="00F679A2" w:rsidP="005B2A49">
      <w:pPr>
        <w:spacing w:after="120" w:line="260" w:lineRule="atLeast"/>
        <w:rPr>
          <w:rFonts w:eastAsia="Calibri"/>
          <w:szCs w:val="20"/>
        </w:rPr>
      </w:pPr>
      <w:r w:rsidRPr="005B2A49">
        <w:rPr>
          <w:rFonts w:eastAsia="Calibri"/>
          <w:szCs w:val="20"/>
        </w:rPr>
        <w:t>Čebele in divji opraševalci imajo pozitivne učinke na celoten ekosistem in na ohranjanje biotske raznovrstnosti. Od opraševanja je odvisnih več kot 80 % glavnih poljščinah, ki se gojijo za prehrano ljudi v Evropi oziroma več kot 70 % na svetovni ravni. V sadjarstvu so čebele ključnega pomena, saj spomladi, v obdobju največjega cvetenja, preostali možni opraševalci (npr. čmrlji, metulji) po navadi le malo prispevajo k uspešnosti opraševanja. Za ohranitev medonosnih čebel in ostalih opraševalcev je potrebno zagotoviti ustrezne prehranske vire čez celo leto s setvijo medonosnih rastlin, večanjem obsega cvetočih travnikov in območij, ki so primerna za ekološko čebelarjenje. Čebelarje je potrebno vključevati v promocijo biotske raznovrstnosti ter ozaveščati širšo javnost o pomenu opraševalcev. Poleg tega je potrebno javnost ozaveščati o uporabi fitofarmacevtskih sredstev, uvajanju integriranega varstva rastlin.</w:t>
      </w:r>
    </w:p>
    <w:p w14:paraId="1C1A6B1B" w14:textId="77777777" w:rsidR="00F679A2" w:rsidRPr="005B2A49" w:rsidRDefault="00F679A2" w:rsidP="005B2A49">
      <w:pPr>
        <w:spacing w:after="120" w:line="260" w:lineRule="atLeast"/>
        <w:rPr>
          <w:rFonts w:eastAsia="Calibri"/>
          <w:szCs w:val="20"/>
        </w:rPr>
      </w:pPr>
      <w:r w:rsidRPr="00F679A2">
        <w:rPr>
          <w:rFonts w:eastAsia="Calibri"/>
          <w:szCs w:val="20"/>
        </w:rPr>
        <w:t>V primerjavi z zahodnimi državami je v Sloveniji pestrost opraševalcev zaradi naravnih danosti še zelo velika. V zadnjih desetletjih so se močno poslabšale razmere s čebeljo pašo, težavna je preskrba čebe</w:t>
      </w:r>
      <w:r w:rsidRPr="00C25531">
        <w:rPr>
          <w:rFonts w:eastAsia="Calibri"/>
          <w:szCs w:val="20"/>
        </w:rPr>
        <w:t xml:space="preserve">lje družine v poletnem in poznopoletnem obdobju. Zaradi tega bo potrebno posebno pozornost posvetiti predvsem gozdni paši in mokriščem </w:t>
      </w:r>
      <w:r w:rsidRPr="00C25531">
        <w:rPr>
          <w:rFonts w:eastAsia="Calibri"/>
          <w:szCs w:val="20"/>
        </w:rPr>
        <w:lastRenderedPageBreak/>
        <w:t xml:space="preserve">ter tujerodnim invazivnim rastlinam (orjaška in kanadska zlata rozga, japonski dresnik, žlezasta nedotika), ki so lahko zelo medonosne, a predstavljajo grožnjo avtohtonemu rastlinju. Še bolj kot medonosne čebele, so zaradi teh dejavnikov ogroženi divji opraševalci. </w:t>
      </w:r>
    </w:p>
    <w:p w14:paraId="547A9A39" w14:textId="77777777" w:rsidR="00F679A2" w:rsidRPr="005B2A49" w:rsidRDefault="00F679A2" w:rsidP="005B2A49">
      <w:pPr>
        <w:spacing w:after="120" w:line="260" w:lineRule="atLeast"/>
        <w:rPr>
          <w:rFonts w:eastAsia="Calibri"/>
          <w:szCs w:val="20"/>
        </w:rPr>
      </w:pPr>
      <w:r w:rsidRPr="005B2A49">
        <w:rPr>
          <w:rFonts w:eastAsia="Calibri"/>
          <w:szCs w:val="20"/>
        </w:rPr>
        <w:t>Zaradi majhnosti naše države nismo konkurenčni po količini pridelanega medu, vendar si zato čebelarji še toliko skrbneje prizadevajo za višjo kakovost in prepoznavnost medu, pridelanega v Sloveniji. Za lažje nastopanje na trgu slovenski čebelarji vstopajo v različne sheme kakovosti, ki proizvajalcem daje prepoznavnost in omogoča boljšo konkurenčnost.</w:t>
      </w:r>
    </w:p>
    <w:p w14:paraId="7E7B6561" w14:textId="77777777" w:rsidR="00F679A2" w:rsidRPr="005B2A49" w:rsidRDefault="00F679A2" w:rsidP="005B2A49">
      <w:pPr>
        <w:spacing w:after="120" w:line="260" w:lineRule="atLeast"/>
        <w:rPr>
          <w:rFonts w:eastAsia="Calibri"/>
          <w:szCs w:val="20"/>
        </w:rPr>
      </w:pPr>
      <w:r w:rsidRPr="005B2A49">
        <w:rPr>
          <w:rFonts w:eastAsia="Calibri"/>
          <w:szCs w:val="20"/>
        </w:rPr>
        <w:t>Največji izziv predstavlja obvladovanje različnih bolezni čebel, predvsem varoze in zagotavljanje zadostne in raznolike prehranjenosti čebeljih družin. Precejšnje težave predstavljajo pogoste neugodne vremenske razmere.</w:t>
      </w:r>
    </w:p>
    <w:p w14:paraId="5EED30EC" w14:textId="77777777" w:rsidR="00F679A2" w:rsidRPr="005B2A49" w:rsidRDefault="00F679A2" w:rsidP="005B2A49">
      <w:pPr>
        <w:spacing w:after="120" w:line="260" w:lineRule="atLeast"/>
        <w:rPr>
          <w:rFonts w:eastAsia="Calibri"/>
          <w:szCs w:val="20"/>
        </w:rPr>
      </w:pPr>
      <w:r w:rsidRPr="005B2A49">
        <w:rPr>
          <w:rFonts w:eastAsia="Calibri"/>
          <w:szCs w:val="20"/>
        </w:rPr>
        <w:t>Čebelarstvo omogoča nova zelena delovna mesta in nove priložnosti, ki se nudijo čebelarskim družinam oziroma kmetijam, na primer razvoj čebelarskega turizma, razvoj izdelkov z dodano vrednostjo. Dopolnilne dejavnosti povezane s predelavo čebeljih proizvodov in čebelarskim turizmom so se pričele razvijati šele v zadnjih letih, kakor tudi uvedba prilagojenih čebelnjakov v čebelarstvo za vključitev invalidov na invalidskih vozičkih.</w:t>
      </w:r>
    </w:p>
    <w:p w14:paraId="4C7AC326" w14:textId="77777777" w:rsidR="00F679A2" w:rsidRPr="005B2A49" w:rsidRDefault="00F679A2" w:rsidP="005B2A49">
      <w:pPr>
        <w:spacing w:after="120" w:line="260" w:lineRule="atLeast"/>
        <w:rPr>
          <w:rFonts w:eastAsia="Calibri"/>
          <w:szCs w:val="20"/>
        </w:rPr>
      </w:pPr>
      <w:r w:rsidRPr="005B2A49">
        <w:rPr>
          <w:rFonts w:eastAsia="Calibri"/>
          <w:szCs w:val="20"/>
        </w:rPr>
        <w:t>Čebelarstvo je del bogate zgodovinske in kulturne dediščine Slovenije. Čebele imajo velik pomen za narodno zavest, kranjska čebela je eden od nacionalnih simbolov. Posebnost slovenskega čebelarjenja in edinstven element slovenske kulturne krajine so čebelnjaki z vanje zloženimi Albert-Žnidaršičevimi panji (AŽ-panji). Čebelnjaki se po pokrajinah sicer razlikujejo, vendar pa ima t. i. slovenski čebelnjak že nekaj stoletij svojo značilno obliko.</w:t>
      </w:r>
    </w:p>
    <w:p w14:paraId="1C9D547C" w14:textId="6234C967" w:rsidR="00F679A2" w:rsidRPr="005B2A49" w:rsidRDefault="00F679A2" w:rsidP="005B2A49">
      <w:pPr>
        <w:spacing w:after="120" w:line="260" w:lineRule="atLeast"/>
        <w:rPr>
          <w:rFonts w:eastAsia="Calibri"/>
          <w:szCs w:val="20"/>
        </w:rPr>
      </w:pPr>
      <w:r w:rsidRPr="005B2A49">
        <w:rPr>
          <w:rFonts w:eastAsia="Calibri"/>
          <w:szCs w:val="20"/>
        </w:rPr>
        <w:t xml:space="preserve">Skupna tržna ureditev v okviru SKP daje tudi čebelarjem možnost uveljavljanja različnih ukrepov. Vsaka država članica lahko pripravi nacionalni program na področju čebelarstva, ki ga v 50 odstotnem deležu sofinancira Evropska unija. V okviru </w:t>
      </w:r>
      <w:r w:rsidR="00C5697C">
        <w:rPr>
          <w:rFonts w:eastAsia="Calibri"/>
          <w:szCs w:val="20"/>
        </w:rPr>
        <w:t>Programa ukrepov na področju čebelarstva</w:t>
      </w:r>
      <w:r w:rsidRPr="005B2A49">
        <w:rPr>
          <w:rFonts w:eastAsia="Calibri"/>
          <w:szCs w:val="20"/>
        </w:rPr>
        <w:t xml:space="preserve">je čebelarjem preko </w:t>
      </w:r>
      <w:r w:rsidR="00C5697C">
        <w:rPr>
          <w:rFonts w:eastAsia="Calibri"/>
          <w:szCs w:val="20"/>
        </w:rPr>
        <w:t>različnih</w:t>
      </w:r>
      <w:r w:rsidRPr="005B2A49">
        <w:rPr>
          <w:rFonts w:eastAsia="Calibri"/>
          <w:szCs w:val="20"/>
        </w:rPr>
        <w:t xml:space="preserve"> posebnih ukrepov omogočeno posodabljanje čebelarske opreme, izobraževanje in usposabljanje na področju čebelarstva, brezplačne analize medu in ostalih čebeljih pridelkov, ohranjanje čebeljega fonda</w:t>
      </w:r>
      <w:r w:rsidR="00C5697C">
        <w:rPr>
          <w:rFonts w:eastAsia="Calibri"/>
          <w:szCs w:val="20"/>
        </w:rPr>
        <w:t>,</w:t>
      </w:r>
      <w:r w:rsidRPr="005B2A49">
        <w:rPr>
          <w:rFonts w:eastAsia="Calibri"/>
          <w:szCs w:val="20"/>
        </w:rPr>
        <w:t xml:space="preserve"> izvajanje aplikativnih raziskav</w:t>
      </w:r>
      <w:r w:rsidR="00C5697C">
        <w:rPr>
          <w:rFonts w:eastAsia="Calibri"/>
          <w:szCs w:val="20"/>
        </w:rPr>
        <w:t xml:space="preserve"> itd</w:t>
      </w:r>
      <w:r w:rsidRPr="005B2A49">
        <w:rPr>
          <w:rFonts w:eastAsia="Calibri"/>
          <w:szCs w:val="20"/>
        </w:rPr>
        <w:t xml:space="preserve">. V Sloveniji izvajamo že šesti triletni program ukrepov na področju čebelarstva, za kar </w:t>
      </w:r>
      <w:r w:rsidR="00C5697C">
        <w:rPr>
          <w:rFonts w:eastAsia="Calibri"/>
          <w:szCs w:val="20"/>
        </w:rPr>
        <w:t xml:space="preserve">smo do leta 2020, </w:t>
      </w:r>
      <w:r w:rsidRPr="005B2A49">
        <w:rPr>
          <w:rFonts w:eastAsia="Calibri"/>
          <w:szCs w:val="20"/>
        </w:rPr>
        <w:t>letno nameni</w:t>
      </w:r>
      <w:r w:rsidR="00C5697C">
        <w:rPr>
          <w:rFonts w:eastAsia="Calibri"/>
          <w:szCs w:val="20"/>
        </w:rPr>
        <w:t>li</w:t>
      </w:r>
      <w:r w:rsidRPr="005B2A49">
        <w:rPr>
          <w:rFonts w:eastAsia="Calibri"/>
          <w:szCs w:val="20"/>
        </w:rPr>
        <w:t xml:space="preserve"> okvirno 760.000 EUR. </w:t>
      </w:r>
      <w:r w:rsidR="00C5697C">
        <w:rPr>
          <w:rFonts w:eastAsia="Calibri"/>
          <w:szCs w:val="20"/>
        </w:rPr>
        <w:t xml:space="preserve">V programskih letih 2021, 2022 pa so se sredstva </w:t>
      </w:r>
      <w:r w:rsidR="00796A6C">
        <w:rPr>
          <w:rFonts w:eastAsia="Calibri"/>
          <w:szCs w:val="20"/>
        </w:rPr>
        <w:t>na letni ravni z</w:t>
      </w:r>
      <w:r w:rsidR="00C5697C">
        <w:rPr>
          <w:rFonts w:eastAsia="Calibri"/>
          <w:szCs w:val="20"/>
        </w:rPr>
        <w:t xml:space="preserve">višala na približno 1,3 milijona EUR. </w:t>
      </w:r>
      <w:r w:rsidRPr="005B2A49">
        <w:rPr>
          <w:rFonts w:eastAsia="Calibri"/>
          <w:szCs w:val="20"/>
        </w:rPr>
        <w:t xml:space="preserve">V okviru </w:t>
      </w:r>
      <w:r w:rsidR="00796A6C">
        <w:rPr>
          <w:rFonts w:eastAsia="Calibri"/>
          <w:szCs w:val="20"/>
        </w:rPr>
        <w:t>P</w:t>
      </w:r>
      <w:r w:rsidRPr="005B2A49">
        <w:rPr>
          <w:rFonts w:eastAsia="Calibri"/>
          <w:szCs w:val="20"/>
        </w:rPr>
        <w:t>rograma</w:t>
      </w:r>
      <w:r w:rsidR="00796A6C">
        <w:rPr>
          <w:rFonts w:eastAsia="Calibri"/>
          <w:szCs w:val="20"/>
        </w:rPr>
        <w:t xml:space="preserve"> ukrepov na področju čebelarstva</w:t>
      </w:r>
      <w:r w:rsidRPr="005B2A49">
        <w:rPr>
          <w:rFonts w:eastAsia="Calibri"/>
          <w:szCs w:val="20"/>
        </w:rPr>
        <w:t xml:space="preserve"> smo v programskem obdobju 2017</w:t>
      </w:r>
      <w:r w:rsidR="00796A6C">
        <w:rPr>
          <w:rFonts w:eastAsia="Calibri"/>
          <w:szCs w:val="20"/>
        </w:rPr>
        <w:t>-</w:t>
      </w:r>
      <w:r w:rsidRPr="005B2A49">
        <w:rPr>
          <w:rFonts w:eastAsia="Calibri"/>
          <w:szCs w:val="20"/>
        </w:rPr>
        <w:t xml:space="preserve">2019 izvajali ukrepe Tehnična pomoč čebelarjem in organizacijam čebelarjev, Zatiranje škodljivcev in bolezni čebel, zlasti varoze, Podpora laboratorijem za analizo čebelarskih pridelkov, Racionalizacija sezonske selitve panjev, Podpora pri obnovi čebeljega fonda ter aplikativne raziskave na področju čebelarstva. </w:t>
      </w:r>
      <w:r w:rsidR="00796A6C">
        <w:rPr>
          <w:rFonts w:eastAsia="Calibri"/>
          <w:szCs w:val="20"/>
        </w:rPr>
        <w:t>V programskem obdobju 2020-2022 se poleg omenjenih ukrepov izvajajo tudi številni drugi ukrepi s katerimi izboljšujemo splošne pogoje za proizvodnjo in trženje čebelarskih proizvodov</w:t>
      </w:r>
      <w:r w:rsidRPr="005B2A49">
        <w:rPr>
          <w:rFonts w:eastAsia="Calibri"/>
          <w:szCs w:val="20"/>
        </w:rPr>
        <w:t>.</w:t>
      </w:r>
    </w:p>
    <w:p w14:paraId="5ABEDE0E"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okviru Programa razvoja podeželja 2014-2020 se izvajajo različni ukrepi za spodbujanje čebelarstva in ohranjanje števila opraševalcev. V okviru ukrepa M04.2 Podpora za naložbe v predelavo/trženje in/ali razvoj kmetijskih proizvodov se čebelarjem omogoča posodobitev čebelarske opreme. V okviru KOPOP se izvajajo ukrepi, ki so namenjeni varovanju travnikov. Opraševalci se podpirajo tudi preko Neprezimnih medonosnih posevkov v okviru operacij Poljedelstvo in zelenjadarstvo ter Vodni viri, preko katerih se spodbuja setev medonosnih rastlin in podaljšuje pašna sezona za čebele v pozno jesen. </w:t>
      </w:r>
      <w:r w:rsidRPr="005B2A49">
        <w:rPr>
          <w:rFonts w:eastAsia="Calibri"/>
          <w:szCs w:val="20"/>
        </w:rPr>
        <w:lastRenderedPageBreak/>
        <w:t>K ohranjanju opraševalcev posredno prispevajo tudi druge operacije in zahteve ukrepa KOPOP, ki omejujejo ali prepovedujejo uporabo gnojil in fitofarmacevtskih sredstev. Tudi v večini LAS projektov se izvajajo teme iz področja čebel in opraševalcev (čebelarske učne poti, učne delavnice za otroke, priprava zloženk, vrtovi medonosnih rastlin,…). Z ukrepom Ekološko kmetovanje MKGP podpira ekološko čebelarjenje s podporami na čebeljo družino. Ta ukrep posredno prispeva k ohranjanju opraševalcev, ker omejuje ali prepoveduje uporabo gnojil in fitofarmacevtskih sredstev.</w:t>
      </w:r>
    </w:p>
    <w:p w14:paraId="6759A416" w14:textId="344EB187" w:rsidR="00F679A2" w:rsidRPr="005B2A49" w:rsidRDefault="00F679A2" w:rsidP="005B2A49">
      <w:pPr>
        <w:spacing w:after="120" w:line="260" w:lineRule="atLeast"/>
        <w:rPr>
          <w:rFonts w:eastAsia="Calibri"/>
          <w:szCs w:val="20"/>
        </w:rPr>
      </w:pPr>
      <w:r w:rsidRPr="005B2A49">
        <w:rPr>
          <w:rFonts w:eastAsia="Calibri"/>
          <w:szCs w:val="20"/>
        </w:rPr>
        <w:t xml:space="preserve">V Sloveniji tudi na področju čebelarstva deluje javna služba strokovnih nalog v živinoreji. Namen izvajanja te javne službe je izboljševanje proizvodnih in neproizvodnih lastnosti kranjske čebele, izboljševanje oziroma ohranjanje njenega genetskega napredka, zagotavljanje plemenskega materiala, povečevanje števila plemenskih živali, ki so vpisane v rodovniške knjige. Strokovno delo v čebelarstvu izvajajo </w:t>
      </w:r>
      <w:r w:rsidR="005C13DE">
        <w:rPr>
          <w:rFonts w:eastAsia="Calibri"/>
          <w:szCs w:val="20"/>
        </w:rPr>
        <w:t>zaposleni</w:t>
      </w:r>
      <w:r w:rsidRPr="005B2A49">
        <w:rPr>
          <w:rFonts w:eastAsia="Calibri"/>
          <w:szCs w:val="20"/>
        </w:rPr>
        <w:t xml:space="preserve"> </w:t>
      </w:r>
      <w:r w:rsidR="005C13DE">
        <w:rPr>
          <w:rFonts w:eastAsia="Calibri"/>
          <w:szCs w:val="20"/>
        </w:rPr>
        <w:t xml:space="preserve">iz </w:t>
      </w:r>
      <w:r w:rsidRPr="005B2A49">
        <w:rPr>
          <w:rFonts w:eastAsia="Calibri"/>
          <w:szCs w:val="20"/>
        </w:rPr>
        <w:t>Čebelarske zveze Slovenije in Kmetijskega inštituta Slovenije.</w:t>
      </w:r>
    </w:p>
    <w:p w14:paraId="74F8DA7F" w14:textId="77777777" w:rsidR="00F679A2" w:rsidRPr="005B2A49" w:rsidRDefault="00F679A2" w:rsidP="005B2A49">
      <w:pPr>
        <w:spacing w:after="120" w:line="260" w:lineRule="atLeast"/>
        <w:rPr>
          <w:rFonts w:eastAsia="Calibri"/>
          <w:szCs w:val="20"/>
        </w:rPr>
      </w:pPr>
      <w:r w:rsidRPr="005B2A49">
        <w:rPr>
          <w:rFonts w:eastAsia="Calibri"/>
          <w:szCs w:val="20"/>
        </w:rPr>
        <w:t>Čebelarjem je svetovanje zagotovljeno preko javne svetovalne službe v čebelarstvu, ki jo na podlagi večletne koncesije izvaja ČZS in financira proračun RS. Služba pokriva območje celotne Slovenije, čebelarjem je na voljo brezplačen specialistični nasvet oziroma nasvet terenskih svetovalcev glede tehnologije čebelarjenja. Za povečevanje števila mlajših čebelarjev delujejo na osnovnih in srednjih šolah čebelarski krožki, ki jih vodijo čebelarji in učitelji. Za čebelarje je organiziranih mnogo usposabljanj, ki se nanašajo na posamezne teme iz tehnologije in ekonomike čebelarjenja ter varne hrane. Služba skrbi za ozaveščanje in obveščanje splošne javnosti in potrošnikov o pomenu in vlogi čebelarstva in čebel, zato vsako leto izdaja izobraževalna in promocijska gradiva, organizira različne medene dneve in izobraževalne akcije, objavlja članke, sodeluje v radijskih in televizijskih oddajah ter opravlja še druge dejavnosti.</w:t>
      </w:r>
    </w:p>
    <w:p w14:paraId="09E339AB" w14:textId="77777777" w:rsidR="00F679A2" w:rsidRPr="005B2A49" w:rsidRDefault="00F679A2" w:rsidP="005B2A49">
      <w:pPr>
        <w:spacing w:after="120" w:line="260" w:lineRule="atLeast"/>
        <w:rPr>
          <w:rFonts w:eastAsia="Calibri"/>
          <w:szCs w:val="20"/>
        </w:rPr>
      </w:pPr>
      <w:r w:rsidRPr="005B2A49">
        <w:rPr>
          <w:rFonts w:eastAsia="Calibri"/>
          <w:szCs w:val="20"/>
        </w:rPr>
        <w:t>Javna specialistična veterinarska služba za zdravstveno varstvo čebel deluje v Sloveniji že več kot 30 let, od leta 2002 je organizirana na Nacionalnem veterinarskem inštitutu Veterinarske fakultete Univerze v Ljubljani. V strokovno in raziskovalno delo se stalno vključujejo tudi raziskovalci in učitelji drugih raziskovalnih in izobraževalnih ustanov v Sloveniji. Ta služba, deluje tudi na področju izobraževanja čebelarjev.</w:t>
      </w:r>
    </w:p>
    <w:p w14:paraId="6D280E97"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 področje prenosa znanja v prakso v domačem in mednarodnem okolju, je bila ustanovljena Slovenska čebelarska akademija, ki deluje kot notranja organizacijska enota Kmetijskega inštituta Slovenije. Akademija deluje na trgu in predvsem tujim interesentom ponuja izobraževalne storitve v panogi. </w:t>
      </w:r>
    </w:p>
    <w:p w14:paraId="34C49CE9" w14:textId="77777777" w:rsidR="00F679A2" w:rsidRPr="005B2A49" w:rsidRDefault="00F679A2" w:rsidP="005B2A49">
      <w:pPr>
        <w:spacing w:after="120" w:line="260" w:lineRule="atLeast"/>
        <w:rPr>
          <w:rFonts w:eastAsia="Calibri"/>
          <w:szCs w:val="20"/>
        </w:rPr>
      </w:pPr>
      <w:r w:rsidRPr="005B2A49">
        <w:rPr>
          <w:rFonts w:eastAsia="Calibri"/>
          <w:szCs w:val="20"/>
        </w:rPr>
        <w:t>V letih od 2010 do 2018 je bilo izbranih deset CRP projektov iz področja čebelarstva za izboljšanje tehnologije čebelarjenja in kakovosti čebeljih pridelkov. Da bi se poleg čebel lahko tudi učinkovito spoprijeli z izboljšanjem in ohranitvijo habitatov divjih opraševalcev, je MKGP skupaj z MOP financiralo CRP projekte za proučevanje stanja divjih opraševalcev v Sloveniji, izboljšanje tehnologije čebelarjenja in proučevanje vpliva podnebnih sprememb na opraševalce. V okviru projektov ERA NET SusAn je leta 2016 potekal projekt BPRACTICES izboljšanje zdravstvenega stanja čebel v obdobju malega panjskega hrošča (Aethina tumida) v Evropi), v okviru Aplikativnih projektov ARRS je potekal projekt za vzpostavitev čebeljih celičnih linij in standardiziranih in vitro testov za oceno škodljivih učinkov strupov in okužb na čebele.</w:t>
      </w:r>
    </w:p>
    <w:p w14:paraId="75C45967"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okviru prvega javnega razpisa ukrepa Sodelovanje v okviru PRP 2014-2020, so bili odobreni trije projekti s področja čebelarstva, in sicer projekt EIP z naslovom Sadjarji </w:t>
      </w:r>
      <w:r w:rsidRPr="005B2A49">
        <w:rPr>
          <w:rFonts w:eastAsia="Calibri"/>
          <w:szCs w:val="20"/>
        </w:rPr>
        <w:lastRenderedPageBreak/>
        <w:t>za opraševalce in opraševalci za sadjarje, v okviru ukrepa Diverzifikacije kmetijskih dejavnosti pa projekta z naslovom Diverzifikacija dejavnosti pri čebelarstvu Lovrić in Diverzifikacija dejavnosti pri čebelarstvu Gramc.</w:t>
      </w:r>
    </w:p>
    <w:p w14:paraId="08A6BE8E" w14:textId="77777777" w:rsidR="00F679A2" w:rsidRPr="005B2A49" w:rsidRDefault="00F679A2" w:rsidP="005B2A49">
      <w:pPr>
        <w:spacing w:after="120" w:line="260" w:lineRule="atLeast"/>
        <w:rPr>
          <w:rFonts w:eastAsia="Calibri"/>
          <w:szCs w:val="20"/>
        </w:rPr>
      </w:pPr>
      <w:r w:rsidRPr="005B2A49">
        <w:rPr>
          <w:rFonts w:eastAsia="Calibri"/>
          <w:szCs w:val="20"/>
        </w:rPr>
        <w:t>Na področju izmenjave znanja in inovacij so bile na področju čebelarstva zaznane naslednje potrebe:</w:t>
      </w:r>
    </w:p>
    <w:p w14:paraId="7FE9040E" w14:textId="5E8637B9" w:rsidR="00F679A2" w:rsidRDefault="00F679A2" w:rsidP="005B2A49">
      <w:pPr>
        <w:spacing w:after="120" w:line="260" w:lineRule="atLeast"/>
        <w:rPr>
          <w:rFonts w:eastAsia="Calibri"/>
          <w:szCs w:val="20"/>
        </w:rPr>
      </w:pPr>
      <w:r w:rsidRPr="005B2A49">
        <w:rPr>
          <w:rFonts w:eastAsia="Calibri"/>
          <w:szCs w:val="20"/>
        </w:rPr>
        <w:t>okrepitev raziskav na področju novejših tehnologij in omogočanje pretoka znanja do končnega uporabnika, okrepitev izobraževanja za čebelarje na področju specialnega znanja, povečanje raziskav na področju tehnologije pridelave in predelave medu, izboljšanje pretoka strokovno - znanstvenega znanja do končnega uporabnika, uvedba predmeta čebelarstvo v izobraževalni program kmetijskih šol, okrepitev izobraževanja o zdravstvenem varstvu čebel, krepitev prenosa znanja med vsemi deležniki v pridelovalni verigi.</w:t>
      </w:r>
    </w:p>
    <w:p w14:paraId="5E149829" w14:textId="77777777" w:rsidR="00C25531" w:rsidRPr="005B2A49" w:rsidRDefault="00C25531" w:rsidP="005B2A49">
      <w:pPr>
        <w:spacing w:after="120" w:line="260" w:lineRule="atLeast"/>
        <w:rPr>
          <w:rFonts w:eastAsia="Calibri"/>
          <w:szCs w:val="20"/>
        </w:rPr>
      </w:pPr>
    </w:p>
    <w:p w14:paraId="294D8F50" w14:textId="77777777" w:rsidR="00F679A2" w:rsidRDefault="00F679A2" w:rsidP="00F679A2">
      <w:pPr>
        <w:pStyle w:val="Naslov3"/>
      </w:pPr>
      <w:bookmarkStart w:id="3121" w:name="_Toc86822580"/>
      <w:r w:rsidRPr="00271FF1">
        <w:t>Ključne ugotovitve</w:t>
      </w:r>
      <w:bookmarkEnd w:id="3121"/>
    </w:p>
    <w:p w14:paraId="02B108C5" w14:textId="77777777" w:rsidR="00F679A2" w:rsidRPr="007A1880" w:rsidRDefault="00F679A2" w:rsidP="005B2A49">
      <w:pPr>
        <w:numPr>
          <w:ilvl w:val="0"/>
          <w:numId w:val="186"/>
        </w:numPr>
        <w:spacing w:after="120" w:line="260" w:lineRule="atLeast"/>
        <w:ind w:left="357" w:hanging="357"/>
      </w:pPr>
      <w:r w:rsidRPr="00ED3A15">
        <w:rPr>
          <w:rFonts w:eastAsia="Arial"/>
        </w:rPr>
        <w:t xml:space="preserve">V zadnjih desetih letih v Sloveniji narašča število čebelarjev in število čebeljih družin. </w:t>
      </w:r>
      <w:r>
        <w:rPr>
          <w:rFonts w:eastAsia="Arial"/>
        </w:rPr>
        <w:t>Zaradi pre</w:t>
      </w:r>
      <w:r w:rsidRPr="00ED3A15">
        <w:rPr>
          <w:rFonts w:eastAsia="Arial"/>
        </w:rPr>
        <w:t>velike gostote čebeljih družin</w:t>
      </w:r>
      <w:r>
        <w:rPr>
          <w:rFonts w:eastAsia="Arial"/>
        </w:rPr>
        <w:t xml:space="preserve"> na določenih območjih </w:t>
      </w:r>
      <w:r w:rsidRPr="00ED3A15">
        <w:rPr>
          <w:rFonts w:eastAsia="Arial"/>
        </w:rPr>
        <w:t>je</w:t>
      </w:r>
      <w:r>
        <w:rPr>
          <w:rFonts w:eastAsia="Arial"/>
        </w:rPr>
        <w:t xml:space="preserve"> </w:t>
      </w:r>
      <w:r w:rsidRPr="00ED3A15">
        <w:rPr>
          <w:rFonts w:eastAsia="Arial"/>
        </w:rPr>
        <w:t xml:space="preserve">potrebno </w:t>
      </w:r>
      <w:r>
        <w:rPr>
          <w:rFonts w:eastAsia="Arial"/>
        </w:rPr>
        <w:t xml:space="preserve">predvsem </w:t>
      </w:r>
      <w:r w:rsidRPr="00ED3A15">
        <w:rPr>
          <w:rFonts w:eastAsia="Arial"/>
        </w:rPr>
        <w:t>omogočiti kar največje izkoriščanje čebeljih paš</w:t>
      </w:r>
      <w:r>
        <w:rPr>
          <w:rFonts w:eastAsia="Arial"/>
        </w:rPr>
        <w:t xml:space="preserve"> in</w:t>
      </w:r>
      <w:r w:rsidRPr="00ED3A15">
        <w:rPr>
          <w:rFonts w:eastAsia="Arial"/>
        </w:rPr>
        <w:t xml:space="preserve"> zmanjšati izgube čebeljih družin zaradi bolezni</w:t>
      </w:r>
      <w:r>
        <w:rPr>
          <w:rFonts w:eastAsia="Arial"/>
        </w:rPr>
        <w:t>.</w:t>
      </w:r>
    </w:p>
    <w:p w14:paraId="5CAA174D" w14:textId="77777777" w:rsidR="00F679A2" w:rsidRPr="00DF3BFA" w:rsidRDefault="00F679A2" w:rsidP="005B2A49">
      <w:pPr>
        <w:numPr>
          <w:ilvl w:val="0"/>
          <w:numId w:val="186"/>
        </w:numPr>
        <w:spacing w:after="120" w:line="260" w:lineRule="atLeast"/>
        <w:ind w:left="357" w:hanging="357"/>
        <w:rPr>
          <w:szCs w:val="20"/>
        </w:rPr>
      </w:pPr>
      <w:r w:rsidRPr="007A1880">
        <w:t>Le manjšemu številu čebelarjev je čebelarstvo glavna panoga, večinoma se s čebelarjenjem ukvarjajo osebe v prostem času.</w:t>
      </w:r>
      <w:r w:rsidRPr="007A1880">
        <w:rPr>
          <w:szCs w:val="20"/>
        </w:rPr>
        <w:t xml:space="preserve"> </w:t>
      </w:r>
      <w:r>
        <w:t>E</w:t>
      </w:r>
      <w:r w:rsidRPr="007A1880">
        <w:t xml:space="preserve">konomska uspešnost in dohodkovna učinkovitost čebelarjenja še ni zadovoljiva. </w:t>
      </w:r>
      <w:r w:rsidRPr="00DF3BFA">
        <w:rPr>
          <w:szCs w:val="20"/>
        </w:rPr>
        <w:t>Za povečanje donosa medu je potrebno okrepiti naložbe v sodobnejše tehnologije in spodbujati povezovanje čebelarjev.</w:t>
      </w:r>
    </w:p>
    <w:p w14:paraId="044CC57D" w14:textId="77777777" w:rsidR="00F679A2" w:rsidRPr="007A1880" w:rsidRDefault="00F679A2" w:rsidP="005B2A49">
      <w:pPr>
        <w:numPr>
          <w:ilvl w:val="0"/>
          <w:numId w:val="186"/>
        </w:numPr>
        <w:spacing w:after="120" w:line="260" w:lineRule="atLeast"/>
        <w:ind w:left="357" w:hanging="357"/>
      </w:pPr>
      <w:r w:rsidRPr="00ED3A15">
        <w:rPr>
          <w:rFonts w:eastAsia="Arial"/>
        </w:rPr>
        <w:t>Za zmanjšanje dohodkovnega in proizvodnega tveganja bi bilo potrebno uvesti sofinanciranje zavarovanja oziroma vzpostaviti posebni sklad za tveganja.</w:t>
      </w:r>
    </w:p>
    <w:p w14:paraId="1040EEBB" w14:textId="77777777" w:rsidR="00F679A2" w:rsidRPr="0025226F" w:rsidRDefault="00F679A2" w:rsidP="005B2A49">
      <w:pPr>
        <w:numPr>
          <w:ilvl w:val="0"/>
          <w:numId w:val="186"/>
        </w:numPr>
        <w:spacing w:after="120" w:line="260" w:lineRule="atLeast"/>
        <w:ind w:left="357" w:hanging="357"/>
      </w:pPr>
      <w:r w:rsidRPr="00ED3A15">
        <w:rPr>
          <w:rFonts w:eastAsia="Arial"/>
        </w:rPr>
        <w:t xml:space="preserve">V zadnjih letih se je položaj čebelarstva izboljšal, vključno z večjim zanimanjem mladih za čebelarjenje in dobro ozaveščenostjo javnosti o pomenu čebel in vlogi čebelarstva. </w:t>
      </w:r>
    </w:p>
    <w:p w14:paraId="261336C1" w14:textId="77777777" w:rsidR="00F679A2" w:rsidRPr="00DF67C0" w:rsidRDefault="00F679A2" w:rsidP="005B2A49">
      <w:pPr>
        <w:numPr>
          <w:ilvl w:val="0"/>
          <w:numId w:val="186"/>
        </w:numPr>
        <w:spacing w:after="120" w:line="260" w:lineRule="atLeast"/>
        <w:ind w:left="357" w:hanging="357"/>
        <w:rPr>
          <w:i/>
          <w:szCs w:val="20"/>
        </w:rPr>
      </w:pPr>
      <w:r w:rsidRPr="00ED3A15">
        <w:rPr>
          <w:rFonts w:eastAsia="Arial"/>
        </w:rPr>
        <w:t>Čebelarstvo omogoča nova zelena delovna mesta in nove priložnosti za sektor, kot je na primer razvoj čebelarskega turizma ter razvoj čebelarskih izdelkov z dodano vrednostjo, zato je potrebno še naprej spodbujati investicije in povezovanje, predvsem pa nadaljevati s promocijskimi aktivnostmi.</w:t>
      </w:r>
    </w:p>
    <w:p w14:paraId="4A285424" w14:textId="77777777" w:rsidR="00F679A2" w:rsidRPr="00C4167C" w:rsidRDefault="00F679A2" w:rsidP="00F679A2"/>
    <w:p w14:paraId="0830D49B" w14:textId="77777777" w:rsidR="00F679A2" w:rsidRPr="00271FF1" w:rsidRDefault="00701492" w:rsidP="00F679A2">
      <w:pPr>
        <w:pStyle w:val="Naslov2"/>
      </w:pPr>
      <w:hyperlink r:id="rId89" w:history="1">
        <w:bookmarkStart w:id="3122" w:name="_Toc86822581"/>
        <w:r w:rsidR="00F679A2" w:rsidRPr="00271FF1">
          <w:t>Konjereja</w:t>
        </w:r>
        <w:bookmarkEnd w:id="3122"/>
      </w:hyperlink>
    </w:p>
    <w:p w14:paraId="2EF4A429" w14:textId="77777777" w:rsidR="00A27141" w:rsidRDefault="00A27141" w:rsidP="005B2A49">
      <w:pPr>
        <w:spacing w:after="120" w:line="260" w:lineRule="atLeast"/>
        <w:rPr>
          <w:rFonts w:eastAsia="Calibri"/>
          <w:szCs w:val="20"/>
        </w:rPr>
      </w:pPr>
    </w:p>
    <w:p w14:paraId="3B1CA8EF" w14:textId="77777777" w:rsidR="00A27141" w:rsidRDefault="00A27141" w:rsidP="00A27141">
      <w:pPr>
        <w:pStyle w:val="Naslov3"/>
        <w:rPr>
          <w:rFonts w:eastAsia="Calibri"/>
        </w:rPr>
      </w:pPr>
      <w:bookmarkStart w:id="3123" w:name="_Toc86822582"/>
      <w:r w:rsidRPr="00271FF1">
        <w:rPr>
          <w:rFonts w:eastAsia="Calibri"/>
        </w:rPr>
        <w:t>Stanje in osnovni ekonomski kazalniki</w:t>
      </w:r>
      <w:bookmarkEnd w:id="3123"/>
    </w:p>
    <w:p w14:paraId="2C18FC52" w14:textId="30DC6FFC" w:rsidR="006B6A1F" w:rsidRDefault="00B737D7" w:rsidP="005B2A49">
      <w:pPr>
        <w:spacing w:after="120" w:line="260" w:lineRule="atLeast"/>
        <w:rPr>
          <w:szCs w:val="20"/>
        </w:rPr>
      </w:pPr>
      <w:r w:rsidRPr="00C73213">
        <w:rPr>
          <w:szCs w:val="20"/>
        </w:rPr>
        <w:t xml:space="preserve">Po statističnih podatkih se število konj v Sloveniji od leta 2005 do 2016 ni bistveno spremenilo in znaša nekoliko manj kot 19.500 konj. </w:t>
      </w:r>
      <w:r w:rsidR="006B6A1F" w:rsidRPr="00C73213">
        <w:rPr>
          <w:szCs w:val="20"/>
        </w:rPr>
        <w:t xml:space="preserve">Vrednost konjereje kot delež </w:t>
      </w:r>
      <w:r w:rsidR="006B6A1F">
        <w:rPr>
          <w:szCs w:val="20"/>
        </w:rPr>
        <w:t xml:space="preserve">od </w:t>
      </w:r>
      <w:r w:rsidR="006B6A1F" w:rsidRPr="00C73213">
        <w:rPr>
          <w:szCs w:val="20"/>
        </w:rPr>
        <w:t xml:space="preserve">celotne kmetijske </w:t>
      </w:r>
      <w:r w:rsidR="006B6A1F" w:rsidRPr="00E0237D">
        <w:rPr>
          <w:szCs w:val="20"/>
        </w:rPr>
        <w:t>proizvodnje v Sloveniji v povprečju zadnjega desetletja znaša</w:t>
      </w:r>
      <w:r w:rsidR="006B6A1F">
        <w:rPr>
          <w:szCs w:val="20"/>
        </w:rPr>
        <w:t xml:space="preserve"> le</w:t>
      </w:r>
      <w:r w:rsidR="006B6A1F" w:rsidRPr="00E0237D">
        <w:rPr>
          <w:szCs w:val="20"/>
        </w:rPr>
        <w:t xml:space="preserve"> </w:t>
      </w:r>
      <w:r w:rsidR="006B6A1F" w:rsidRPr="00180FEF">
        <w:rPr>
          <w:szCs w:val="20"/>
        </w:rPr>
        <w:t>okoli 0,3</w:t>
      </w:r>
      <w:r w:rsidR="009E7E6E">
        <w:rPr>
          <w:szCs w:val="20"/>
        </w:rPr>
        <w:t> </w:t>
      </w:r>
      <w:r w:rsidR="006B6A1F" w:rsidRPr="00180FEF">
        <w:rPr>
          <w:szCs w:val="20"/>
        </w:rPr>
        <w:t>%</w:t>
      </w:r>
      <w:r w:rsidR="006B6A1F">
        <w:rPr>
          <w:szCs w:val="20"/>
        </w:rPr>
        <w:t>. K vrednosti živinoreje konjereja prispeva</w:t>
      </w:r>
      <w:r w:rsidR="006B6A1F" w:rsidRPr="00793735">
        <w:rPr>
          <w:szCs w:val="20"/>
        </w:rPr>
        <w:t xml:space="preserve"> okoli</w:t>
      </w:r>
      <w:r w:rsidR="006B6A1F" w:rsidRPr="00180FEF">
        <w:rPr>
          <w:szCs w:val="20"/>
        </w:rPr>
        <w:t xml:space="preserve"> 0,6</w:t>
      </w:r>
      <w:r w:rsidR="006B6A1F">
        <w:rPr>
          <w:szCs w:val="20"/>
        </w:rPr>
        <w:t> </w:t>
      </w:r>
      <w:r w:rsidR="006B6A1F" w:rsidRPr="00180FEF">
        <w:rPr>
          <w:szCs w:val="20"/>
        </w:rPr>
        <w:t>%</w:t>
      </w:r>
      <w:r w:rsidR="00F679A2" w:rsidRPr="005B2A49">
        <w:rPr>
          <w:rFonts w:eastAsia="Calibri"/>
          <w:szCs w:val="20"/>
        </w:rPr>
        <w:t xml:space="preserve">. </w:t>
      </w:r>
      <w:r w:rsidR="006B6A1F" w:rsidRPr="00E0237D">
        <w:rPr>
          <w:rFonts w:eastAsia="TimesNewRoman"/>
          <w:szCs w:val="20"/>
        </w:rPr>
        <w:t>Število</w:t>
      </w:r>
      <w:r w:rsidR="006B6A1F" w:rsidRPr="00C73213">
        <w:rPr>
          <w:rFonts w:eastAsia="TimesNewRoman"/>
          <w:szCs w:val="20"/>
        </w:rPr>
        <w:t xml:space="preserve"> kmetijskih gospodarstev, ki se ukvarjajo z rejo konj, se je v letih 2000 - 2016 povečalo iz dobrih 4.600 na nekaj manj kot 5.800 kmetijskih gospodarstev. V povprečju so kmetijska gospodarstva v letu 2000 redila 3,1 konja, v letu 2016 pa 3,4 konja. V letu 2016 je 62,6 % kmetijskih </w:t>
      </w:r>
      <w:r w:rsidR="006B6A1F" w:rsidRPr="00C73213">
        <w:rPr>
          <w:rFonts w:eastAsia="TimesNewRoman"/>
          <w:szCs w:val="20"/>
        </w:rPr>
        <w:lastRenderedPageBreak/>
        <w:t>gospodarstev redilo do dva</w:t>
      </w:r>
      <w:r w:rsidR="006B6A1F" w:rsidRPr="00C73213">
        <w:rPr>
          <w:szCs w:val="20"/>
        </w:rPr>
        <w:t xml:space="preserve"> konja. 94,3 % kmetijskih gospodarstev redi 68,4 % konj v velikostnih razredih do 9 konj.</w:t>
      </w:r>
    </w:p>
    <w:p w14:paraId="1F1EC2FA" w14:textId="0B9D80F3" w:rsidR="00726070" w:rsidRDefault="00726070" w:rsidP="005B2A49">
      <w:pPr>
        <w:pStyle w:val="SCPreglednica"/>
      </w:pPr>
      <w:bookmarkStart w:id="3124" w:name="_Toc86822652"/>
      <w:r>
        <w:t xml:space="preserve">Tabela </w:t>
      </w:r>
      <w:r>
        <w:rPr>
          <w:noProof/>
        </w:rPr>
        <w:fldChar w:fldCharType="begin"/>
      </w:r>
      <w:r>
        <w:rPr>
          <w:noProof/>
        </w:rPr>
        <w:instrText xml:space="preserve"> SEQ Tabela \* ARABIC </w:instrText>
      </w:r>
      <w:r>
        <w:rPr>
          <w:noProof/>
        </w:rPr>
        <w:fldChar w:fldCharType="separate"/>
      </w:r>
      <w:r w:rsidR="0088117A">
        <w:rPr>
          <w:noProof/>
        </w:rPr>
        <w:t>14</w:t>
      </w:r>
      <w:r>
        <w:rPr>
          <w:noProof/>
        </w:rPr>
        <w:fldChar w:fldCharType="end"/>
      </w:r>
      <w:r>
        <w:t xml:space="preserve">: </w:t>
      </w:r>
      <w:r w:rsidRPr="00726070">
        <w:t>Število konj in število kmetijskih gospodarstev v letih 2000-2016</w:t>
      </w:r>
      <w:bookmarkEnd w:id="3124"/>
    </w:p>
    <w:tbl>
      <w:tblPr>
        <w:tblW w:w="9633" w:type="dxa"/>
        <w:tblInd w:w="-10" w:type="dxa"/>
        <w:tblLayout w:type="fixed"/>
        <w:tblCellMar>
          <w:left w:w="70" w:type="dxa"/>
          <w:right w:w="70" w:type="dxa"/>
        </w:tblCellMar>
        <w:tblLook w:val="04A0" w:firstRow="1" w:lastRow="0" w:firstColumn="1" w:lastColumn="0" w:noHBand="0" w:noVBand="1"/>
        <w:tblDescription w:val="Kmetijska gospodarstva po: VELIKOSTNI RAZREDI GLEDE NA ŠTEVILO KONJ, MERITVE ,  LETO"/>
      </w:tblPr>
      <w:tblGrid>
        <w:gridCol w:w="899"/>
        <w:gridCol w:w="575"/>
        <w:gridCol w:w="596"/>
        <w:gridCol w:w="624"/>
        <w:gridCol w:w="678"/>
        <w:gridCol w:w="597"/>
        <w:gridCol w:w="709"/>
        <w:gridCol w:w="612"/>
        <w:gridCol w:w="799"/>
        <w:gridCol w:w="567"/>
        <w:gridCol w:w="567"/>
        <w:gridCol w:w="504"/>
        <w:gridCol w:w="630"/>
        <w:gridCol w:w="567"/>
        <w:gridCol w:w="709"/>
      </w:tblGrid>
      <w:tr w:rsidR="006B6A1F" w:rsidRPr="00910707" w14:paraId="306D692F" w14:textId="77777777" w:rsidTr="006B6A1F">
        <w:trPr>
          <w:trHeight w:val="567"/>
        </w:trPr>
        <w:tc>
          <w:tcPr>
            <w:tcW w:w="899" w:type="dxa"/>
            <w:tcBorders>
              <w:top w:val="single" w:sz="8" w:space="0" w:color="A9A9A9"/>
              <w:left w:val="single" w:sz="8" w:space="0" w:color="A9A9A9"/>
              <w:bottom w:val="nil"/>
              <w:right w:val="single" w:sz="8" w:space="0" w:color="A9A9A9"/>
            </w:tcBorders>
            <w:shd w:val="clear" w:color="auto" w:fill="auto"/>
            <w:vAlign w:val="center"/>
            <w:hideMark/>
          </w:tcPr>
          <w:p w14:paraId="1548A4F6" w14:textId="77777777" w:rsidR="006B6A1F" w:rsidRPr="00396A4C" w:rsidRDefault="006B6A1F" w:rsidP="006B6A1F">
            <w:pPr>
              <w:spacing w:line="240" w:lineRule="auto"/>
              <w:ind w:right="-3"/>
              <w:jc w:val="center"/>
              <w:rPr>
                <w:bCs/>
                <w:color w:val="000000"/>
                <w:sz w:val="14"/>
                <w:szCs w:val="14"/>
                <w:lang w:eastAsia="sl-SI"/>
              </w:rPr>
            </w:pPr>
          </w:p>
        </w:tc>
        <w:tc>
          <w:tcPr>
            <w:tcW w:w="4391" w:type="dxa"/>
            <w:gridSpan w:val="7"/>
            <w:tcBorders>
              <w:top w:val="single" w:sz="8" w:space="0" w:color="949494"/>
              <w:left w:val="nil"/>
              <w:bottom w:val="single" w:sz="8" w:space="0" w:color="949494"/>
              <w:right w:val="single" w:sz="8" w:space="0" w:color="949494"/>
            </w:tcBorders>
            <w:shd w:val="clear" w:color="auto" w:fill="auto"/>
            <w:vAlign w:val="center"/>
            <w:hideMark/>
          </w:tcPr>
          <w:p w14:paraId="1EED1D81" w14:textId="77777777" w:rsidR="006B6A1F" w:rsidRPr="00396A4C" w:rsidRDefault="006B6A1F" w:rsidP="006B6A1F">
            <w:pPr>
              <w:spacing w:line="240" w:lineRule="auto"/>
              <w:jc w:val="center"/>
              <w:rPr>
                <w:bCs/>
                <w:color w:val="000000"/>
                <w:sz w:val="14"/>
                <w:szCs w:val="14"/>
                <w:lang w:eastAsia="sl-SI"/>
              </w:rPr>
            </w:pPr>
            <w:r w:rsidRPr="00396A4C">
              <w:rPr>
                <w:bCs/>
                <w:color w:val="000000"/>
                <w:sz w:val="14"/>
                <w:szCs w:val="14"/>
                <w:lang w:eastAsia="sl-SI"/>
              </w:rPr>
              <w:t>Število konj </w:t>
            </w:r>
          </w:p>
        </w:tc>
        <w:tc>
          <w:tcPr>
            <w:tcW w:w="4343" w:type="dxa"/>
            <w:gridSpan w:val="7"/>
            <w:tcBorders>
              <w:top w:val="single" w:sz="8" w:space="0" w:color="949494"/>
              <w:left w:val="nil"/>
              <w:bottom w:val="single" w:sz="8" w:space="0" w:color="949494"/>
              <w:right w:val="single" w:sz="8" w:space="0" w:color="949494"/>
            </w:tcBorders>
            <w:shd w:val="clear" w:color="auto" w:fill="auto"/>
            <w:vAlign w:val="center"/>
            <w:hideMark/>
          </w:tcPr>
          <w:p w14:paraId="099190D1" w14:textId="77777777" w:rsidR="006B6A1F" w:rsidRPr="00396A4C" w:rsidRDefault="006B6A1F" w:rsidP="006B6A1F">
            <w:pPr>
              <w:spacing w:line="240" w:lineRule="auto"/>
              <w:ind w:right="126"/>
              <w:jc w:val="center"/>
              <w:rPr>
                <w:bCs/>
                <w:color w:val="000000"/>
                <w:sz w:val="14"/>
                <w:szCs w:val="14"/>
                <w:lang w:eastAsia="sl-SI"/>
              </w:rPr>
            </w:pPr>
            <w:r w:rsidRPr="00396A4C">
              <w:rPr>
                <w:bCs/>
                <w:color w:val="000000"/>
                <w:sz w:val="14"/>
                <w:szCs w:val="14"/>
                <w:lang w:eastAsia="sl-SI"/>
              </w:rPr>
              <w:t>Število kmetijskih gospodarstev </w:t>
            </w:r>
          </w:p>
        </w:tc>
      </w:tr>
      <w:tr w:rsidR="006B6A1F" w:rsidRPr="00910707" w14:paraId="4CD24B6D" w14:textId="77777777" w:rsidTr="006B6A1F">
        <w:trPr>
          <w:trHeight w:val="315"/>
        </w:trPr>
        <w:tc>
          <w:tcPr>
            <w:tcW w:w="899" w:type="dxa"/>
            <w:tcBorders>
              <w:top w:val="nil"/>
              <w:left w:val="single" w:sz="8" w:space="0" w:color="A9A9A9"/>
              <w:bottom w:val="single" w:sz="8" w:space="0" w:color="A9A9A9"/>
              <w:right w:val="single" w:sz="8" w:space="0" w:color="A9A9A9"/>
            </w:tcBorders>
            <w:shd w:val="clear" w:color="auto" w:fill="auto"/>
            <w:vAlign w:val="center"/>
            <w:hideMark/>
          </w:tcPr>
          <w:p w14:paraId="7068FFF2" w14:textId="77777777" w:rsidR="006B6A1F" w:rsidRPr="00396A4C" w:rsidRDefault="006B6A1F" w:rsidP="006B6A1F">
            <w:pPr>
              <w:spacing w:line="240" w:lineRule="auto"/>
              <w:ind w:right="-3"/>
              <w:jc w:val="center"/>
              <w:rPr>
                <w:bCs/>
                <w:color w:val="000000"/>
                <w:sz w:val="14"/>
                <w:szCs w:val="14"/>
                <w:lang w:eastAsia="sl-SI"/>
              </w:rPr>
            </w:pPr>
            <w:r w:rsidRPr="00396A4C">
              <w:rPr>
                <w:bCs/>
                <w:color w:val="000000"/>
                <w:sz w:val="14"/>
                <w:szCs w:val="14"/>
                <w:lang w:eastAsia="sl-SI"/>
              </w:rPr>
              <w:t> Velikostni razred št. konj</w:t>
            </w:r>
          </w:p>
        </w:tc>
        <w:tc>
          <w:tcPr>
            <w:tcW w:w="575" w:type="dxa"/>
            <w:tcBorders>
              <w:top w:val="nil"/>
              <w:left w:val="nil"/>
              <w:bottom w:val="single" w:sz="8" w:space="0" w:color="949494"/>
              <w:right w:val="single" w:sz="8" w:space="0" w:color="949494"/>
            </w:tcBorders>
            <w:shd w:val="clear" w:color="auto" w:fill="auto"/>
            <w:vAlign w:val="center"/>
            <w:hideMark/>
          </w:tcPr>
          <w:p w14:paraId="072FD8E2"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2000</w:t>
            </w:r>
          </w:p>
        </w:tc>
        <w:tc>
          <w:tcPr>
            <w:tcW w:w="596" w:type="dxa"/>
            <w:tcBorders>
              <w:top w:val="nil"/>
              <w:left w:val="nil"/>
              <w:bottom w:val="single" w:sz="8" w:space="0" w:color="949494"/>
              <w:right w:val="single" w:sz="8" w:space="0" w:color="949494"/>
            </w:tcBorders>
            <w:shd w:val="clear" w:color="auto" w:fill="auto"/>
            <w:vAlign w:val="center"/>
            <w:hideMark/>
          </w:tcPr>
          <w:p w14:paraId="51A01437"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2003</w:t>
            </w:r>
          </w:p>
        </w:tc>
        <w:tc>
          <w:tcPr>
            <w:tcW w:w="624" w:type="dxa"/>
            <w:tcBorders>
              <w:top w:val="nil"/>
              <w:left w:val="nil"/>
              <w:bottom w:val="single" w:sz="8" w:space="0" w:color="949494"/>
              <w:right w:val="single" w:sz="8" w:space="0" w:color="949494"/>
            </w:tcBorders>
            <w:shd w:val="clear" w:color="auto" w:fill="auto"/>
            <w:vAlign w:val="center"/>
            <w:hideMark/>
          </w:tcPr>
          <w:p w14:paraId="05347214"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2005</w:t>
            </w:r>
          </w:p>
        </w:tc>
        <w:tc>
          <w:tcPr>
            <w:tcW w:w="678" w:type="dxa"/>
            <w:tcBorders>
              <w:top w:val="nil"/>
              <w:left w:val="nil"/>
              <w:bottom w:val="single" w:sz="8" w:space="0" w:color="949494"/>
              <w:right w:val="single" w:sz="8" w:space="0" w:color="949494"/>
            </w:tcBorders>
            <w:shd w:val="clear" w:color="auto" w:fill="auto"/>
            <w:vAlign w:val="center"/>
            <w:hideMark/>
          </w:tcPr>
          <w:p w14:paraId="4809128D"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2007</w:t>
            </w:r>
          </w:p>
        </w:tc>
        <w:tc>
          <w:tcPr>
            <w:tcW w:w="597" w:type="dxa"/>
            <w:tcBorders>
              <w:top w:val="nil"/>
              <w:left w:val="nil"/>
              <w:bottom w:val="single" w:sz="8" w:space="0" w:color="949494"/>
              <w:right w:val="single" w:sz="8" w:space="0" w:color="949494"/>
            </w:tcBorders>
            <w:shd w:val="clear" w:color="auto" w:fill="auto"/>
            <w:vAlign w:val="center"/>
            <w:hideMark/>
          </w:tcPr>
          <w:p w14:paraId="1F198849"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2010</w:t>
            </w:r>
          </w:p>
        </w:tc>
        <w:tc>
          <w:tcPr>
            <w:tcW w:w="709" w:type="dxa"/>
            <w:tcBorders>
              <w:top w:val="nil"/>
              <w:left w:val="nil"/>
              <w:bottom w:val="single" w:sz="8" w:space="0" w:color="949494"/>
              <w:right w:val="single" w:sz="8" w:space="0" w:color="949494"/>
            </w:tcBorders>
            <w:shd w:val="clear" w:color="auto" w:fill="auto"/>
            <w:vAlign w:val="center"/>
            <w:hideMark/>
          </w:tcPr>
          <w:p w14:paraId="318E22ED"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2013</w:t>
            </w:r>
          </w:p>
        </w:tc>
        <w:tc>
          <w:tcPr>
            <w:tcW w:w="612" w:type="dxa"/>
            <w:tcBorders>
              <w:top w:val="nil"/>
              <w:left w:val="nil"/>
              <w:bottom w:val="single" w:sz="8" w:space="0" w:color="949494"/>
              <w:right w:val="single" w:sz="8" w:space="0" w:color="949494"/>
            </w:tcBorders>
            <w:shd w:val="clear" w:color="auto" w:fill="auto"/>
            <w:vAlign w:val="center"/>
            <w:hideMark/>
          </w:tcPr>
          <w:p w14:paraId="34DE9FBC"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2016</w:t>
            </w:r>
          </w:p>
        </w:tc>
        <w:tc>
          <w:tcPr>
            <w:tcW w:w="799" w:type="dxa"/>
            <w:tcBorders>
              <w:top w:val="nil"/>
              <w:left w:val="nil"/>
              <w:bottom w:val="single" w:sz="8" w:space="0" w:color="949494"/>
              <w:right w:val="single" w:sz="8" w:space="0" w:color="949494"/>
            </w:tcBorders>
            <w:shd w:val="clear" w:color="auto" w:fill="auto"/>
            <w:vAlign w:val="center"/>
            <w:hideMark/>
          </w:tcPr>
          <w:p w14:paraId="5BA2CDA1" w14:textId="77777777" w:rsidR="006B6A1F" w:rsidRPr="00396A4C" w:rsidRDefault="006B6A1F" w:rsidP="006B6A1F">
            <w:pPr>
              <w:spacing w:line="240" w:lineRule="auto"/>
              <w:ind w:right="126"/>
              <w:jc w:val="right"/>
              <w:rPr>
                <w:bCs/>
                <w:color w:val="000000"/>
                <w:sz w:val="14"/>
                <w:szCs w:val="14"/>
                <w:lang w:eastAsia="sl-SI"/>
              </w:rPr>
            </w:pPr>
            <w:r w:rsidRPr="00396A4C">
              <w:rPr>
                <w:bCs/>
                <w:color w:val="000000"/>
                <w:sz w:val="14"/>
                <w:szCs w:val="14"/>
                <w:lang w:eastAsia="sl-SI"/>
              </w:rPr>
              <w:t>2000</w:t>
            </w:r>
          </w:p>
        </w:tc>
        <w:tc>
          <w:tcPr>
            <w:tcW w:w="567" w:type="dxa"/>
            <w:tcBorders>
              <w:top w:val="nil"/>
              <w:left w:val="nil"/>
              <w:bottom w:val="single" w:sz="8" w:space="0" w:color="949494"/>
              <w:right w:val="single" w:sz="8" w:space="0" w:color="949494"/>
            </w:tcBorders>
            <w:shd w:val="clear" w:color="auto" w:fill="auto"/>
            <w:vAlign w:val="center"/>
            <w:hideMark/>
          </w:tcPr>
          <w:p w14:paraId="0FB78DA1"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2003</w:t>
            </w:r>
          </w:p>
        </w:tc>
        <w:tc>
          <w:tcPr>
            <w:tcW w:w="567" w:type="dxa"/>
            <w:tcBorders>
              <w:top w:val="nil"/>
              <w:left w:val="nil"/>
              <w:bottom w:val="single" w:sz="8" w:space="0" w:color="949494"/>
              <w:right w:val="single" w:sz="8" w:space="0" w:color="949494"/>
            </w:tcBorders>
            <w:shd w:val="clear" w:color="auto" w:fill="auto"/>
            <w:vAlign w:val="center"/>
            <w:hideMark/>
          </w:tcPr>
          <w:p w14:paraId="0FC121CC"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2005</w:t>
            </w:r>
          </w:p>
        </w:tc>
        <w:tc>
          <w:tcPr>
            <w:tcW w:w="504" w:type="dxa"/>
            <w:tcBorders>
              <w:top w:val="nil"/>
              <w:left w:val="nil"/>
              <w:bottom w:val="single" w:sz="8" w:space="0" w:color="949494"/>
              <w:right w:val="single" w:sz="8" w:space="0" w:color="949494"/>
            </w:tcBorders>
            <w:shd w:val="clear" w:color="auto" w:fill="auto"/>
            <w:vAlign w:val="center"/>
            <w:hideMark/>
          </w:tcPr>
          <w:p w14:paraId="7F3A4D72"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2007</w:t>
            </w:r>
          </w:p>
        </w:tc>
        <w:tc>
          <w:tcPr>
            <w:tcW w:w="630" w:type="dxa"/>
            <w:tcBorders>
              <w:top w:val="nil"/>
              <w:left w:val="nil"/>
              <w:bottom w:val="single" w:sz="8" w:space="0" w:color="949494"/>
              <w:right w:val="single" w:sz="8" w:space="0" w:color="949494"/>
            </w:tcBorders>
            <w:shd w:val="clear" w:color="auto" w:fill="auto"/>
            <w:vAlign w:val="center"/>
            <w:hideMark/>
          </w:tcPr>
          <w:p w14:paraId="7ABA1369"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2010</w:t>
            </w:r>
          </w:p>
        </w:tc>
        <w:tc>
          <w:tcPr>
            <w:tcW w:w="567" w:type="dxa"/>
            <w:tcBorders>
              <w:top w:val="nil"/>
              <w:left w:val="nil"/>
              <w:bottom w:val="single" w:sz="8" w:space="0" w:color="949494"/>
              <w:right w:val="single" w:sz="8" w:space="0" w:color="949494"/>
            </w:tcBorders>
            <w:shd w:val="clear" w:color="auto" w:fill="auto"/>
            <w:vAlign w:val="center"/>
            <w:hideMark/>
          </w:tcPr>
          <w:p w14:paraId="4F878CDE"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2013</w:t>
            </w:r>
          </w:p>
        </w:tc>
        <w:tc>
          <w:tcPr>
            <w:tcW w:w="709" w:type="dxa"/>
            <w:tcBorders>
              <w:top w:val="nil"/>
              <w:left w:val="nil"/>
              <w:bottom w:val="single" w:sz="8" w:space="0" w:color="949494"/>
              <w:right w:val="single" w:sz="8" w:space="0" w:color="949494"/>
            </w:tcBorders>
            <w:shd w:val="clear" w:color="auto" w:fill="auto"/>
            <w:vAlign w:val="center"/>
            <w:hideMark/>
          </w:tcPr>
          <w:p w14:paraId="1E3405E1" w14:textId="77777777" w:rsidR="006B6A1F" w:rsidRPr="00396A4C" w:rsidRDefault="006B6A1F" w:rsidP="006B6A1F">
            <w:pPr>
              <w:spacing w:line="240" w:lineRule="auto"/>
              <w:jc w:val="right"/>
              <w:rPr>
                <w:bCs/>
                <w:color w:val="000000"/>
                <w:sz w:val="14"/>
                <w:szCs w:val="14"/>
                <w:lang w:eastAsia="sl-SI"/>
              </w:rPr>
            </w:pPr>
            <w:r w:rsidRPr="00396A4C">
              <w:rPr>
                <w:bCs/>
                <w:color w:val="000000"/>
                <w:sz w:val="14"/>
                <w:szCs w:val="14"/>
                <w:lang w:eastAsia="sl-SI"/>
              </w:rPr>
              <w:t>2016</w:t>
            </w:r>
          </w:p>
        </w:tc>
      </w:tr>
      <w:tr w:rsidR="006B6A1F" w:rsidRPr="00910707" w14:paraId="422810B6"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3AA46166"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SKUPAJ</w:t>
            </w:r>
          </w:p>
        </w:tc>
        <w:tc>
          <w:tcPr>
            <w:tcW w:w="575" w:type="dxa"/>
            <w:tcBorders>
              <w:top w:val="nil"/>
              <w:left w:val="nil"/>
              <w:bottom w:val="single" w:sz="8" w:space="0" w:color="A9A9A9"/>
              <w:right w:val="single" w:sz="8" w:space="0" w:color="A9A9A9"/>
            </w:tcBorders>
            <w:shd w:val="clear" w:color="000000" w:fill="FFFFFF"/>
            <w:noWrap/>
            <w:vAlign w:val="center"/>
            <w:hideMark/>
          </w:tcPr>
          <w:p w14:paraId="4F3966D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14.407</w:t>
            </w:r>
          </w:p>
        </w:tc>
        <w:tc>
          <w:tcPr>
            <w:tcW w:w="596" w:type="dxa"/>
            <w:tcBorders>
              <w:top w:val="nil"/>
              <w:left w:val="nil"/>
              <w:bottom w:val="single" w:sz="8" w:space="0" w:color="A9A9A9"/>
              <w:right w:val="single" w:sz="8" w:space="0" w:color="A9A9A9"/>
            </w:tcBorders>
            <w:shd w:val="clear" w:color="000000" w:fill="FFFFFF"/>
            <w:noWrap/>
            <w:vAlign w:val="center"/>
            <w:hideMark/>
          </w:tcPr>
          <w:p w14:paraId="682BF9D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16.879</w:t>
            </w:r>
          </w:p>
        </w:tc>
        <w:tc>
          <w:tcPr>
            <w:tcW w:w="624" w:type="dxa"/>
            <w:tcBorders>
              <w:top w:val="nil"/>
              <w:left w:val="nil"/>
              <w:bottom w:val="single" w:sz="8" w:space="0" w:color="A9A9A9"/>
              <w:right w:val="single" w:sz="8" w:space="0" w:color="A9A9A9"/>
            </w:tcBorders>
            <w:shd w:val="clear" w:color="000000" w:fill="FFFFFF"/>
            <w:noWrap/>
            <w:vAlign w:val="center"/>
            <w:hideMark/>
          </w:tcPr>
          <w:p w14:paraId="7A1C608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19.249</w:t>
            </w:r>
          </w:p>
        </w:tc>
        <w:tc>
          <w:tcPr>
            <w:tcW w:w="678" w:type="dxa"/>
            <w:tcBorders>
              <w:top w:val="nil"/>
              <w:left w:val="nil"/>
              <w:bottom w:val="single" w:sz="8" w:space="0" w:color="A9A9A9"/>
              <w:right w:val="single" w:sz="8" w:space="0" w:color="A9A9A9"/>
            </w:tcBorders>
            <w:shd w:val="clear" w:color="000000" w:fill="FFFFFF"/>
            <w:noWrap/>
            <w:vAlign w:val="center"/>
            <w:hideMark/>
          </w:tcPr>
          <w:p w14:paraId="2DAF25EE"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19.623</w:t>
            </w:r>
          </w:p>
        </w:tc>
        <w:tc>
          <w:tcPr>
            <w:tcW w:w="597" w:type="dxa"/>
            <w:tcBorders>
              <w:top w:val="nil"/>
              <w:left w:val="nil"/>
              <w:bottom w:val="single" w:sz="8" w:space="0" w:color="A9A9A9"/>
              <w:right w:val="single" w:sz="8" w:space="0" w:color="A9A9A9"/>
            </w:tcBorders>
            <w:shd w:val="clear" w:color="000000" w:fill="FFFFFF"/>
            <w:noWrap/>
            <w:vAlign w:val="center"/>
            <w:hideMark/>
          </w:tcPr>
          <w:p w14:paraId="334EF90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22.673</w:t>
            </w:r>
          </w:p>
        </w:tc>
        <w:tc>
          <w:tcPr>
            <w:tcW w:w="709" w:type="dxa"/>
            <w:tcBorders>
              <w:top w:val="nil"/>
              <w:left w:val="nil"/>
              <w:bottom w:val="single" w:sz="8" w:space="0" w:color="A9A9A9"/>
              <w:right w:val="single" w:sz="8" w:space="0" w:color="A9A9A9"/>
            </w:tcBorders>
            <w:shd w:val="clear" w:color="000000" w:fill="FFFFFF"/>
            <w:noWrap/>
            <w:vAlign w:val="center"/>
            <w:hideMark/>
          </w:tcPr>
          <w:p w14:paraId="77B5162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21.832</w:t>
            </w:r>
          </w:p>
        </w:tc>
        <w:tc>
          <w:tcPr>
            <w:tcW w:w="612" w:type="dxa"/>
            <w:tcBorders>
              <w:top w:val="nil"/>
              <w:left w:val="nil"/>
              <w:bottom w:val="single" w:sz="8" w:space="0" w:color="A9A9A9"/>
              <w:right w:val="single" w:sz="8" w:space="0" w:color="A9A9A9"/>
            </w:tcBorders>
            <w:shd w:val="clear" w:color="000000" w:fill="FFFFFF"/>
            <w:noWrap/>
            <w:vAlign w:val="center"/>
            <w:hideMark/>
          </w:tcPr>
          <w:p w14:paraId="7920ADD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19.453</w:t>
            </w:r>
          </w:p>
        </w:tc>
        <w:tc>
          <w:tcPr>
            <w:tcW w:w="799" w:type="dxa"/>
            <w:tcBorders>
              <w:top w:val="nil"/>
              <w:left w:val="nil"/>
              <w:bottom w:val="single" w:sz="8" w:space="0" w:color="A9A9A9"/>
              <w:right w:val="single" w:sz="8" w:space="0" w:color="A9A9A9"/>
            </w:tcBorders>
            <w:shd w:val="clear" w:color="000000" w:fill="FFFFFF"/>
            <w:noWrap/>
            <w:vAlign w:val="center"/>
            <w:hideMark/>
          </w:tcPr>
          <w:p w14:paraId="75BAD850"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4.634</w:t>
            </w:r>
          </w:p>
        </w:tc>
        <w:tc>
          <w:tcPr>
            <w:tcW w:w="567" w:type="dxa"/>
            <w:tcBorders>
              <w:top w:val="nil"/>
              <w:left w:val="nil"/>
              <w:bottom w:val="single" w:sz="8" w:space="0" w:color="A9A9A9"/>
              <w:right w:val="single" w:sz="8" w:space="0" w:color="A9A9A9"/>
            </w:tcBorders>
            <w:shd w:val="clear" w:color="000000" w:fill="FFFFFF"/>
            <w:noWrap/>
            <w:vAlign w:val="center"/>
            <w:hideMark/>
          </w:tcPr>
          <w:p w14:paraId="1C097DF6"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4.728</w:t>
            </w:r>
          </w:p>
        </w:tc>
        <w:tc>
          <w:tcPr>
            <w:tcW w:w="567" w:type="dxa"/>
            <w:tcBorders>
              <w:top w:val="nil"/>
              <w:left w:val="nil"/>
              <w:bottom w:val="single" w:sz="8" w:space="0" w:color="A9A9A9"/>
              <w:right w:val="single" w:sz="8" w:space="0" w:color="A9A9A9"/>
            </w:tcBorders>
            <w:shd w:val="clear" w:color="000000" w:fill="FFFFFF"/>
            <w:noWrap/>
            <w:vAlign w:val="center"/>
            <w:hideMark/>
          </w:tcPr>
          <w:p w14:paraId="3331F473"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5.128</w:t>
            </w:r>
          </w:p>
        </w:tc>
        <w:tc>
          <w:tcPr>
            <w:tcW w:w="504" w:type="dxa"/>
            <w:tcBorders>
              <w:top w:val="nil"/>
              <w:left w:val="nil"/>
              <w:bottom w:val="single" w:sz="8" w:space="0" w:color="A9A9A9"/>
              <w:right w:val="single" w:sz="8" w:space="0" w:color="A9A9A9"/>
            </w:tcBorders>
            <w:shd w:val="clear" w:color="000000" w:fill="FFFFFF"/>
            <w:noWrap/>
            <w:vAlign w:val="center"/>
            <w:hideMark/>
          </w:tcPr>
          <w:p w14:paraId="1E7BAE7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5.081</w:t>
            </w:r>
          </w:p>
        </w:tc>
        <w:tc>
          <w:tcPr>
            <w:tcW w:w="630" w:type="dxa"/>
            <w:tcBorders>
              <w:top w:val="nil"/>
              <w:left w:val="nil"/>
              <w:bottom w:val="single" w:sz="8" w:space="0" w:color="A9A9A9"/>
              <w:right w:val="single" w:sz="8" w:space="0" w:color="A9A9A9"/>
            </w:tcBorders>
            <w:shd w:val="clear" w:color="000000" w:fill="FFFFFF"/>
            <w:noWrap/>
            <w:vAlign w:val="center"/>
            <w:hideMark/>
          </w:tcPr>
          <w:p w14:paraId="09E06758"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5.948</w:t>
            </w:r>
          </w:p>
        </w:tc>
        <w:tc>
          <w:tcPr>
            <w:tcW w:w="567" w:type="dxa"/>
            <w:tcBorders>
              <w:top w:val="nil"/>
              <w:left w:val="nil"/>
              <w:bottom w:val="single" w:sz="8" w:space="0" w:color="A9A9A9"/>
              <w:right w:val="single" w:sz="8" w:space="0" w:color="A9A9A9"/>
            </w:tcBorders>
            <w:shd w:val="clear" w:color="000000" w:fill="FFFFFF"/>
            <w:noWrap/>
            <w:vAlign w:val="center"/>
            <w:hideMark/>
          </w:tcPr>
          <w:p w14:paraId="00E94E39"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6.029</w:t>
            </w:r>
          </w:p>
        </w:tc>
        <w:tc>
          <w:tcPr>
            <w:tcW w:w="709" w:type="dxa"/>
            <w:tcBorders>
              <w:top w:val="nil"/>
              <w:left w:val="nil"/>
              <w:bottom w:val="single" w:sz="8" w:space="0" w:color="A9A9A9"/>
              <w:right w:val="single" w:sz="8" w:space="0" w:color="A9A9A9"/>
            </w:tcBorders>
            <w:shd w:val="clear" w:color="000000" w:fill="FFFFFF"/>
            <w:noWrap/>
            <w:vAlign w:val="center"/>
            <w:hideMark/>
          </w:tcPr>
          <w:p w14:paraId="116A9D7A"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5.766</w:t>
            </w:r>
          </w:p>
        </w:tc>
      </w:tr>
      <w:tr w:rsidR="006B6A1F" w:rsidRPr="00910707" w14:paraId="6D85479D"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1615EEB9"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od 1 do 2</w:t>
            </w:r>
          </w:p>
        </w:tc>
        <w:tc>
          <w:tcPr>
            <w:tcW w:w="575" w:type="dxa"/>
            <w:tcBorders>
              <w:top w:val="nil"/>
              <w:left w:val="nil"/>
              <w:bottom w:val="single" w:sz="8" w:space="0" w:color="A9A9A9"/>
              <w:right w:val="single" w:sz="8" w:space="0" w:color="A9A9A9"/>
            </w:tcBorders>
            <w:shd w:val="clear" w:color="000000" w:fill="FFFFFF"/>
            <w:noWrap/>
            <w:vAlign w:val="center"/>
            <w:hideMark/>
          </w:tcPr>
          <w:p w14:paraId="6273EDD8"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4.156</w:t>
            </w:r>
          </w:p>
        </w:tc>
        <w:tc>
          <w:tcPr>
            <w:tcW w:w="596" w:type="dxa"/>
            <w:tcBorders>
              <w:top w:val="nil"/>
              <w:left w:val="nil"/>
              <w:bottom w:val="single" w:sz="8" w:space="0" w:color="A9A9A9"/>
              <w:right w:val="single" w:sz="8" w:space="0" w:color="A9A9A9"/>
            </w:tcBorders>
            <w:shd w:val="clear" w:color="000000" w:fill="FFFFFF"/>
            <w:noWrap/>
            <w:vAlign w:val="center"/>
            <w:hideMark/>
          </w:tcPr>
          <w:p w14:paraId="147871F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3.627</w:t>
            </w:r>
          </w:p>
        </w:tc>
        <w:tc>
          <w:tcPr>
            <w:tcW w:w="624" w:type="dxa"/>
            <w:tcBorders>
              <w:top w:val="nil"/>
              <w:left w:val="nil"/>
              <w:bottom w:val="single" w:sz="8" w:space="0" w:color="A9A9A9"/>
              <w:right w:val="single" w:sz="8" w:space="0" w:color="A9A9A9"/>
            </w:tcBorders>
            <w:shd w:val="clear" w:color="000000" w:fill="FFFFFF"/>
            <w:noWrap/>
            <w:vAlign w:val="center"/>
            <w:hideMark/>
          </w:tcPr>
          <w:p w14:paraId="6BB95CF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4.135</w:t>
            </w:r>
          </w:p>
        </w:tc>
        <w:tc>
          <w:tcPr>
            <w:tcW w:w="678" w:type="dxa"/>
            <w:tcBorders>
              <w:top w:val="nil"/>
              <w:left w:val="nil"/>
              <w:bottom w:val="single" w:sz="8" w:space="0" w:color="A9A9A9"/>
              <w:right w:val="single" w:sz="8" w:space="0" w:color="A9A9A9"/>
            </w:tcBorders>
            <w:shd w:val="clear" w:color="000000" w:fill="FFFFFF"/>
            <w:noWrap/>
            <w:vAlign w:val="center"/>
            <w:hideMark/>
          </w:tcPr>
          <w:p w14:paraId="41310F3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3.899</w:t>
            </w:r>
          </w:p>
        </w:tc>
        <w:tc>
          <w:tcPr>
            <w:tcW w:w="597" w:type="dxa"/>
            <w:tcBorders>
              <w:top w:val="nil"/>
              <w:left w:val="nil"/>
              <w:bottom w:val="single" w:sz="8" w:space="0" w:color="A9A9A9"/>
              <w:right w:val="single" w:sz="8" w:space="0" w:color="A9A9A9"/>
            </w:tcBorders>
            <w:shd w:val="clear" w:color="000000" w:fill="FFFFFF"/>
            <w:noWrap/>
            <w:vAlign w:val="center"/>
            <w:hideMark/>
          </w:tcPr>
          <w:p w14:paraId="122222A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4.717</w:t>
            </w:r>
          </w:p>
        </w:tc>
        <w:tc>
          <w:tcPr>
            <w:tcW w:w="709" w:type="dxa"/>
            <w:tcBorders>
              <w:top w:val="nil"/>
              <w:left w:val="nil"/>
              <w:bottom w:val="single" w:sz="8" w:space="0" w:color="A9A9A9"/>
              <w:right w:val="single" w:sz="8" w:space="0" w:color="A9A9A9"/>
            </w:tcBorders>
            <w:shd w:val="clear" w:color="000000" w:fill="FFFFFF"/>
            <w:noWrap/>
            <w:vAlign w:val="center"/>
            <w:hideMark/>
          </w:tcPr>
          <w:p w14:paraId="429725F2"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5.214</w:t>
            </w:r>
          </w:p>
        </w:tc>
        <w:tc>
          <w:tcPr>
            <w:tcW w:w="612" w:type="dxa"/>
            <w:tcBorders>
              <w:top w:val="nil"/>
              <w:left w:val="nil"/>
              <w:bottom w:val="single" w:sz="8" w:space="0" w:color="A9A9A9"/>
              <w:right w:val="single" w:sz="8" w:space="0" w:color="A9A9A9"/>
            </w:tcBorders>
            <w:shd w:val="clear" w:color="000000" w:fill="FFFFFF"/>
            <w:noWrap/>
            <w:vAlign w:val="center"/>
            <w:hideMark/>
          </w:tcPr>
          <w:p w14:paraId="3B979C3E"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5.427</w:t>
            </w:r>
          </w:p>
        </w:tc>
        <w:tc>
          <w:tcPr>
            <w:tcW w:w="799" w:type="dxa"/>
            <w:tcBorders>
              <w:top w:val="nil"/>
              <w:left w:val="nil"/>
              <w:bottom w:val="single" w:sz="8" w:space="0" w:color="A9A9A9"/>
              <w:right w:val="single" w:sz="8" w:space="0" w:color="A9A9A9"/>
            </w:tcBorders>
            <w:shd w:val="clear" w:color="000000" w:fill="FFFFFF"/>
            <w:noWrap/>
            <w:vAlign w:val="center"/>
            <w:hideMark/>
          </w:tcPr>
          <w:p w14:paraId="4251BC82"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2.935</w:t>
            </w:r>
          </w:p>
        </w:tc>
        <w:tc>
          <w:tcPr>
            <w:tcW w:w="567" w:type="dxa"/>
            <w:tcBorders>
              <w:top w:val="nil"/>
              <w:left w:val="nil"/>
              <w:bottom w:val="single" w:sz="8" w:space="0" w:color="A9A9A9"/>
              <w:right w:val="single" w:sz="8" w:space="0" w:color="A9A9A9"/>
            </w:tcBorders>
            <w:shd w:val="clear" w:color="000000" w:fill="FFFFFF"/>
            <w:noWrap/>
            <w:vAlign w:val="center"/>
            <w:hideMark/>
          </w:tcPr>
          <w:p w14:paraId="54B993BA"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2.506</w:t>
            </w:r>
          </w:p>
        </w:tc>
        <w:tc>
          <w:tcPr>
            <w:tcW w:w="567" w:type="dxa"/>
            <w:tcBorders>
              <w:top w:val="nil"/>
              <w:left w:val="nil"/>
              <w:bottom w:val="single" w:sz="8" w:space="0" w:color="A9A9A9"/>
              <w:right w:val="single" w:sz="8" w:space="0" w:color="A9A9A9"/>
            </w:tcBorders>
            <w:shd w:val="clear" w:color="000000" w:fill="FFFFFF"/>
            <w:noWrap/>
            <w:vAlign w:val="center"/>
            <w:hideMark/>
          </w:tcPr>
          <w:p w14:paraId="6E6531D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2.792</w:t>
            </w:r>
          </w:p>
        </w:tc>
        <w:tc>
          <w:tcPr>
            <w:tcW w:w="504" w:type="dxa"/>
            <w:tcBorders>
              <w:top w:val="nil"/>
              <w:left w:val="nil"/>
              <w:bottom w:val="single" w:sz="8" w:space="0" w:color="A9A9A9"/>
              <w:right w:val="single" w:sz="8" w:space="0" w:color="A9A9A9"/>
            </w:tcBorders>
            <w:shd w:val="clear" w:color="000000" w:fill="FFFFFF"/>
            <w:noWrap/>
            <w:vAlign w:val="center"/>
            <w:hideMark/>
          </w:tcPr>
          <w:p w14:paraId="3B36EFAF"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2.653</w:t>
            </w:r>
          </w:p>
        </w:tc>
        <w:tc>
          <w:tcPr>
            <w:tcW w:w="630" w:type="dxa"/>
            <w:tcBorders>
              <w:top w:val="nil"/>
              <w:left w:val="nil"/>
              <w:bottom w:val="single" w:sz="8" w:space="0" w:color="A9A9A9"/>
              <w:right w:val="single" w:sz="8" w:space="0" w:color="A9A9A9"/>
            </w:tcBorders>
            <w:shd w:val="clear" w:color="000000" w:fill="FFFFFF"/>
            <w:noWrap/>
            <w:vAlign w:val="center"/>
            <w:hideMark/>
          </w:tcPr>
          <w:p w14:paraId="4595E4EA"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3.145</w:t>
            </w:r>
          </w:p>
        </w:tc>
        <w:tc>
          <w:tcPr>
            <w:tcW w:w="567" w:type="dxa"/>
            <w:tcBorders>
              <w:top w:val="nil"/>
              <w:left w:val="nil"/>
              <w:bottom w:val="single" w:sz="8" w:space="0" w:color="A9A9A9"/>
              <w:right w:val="single" w:sz="8" w:space="0" w:color="A9A9A9"/>
            </w:tcBorders>
            <w:shd w:val="clear" w:color="000000" w:fill="FFFFFF"/>
            <w:noWrap/>
            <w:vAlign w:val="center"/>
            <w:hideMark/>
          </w:tcPr>
          <w:p w14:paraId="227BC4C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3.487</w:t>
            </w:r>
          </w:p>
        </w:tc>
        <w:tc>
          <w:tcPr>
            <w:tcW w:w="709" w:type="dxa"/>
            <w:tcBorders>
              <w:top w:val="nil"/>
              <w:left w:val="nil"/>
              <w:bottom w:val="single" w:sz="8" w:space="0" w:color="A9A9A9"/>
              <w:right w:val="single" w:sz="8" w:space="0" w:color="A9A9A9"/>
            </w:tcBorders>
            <w:shd w:val="clear" w:color="000000" w:fill="FFFFFF"/>
            <w:noWrap/>
            <w:vAlign w:val="center"/>
            <w:hideMark/>
          </w:tcPr>
          <w:p w14:paraId="0138724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3.610</w:t>
            </w:r>
          </w:p>
        </w:tc>
      </w:tr>
      <w:tr w:rsidR="006B6A1F" w:rsidRPr="00910707" w14:paraId="2B27C646"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2D193DDC"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od 3 do 4</w:t>
            </w:r>
          </w:p>
        </w:tc>
        <w:tc>
          <w:tcPr>
            <w:tcW w:w="575" w:type="dxa"/>
            <w:tcBorders>
              <w:top w:val="nil"/>
              <w:left w:val="nil"/>
              <w:bottom w:val="single" w:sz="8" w:space="0" w:color="A9A9A9"/>
              <w:right w:val="single" w:sz="8" w:space="0" w:color="A9A9A9"/>
            </w:tcBorders>
            <w:shd w:val="clear" w:color="000000" w:fill="FFFFFF"/>
            <w:noWrap/>
            <w:vAlign w:val="center"/>
            <w:hideMark/>
          </w:tcPr>
          <w:p w14:paraId="3C66EEA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3.197</w:t>
            </w:r>
          </w:p>
        </w:tc>
        <w:tc>
          <w:tcPr>
            <w:tcW w:w="596" w:type="dxa"/>
            <w:tcBorders>
              <w:top w:val="nil"/>
              <w:left w:val="nil"/>
              <w:bottom w:val="single" w:sz="8" w:space="0" w:color="A9A9A9"/>
              <w:right w:val="single" w:sz="8" w:space="0" w:color="A9A9A9"/>
            </w:tcBorders>
            <w:shd w:val="clear" w:color="000000" w:fill="FFFFFF"/>
            <w:noWrap/>
            <w:vAlign w:val="center"/>
            <w:hideMark/>
          </w:tcPr>
          <w:p w14:paraId="53DD3176"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3.924</w:t>
            </w:r>
          </w:p>
        </w:tc>
        <w:tc>
          <w:tcPr>
            <w:tcW w:w="624" w:type="dxa"/>
            <w:tcBorders>
              <w:top w:val="nil"/>
              <w:left w:val="nil"/>
              <w:bottom w:val="single" w:sz="8" w:space="0" w:color="A9A9A9"/>
              <w:right w:val="single" w:sz="8" w:space="0" w:color="A9A9A9"/>
            </w:tcBorders>
            <w:shd w:val="clear" w:color="000000" w:fill="FFFFFF"/>
            <w:noWrap/>
            <w:vAlign w:val="center"/>
            <w:hideMark/>
          </w:tcPr>
          <w:p w14:paraId="67BF64B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4.106</w:t>
            </w:r>
          </w:p>
        </w:tc>
        <w:tc>
          <w:tcPr>
            <w:tcW w:w="678" w:type="dxa"/>
            <w:tcBorders>
              <w:top w:val="nil"/>
              <w:left w:val="nil"/>
              <w:bottom w:val="single" w:sz="8" w:space="0" w:color="A9A9A9"/>
              <w:right w:val="single" w:sz="8" w:space="0" w:color="A9A9A9"/>
            </w:tcBorders>
            <w:shd w:val="clear" w:color="000000" w:fill="FFFFFF"/>
            <w:noWrap/>
            <w:vAlign w:val="center"/>
            <w:hideMark/>
          </w:tcPr>
          <w:p w14:paraId="3486B89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4.549</w:t>
            </w:r>
          </w:p>
        </w:tc>
        <w:tc>
          <w:tcPr>
            <w:tcW w:w="597" w:type="dxa"/>
            <w:tcBorders>
              <w:top w:val="nil"/>
              <w:left w:val="nil"/>
              <w:bottom w:val="single" w:sz="8" w:space="0" w:color="A9A9A9"/>
              <w:right w:val="single" w:sz="8" w:space="0" w:color="A9A9A9"/>
            </w:tcBorders>
            <w:shd w:val="clear" w:color="000000" w:fill="FFFFFF"/>
            <w:noWrap/>
            <w:vAlign w:val="center"/>
            <w:hideMark/>
          </w:tcPr>
          <w:p w14:paraId="2F63331F"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5.167</w:t>
            </w:r>
          </w:p>
        </w:tc>
        <w:tc>
          <w:tcPr>
            <w:tcW w:w="709" w:type="dxa"/>
            <w:tcBorders>
              <w:top w:val="nil"/>
              <w:left w:val="nil"/>
              <w:bottom w:val="single" w:sz="8" w:space="0" w:color="A9A9A9"/>
              <w:right w:val="single" w:sz="8" w:space="0" w:color="A9A9A9"/>
            </w:tcBorders>
            <w:shd w:val="clear" w:color="auto" w:fill="auto"/>
            <w:noWrap/>
            <w:vAlign w:val="center"/>
            <w:hideMark/>
          </w:tcPr>
          <w:p w14:paraId="0BACF8B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4.288</w:t>
            </w:r>
          </w:p>
        </w:tc>
        <w:tc>
          <w:tcPr>
            <w:tcW w:w="612" w:type="dxa"/>
            <w:tcBorders>
              <w:top w:val="nil"/>
              <w:left w:val="nil"/>
              <w:bottom w:val="single" w:sz="8" w:space="0" w:color="A9A9A9"/>
              <w:right w:val="single" w:sz="8" w:space="0" w:color="A9A9A9"/>
            </w:tcBorders>
            <w:shd w:val="clear" w:color="auto" w:fill="auto"/>
            <w:noWrap/>
            <w:vAlign w:val="center"/>
            <w:hideMark/>
          </w:tcPr>
          <w:p w14:paraId="05CD5C4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4.135 M</w:t>
            </w:r>
          </w:p>
        </w:tc>
        <w:tc>
          <w:tcPr>
            <w:tcW w:w="799" w:type="dxa"/>
            <w:tcBorders>
              <w:top w:val="nil"/>
              <w:left w:val="nil"/>
              <w:bottom w:val="single" w:sz="8" w:space="0" w:color="A9A9A9"/>
              <w:right w:val="single" w:sz="8" w:space="0" w:color="A9A9A9"/>
            </w:tcBorders>
            <w:shd w:val="clear" w:color="auto" w:fill="auto"/>
            <w:noWrap/>
            <w:vAlign w:val="center"/>
            <w:hideMark/>
          </w:tcPr>
          <w:p w14:paraId="32597EDC"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937</w:t>
            </w:r>
          </w:p>
        </w:tc>
        <w:tc>
          <w:tcPr>
            <w:tcW w:w="567" w:type="dxa"/>
            <w:tcBorders>
              <w:top w:val="nil"/>
              <w:left w:val="nil"/>
              <w:bottom w:val="single" w:sz="8" w:space="0" w:color="A9A9A9"/>
              <w:right w:val="single" w:sz="8" w:space="0" w:color="A9A9A9"/>
            </w:tcBorders>
            <w:shd w:val="clear" w:color="auto" w:fill="auto"/>
            <w:noWrap/>
            <w:vAlign w:val="center"/>
            <w:hideMark/>
          </w:tcPr>
          <w:p w14:paraId="2E6495D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1.170</w:t>
            </w:r>
          </w:p>
        </w:tc>
        <w:tc>
          <w:tcPr>
            <w:tcW w:w="567" w:type="dxa"/>
            <w:tcBorders>
              <w:top w:val="nil"/>
              <w:left w:val="nil"/>
              <w:bottom w:val="single" w:sz="8" w:space="0" w:color="A9A9A9"/>
              <w:right w:val="single" w:sz="8" w:space="0" w:color="A9A9A9"/>
            </w:tcBorders>
            <w:shd w:val="clear" w:color="auto" w:fill="auto"/>
            <w:noWrap/>
            <w:vAlign w:val="center"/>
            <w:hideMark/>
          </w:tcPr>
          <w:p w14:paraId="63D428DF"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1.206</w:t>
            </w:r>
          </w:p>
        </w:tc>
        <w:tc>
          <w:tcPr>
            <w:tcW w:w="504" w:type="dxa"/>
            <w:tcBorders>
              <w:top w:val="nil"/>
              <w:left w:val="nil"/>
              <w:bottom w:val="single" w:sz="8" w:space="0" w:color="A9A9A9"/>
              <w:right w:val="single" w:sz="8" w:space="0" w:color="A9A9A9"/>
            </w:tcBorders>
            <w:shd w:val="clear" w:color="auto" w:fill="auto"/>
            <w:noWrap/>
            <w:vAlign w:val="center"/>
            <w:hideMark/>
          </w:tcPr>
          <w:p w14:paraId="5D30EAD2"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1.327</w:t>
            </w:r>
          </w:p>
        </w:tc>
        <w:tc>
          <w:tcPr>
            <w:tcW w:w="630" w:type="dxa"/>
            <w:tcBorders>
              <w:top w:val="nil"/>
              <w:left w:val="nil"/>
              <w:bottom w:val="single" w:sz="8" w:space="0" w:color="A9A9A9"/>
              <w:right w:val="single" w:sz="8" w:space="0" w:color="A9A9A9"/>
            </w:tcBorders>
            <w:shd w:val="clear" w:color="auto" w:fill="auto"/>
            <w:noWrap/>
            <w:vAlign w:val="center"/>
            <w:hideMark/>
          </w:tcPr>
          <w:p w14:paraId="38AD6523"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1.521</w:t>
            </w:r>
          </w:p>
        </w:tc>
        <w:tc>
          <w:tcPr>
            <w:tcW w:w="567" w:type="dxa"/>
            <w:tcBorders>
              <w:top w:val="nil"/>
              <w:left w:val="nil"/>
              <w:bottom w:val="single" w:sz="8" w:space="0" w:color="A9A9A9"/>
              <w:right w:val="single" w:sz="8" w:space="0" w:color="A9A9A9"/>
            </w:tcBorders>
            <w:shd w:val="clear" w:color="auto" w:fill="auto"/>
            <w:noWrap/>
            <w:vAlign w:val="center"/>
            <w:hideMark/>
          </w:tcPr>
          <w:p w14:paraId="6F0DCA4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1.269</w:t>
            </w:r>
          </w:p>
        </w:tc>
        <w:tc>
          <w:tcPr>
            <w:tcW w:w="709" w:type="dxa"/>
            <w:tcBorders>
              <w:top w:val="nil"/>
              <w:left w:val="nil"/>
              <w:bottom w:val="single" w:sz="8" w:space="0" w:color="A9A9A9"/>
              <w:right w:val="single" w:sz="8" w:space="0" w:color="A9A9A9"/>
            </w:tcBorders>
            <w:shd w:val="clear" w:color="auto" w:fill="auto"/>
            <w:noWrap/>
            <w:vAlign w:val="center"/>
            <w:hideMark/>
          </w:tcPr>
          <w:p w14:paraId="7F16DCF6"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1.225 M</w:t>
            </w:r>
          </w:p>
        </w:tc>
      </w:tr>
      <w:tr w:rsidR="006B6A1F" w:rsidRPr="00910707" w14:paraId="156D988D"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2FEE3D7A"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od 5 do 9</w:t>
            </w:r>
          </w:p>
        </w:tc>
        <w:tc>
          <w:tcPr>
            <w:tcW w:w="575" w:type="dxa"/>
            <w:tcBorders>
              <w:top w:val="nil"/>
              <w:left w:val="nil"/>
              <w:bottom w:val="single" w:sz="8" w:space="0" w:color="A9A9A9"/>
              <w:right w:val="single" w:sz="8" w:space="0" w:color="A9A9A9"/>
            </w:tcBorders>
            <w:shd w:val="clear" w:color="000000" w:fill="FFFFFF"/>
            <w:noWrap/>
            <w:vAlign w:val="center"/>
            <w:hideMark/>
          </w:tcPr>
          <w:p w14:paraId="61B9473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3.612</w:t>
            </w:r>
          </w:p>
        </w:tc>
        <w:tc>
          <w:tcPr>
            <w:tcW w:w="596" w:type="dxa"/>
            <w:tcBorders>
              <w:top w:val="nil"/>
              <w:left w:val="nil"/>
              <w:bottom w:val="single" w:sz="8" w:space="0" w:color="A9A9A9"/>
              <w:right w:val="single" w:sz="8" w:space="0" w:color="A9A9A9"/>
            </w:tcBorders>
            <w:shd w:val="clear" w:color="000000" w:fill="FFFFFF"/>
            <w:noWrap/>
            <w:vAlign w:val="center"/>
            <w:hideMark/>
          </w:tcPr>
          <w:p w14:paraId="1BECDC6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4.923</w:t>
            </w:r>
          </w:p>
        </w:tc>
        <w:tc>
          <w:tcPr>
            <w:tcW w:w="624" w:type="dxa"/>
            <w:tcBorders>
              <w:top w:val="nil"/>
              <w:left w:val="nil"/>
              <w:bottom w:val="single" w:sz="8" w:space="0" w:color="A9A9A9"/>
              <w:right w:val="single" w:sz="8" w:space="0" w:color="A9A9A9"/>
            </w:tcBorders>
            <w:shd w:val="clear" w:color="000000" w:fill="FFFFFF"/>
            <w:noWrap/>
            <w:vAlign w:val="center"/>
            <w:hideMark/>
          </w:tcPr>
          <w:p w14:paraId="68D0E8D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4.772</w:t>
            </w:r>
          </w:p>
        </w:tc>
        <w:tc>
          <w:tcPr>
            <w:tcW w:w="678" w:type="dxa"/>
            <w:tcBorders>
              <w:top w:val="nil"/>
              <w:left w:val="nil"/>
              <w:bottom w:val="single" w:sz="8" w:space="0" w:color="A9A9A9"/>
              <w:right w:val="single" w:sz="8" w:space="0" w:color="A9A9A9"/>
            </w:tcBorders>
            <w:shd w:val="clear" w:color="000000" w:fill="FFFFFF"/>
            <w:noWrap/>
            <w:vAlign w:val="center"/>
            <w:hideMark/>
          </w:tcPr>
          <w:p w14:paraId="318220A8"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5.246</w:t>
            </w:r>
          </w:p>
        </w:tc>
        <w:tc>
          <w:tcPr>
            <w:tcW w:w="597" w:type="dxa"/>
            <w:tcBorders>
              <w:top w:val="nil"/>
              <w:left w:val="nil"/>
              <w:bottom w:val="single" w:sz="8" w:space="0" w:color="A9A9A9"/>
              <w:right w:val="single" w:sz="8" w:space="0" w:color="A9A9A9"/>
            </w:tcBorders>
            <w:shd w:val="clear" w:color="000000" w:fill="FFFFFF"/>
            <w:noWrap/>
            <w:vAlign w:val="center"/>
            <w:hideMark/>
          </w:tcPr>
          <w:p w14:paraId="682B939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5.606</w:t>
            </w:r>
          </w:p>
        </w:tc>
        <w:tc>
          <w:tcPr>
            <w:tcW w:w="709" w:type="dxa"/>
            <w:tcBorders>
              <w:top w:val="nil"/>
              <w:left w:val="nil"/>
              <w:bottom w:val="single" w:sz="8" w:space="0" w:color="A9A9A9"/>
              <w:right w:val="single" w:sz="8" w:space="0" w:color="A9A9A9"/>
            </w:tcBorders>
            <w:shd w:val="clear" w:color="auto" w:fill="auto"/>
            <w:noWrap/>
            <w:vAlign w:val="center"/>
            <w:hideMark/>
          </w:tcPr>
          <w:p w14:paraId="6ACACBE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6.170 M</w:t>
            </w:r>
          </w:p>
        </w:tc>
        <w:tc>
          <w:tcPr>
            <w:tcW w:w="612" w:type="dxa"/>
            <w:tcBorders>
              <w:top w:val="nil"/>
              <w:left w:val="nil"/>
              <w:bottom w:val="single" w:sz="8" w:space="0" w:color="A9A9A9"/>
              <w:right w:val="single" w:sz="8" w:space="0" w:color="A9A9A9"/>
            </w:tcBorders>
            <w:shd w:val="clear" w:color="auto" w:fill="auto"/>
            <w:noWrap/>
            <w:vAlign w:val="center"/>
            <w:hideMark/>
          </w:tcPr>
          <w:p w14:paraId="00FDE711"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3.735 M</w:t>
            </w:r>
          </w:p>
        </w:tc>
        <w:tc>
          <w:tcPr>
            <w:tcW w:w="799" w:type="dxa"/>
            <w:tcBorders>
              <w:top w:val="nil"/>
              <w:left w:val="nil"/>
              <w:bottom w:val="single" w:sz="8" w:space="0" w:color="A9A9A9"/>
              <w:right w:val="single" w:sz="8" w:space="0" w:color="A9A9A9"/>
            </w:tcBorders>
            <w:shd w:val="clear" w:color="auto" w:fill="auto"/>
            <w:noWrap/>
            <w:vAlign w:val="center"/>
            <w:hideMark/>
          </w:tcPr>
          <w:p w14:paraId="279631D9"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569</w:t>
            </w:r>
          </w:p>
        </w:tc>
        <w:tc>
          <w:tcPr>
            <w:tcW w:w="567" w:type="dxa"/>
            <w:tcBorders>
              <w:top w:val="nil"/>
              <w:left w:val="nil"/>
              <w:bottom w:val="single" w:sz="8" w:space="0" w:color="A9A9A9"/>
              <w:right w:val="single" w:sz="8" w:space="0" w:color="A9A9A9"/>
            </w:tcBorders>
            <w:shd w:val="clear" w:color="auto" w:fill="auto"/>
            <w:noWrap/>
            <w:vAlign w:val="center"/>
            <w:hideMark/>
          </w:tcPr>
          <w:p w14:paraId="48030DE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794</w:t>
            </w:r>
          </w:p>
        </w:tc>
        <w:tc>
          <w:tcPr>
            <w:tcW w:w="567" w:type="dxa"/>
            <w:tcBorders>
              <w:top w:val="nil"/>
              <w:left w:val="nil"/>
              <w:bottom w:val="single" w:sz="8" w:space="0" w:color="A9A9A9"/>
              <w:right w:val="single" w:sz="8" w:space="0" w:color="A9A9A9"/>
            </w:tcBorders>
            <w:shd w:val="clear" w:color="auto" w:fill="auto"/>
            <w:noWrap/>
            <w:vAlign w:val="center"/>
            <w:hideMark/>
          </w:tcPr>
          <w:p w14:paraId="383A160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764</w:t>
            </w:r>
          </w:p>
        </w:tc>
        <w:tc>
          <w:tcPr>
            <w:tcW w:w="504" w:type="dxa"/>
            <w:tcBorders>
              <w:top w:val="nil"/>
              <w:left w:val="nil"/>
              <w:bottom w:val="single" w:sz="8" w:space="0" w:color="A9A9A9"/>
              <w:right w:val="single" w:sz="8" w:space="0" w:color="A9A9A9"/>
            </w:tcBorders>
            <w:shd w:val="clear" w:color="auto" w:fill="auto"/>
            <w:noWrap/>
            <w:vAlign w:val="center"/>
            <w:hideMark/>
          </w:tcPr>
          <w:p w14:paraId="276AD88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785</w:t>
            </w:r>
          </w:p>
        </w:tc>
        <w:tc>
          <w:tcPr>
            <w:tcW w:w="630" w:type="dxa"/>
            <w:tcBorders>
              <w:top w:val="nil"/>
              <w:left w:val="nil"/>
              <w:bottom w:val="single" w:sz="8" w:space="0" w:color="A9A9A9"/>
              <w:right w:val="single" w:sz="8" w:space="0" w:color="A9A9A9"/>
            </w:tcBorders>
            <w:shd w:val="clear" w:color="auto" w:fill="auto"/>
            <w:noWrap/>
            <w:vAlign w:val="center"/>
            <w:hideMark/>
          </w:tcPr>
          <w:p w14:paraId="4901039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885</w:t>
            </w:r>
          </w:p>
        </w:tc>
        <w:tc>
          <w:tcPr>
            <w:tcW w:w="567" w:type="dxa"/>
            <w:tcBorders>
              <w:top w:val="nil"/>
              <w:left w:val="nil"/>
              <w:bottom w:val="single" w:sz="8" w:space="0" w:color="A9A9A9"/>
              <w:right w:val="single" w:sz="8" w:space="0" w:color="A9A9A9"/>
            </w:tcBorders>
            <w:shd w:val="clear" w:color="auto" w:fill="auto"/>
            <w:noWrap/>
            <w:vAlign w:val="center"/>
            <w:hideMark/>
          </w:tcPr>
          <w:p w14:paraId="46F478B3"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935 M</w:t>
            </w:r>
          </w:p>
        </w:tc>
        <w:tc>
          <w:tcPr>
            <w:tcW w:w="709" w:type="dxa"/>
            <w:tcBorders>
              <w:top w:val="nil"/>
              <w:left w:val="nil"/>
              <w:bottom w:val="single" w:sz="8" w:space="0" w:color="A9A9A9"/>
              <w:right w:val="single" w:sz="8" w:space="0" w:color="A9A9A9"/>
            </w:tcBorders>
            <w:shd w:val="clear" w:color="auto" w:fill="auto"/>
            <w:noWrap/>
            <w:vAlign w:val="center"/>
            <w:hideMark/>
          </w:tcPr>
          <w:p w14:paraId="2BC73CA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605 M</w:t>
            </w:r>
          </w:p>
        </w:tc>
      </w:tr>
      <w:tr w:rsidR="006B6A1F" w:rsidRPr="00910707" w14:paraId="6E9AB158"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28820535" w14:textId="77777777" w:rsidR="006B6A1F" w:rsidRPr="00396A4C" w:rsidRDefault="006B6A1F" w:rsidP="006B6A1F">
            <w:pPr>
              <w:spacing w:line="240" w:lineRule="auto"/>
              <w:ind w:right="-3" w:firstLineChars="41" w:firstLine="57"/>
              <w:rPr>
                <w:bCs/>
                <w:color w:val="000000"/>
                <w:sz w:val="14"/>
                <w:szCs w:val="14"/>
                <w:lang w:eastAsia="sl-SI"/>
              </w:rPr>
            </w:pPr>
            <w:r w:rsidRPr="00396A4C">
              <w:rPr>
                <w:bCs/>
                <w:color w:val="000000"/>
                <w:sz w:val="14"/>
                <w:szCs w:val="14"/>
                <w:lang w:eastAsia="sl-SI"/>
              </w:rPr>
              <w:t>od 10 do 19</w:t>
            </w:r>
          </w:p>
        </w:tc>
        <w:tc>
          <w:tcPr>
            <w:tcW w:w="575" w:type="dxa"/>
            <w:tcBorders>
              <w:top w:val="nil"/>
              <w:left w:val="nil"/>
              <w:bottom w:val="single" w:sz="8" w:space="0" w:color="A9A9A9"/>
              <w:right w:val="single" w:sz="8" w:space="0" w:color="A9A9A9"/>
            </w:tcBorders>
            <w:shd w:val="clear" w:color="000000" w:fill="FFFFFF"/>
            <w:noWrap/>
            <w:vAlign w:val="center"/>
            <w:hideMark/>
          </w:tcPr>
          <w:p w14:paraId="1F0E8DA2"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1.930</w:t>
            </w:r>
          </w:p>
        </w:tc>
        <w:tc>
          <w:tcPr>
            <w:tcW w:w="596" w:type="dxa"/>
            <w:tcBorders>
              <w:top w:val="nil"/>
              <w:left w:val="nil"/>
              <w:bottom w:val="single" w:sz="8" w:space="0" w:color="A9A9A9"/>
              <w:right w:val="single" w:sz="8" w:space="0" w:color="A9A9A9"/>
            </w:tcBorders>
            <w:shd w:val="clear" w:color="000000" w:fill="FFFFFF"/>
            <w:noWrap/>
            <w:vAlign w:val="center"/>
            <w:hideMark/>
          </w:tcPr>
          <w:p w14:paraId="0C5C4F5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2.420</w:t>
            </w:r>
          </w:p>
        </w:tc>
        <w:tc>
          <w:tcPr>
            <w:tcW w:w="624" w:type="dxa"/>
            <w:tcBorders>
              <w:top w:val="nil"/>
              <w:left w:val="nil"/>
              <w:bottom w:val="single" w:sz="8" w:space="0" w:color="A9A9A9"/>
              <w:right w:val="single" w:sz="8" w:space="0" w:color="A9A9A9"/>
            </w:tcBorders>
            <w:shd w:val="clear" w:color="000000" w:fill="FFFFFF"/>
            <w:noWrap/>
            <w:vAlign w:val="center"/>
            <w:hideMark/>
          </w:tcPr>
          <w:p w14:paraId="4C5CFED2"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3.908</w:t>
            </w:r>
          </w:p>
        </w:tc>
        <w:tc>
          <w:tcPr>
            <w:tcW w:w="678" w:type="dxa"/>
            <w:tcBorders>
              <w:top w:val="nil"/>
              <w:left w:val="nil"/>
              <w:bottom w:val="single" w:sz="8" w:space="0" w:color="A9A9A9"/>
              <w:right w:val="single" w:sz="8" w:space="0" w:color="A9A9A9"/>
            </w:tcBorders>
            <w:shd w:val="clear" w:color="000000" w:fill="FFFFFF"/>
            <w:noWrap/>
            <w:vAlign w:val="center"/>
            <w:hideMark/>
          </w:tcPr>
          <w:p w14:paraId="26A890F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2.984</w:t>
            </w:r>
          </w:p>
        </w:tc>
        <w:tc>
          <w:tcPr>
            <w:tcW w:w="597" w:type="dxa"/>
            <w:tcBorders>
              <w:top w:val="nil"/>
              <w:left w:val="nil"/>
              <w:bottom w:val="single" w:sz="8" w:space="0" w:color="A9A9A9"/>
              <w:right w:val="single" w:sz="8" w:space="0" w:color="A9A9A9"/>
            </w:tcBorders>
            <w:shd w:val="clear" w:color="000000" w:fill="FFFFFF"/>
            <w:noWrap/>
            <w:vAlign w:val="center"/>
            <w:hideMark/>
          </w:tcPr>
          <w:p w14:paraId="2BCD081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3.882</w:t>
            </w:r>
          </w:p>
        </w:tc>
        <w:tc>
          <w:tcPr>
            <w:tcW w:w="709" w:type="dxa"/>
            <w:tcBorders>
              <w:top w:val="nil"/>
              <w:left w:val="nil"/>
              <w:bottom w:val="single" w:sz="8" w:space="0" w:color="A9A9A9"/>
              <w:right w:val="single" w:sz="8" w:space="0" w:color="A9A9A9"/>
            </w:tcBorders>
            <w:shd w:val="clear" w:color="auto" w:fill="auto"/>
            <w:noWrap/>
            <w:vAlign w:val="center"/>
            <w:hideMark/>
          </w:tcPr>
          <w:p w14:paraId="73BBA647"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3.130 M</w:t>
            </w:r>
          </w:p>
        </w:tc>
        <w:tc>
          <w:tcPr>
            <w:tcW w:w="612" w:type="dxa"/>
            <w:tcBorders>
              <w:top w:val="nil"/>
              <w:left w:val="nil"/>
              <w:bottom w:val="single" w:sz="8" w:space="0" w:color="A9A9A9"/>
              <w:right w:val="single" w:sz="8" w:space="0" w:color="A9A9A9"/>
            </w:tcBorders>
            <w:shd w:val="clear" w:color="auto" w:fill="auto"/>
            <w:noWrap/>
            <w:vAlign w:val="center"/>
            <w:hideMark/>
          </w:tcPr>
          <w:p w14:paraId="00E6E8C9"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2.916 M</w:t>
            </w:r>
          </w:p>
        </w:tc>
        <w:tc>
          <w:tcPr>
            <w:tcW w:w="799" w:type="dxa"/>
            <w:tcBorders>
              <w:top w:val="nil"/>
              <w:left w:val="nil"/>
              <w:bottom w:val="single" w:sz="8" w:space="0" w:color="A9A9A9"/>
              <w:right w:val="single" w:sz="8" w:space="0" w:color="A9A9A9"/>
            </w:tcBorders>
            <w:shd w:val="clear" w:color="auto" w:fill="auto"/>
            <w:noWrap/>
            <w:vAlign w:val="center"/>
            <w:hideMark/>
          </w:tcPr>
          <w:p w14:paraId="357D0537"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149</w:t>
            </w:r>
          </w:p>
        </w:tc>
        <w:tc>
          <w:tcPr>
            <w:tcW w:w="567" w:type="dxa"/>
            <w:tcBorders>
              <w:top w:val="nil"/>
              <w:left w:val="nil"/>
              <w:bottom w:val="single" w:sz="8" w:space="0" w:color="A9A9A9"/>
              <w:right w:val="single" w:sz="8" w:space="0" w:color="A9A9A9"/>
            </w:tcBorders>
            <w:shd w:val="clear" w:color="auto" w:fill="auto"/>
            <w:noWrap/>
            <w:vAlign w:val="center"/>
            <w:hideMark/>
          </w:tcPr>
          <w:p w14:paraId="183DF08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200</w:t>
            </w:r>
          </w:p>
        </w:tc>
        <w:tc>
          <w:tcPr>
            <w:tcW w:w="567" w:type="dxa"/>
            <w:tcBorders>
              <w:top w:val="nil"/>
              <w:left w:val="nil"/>
              <w:bottom w:val="single" w:sz="8" w:space="0" w:color="A9A9A9"/>
              <w:right w:val="single" w:sz="8" w:space="0" w:color="A9A9A9"/>
            </w:tcBorders>
            <w:shd w:val="clear" w:color="auto" w:fill="auto"/>
            <w:noWrap/>
            <w:vAlign w:val="center"/>
            <w:hideMark/>
          </w:tcPr>
          <w:p w14:paraId="1B41B01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320</w:t>
            </w:r>
          </w:p>
        </w:tc>
        <w:tc>
          <w:tcPr>
            <w:tcW w:w="504" w:type="dxa"/>
            <w:tcBorders>
              <w:top w:val="nil"/>
              <w:left w:val="nil"/>
              <w:bottom w:val="single" w:sz="8" w:space="0" w:color="A9A9A9"/>
              <w:right w:val="single" w:sz="8" w:space="0" w:color="A9A9A9"/>
            </w:tcBorders>
            <w:shd w:val="clear" w:color="auto" w:fill="auto"/>
            <w:noWrap/>
            <w:vAlign w:val="center"/>
            <w:hideMark/>
          </w:tcPr>
          <w:p w14:paraId="420DCAB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233</w:t>
            </w:r>
          </w:p>
        </w:tc>
        <w:tc>
          <w:tcPr>
            <w:tcW w:w="630" w:type="dxa"/>
            <w:tcBorders>
              <w:top w:val="nil"/>
              <w:left w:val="nil"/>
              <w:bottom w:val="single" w:sz="8" w:space="0" w:color="A9A9A9"/>
              <w:right w:val="single" w:sz="8" w:space="0" w:color="A9A9A9"/>
            </w:tcBorders>
            <w:shd w:val="clear" w:color="auto" w:fill="auto"/>
            <w:noWrap/>
            <w:vAlign w:val="center"/>
            <w:hideMark/>
          </w:tcPr>
          <w:p w14:paraId="262665D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308</w:t>
            </w:r>
          </w:p>
        </w:tc>
        <w:tc>
          <w:tcPr>
            <w:tcW w:w="567" w:type="dxa"/>
            <w:tcBorders>
              <w:top w:val="nil"/>
              <w:left w:val="nil"/>
              <w:bottom w:val="single" w:sz="8" w:space="0" w:color="A9A9A9"/>
              <w:right w:val="single" w:sz="8" w:space="0" w:color="A9A9A9"/>
            </w:tcBorders>
            <w:shd w:val="clear" w:color="auto" w:fill="auto"/>
            <w:noWrap/>
            <w:vAlign w:val="center"/>
            <w:hideMark/>
          </w:tcPr>
          <w:p w14:paraId="2A1E762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248 M</w:t>
            </w:r>
          </w:p>
        </w:tc>
        <w:tc>
          <w:tcPr>
            <w:tcW w:w="709" w:type="dxa"/>
            <w:tcBorders>
              <w:top w:val="nil"/>
              <w:left w:val="nil"/>
              <w:bottom w:val="single" w:sz="8" w:space="0" w:color="A9A9A9"/>
              <w:right w:val="single" w:sz="8" w:space="0" w:color="A9A9A9"/>
            </w:tcBorders>
            <w:shd w:val="clear" w:color="auto" w:fill="auto"/>
            <w:noWrap/>
            <w:vAlign w:val="center"/>
            <w:hideMark/>
          </w:tcPr>
          <w:p w14:paraId="6DA85A3C"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233 M</w:t>
            </w:r>
          </w:p>
        </w:tc>
      </w:tr>
      <w:tr w:rsidR="006B6A1F" w:rsidRPr="00910707" w14:paraId="6046DCFE" w14:textId="77777777" w:rsidTr="006B6A1F">
        <w:trPr>
          <w:trHeight w:val="397"/>
        </w:trPr>
        <w:tc>
          <w:tcPr>
            <w:tcW w:w="899" w:type="dxa"/>
            <w:tcBorders>
              <w:top w:val="nil"/>
              <w:left w:val="single" w:sz="8" w:space="0" w:color="949494"/>
              <w:bottom w:val="single" w:sz="8" w:space="0" w:color="949494"/>
              <w:right w:val="single" w:sz="8" w:space="0" w:color="949494"/>
            </w:tcBorders>
            <w:shd w:val="clear" w:color="auto" w:fill="auto"/>
            <w:vAlign w:val="center"/>
            <w:hideMark/>
          </w:tcPr>
          <w:p w14:paraId="3F927F6B" w14:textId="77777777" w:rsidR="006B6A1F" w:rsidRPr="00396A4C" w:rsidRDefault="006B6A1F" w:rsidP="006B6A1F">
            <w:pPr>
              <w:spacing w:line="240" w:lineRule="auto"/>
              <w:ind w:right="-3" w:firstLineChars="47" w:firstLine="66"/>
              <w:rPr>
                <w:bCs/>
                <w:color w:val="FFFFFF"/>
                <w:sz w:val="14"/>
                <w:szCs w:val="14"/>
                <w:lang w:eastAsia="sl-SI"/>
              </w:rPr>
            </w:pPr>
            <w:r w:rsidRPr="00396A4C">
              <w:rPr>
                <w:bCs/>
                <w:sz w:val="14"/>
                <w:szCs w:val="14"/>
                <w:lang w:eastAsia="sl-SI"/>
              </w:rPr>
              <w:t>od 20 ali več</w:t>
            </w:r>
          </w:p>
        </w:tc>
        <w:tc>
          <w:tcPr>
            <w:tcW w:w="575" w:type="dxa"/>
            <w:tcBorders>
              <w:top w:val="nil"/>
              <w:left w:val="nil"/>
              <w:bottom w:val="single" w:sz="8" w:space="0" w:color="A9A9A9"/>
              <w:right w:val="single" w:sz="8" w:space="0" w:color="A9A9A9"/>
            </w:tcBorders>
            <w:shd w:val="clear" w:color="000000" w:fill="FFFFFF"/>
            <w:noWrap/>
            <w:vAlign w:val="center"/>
            <w:hideMark/>
          </w:tcPr>
          <w:p w14:paraId="722F0ED9"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1.512</w:t>
            </w:r>
          </w:p>
        </w:tc>
        <w:tc>
          <w:tcPr>
            <w:tcW w:w="596" w:type="dxa"/>
            <w:tcBorders>
              <w:top w:val="nil"/>
              <w:left w:val="nil"/>
              <w:bottom w:val="single" w:sz="8" w:space="0" w:color="A9A9A9"/>
              <w:right w:val="single" w:sz="8" w:space="0" w:color="A9A9A9"/>
            </w:tcBorders>
            <w:shd w:val="clear" w:color="000000" w:fill="FFFFFF"/>
            <w:noWrap/>
            <w:vAlign w:val="center"/>
            <w:hideMark/>
          </w:tcPr>
          <w:p w14:paraId="1259990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1.986</w:t>
            </w:r>
          </w:p>
        </w:tc>
        <w:tc>
          <w:tcPr>
            <w:tcW w:w="624" w:type="dxa"/>
            <w:tcBorders>
              <w:top w:val="nil"/>
              <w:left w:val="nil"/>
              <w:bottom w:val="single" w:sz="8" w:space="0" w:color="A9A9A9"/>
              <w:right w:val="single" w:sz="8" w:space="0" w:color="A9A9A9"/>
            </w:tcBorders>
            <w:shd w:val="clear" w:color="000000" w:fill="FFFFFF"/>
            <w:noWrap/>
            <w:vAlign w:val="center"/>
            <w:hideMark/>
          </w:tcPr>
          <w:p w14:paraId="124FDD70"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2.328</w:t>
            </w:r>
          </w:p>
        </w:tc>
        <w:tc>
          <w:tcPr>
            <w:tcW w:w="678" w:type="dxa"/>
            <w:tcBorders>
              <w:top w:val="nil"/>
              <w:left w:val="nil"/>
              <w:bottom w:val="single" w:sz="8" w:space="0" w:color="A9A9A9"/>
              <w:right w:val="single" w:sz="8" w:space="0" w:color="A9A9A9"/>
            </w:tcBorders>
            <w:shd w:val="clear" w:color="000000" w:fill="FFFFFF"/>
            <w:noWrap/>
            <w:vAlign w:val="center"/>
            <w:hideMark/>
          </w:tcPr>
          <w:p w14:paraId="1CEEC0E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2.945</w:t>
            </w:r>
          </w:p>
        </w:tc>
        <w:tc>
          <w:tcPr>
            <w:tcW w:w="597" w:type="dxa"/>
            <w:tcBorders>
              <w:top w:val="nil"/>
              <w:left w:val="nil"/>
              <w:bottom w:val="single" w:sz="8" w:space="0" w:color="A9A9A9"/>
              <w:right w:val="single" w:sz="8" w:space="0" w:color="A9A9A9"/>
            </w:tcBorders>
            <w:shd w:val="clear" w:color="000000" w:fill="FFFFFF"/>
            <w:noWrap/>
            <w:vAlign w:val="center"/>
            <w:hideMark/>
          </w:tcPr>
          <w:p w14:paraId="0E6AD54E"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3.301</w:t>
            </w:r>
          </w:p>
        </w:tc>
        <w:tc>
          <w:tcPr>
            <w:tcW w:w="709" w:type="dxa"/>
            <w:tcBorders>
              <w:top w:val="nil"/>
              <w:left w:val="nil"/>
              <w:bottom w:val="single" w:sz="8" w:space="0" w:color="A9A9A9"/>
              <w:right w:val="single" w:sz="8" w:space="0" w:color="A9A9A9"/>
            </w:tcBorders>
            <w:shd w:val="clear" w:color="000000" w:fill="FFFFFF"/>
            <w:noWrap/>
            <w:vAlign w:val="center"/>
            <w:hideMark/>
          </w:tcPr>
          <w:p w14:paraId="3385C915"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3.031 M</w:t>
            </w:r>
          </w:p>
        </w:tc>
        <w:tc>
          <w:tcPr>
            <w:tcW w:w="612" w:type="dxa"/>
            <w:tcBorders>
              <w:top w:val="nil"/>
              <w:left w:val="nil"/>
              <w:bottom w:val="single" w:sz="8" w:space="0" w:color="A9A9A9"/>
              <w:right w:val="single" w:sz="8" w:space="0" w:color="A9A9A9"/>
            </w:tcBorders>
            <w:shd w:val="clear" w:color="000000" w:fill="FFFFFF"/>
            <w:noWrap/>
            <w:vAlign w:val="center"/>
            <w:hideMark/>
          </w:tcPr>
          <w:p w14:paraId="2E8009D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3.240 M</w:t>
            </w:r>
          </w:p>
        </w:tc>
        <w:tc>
          <w:tcPr>
            <w:tcW w:w="799" w:type="dxa"/>
            <w:tcBorders>
              <w:top w:val="nil"/>
              <w:left w:val="nil"/>
              <w:bottom w:val="single" w:sz="8" w:space="0" w:color="A9A9A9"/>
              <w:right w:val="single" w:sz="8" w:space="0" w:color="A9A9A9"/>
            </w:tcBorders>
            <w:shd w:val="clear" w:color="000000" w:fill="FFFFFF"/>
            <w:noWrap/>
            <w:vAlign w:val="center"/>
            <w:hideMark/>
          </w:tcPr>
          <w:p w14:paraId="010737F5" w14:textId="77777777" w:rsidR="006B6A1F" w:rsidRPr="00396A4C" w:rsidRDefault="006B6A1F" w:rsidP="006B6A1F">
            <w:pPr>
              <w:spacing w:line="240" w:lineRule="auto"/>
              <w:ind w:right="126"/>
              <w:jc w:val="right"/>
              <w:rPr>
                <w:color w:val="333333"/>
                <w:sz w:val="14"/>
                <w:szCs w:val="14"/>
                <w:lang w:eastAsia="sl-SI"/>
              </w:rPr>
            </w:pPr>
            <w:r w:rsidRPr="00396A4C">
              <w:rPr>
                <w:color w:val="333333"/>
                <w:sz w:val="14"/>
                <w:szCs w:val="14"/>
                <w:lang w:eastAsia="sl-SI"/>
              </w:rPr>
              <w:t>44</w:t>
            </w:r>
          </w:p>
        </w:tc>
        <w:tc>
          <w:tcPr>
            <w:tcW w:w="567" w:type="dxa"/>
            <w:tcBorders>
              <w:top w:val="nil"/>
              <w:left w:val="nil"/>
              <w:bottom w:val="single" w:sz="8" w:space="0" w:color="A9A9A9"/>
              <w:right w:val="single" w:sz="8" w:space="0" w:color="A9A9A9"/>
            </w:tcBorders>
            <w:shd w:val="clear" w:color="000000" w:fill="FFFFFF"/>
            <w:noWrap/>
            <w:vAlign w:val="center"/>
            <w:hideMark/>
          </w:tcPr>
          <w:p w14:paraId="0CFA6F39"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57</w:t>
            </w:r>
          </w:p>
        </w:tc>
        <w:tc>
          <w:tcPr>
            <w:tcW w:w="567" w:type="dxa"/>
            <w:tcBorders>
              <w:top w:val="nil"/>
              <w:left w:val="nil"/>
              <w:bottom w:val="single" w:sz="8" w:space="0" w:color="A9A9A9"/>
              <w:right w:val="single" w:sz="8" w:space="0" w:color="A9A9A9"/>
            </w:tcBorders>
            <w:shd w:val="clear" w:color="000000" w:fill="FFFFFF"/>
            <w:noWrap/>
            <w:vAlign w:val="center"/>
            <w:hideMark/>
          </w:tcPr>
          <w:p w14:paraId="7E89A08A"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45</w:t>
            </w:r>
          </w:p>
        </w:tc>
        <w:tc>
          <w:tcPr>
            <w:tcW w:w="504" w:type="dxa"/>
            <w:tcBorders>
              <w:top w:val="nil"/>
              <w:left w:val="nil"/>
              <w:bottom w:val="single" w:sz="8" w:space="0" w:color="A9A9A9"/>
              <w:right w:val="single" w:sz="8" w:space="0" w:color="A9A9A9"/>
            </w:tcBorders>
            <w:shd w:val="clear" w:color="000000" w:fill="FFFFFF"/>
            <w:noWrap/>
            <w:vAlign w:val="center"/>
            <w:hideMark/>
          </w:tcPr>
          <w:p w14:paraId="00E0DABD"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83</w:t>
            </w:r>
          </w:p>
        </w:tc>
        <w:tc>
          <w:tcPr>
            <w:tcW w:w="630" w:type="dxa"/>
            <w:tcBorders>
              <w:top w:val="nil"/>
              <w:left w:val="nil"/>
              <w:bottom w:val="single" w:sz="8" w:space="0" w:color="A9A9A9"/>
              <w:right w:val="single" w:sz="8" w:space="0" w:color="A9A9A9"/>
            </w:tcBorders>
            <w:shd w:val="clear" w:color="000000" w:fill="FFFFFF"/>
            <w:noWrap/>
            <w:vAlign w:val="center"/>
            <w:hideMark/>
          </w:tcPr>
          <w:p w14:paraId="4D34459F"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89</w:t>
            </w:r>
          </w:p>
        </w:tc>
        <w:tc>
          <w:tcPr>
            <w:tcW w:w="567" w:type="dxa"/>
            <w:tcBorders>
              <w:top w:val="nil"/>
              <w:left w:val="nil"/>
              <w:bottom w:val="single" w:sz="8" w:space="0" w:color="A9A9A9"/>
              <w:right w:val="single" w:sz="8" w:space="0" w:color="A9A9A9"/>
            </w:tcBorders>
            <w:shd w:val="clear" w:color="000000" w:fill="FFFFFF"/>
            <w:noWrap/>
            <w:vAlign w:val="center"/>
            <w:hideMark/>
          </w:tcPr>
          <w:p w14:paraId="695FD11B"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90 M</w:t>
            </w:r>
          </w:p>
        </w:tc>
        <w:tc>
          <w:tcPr>
            <w:tcW w:w="709" w:type="dxa"/>
            <w:tcBorders>
              <w:top w:val="nil"/>
              <w:left w:val="nil"/>
              <w:bottom w:val="single" w:sz="8" w:space="0" w:color="A9A9A9"/>
              <w:right w:val="single" w:sz="8" w:space="0" w:color="A9A9A9"/>
            </w:tcBorders>
            <w:shd w:val="clear" w:color="000000" w:fill="FFFFFF"/>
            <w:noWrap/>
            <w:vAlign w:val="center"/>
            <w:hideMark/>
          </w:tcPr>
          <w:p w14:paraId="1BE5F724" w14:textId="77777777" w:rsidR="006B6A1F" w:rsidRPr="00396A4C" w:rsidRDefault="006B6A1F" w:rsidP="006B6A1F">
            <w:pPr>
              <w:spacing w:line="240" w:lineRule="auto"/>
              <w:jc w:val="right"/>
              <w:rPr>
                <w:color w:val="333333"/>
                <w:sz w:val="14"/>
                <w:szCs w:val="14"/>
                <w:lang w:eastAsia="sl-SI"/>
              </w:rPr>
            </w:pPr>
            <w:r w:rsidRPr="00396A4C">
              <w:rPr>
                <w:color w:val="333333"/>
                <w:sz w:val="14"/>
                <w:szCs w:val="14"/>
                <w:lang w:eastAsia="sl-SI"/>
              </w:rPr>
              <w:t>93 M</w:t>
            </w:r>
          </w:p>
        </w:tc>
      </w:tr>
    </w:tbl>
    <w:p w14:paraId="1998EFF7" w14:textId="77777777" w:rsidR="006B6A1F" w:rsidRPr="00726070" w:rsidRDefault="006B6A1F" w:rsidP="006B6A1F">
      <w:pPr>
        <w:spacing w:before="200" w:line="360" w:lineRule="auto"/>
        <w:rPr>
          <w:i/>
          <w:sz w:val="18"/>
          <w:szCs w:val="20"/>
        </w:rPr>
      </w:pPr>
      <w:r w:rsidRPr="00726070">
        <w:rPr>
          <w:i/>
          <w:sz w:val="18"/>
          <w:szCs w:val="20"/>
        </w:rPr>
        <w:t>Vir: SURS; M- manj zanesljivi podatki</w:t>
      </w:r>
    </w:p>
    <w:p w14:paraId="5458E485" w14:textId="5B6B4EE9" w:rsidR="00F679A2" w:rsidRPr="005B2A49" w:rsidRDefault="00F679A2" w:rsidP="005B2A49">
      <w:pPr>
        <w:spacing w:after="120" w:line="260" w:lineRule="atLeast"/>
        <w:rPr>
          <w:rFonts w:eastAsia="Calibri"/>
          <w:szCs w:val="20"/>
        </w:rPr>
      </w:pPr>
    </w:p>
    <w:p w14:paraId="4D73920B" w14:textId="334DCB76" w:rsidR="00F679A2" w:rsidRPr="005B2A49" w:rsidRDefault="00F679A2" w:rsidP="005B2A49">
      <w:pPr>
        <w:spacing w:after="120" w:line="260" w:lineRule="atLeast"/>
        <w:rPr>
          <w:rFonts w:eastAsia="Calibri"/>
        </w:rPr>
      </w:pPr>
      <w:r w:rsidRPr="005B2A49">
        <w:rPr>
          <w:rFonts w:eastAsia="Calibri"/>
          <w:szCs w:val="20"/>
        </w:rPr>
        <w:t>Domača prireja mesa je v letih 2007-2019 bila od 500 do 740 ton</w:t>
      </w:r>
      <w:r w:rsidR="009E7E6E">
        <w:rPr>
          <w:rFonts w:eastAsia="Calibri"/>
          <w:szCs w:val="20"/>
        </w:rPr>
        <w:t xml:space="preserve"> </w:t>
      </w:r>
      <w:r w:rsidR="006B6A1F" w:rsidRPr="00C73213">
        <w:rPr>
          <w:rFonts w:eastAsia="TimesNewRoman"/>
        </w:rPr>
        <w:t>(v povprečju okoli 620 ton). V tem obdobju je bila domača poraba konjskega mesa v povprečju okoli 330 ton letno, pri čemer v letih 2018 in 2019 le okoli 260 ton</w:t>
      </w:r>
      <w:r w:rsidRPr="005B2A49">
        <w:rPr>
          <w:rFonts w:eastAsia="Calibri"/>
          <w:szCs w:val="20"/>
        </w:rPr>
        <w:t xml:space="preserve">. </w:t>
      </w:r>
    </w:p>
    <w:p w14:paraId="0CE1BAFE" w14:textId="332874BC" w:rsidR="006B6A1F" w:rsidRDefault="006B6A1F" w:rsidP="005B2A49">
      <w:pPr>
        <w:spacing w:after="120" w:line="260" w:lineRule="atLeast"/>
        <w:rPr>
          <w:rFonts w:eastAsia="TimesNewRoman"/>
        </w:rPr>
      </w:pPr>
      <w:r w:rsidRPr="00C73213">
        <w:rPr>
          <w:rFonts w:eastAsia="TimesNewRoman"/>
        </w:rPr>
        <w:t>Slovenija je s konjskim mesom samooskrbna</w:t>
      </w:r>
      <w:r w:rsidRPr="006B6A1F" w:rsidDel="006B6A1F">
        <w:rPr>
          <w:rFonts w:eastAsia="Calibri"/>
          <w:szCs w:val="20"/>
        </w:rPr>
        <w:t xml:space="preserve"> </w:t>
      </w:r>
      <w:r w:rsidRPr="00C73213">
        <w:rPr>
          <w:rFonts w:eastAsia="TimesNewRoman"/>
        </w:rPr>
        <w:t>že od leta 2004 dalje</w:t>
      </w:r>
      <w:r w:rsidR="00F679A2" w:rsidRPr="005B2A49">
        <w:rPr>
          <w:rFonts w:eastAsia="Calibri"/>
          <w:szCs w:val="20"/>
        </w:rPr>
        <w:t>. V obdobju 2007 – 2019 se je samooskrba s konjskim mesom gibala med 142</w:t>
      </w:r>
      <w:r>
        <w:rPr>
          <w:rFonts w:eastAsia="Calibri"/>
          <w:szCs w:val="20"/>
        </w:rPr>
        <w:t> </w:t>
      </w:r>
      <w:r w:rsidR="00F679A2" w:rsidRPr="005B2A49">
        <w:rPr>
          <w:rFonts w:eastAsia="Calibri"/>
          <w:szCs w:val="20"/>
        </w:rPr>
        <w:t>% (v letu 2010) in 2</w:t>
      </w:r>
      <w:r>
        <w:rPr>
          <w:rFonts w:eastAsia="Calibri"/>
          <w:szCs w:val="20"/>
        </w:rPr>
        <w:t>48 </w:t>
      </w:r>
      <w:r w:rsidR="00F679A2" w:rsidRPr="005B2A49">
        <w:rPr>
          <w:rFonts w:eastAsia="Calibri"/>
          <w:szCs w:val="20"/>
        </w:rPr>
        <w:t xml:space="preserve">% (v letu 2019). </w:t>
      </w:r>
      <w:r w:rsidRPr="00C73213">
        <w:rPr>
          <w:rFonts w:eastAsia="TimesNewRoman"/>
        </w:rPr>
        <w:t>Poraba konjskega mesa v letih 2007-2019 je bila v povprečju le okoli 163 g na prebivalca. Iz statističnih podatkov je viden trend naraščanja stopnje samooskrbe s konjskim mesom in trend zmanjševanja porabe konjskega mesa na prebivalca.</w:t>
      </w:r>
    </w:p>
    <w:p w14:paraId="32131562" w14:textId="77777777" w:rsidR="00726070" w:rsidRDefault="00726070" w:rsidP="005B2A49">
      <w:pPr>
        <w:spacing w:after="120" w:line="260" w:lineRule="atLeast"/>
        <w:rPr>
          <w:rFonts w:eastAsia="TimesNewRoman"/>
        </w:rPr>
      </w:pPr>
    </w:p>
    <w:p w14:paraId="5C1294EB" w14:textId="0C2240A4" w:rsidR="00726070" w:rsidRDefault="00726070" w:rsidP="00726070">
      <w:pPr>
        <w:pStyle w:val="SCPreglednica"/>
      </w:pPr>
      <w:bookmarkStart w:id="3125" w:name="_Toc86822653"/>
      <w:r>
        <w:t xml:space="preserve">Tabela </w:t>
      </w:r>
      <w:r>
        <w:rPr>
          <w:noProof/>
        </w:rPr>
        <w:fldChar w:fldCharType="begin"/>
      </w:r>
      <w:r>
        <w:rPr>
          <w:noProof/>
        </w:rPr>
        <w:instrText xml:space="preserve"> SEQ Tabela \* ARABIC </w:instrText>
      </w:r>
      <w:r>
        <w:rPr>
          <w:noProof/>
        </w:rPr>
        <w:fldChar w:fldCharType="separate"/>
      </w:r>
      <w:r w:rsidR="0088117A">
        <w:rPr>
          <w:noProof/>
        </w:rPr>
        <w:t>15</w:t>
      </w:r>
      <w:r>
        <w:rPr>
          <w:noProof/>
        </w:rPr>
        <w:fldChar w:fldCharType="end"/>
      </w:r>
      <w:r>
        <w:t xml:space="preserve">: </w:t>
      </w:r>
      <w:r w:rsidRPr="00726070">
        <w:t>Bilanca proizvodnje in porabe konjskega mesa (t, klavna masa)</w:t>
      </w:r>
      <w:bookmarkEnd w:id="312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709"/>
        <w:gridCol w:w="709"/>
        <w:gridCol w:w="560"/>
        <w:gridCol w:w="561"/>
        <w:gridCol w:w="541"/>
        <w:gridCol w:w="606"/>
        <w:gridCol w:w="567"/>
        <w:gridCol w:w="567"/>
        <w:gridCol w:w="567"/>
        <w:gridCol w:w="567"/>
        <w:gridCol w:w="567"/>
      </w:tblGrid>
      <w:tr w:rsidR="006B6A1F" w:rsidRPr="00910707" w14:paraId="65D6A120" w14:textId="77777777" w:rsidTr="006B6A1F">
        <w:trPr>
          <w:trHeight w:val="300"/>
        </w:trPr>
        <w:tc>
          <w:tcPr>
            <w:tcW w:w="2405" w:type="dxa"/>
            <w:shd w:val="clear" w:color="auto" w:fill="auto"/>
            <w:noWrap/>
            <w:vAlign w:val="bottom"/>
            <w:hideMark/>
          </w:tcPr>
          <w:p w14:paraId="56EE2DF2" w14:textId="77777777" w:rsidR="006B6A1F" w:rsidRPr="00396A4C" w:rsidRDefault="006B6A1F" w:rsidP="006B6A1F">
            <w:pPr>
              <w:spacing w:line="240" w:lineRule="auto"/>
              <w:rPr>
                <w:sz w:val="16"/>
                <w:szCs w:val="16"/>
                <w:lang w:eastAsia="sl-SI"/>
              </w:rPr>
            </w:pPr>
          </w:p>
        </w:tc>
        <w:tc>
          <w:tcPr>
            <w:tcW w:w="709" w:type="dxa"/>
            <w:shd w:val="clear" w:color="auto" w:fill="auto"/>
            <w:noWrap/>
            <w:vAlign w:val="bottom"/>
            <w:hideMark/>
          </w:tcPr>
          <w:p w14:paraId="0A65819F"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2007</w:t>
            </w:r>
          </w:p>
        </w:tc>
        <w:tc>
          <w:tcPr>
            <w:tcW w:w="709" w:type="dxa"/>
            <w:shd w:val="clear" w:color="auto" w:fill="auto"/>
            <w:noWrap/>
            <w:vAlign w:val="bottom"/>
            <w:hideMark/>
          </w:tcPr>
          <w:p w14:paraId="732A6908"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2010</w:t>
            </w:r>
          </w:p>
        </w:tc>
        <w:tc>
          <w:tcPr>
            <w:tcW w:w="560" w:type="dxa"/>
            <w:vAlign w:val="bottom"/>
          </w:tcPr>
          <w:p w14:paraId="3D0C418E"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rPr>
              <w:t>2011</w:t>
            </w:r>
          </w:p>
        </w:tc>
        <w:tc>
          <w:tcPr>
            <w:tcW w:w="561" w:type="dxa"/>
            <w:vAlign w:val="bottom"/>
          </w:tcPr>
          <w:p w14:paraId="1A3BC2EC"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rPr>
              <w:t>2012</w:t>
            </w:r>
          </w:p>
        </w:tc>
        <w:tc>
          <w:tcPr>
            <w:tcW w:w="541" w:type="dxa"/>
            <w:vAlign w:val="bottom"/>
          </w:tcPr>
          <w:p w14:paraId="01B1A584"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rPr>
              <w:t>2013</w:t>
            </w:r>
          </w:p>
        </w:tc>
        <w:tc>
          <w:tcPr>
            <w:tcW w:w="606" w:type="dxa"/>
            <w:vAlign w:val="bottom"/>
          </w:tcPr>
          <w:p w14:paraId="17275AE6"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rPr>
              <w:t>2014</w:t>
            </w:r>
          </w:p>
        </w:tc>
        <w:tc>
          <w:tcPr>
            <w:tcW w:w="567" w:type="dxa"/>
            <w:shd w:val="clear" w:color="auto" w:fill="auto"/>
            <w:noWrap/>
            <w:vAlign w:val="bottom"/>
            <w:hideMark/>
          </w:tcPr>
          <w:p w14:paraId="5BD6E7E5"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2015</w:t>
            </w:r>
          </w:p>
        </w:tc>
        <w:tc>
          <w:tcPr>
            <w:tcW w:w="567" w:type="dxa"/>
            <w:shd w:val="clear" w:color="auto" w:fill="auto"/>
            <w:noWrap/>
            <w:vAlign w:val="bottom"/>
            <w:hideMark/>
          </w:tcPr>
          <w:p w14:paraId="5E8B31D4"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2016</w:t>
            </w:r>
          </w:p>
        </w:tc>
        <w:tc>
          <w:tcPr>
            <w:tcW w:w="567" w:type="dxa"/>
            <w:shd w:val="clear" w:color="auto" w:fill="auto"/>
            <w:noWrap/>
            <w:vAlign w:val="bottom"/>
            <w:hideMark/>
          </w:tcPr>
          <w:p w14:paraId="1D03729A"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2017</w:t>
            </w:r>
          </w:p>
        </w:tc>
        <w:tc>
          <w:tcPr>
            <w:tcW w:w="567" w:type="dxa"/>
            <w:shd w:val="clear" w:color="auto" w:fill="auto"/>
            <w:noWrap/>
            <w:vAlign w:val="bottom"/>
            <w:hideMark/>
          </w:tcPr>
          <w:p w14:paraId="28503698"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2018</w:t>
            </w:r>
          </w:p>
        </w:tc>
        <w:tc>
          <w:tcPr>
            <w:tcW w:w="567" w:type="dxa"/>
            <w:shd w:val="clear" w:color="auto" w:fill="auto"/>
            <w:noWrap/>
            <w:vAlign w:val="bottom"/>
            <w:hideMark/>
          </w:tcPr>
          <w:p w14:paraId="284B24FC" w14:textId="77777777" w:rsidR="006B6A1F" w:rsidRPr="00396A4C" w:rsidRDefault="006B6A1F" w:rsidP="006B6A1F">
            <w:pPr>
              <w:spacing w:line="240" w:lineRule="auto"/>
              <w:jc w:val="right"/>
              <w:rPr>
                <w:bCs/>
                <w:color w:val="000000"/>
                <w:sz w:val="16"/>
                <w:szCs w:val="16"/>
                <w:lang w:eastAsia="sl-SI"/>
              </w:rPr>
            </w:pPr>
            <w:r w:rsidRPr="00396A4C">
              <w:rPr>
                <w:bCs/>
                <w:color w:val="000000"/>
                <w:sz w:val="16"/>
                <w:szCs w:val="16"/>
                <w:lang w:eastAsia="sl-SI"/>
              </w:rPr>
              <w:t>2019</w:t>
            </w:r>
          </w:p>
        </w:tc>
      </w:tr>
      <w:tr w:rsidR="006B6A1F" w:rsidRPr="00910707" w14:paraId="776A72FA" w14:textId="77777777" w:rsidTr="006B6A1F">
        <w:trPr>
          <w:trHeight w:val="300"/>
        </w:trPr>
        <w:tc>
          <w:tcPr>
            <w:tcW w:w="2405" w:type="dxa"/>
            <w:shd w:val="clear" w:color="auto" w:fill="auto"/>
            <w:noWrap/>
            <w:vAlign w:val="bottom"/>
            <w:hideMark/>
          </w:tcPr>
          <w:p w14:paraId="75F030B3"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1.1.1. Domača prireja mesa</w:t>
            </w:r>
          </w:p>
        </w:tc>
        <w:tc>
          <w:tcPr>
            <w:tcW w:w="709" w:type="dxa"/>
            <w:shd w:val="clear" w:color="auto" w:fill="auto"/>
            <w:noWrap/>
            <w:vAlign w:val="bottom"/>
            <w:hideMark/>
          </w:tcPr>
          <w:p w14:paraId="1A89285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553</w:t>
            </w:r>
          </w:p>
        </w:tc>
        <w:tc>
          <w:tcPr>
            <w:tcW w:w="709" w:type="dxa"/>
            <w:shd w:val="clear" w:color="auto" w:fill="auto"/>
            <w:noWrap/>
            <w:vAlign w:val="bottom"/>
            <w:hideMark/>
          </w:tcPr>
          <w:p w14:paraId="1ADD0E89"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574</w:t>
            </w:r>
          </w:p>
        </w:tc>
        <w:tc>
          <w:tcPr>
            <w:tcW w:w="560" w:type="dxa"/>
            <w:vAlign w:val="bottom"/>
          </w:tcPr>
          <w:p w14:paraId="2D83667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665</w:t>
            </w:r>
          </w:p>
        </w:tc>
        <w:tc>
          <w:tcPr>
            <w:tcW w:w="561" w:type="dxa"/>
            <w:vAlign w:val="bottom"/>
          </w:tcPr>
          <w:p w14:paraId="24FE2AF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668</w:t>
            </w:r>
          </w:p>
        </w:tc>
        <w:tc>
          <w:tcPr>
            <w:tcW w:w="541" w:type="dxa"/>
            <w:vAlign w:val="bottom"/>
          </w:tcPr>
          <w:p w14:paraId="45C2E96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696</w:t>
            </w:r>
          </w:p>
        </w:tc>
        <w:tc>
          <w:tcPr>
            <w:tcW w:w="606" w:type="dxa"/>
            <w:vAlign w:val="bottom"/>
          </w:tcPr>
          <w:p w14:paraId="6180B33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744</w:t>
            </w:r>
          </w:p>
        </w:tc>
        <w:tc>
          <w:tcPr>
            <w:tcW w:w="567" w:type="dxa"/>
            <w:shd w:val="clear" w:color="auto" w:fill="auto"/>
            <w:noWrap/>
            <w:vAlign w:val="bottom"/>
            <w:hideMark/>
          </w:tcPr>
          <w:p w14:paraId="2168118F"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584</w:t>
            </w:r>
          </w:p>
        </w:tc>
        <w:tc>
          <w:tcPr>
            <w:tcW w:w="567" w:type="dxa"/>
            <w:shd w:val="clear" w:color="auto" w:fill="auto"/>
            <w:noWrap/>
            <w:vAlign w:val="bottom"/>
            <w:hideMark/>
          </w:tcPr>
          <w:p w14:paraId="307666D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633</w:t>
            </w:r>
          </w:p>
        </w:tc>
        <w:tc>
          <w:tcPr>
            <w:tcW w:w="567" w:type="dxa"/>
            <w:shd w:val="clear" w:color="auto" w:fill="auto"/>
            <w:noWrap/>
            <w:vAlign w:val="bottom"/>
            <w:hideMark/>
          </w:tcPr>
          <w:p w14:paraId="4954931C"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636</w:t>
            </w:r>
          </w:p>
        </w:tc>
        <w:tc>
          <w:tcPr>
            <w:tcW w:w="567" w:type="dxa"/>
            <w:shd w:val="clear" w:color="auto" w:fill="auto"/>
            <w:noWrap/>
            <w:vAlign w:val="bottom"/>
            <w:hideMark/>
          </w:tcPr>
          <w:p w14:paraId="4C9C71D0"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604</w:t>
            </w:r>
          </w:p>
        </w:tc>
        <w:tc>
          <w:tcPr>
            <w:tcW w:w="567" w:type="dxa"/>
            <w:shd w:val="clear" w:color="auto" w:fill="auto"/>
            <w:noWrap/>
            <w:vAlign w:val="bottom"/>
            <w:hideMark/>
          </w:tcPr>
          <w:p w14:paraId="28C70DD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667</w:t>
            </w:r>
          </w:p>
        </w:tc>
      </w:tr>
      <w:tr w:rsidR="006B6A1F" w:rsidRPr="00910707" w14:paraId="5F998086" w14:textId="77777777" w:rsidTr="006B6A1F">
        <w:trPr>
          <w:trHeight w:val="300"/>
        </w:trPr>
        <w:tc>
          <w:tcPr>
            <w:tcW w:w="2405" w:type="dxa"/>
            <w:shd w:val="clear" w:color="auto" w:fill="auto"/>
            <w:noWrap/>
            <w:vAlign w:val="bottom"/>
            <w:hideMark/>
          </w:tcPr>
          <w:p w14:paraId="49C9CF6A"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1.1.2. Uvoz živih živali</w:t>
            </w:r>
          </w:p>
        </w:tc>
        <w:tc>
          <w:tcPr>
            <w:tcW w:w="709" w:type="dxa"/>
            <w:shd w:val="clear" w:color="auto" w:fill="auto"/>
            <w:noWrap/>
            <w:vAlign w:val="bottom"/>
            <w:hideMark/>
          </w:tcPr>
          <w:p w14:paraId="5E26F33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w:t>
            </w:r>
          </w:p>
        </w:tc>
        <w:tc>
          <w:tcPr>
            <w:tcW w:w="709" w:type="dxa"/>
            <w:shd w:val="clear" w:color="auto" w:fill="auto"/>
            <w:noWrap/>
            <w:vAlign w:val="bottom"/>
            <w:hideMark/>
          </w:tcPr>
          <w:p w14:paraId="174E744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w:t>
            </w:r>
          </w:p>
        </w:tc>
        <w:tc>
          <w:tcPr>
            <w:tcW w:w="560" w:type="dxa"/>
            <w:vAlign w:val="bottom"/>
          </w:tcPr>
          <w:p w14:paraId="37CFB11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w:t>
            </w:r>
          </w:p>
        </w:tc>
        <w:tc>
          <w:tcPr>
            <w:tcW w:w="561" w:type="dxa"/>
            <w:vAlign w:val="bottom"/>
          </w:tcPr>
          <w:p w14:paraId="35C8BAE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1</w:t>
            </w:r>
          </w:p>
        </w:tc>
        <w:tc>
          <w:tcPr>
            <w:tcW w:w="541" w:type="dxa"/>
            <w:vAlign w:val="bottom"/>
          </w:tcPr>
          <w:p w14:paraId="70B6448B"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w:t>
            </w:r>
          </w:p>
        </w:tc>
        <w:tc>
          <w:tcPr>
            <w:tcW w:w="606" w:type="dxa"/>
            <w:vAlign w:val="bottom"/>
          </w:tcPr>
          <w:p w14:paraId="1B707D89"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w:t>
            </w:r>
          </w:p>
        </w:tc>
        <w:tc>
          <w:tcPr>
            <w:tcW w:w="567" w:type="dxa"/>
            <w:shd w:val="clear" w:color="auto" w:fill="auto"/>
            <w:noWrap/>
            <w:vAlign w:val="bottom"/>
            <w:hideMark/>
          </w:tcPr>
          <w:p w14:paraId="458CC01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65</w:t>
            </w:r>
          </w:p>
        </w:tc>
        <w:tc>
          <w:tcPr>
            <w:tcW w:w="567" w:type="dxa"/>
            <w:shd w:val="clear" w:color="auto" w:fill="auto"/>
            <w:noWrap/>
            <w:vAlign w:val="bottom"/>
            <w:hideMark/>
          </w:tcPr>
          <w:p w14:paraId="43B3267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w:t>
            </w:r>
          </w:p>
        </w:tc>
        <w:tc>
          <w:tcPr>
            <w:tcW w:w="567" w:type="dxa"/>
            <w:shd w:val="clear" w:color="auto" w:fill="auto"/>
            <w:noWrap/>
            <w:vAlign w:val="bottom"/>
            <w:hideMark/>
          </w:tcPr>
          <w:p w14:paraId="4AD6E4A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w:t>
            </w:r>
          </w:p>
        </w:tc>
        <w:tc>
          <w:tcPr>
            <w:tcW w:w="567" w:type="dxa"/>
            <w:shd w:val="clear" w:color="auto" w:fill="auto"/>
            <w:noWrap/>
            <w:vAlign w:val="bottom"/>
            <w:hideMark/>
          </w:tcPr>
          <w:p w14:paraId="310F344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w:t>
            </w:r>
          </w:p>
        </w:tc>
        <w:tc>
          <w:tcPr>
            <w:tcW w:w="567" w:type="dxa"/>
            <w:shd w:val="clear" w:color="auto" w:fill="auto"/>
            <w:noWrap/>
            <w:vAlign w:val="bottom"/>
            <w:hideMark/>
          </w:tcPr>
          <w:p w14:paraId="2F54B46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4</w:t>
            </w:r>
          </w:p>
        </w:tc>
      </w:tr>
      <w:tr w:rsidR="006B6A1F" w:rsidRPr="00910707" w14:paraId="6F9EC4F2" w14:textId="77777777" w:rsidTr="006B6A1F">
        <w:trPr>
          <w:trHeight w:val="300"/>
        </w:trPr>
        <w:tc>
          <w:tcPr>
            <w:tcW w:w="2405" w:type="dxa"/>
            <w:shd w:val="clear" w:color="auto" w:fill="auto"/>
            <w:noWrap/>
            <w:vAlign w:val="bottom"/>
            <w:hideMark/>
          </w:tcPr>
          <w:p w14:paraId="1EE47BDC"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2.1. Izvoz živih živali</w:t>
            </w:r>
          </w:p>
        </w:tc>
        <w:tc>
          <w:tcPr>
            <w:tcW w:w="709" w:type="dxa"/>
            <w:shd w:val="clear" w:color="auto" w:fill="auto"/>
            <w:noWrap/>
            <w:vAlign w:val="bottom"/>
            <w:hideMark/>
          </w:tcPr>
          <w:p w14:paraId="3E705EF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231</w:t>
            </w:r>
          </w:p>
        </w:tc>
        <w:tc>
          <w:tcPr>
            <w:tcW w:w="709" w:type="dxa"/>
            <w:shd w:val="clear" w:color="auto" w:fill="auto"/>
            <w:noWrap/>
            <w:vAlign w:val="bottom"/>
            <w:hideMark/>
          </w:tcPr>
          <w:p w14:paraId="77F824D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192</w:t>
            </w:r>
          </w:p>
        </w:tc>
        <w:tc>
          <w:tcPr>
            <w:tcW w:w="560" w:type="dxa"/>
            <w:vAlign w:val="bottom"/>
          </w:tcPr>
          <w:p w14:paraId="05AA104B"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286</w:t>
            </w:r>
          </w:p>
        </w:tc>
        <w:tc>
          <w:tcPr>
            <w:tcW w:w="561" w:type="dxa"/>
            <w:vAlign w:val="bottom"/>
          </w:tcPr>
          <w:p w14:paraId="683FCC1C"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288</w:t>
            </w:r>
          </w:p>
        </w:tc>
        <w:tc>
          <w:tcPr>
            <w:tcW w:w="541" w:type="dxa"/>
            <w:vAlign w:val="bottom"/>
          </w:tcPr>
          <w:p w14:paraId="7286373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389</w:t>
            </w:r>
          </w:p>
        </w:tc>
        <w:tc>
          <w:tcPr>
            <w:tcW w:w="606" w:type="dxa"/>
            <w:vAlign w:val="bottom"/>
          </w:tcPr>
          <w:p w14:paraId="2201528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400</w:t>
            </w:r>
          </w:p>
        </w:tc>
        <w:tc>
          <w:tcPr>
            <w:tcW w:w="567" w:type="dxa"/>
            <w:shd w:val="clear" w:color="auto" w:fill="auto"/>
            <w:noWrap/>
            <w:vAlign w:val="bottom"/>
            <w:hideMark/>
          </w:tcPr>
          <w:p w14:paraId="27C7261C"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332</w:t>
            </w:r>
          </w:p>
        </w:tc>
        <w:tc>
          <w:tcPr>
            <w:tcW w:w="567" w:type="dxa"/>
            <w:shd w:val="clear" w:color="auto" w:fill="auto"/>
            <w:noWrap/>
            <w:vAlign w:val="bottom"/>
            <w:hideMark/>
          </w:tcPr>
          <w:p w14:paraId="1E0DD4B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315</w:t>
            </w:r>
          </w:p>
        </w:tc>
        <w:tc>
          <w:tcPr>
            <w:tcW w:w="567" w:type="dxa"/>
            <w:shd w:val="clear" w:color="auto" w:fill="auto"/>
            <w:noWrap/>
            <w:vAlign w:val="bottom"/>
            <w:hideMark/>
          </w:tcPr>
          <w:p w14:paraId="13A55FF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350</w:t>
            </w:r>
          </w:p>
        </w:tc>
        <w:tc>
          <w:tcPr>
            <w:tcW w:w="567" w:type="dxa"/>
            <w:shd w:val="clear" w:color="auto" w:fill="auto"/>
            <w:noWrap/>
            <w:vAlign w:val="bottom"/>
            <w:hideMark/>
          </w:tcPr>
          <w:p w14:paraId="4A5E91F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371</w:t>
            </w:r>
          </w:p>
        </w:tc>
        <w:tc>
          <w:tcPr>
            <w:tcW w:w="567" w:type="dxa"/>
            <w:shd w:val="clear" w:color="auto" w:fill="auto"/>
            <w:noWrap/>
            <w:vAlign w:val="bottom"/>
            <w:hideMark/>
          </w:tcPr>
          <w:p w14:paraId="2913974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416</w:t>
            </w:r>
          </w:p>
        </w:tc>
      </w:tr>
      <w:tr w:rsidR="006B6A1F" w:rsidRPr="00910707" w14:paraId="76843FD9" w14:textId="77777777" w:rsidTr="006B6A1F">
        <w:trPr>
          <w:trHeight w:val="300"/>
        </w:trPr>
        <w:tc>
          <w:tcPr>
            <w:tcW w:w="2405" w:type="dxa"/>
            <w:shd w:val="clear" w:color="auto" w:fill="auto"/>
            <w:noWrap/>
            <w:vAlign w:val="bottom"/>
            <w:hideMark/>
          </w:tcPr>
          <w:p w14:paraId="38F66F6D"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1.1. Vse pridobljeno meso</w:t>
            </w:r>
          </w:p>
        </w:tc>
        <w:tc>
          <w:tcPr>
            <w:tcW w:w="709" w:type="dxa"/>
            <w:shd w:val="clear" w:color="auto" w:fill="auto"/>
            <w:noWrap/>
            <w:vAlign w:val="bottom"/>
            <w:hideMark/>
          </w:tcPr>
          <w:p w14:paraId="611D77A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324</w:t>
            </w:r>
          </w:p>
        </w:tc>
        <w:tc>
          <w:tcPr>
            <w:tcW w:w="709" w:type="dxa"/>
            <w:shd w:val="clear" w:color="auto" w:fill="auto"/>
            <w:noWrap/>
            <w:vAlign w:val="bottom"/>
            <w:hideMark/>
          </w:tcPr>
          <w:p w14:paraId="4283E6FC"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382</w:t>
            </w:r>
          </w:p>
        </w:tc>
        <w:tc>
          <w:tcPr>
            <w:tcW w:w="560" w:type="dxa"/>
            <w:vAlign w:val="bottom"/>
          </w:tcPr>
          <w:p w14:paraId="5941168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381</w:t>
            </w:r>
          </w:p>
        </w:tc>
        <w:tc>
          <w:tcPr>
            <w:tcW w:w="561" w:type="dxa"/>
            <w:vAlign w:val="bottom"/>
          </w:tcPr>
          <w:p w14:paraId="310B2A97"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381</w:t>
            </w:r>
          </w:p>
        </w:tc>
        <w:tc>
          <w:tcPr>
            <w:tcW w:w="541" w:type="dxa"/>
            <w:vAlign w:val="bottom"/>
          </w:tcPr>
          <w:p w14:paraId="146DB70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307</w:t>
            </w:r>
          </w:p>
        </w:tc>
        <w:tc>
          <w:tcPr>
            <w:tcW w:w="606" w:type="dxa"/>
            <w:vAlign w:val="bottom"/>
          </w:tcPr>
          <w:p w14:paraId="5012542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344</w:t>
            </w:r>
          </w:p>
        </w:tc>
        <w:tc>
          <w:tcPr>
            <w:tcW w:w="567" w:type="dxa"/>
            <w:shd w:val="clear" w:color="auto" w:fill="auto"/>
            <w:noWrap/>
            <w:vAlign w:val="bottom"/>
            <w:hideMark/>
          </w:tcPr>
          <w:p w14:paraId="6A33AEF0"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317</w:t>
            </w:r>
          </w:p>
        </w:tc>
        <w:tc>
          <w:tcPr>
            <w:tcW w:w="567" w:type="dxa"/>
            <w:shd w:val="clear" w:color="auto" w:fill="auto"/>
            <w:noWrap/>
            <w:vAlign w:val="bottom"/>
            <w:hideMark/>
          </w:tcPr>
          <w:p w14:paraId="5BCB2BA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319</w:t>
            </w:r>
          </w:p>
        </w:tc>
        <w:tc>
          <w:tcPr>
            <w:tcW w:w="567" w:type="dxa"/>
            <w:shd w:val="clear" w:color="auto" w:fill="auto"/>
            <w:noWrap/>
            <w:vAlign w:val="bottom"/>
            <w:hideMark/>
          </w:tcPr>
          <w:p w14:paraId="1C5709F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287</w:t>
            </w:r>
          </w:p>
        </w:tc>
        <w:tc>
          <w:tcPr>
            <w:tcW w:w="567" w:type="dxa"/>
            <w:shd w:val="clear" w:color="auto" w:fill="auto"/>
            <w:noWrap/>
            <w:vAlign w:val="bottom"/>
            <w:hideMark/>
          </w:tcPr>
          <w:p w14:paraId="522680E7"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235</w:t>
            </w:r>
          </w:p>
        </w:tc>
        <w:tc>
          <w:tcPr>
            <w:tcW w:w="567" w:type="dxa"/>
            <w:shd w:val="clear" w:color="auto" w:fill="auto"/>
            <w:noWrap/>
            <w:vAlign w:val="bottom"/>
            <w:hideMark/>
          </w:tcPr>
          <w:p w14:paraId="2A2C09E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255</w:t>
            </w:r>
          </w:p>
        </w:tc>
      </w:tr>
      <w:tr w:rsidR="006B6A1F" w:rsidRPr="00910707" w14:paraId="45A0F9EB" w14:textId="77777777" w:rsidTr="006B6A1F">
        <w:trPr>
          <w:trHeight w:val="300"/>
        </w:trPr>
        <w:tc>
          <w:tcPr>
            <w:tcW w:w="2405" w:type="dxa"/>
            <w:shd w:val="clear" w:color="auto" w:fill="auto"/>
            <w:noWrap/>
            <w:vAlign w:val="bottom"/>
            <w:hideMark/>
          </w:tcPr>
          <w:p w14:paraId="4A9267BC"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2.4. Domača potrošnja</w:t>
            </w:r>
          </w:p>
        </w:tc>
        <w:tc>
          <w:tcPr>
            <w:tcW w:w="709" w:type="dxa"/>
            <w:shd w:val="clear" w:color="auto" w:fill="auto"/>
            <w:noWrap/>
            <w:vAlign w:val="bottom"/>
            <w:hideMark/>
          </w:tcPr>
          <w:p w14:paraId="6DA2738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353</w:t>
            </w:r>
          </w:p>
        </w:tc>
        <w:tc>
          <w:tcPr>
            <w:tcW w:w="709" w:type="dxa"/>
            <w:shd w:val="clear" w:color="auto" w:fill="auto"/>
            <w:noWrap/>
            <w:vAlign w:val="bottom"/>
            <w:hideMark/>
          </w:tcPr>
          <w:p w14:paraId="0C371940"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404</w:t>
            </w:r>
          </w:p>
        </w:tc>
        <w:tc>
          <w:tcPr>
            <w:tcW w:w="560" w:type="dxa"/>
            <w:vAlign w:val="bottom"/>
          </w:tcPr>
          <w:p w14:paraId="38D0750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394</w:t>
            </w:r>
          </w:p>
        </w:tc>
        <w:tc>
          <w:tcPr>
            <w:tcW w:w="561" w:type="dxa"/>
            <w:vAlign w:val="bottom"/>
          </w:tcPr>
          <w:p w14:paraId="30258F8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386</w:t>
            </w:r>
          </w:p>
        </w:tc>
        <w:tc>
          <w:tcPr>
            <w:tcW w:w="541" w:type="dxa"/>
            <w:vAlign w:val="bottom"/>
          </w:tcPr>
          <w:p w14:paraId="2BFF80DD"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318</w:t>
            </w:r>
          </w:p>
        </w:tc>
        <w:tc>
          <w:tcPr>
            <w:tcW w:w="606" w:type="dxa"/>
            <w:vAlign w:val="bottom"/>
          </w:tcPr>
          <w:p w14:paraId="03FF63D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350</w:t>
            </w:r>
          </w:p>
        </w:tc>
        <w:tc>
          <w:tcPr>
            <w:tcW w:w="567" w:type="dxa"/>
            <w:shd w:val="clear" w:color="auto" w:fill="auto"/>
            <w:noWrap/>
            <w:vAlign w:val="bottom"/>
            <w:hideMark/>
          </w:tcPr>
          <w:p w14:paraId="77A53857"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322</w:t>
            </w:r>
          </w:p>
        </w:tc>
        <w:tc>
          <w:tcPr>
            <w:tcW w:w="567" w:type="dxa"/>
            <w:shd w:val="clear" w:color="auto" w:fill="auto"/>
            <w:noWrap/>
            <w:vAlign w:val="bottom"/>
            <w:hideMark/>
          </w:tcPr>
          <w:p w14:paraId="186F65A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301</w:t>
            </w:r>
          </w:p>
        </w:tc>
        <w:tc>
          <w:tcPr>
            <w:tcW w:w="567" w:type="dxa"/>
            <w:shd w:val="clear" w:color="auto" w:fill="auto"/>
            <w:noWrap/>
            <w:vAlign w:val="bottom"/>
            <w:hideMark/>
          </w:tcPr>
          <w:p w14:paraId="049AAD6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304</w:t>
            </w:r>
          </w:p>
        </w:tc>
        <w:tc>
          <w:tcPr>
            <w:tcW w:w="567" w:type="dxa"/>
            <w:shd w:val="clear" w:color="auto" w:fill="auto"/>
            <w:noWrap/>
            <w:vAlign w:val="bottom"/>
            <w:hideMark/>
          </w:tcPr>
          <w:p w14:paraId="3CFC039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253</w:t>
            </w:r>
          </w:p>
        </w:tc>
        <w:tc>
          <w:tcPr>
            <w:tcW w:w="567" w:type="dxa"/>
            <w:shd w:val="clear" w:color="auto" w:fill="auto"/>
            <w:noWrap/>
            <w:vAlign w:val="bottom"/>
            <w:hideMark/>
          </w:tcPr>
          <w:p w14:paraId="2B21AAC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269</w:t>
            </w:r>
          </w:p>
        </w:tc>
      </w:tr>
      <w:tr w:rsidR="006B6A1F" w:rsidRPr="00910707" w14:paraId="63FB7B3E" w14:textId="77777777" w:rsidTr="006B6A1F">
        <w:trPr>
          <w:trHeight w:val="300"/>
        </w:trPr>
        <w:tc>
          <w:tcPr>
            <w:tcW w:w="2405" w:type="dxa"/>
            <w:shd w:val="clear" w:color="auto" w:fill="auto"/>
            <w:noWrap/>
            <w:vAlign w:val="bottom"/>
            <w:hideMark/>
          </w:tcPr>
          <w:p w14:paraId="4BA0889C"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4 Potrošnja na prebivalca (kg)</w:t>
            </w:r>
          </w:p>
        </w:tc>
        <w:tc>
          <w:tcPr>
            <w:tcW w:w="709" w:type="dxa"/>
            <w:shd w:val="clear" w:color="auto" w:fill="auto"/>
            <w:noWrap/>
            <w:vAlign w:val="bottom"/>
            <w:hideMark/>
          </w:tcPr>
          <w:p w14:paraId="68A5932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0,17</w:t>
            </w:r>
          </w:p>
        </w:tc>
        <w:tc>
          <w:tcPr>
            <w:tcW w:w="709" w:type="dxa"/>
            <w:shd w:val="clear" w:color="auto" w:fill="auto"/>
            <w:noWrap/>
            <w:vAlign w:val="bottom"/>
            <w:hideMark/>
          </w:tcPr>
          <w:p w14:paraId="330B07C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0,20</w:t>
            </w:r>
          </w:p>
        </w:tc>
        <w:tc>
          <w:tcPr>
            <w:tcW w:w="560" w:type="dxa"/>
            <w:vAlign w:val="bottom"/>
          </w:tcPr>
          <w:p w14:paraId="49361125"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0,19</w:t>
            </w:r>
          </w:p>
        </w:tc>
        <w:tc>
          <w:tcPr>
            <w:tcW w:w="561" w:type="dxa"/>
            <w:vAlign w:val="bottom"/>
          </w:tcPr>
          <w:p w14:paraId="3A3C8698"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0,19</w:t>
            </w:r>
          </w:p>
        </w:tc>
        <w:tc>
          <w:tcPr>
            <w:tcW w:w="541" w:type="dxa"/>
            <w:vAlign w:val="bottom"/>
          </w:tcPr>
          <w:p w14:paraId="3F043A0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0,15</w:t>
            </w:r>
          </w:p>
        </w:tc>
        <w:tc>
          <w:tcPr>
            <w:tcW w:w="606" w:type="dxa"/>
            <w:vAlign w:val="bottom"/>
          </w:tcPr>
          <w:p w14:paraId="20320877"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0,17</w:t>
            </w:r>
          </w:p>
        </w:tc>
        <w:tc>
          <w:tcPr>
            <w:tcW w:w="567" w:type="dxa"/>
            <w:shd w:val="clear" w:color="auto" w:fill="auto"/>
            <w:noWrap/>
            <w:vAlign w:val="bottom"/>
            <w:hideMark/>
          </w:tcPr>
          <w:p w14:paraId="3A7B7760"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0,16</w:t>
            </w:r>
          </w:p>
        </w:tc>
        <w:tc>
          <w:tcPr>
            <w:tcW w:w="567" w:type="dxa"/>
            <w:shd w:val="clear" w:color="auto" w:fill="auto"/>
            <w:noWrap/>
            <w:vAlign w:val="bottom"/>
            <w:hideMark/>
          </w:tcPr>
          <w:p w14:paraId="2D9F75EB"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0,15</w:t>
            </w:r>
          </w:p>
        </w:tc>
        <w:tc>
          <w:tcPr>
            <w:tcW w:w="567" w:type="dxa"/>
            <w:shd w:val="clear" w:color="auto" w:fill="auto"/>
            <w:noWrap/>
            <w:vAlign w:val="bottom"/>
            <w:hideMark/>
          </w:tcPr>
          <w:p w14:paraId="597B7C41"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0,15</w:t>
            </w:r>
          </w:p>
        </w:tc>
        <w:tc>
          <w:tcPr>
            <w:tcW w:w="567" w:type="dxa"/>
            <w:shd w:val="clear" w:color="auto" w:fill="auto"/>
            <w:noWrap/>
            <w:vAlign w:val="bottom"/>
            <w:hideMark/>
          </w:tcPr>
          <w:p w14:paraId="715AB92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0,12</w:t>
            </w:r>
          </w:p>
        </w:tc>
        <w:tc>
          <w:tcPr>
            <w:tcW w:w="567" w:type="dxa"/>
            <w:shd w:val="clear" w:color="auto" w:fill="auto"/>
            <w:noWrap/>
            <w:vAlign w:val="bottom"/>
            <w:hideMark/>
          </w:tcPr>
          <w:p w14:paraId="407F054F"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0,13</w:t>
            </w:r>
          </w:p>
        </w:tc>
      </w:tr>
      <w:tr w:rsidR="006B6A1F" w:rsidRPr="00910707" w14:paraId="72D31AEA" w14:textId="77777777" w:rsidTr="006B6A1F">
        <w:trPr>
          <w:trHeight w:val="300"/>
        </w:trPr>
        <w:tc>
          <w:tcPr>
            <w:tcW w:w="2405" w:type="dxa"/>
            <w:shd w:val="clear" w:color="auto" w:fill="auto"/>
            <w:noWrap/>
            <w:vAlign w:val="bottom"/>
            <w:hideMark/>
          </w:tcPr>
          <w:p w14:paraId="41B3E7AB" w14:textId="77777777" w:rsidR="006B6A1F" w:rsidRPr="00396A4C" w:rsidRDefault="006B6A1F" w:rsidP="006B6A1F">
            <w:pPr>
              <w:spacing w:line="240" w:lineRule="auto"/>
              <w:rPr>
                <w:bCs/>
                <w:color w:val="000000"/>
                <w:sz w:val="16"/>
                <w:szCs w:val="16"/>
                <w:lang w:eastAsia="sl-SI"/>
              </w:rPr>
            </w:pPr>
            <w:r w:rsidRPr="00396A4C">
              <w:rPr>
                <w:bCs/>
                <w:color w:val="000000"/>
                <w:sz w:val="16"/>
                <w:szCs w:val="16"/>
                <w:lang w:eastAsia="sl-SI"/>
              </w:rPr>
              <w:t>3 Stopnja samooskrbe (%)</w:t>
            </w:r>
          </w:p>
        </w:tc>
        <w:tc>
          <w:tcPr>
            <w:tcW w:w="709" w:type="dxa"/>
            <w:shd w:val="clear" w:color="auto" w:fill="auto"/>
            <w:noWrap/>
            <w:vAlign w:val="bottom"/>
            <w:hideMark/>
          </w:tcPr>
          <w:p w14:paraId="2DCB6569"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156,6</w:t>
            </w:r>
          </w:p>
        </w:tc>
        <w:tc>
          <w:tcPr>
            <w:tcW w:w="709" w:type="dxa"/>
            <w:shd w:val="clear" w:color="auto" w:fill="auto"/>
            <w:noWrap/>
            <w:vAlign w:val="bottom"/>
            <w:hideMark/>
          </w:tcPr>
          <w:p w14:paraId="6EFE4243"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142,1</w:t>
            </w:r>
          </w:p>
        </w:tc>
        <w:tc>
          <w:tcPr>
            <w:tcW w:w="560" w:type="dxa"/>
            <w:vAlign w:val="bottom"/>
          </w:tcPr>
          <w:p w14:paraId="2B40EB5E"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168,9</w:t>
            </w:r>
          </w:p>
        </w:tc>
        <w:tc>
          <w:tcPr>
            <w:tcW w:w="561" w:type="dxa"/>
            <w:vAlign w:val="bottom"/>
          </w:tcPr>
          <w:p w14:paraId="749245B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173,1</w:t>
            </w:r>
          </w:p>
        </w:tc>
        <w:tc>
          <w:tcPr>
            <w:tcW w:w="541" w:type="dxa"/>
            <w:vAlign w:val="bottom"/>
          </w:tcPr>
          <w:p w14:paraId="2A88A19F"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218,9</w:t>
            </w:r>
          </w:p>
        </w:tc>
        <w:tc>
          <w:tcPr>
            <w:tcW w:w="606" w:type="dxa"/>
            <w:vAlign w:val="bottom"/>
          </w:tcPr>
          <w:p w14:paraId="56AD103A"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rPr>
              <w:t>212,6</w:t>
            </w:r>
          </w:p>
        </w:tc>
        <w:tc>
          <w:tcPr>
            <w:tcW w:w="567" w:type="dxa"/>
            <w:shd w:val="clear" w:color="auto" w:fill="auto"/>
            <w:noWrap/>
            <w:vAlign w:val="bottom"/>
            <w:hideMark/>
          </w:tcPr>
          <w:p w14:paraId="48545524"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181,4</w:t>
            </w:r>
          </w:p>
        </w:tc>
        <w:tc>
          <w:tcPr>
            <w:tcW w:w="567" w:type="dxa"/>
            <w:shd w:val="clear" w:color="auto" w:fill="auto"/>
            <w:noWrap/>
            <w:vAlign w:val="bottom"/>
            <w:hideMark/>
          </w:tcPr>
          <w:p w14:paraId="66531846"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210,3</w:t>
            </w:r>
          </w:p>
        </w:tc>
        <w:tc>
          <w:tcPr>
            <w:tcW w:w="567" w:type="dxa"/>
            <w:shd w:val="clear" w:color="auto" w:fill="auto"/>
            <w:noWrap/>
            <w:vAlign w:val="bottom"/>
            <w:hideMark/>
          </w:tcPr>
          <w:p w14:paraId="1CD7193D"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209,2</w:t>
            </w:r>
          </w:p>
        </w:tc>
        <w:tc>
          <w:tcPr>
            <w:tcW w:w="567" w:type="dxa"/>
            <w:shd w:val="clear" w:color="auto" w:fill="auto"/>
            <w:noWrap/>
            <w:vAlign w:val="bottom"/>
            <w:hideMark/>
          </w:tcPr>
          <w:p w14:paraId="02EFEA8B"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238,7</w:t>
            </w:r>
          </w:p>
        </w:tc>
        <w:tc>
          <w:tcPr>
            <w:tcW w:w="567" w:type="dxa"/>
            <w:shd w:val="clear" w:color="auto" w:fill="auto"/>
            <w:noWrap/>
            <w:vAlign w:val="bottom"/>
            <w:hideMark/>
          </w:tcPr>
          <w:p w14:paraId="49057E82" w14:textId="77777777" w:rsidR="006B6A1F" w:rsidRPr="00396A4C" w:rsidRDefault="006B6A1F" w:rsidP="006B6A1F">
            <w:pPr>
              <w:spacing w:line="240" w:lineRule="auto"/>
              <w:jc w:val="right"/>
              <w:rPr>
                <w:color w:val="000000"/>
                <w:sz w:val="16"/>
                <w:szCs w:val="16"/>
                <w:lang w:eastAsia="sl-SI"/>
              </w:rPr>
            </w:pPr>
            <w:r w:rsidRPr="00396A4C">
              <w:rPr>
                <w:color w:val="000000"/>
                <w:sz w:val="16"/>
                <w:szCs w:val="16"/>
                <w:lang w:eastAsia="sl-SI"/>
              </w:rPr>
              <w:t>248,0</w:t>
            </w:r>
          </w:p>
        </w:tc>
      </w:tr>
    </w:tbl>
    <w:p w14:paraId="27BC841C" w14:textId="77777777" w:rsidR="006B6A1F" w:rsidRPr="00726070" w:rsidRDefault="006B6A1F" w:rsidP="006B6A1F">
      <w:pPr>
        <w:spacing w:before="200" w:line="360" w:lineRule="auto"/>
        <w:rPr>
          <w:rFonts w:eastAsia="TimesNewRoman"/>
          <w:i/>
          <w:sz w:val="18"/>
          <w:szCs w:val="20"/>
        </w:rPr>
      </w:pPr>
      <w:r w:rsidRPr="00726070">
        <w:rPr>
          <w:i/>
          <w:sz w:val="18"/>
          <w:szCs w:val="20"/>
        </w:rPr>
        <w:t>Vir: SURS</w:t>
      </w:r>
    </w:p>
    <w:p w14:paraId="26A4AA7C" w14:textId="01EFD3C8" w:rsidR="00F679A2" w:rsidRPr="005B2A49" w:rsidRDefault="006B6A1F" w:rsidP="005B2A49">
      <w:pPr>
        <w:spacing w:after="120" w:line="260" w:lineRule="atLeast"/>
        <w:rPr>
          <w:rFonts w:eastAsia="Calibri"/>
          <w:szCs w:val="20"/>
        </w:rPr>
      </w:pPr>
      <w:r>
        <w:rPr>
          <w:rFonts w:eastAsia="TimesNewRoman"/>
          <w:szCs w:val="20"/>
        </w:rPr>
        <w:t xml:space="preserve">Izvoz živih živali se je v letih 2010-2019 povečeval. </w:t>
      </w:r>
      <w:r w:rsidR="00F679A2" w:rsidRPr="005B2A49">
        <w:rPr>
          <w:rFonts w:eastAsia="Calibri"/>
          <w:szCs w:val="20"/>
        </w:rPr>
        <w:t>Odkupne cene konj za zakol so se v letih 2007 – 2019 gibale med 1</w:t>
      </w:r>
      <w:r>
        <w:rPr>
          <w:rFonts w:eastAsia="Calibri"/>
          <w:szCs w:val="20"/>
        </w:rPr>
        <w:t>.</w:t>
      </w:r>
      <w:r w:rsidR="00F679A2" w:rsidRPr="005B2A49">
        <w:rPr>
          <w:rFonts w:eastAsia="Calibri"/>
          <w:szCs w:val="20"/>
        </w:rPr>
        <w:t xml:space="preserve">574 EUR/t </w:t>
      </w:r>
      <w:r w:rsidRPr="00C73213">
        <w:rPr>
          <w:rFonts w:eastAsia="TimesNewRoman"/>
          <w:szCs w:val="20"/>
        </w:rPr>
        <w:t>(leta 2008) žive mase in 2.058 EUR/t žive mase (v letu 2019</w:t>
      </w:r>
      <w:r w:rsidR="00F679A2" w:rsidRPr="005B2A49">
        <w:rPr>
          <w:rFonts w:eastAsia="Calibri"/>
          <w:szCs w:val="20"/>
        </w:rPr>
        <w:t xml:space="preserve">). </w:t>
      </w:r>
      <w:r w:rsidRPr="00C73213">
        <w:rPr>
          <w:rFonts w:eastAsia="TimesNewRoman"/>
          <w:szCs w:val="20"/>
        </w:rPr>
        <w:t>Odkupne cene konj za zakol so v obdobju 2007–2014 nihale, po tem letu pa je zabeležen trend zviševanja cen.</w:t>
      </w:r>
      <w:r>
        <w:rPr>
          <w:rFonts w:eastAsia="TimesNewRoman"/>
          <w:szCs w:val="20"/>
        </w:rPr>
        <w:t xml:space="preserve"> Glede na majhno porabo konjskega mesa v Sloveniji in povečevanje odkupnih cen, so rejci konj izkoristili možnost izvoza živih živali na druge trge.</w:t>
      </w:r>
    </w:p>
    <w:p w14:paraId="162D25A6" w14:textId="1754CDAC" w:rsidR="00F679A2" w:rsidRDefault="00F679A2" w:rsidP="005B2A49">
      <w:pPr>
        <w:spacing w:after="120" w:line="260" w:lineRule="atLeast"/>
        <w:rPr>
          <w:rFonts w:eastAsia="Calibri"/>
          <w:szCs w:val="20"/>
        </w:rPr>
      </w:pPr>
      <w:r w:rsidRPr="005B2A49">
        <w:rPr>
          <w:rFonts w:eastAsia="Calibri"/>
          <w:szCs w:val="20"/>
        </w:rPr>
        <w:t xml:space="preserve">Po statističnih podatkih se je v </w:t>
      </w:r>
      <w:r w:rsidR="006B6A1F" w:rsidRPr="00C73213">
        <w:rPr>
          <w:szCs w:val="20"/>
        </w:rPr>
        <w:t xml:space="preserve">letih </w:t>
      </w:r>
      <w:r w:rsidRPr="005B2A49">
        <w:rPr>
          <w:rFonts w:eastAsia="Calibri"/>
          <w:szCs w:val="20"/>
        </w:rPr>
        <w:t>2010 – 2019, število ekološko rejenih kopitarjev, med katere spadajo tudi konji, povečalo iz 3</w:t>
      </w:r>
      <w:r w:rsidR="006B6A1F">
        <w:rPr>
          <w:rFonts w:eastAsia="Calibri"/>
          <w:szCs w:val="20"/>
        </w:rPr>
        <w:t>.</w:t>
      </w:r>
      <w:r w:rsidRPr="005B2A49">
        <w:rPr>
          <w:rFonts w:eastAsia="Calibri"/>
          <w:szCs w:val="20"/>
        </w:rPr>
        <w:t>081 na 4</w:t>
      </w:r>
      <w:r w:rsidR="006B6A1F">
        <w:rPr>
          <w:rFonts w:eastAsia="Calibri"/>
          <w:szCs w:val="20"/>
        </w:rPr>
        <w:t>.</w:t>
      </w:r>
      <w:r w:rsidRPr="005B2A49">
        <w:rPr>
          <w:rFonts w:eastAsia="Calibri"/>
          <w:szCs w:val="20"/>
        </w:rPr>
        <w:t xml:space="preserve">095 </w:t>
      </w:r>
      <w:r w:rsidR="006B6A1F">
        <w:rPr>
          <w:rFonts w:eastAsia="Calibri"/>
          <w:szCs w:val="20"/>
        </w:rPr>
        <w:t>živali</w:t>
      </w:r>
      <w:r w:rsidRPr="005B2A49">
        <w:rPr>
          <w:rFonts w:eastAsia="Calibri"/>
          <w:szCs w:val="20"/>
        </w:rPr>
        <w:t>. Število ekološko rejenih živali se je povečevalo predvsem v obdobju 201</w:t>
      </w:r>
      <w:r w:rsidR="006B6A1F">
        <w:rPr>
          <w:rFonts w:eastAsia="Calibri"/>
          <w:szCs w:val="20"/>
        </w:rPr>
        <w:t>2</w:t>
      </w:r>
      <w:r w:rsidRPr="005B2A49">
        <w:rPr>
          <w:rFonts w:eastAsia="Calibri"/>
          <w:szCs w:val="20"/>
        </w:rPr>
        <w:t xml:space="preserve"> – 201</w:t>
      </w:r>
      <w:r w:rsidR="006B6A1F">
        <w:rPr>
          <w:rFonts w:eastAsia="Calibri"/>
          <w:szCs w:val="20"/>
        </w:rPr>
        <w:t>6</w:t>
      </w:r>
      <w:r w:rsidR="006A449B" w:rsidRPr="00C73213">
        <w:rPr>
          <w:szCs w:val="20"/>
        </w:rPr>
        <w:t xml:space="preserve">, po tem obdobju pa število ekološko rejenih kopitarjev ostaja na enaki ravni. </w:t>
      </w:r>
      <w:r w:rsidR="006A449B" w:rsidRPr="00C73213">
        <w:rPr>
          <w:rFonts w:eastAsia="TimesNewRoman"/>
          <w:szCs w:val="20"/>
        </w:rPr>
        <w:t xml:space="preserve">Prireja ekološkega mesa kopitarjev je zanemarljiva kljub povečevanju števila ekološko rejenih kopitarjev. V letu 2012 je bila </w:t>
      </w:r>
      <w:r w:rsidR="006A449B" w:rsidRPr="00C73213">
        <w:rPr>
          <w:rFonts w:eastAsia="TimesNewRoman"/>
          <w:szCs w:val="20"/>
        </w:rPr>
        <w:lastRenderedPageBreak/>
        <w:t>prireja tovrstnega mesa 1,84 ton, nakar se je v letu 2013 povečala na 4,66 ton in v nadaljnjih letih postopoma zmanjševala</w:t>
      </w:r>
      <w:r w:rsidR="006A449B">
        <w:rPr>
          <w:rFonts w:eastAsia="TimesNewRoman"/>
          <w:szCs w:val="20"/>
        </w:rPr>
        <w:t>.</w:t>
      </w:r>
      <w:r w:rsidR="006A449B" w:rsidRPr="00C73213">
        <w:rPr>
          <w:rFonts w:eastAsia="TimesNewRoman"/>
          <w:szCs w:val="20"/>
        </w:rPr>
        <w:t xml:space="preserve"> </w:t>
      </w:r>
      <w:r w:rsidR="006A449B">
        <w:rPr>
          <w:rFonts w:eastAsia="TimesNewRoman"/>
          <w:szCs w:val="20"/>
        </w:rPr>
        <w:t>V</w:t>
      </w:r>
      <w:r w:rsidR="006A449B" w:rsidRPr="00C73213">
        <w:rPr>
          <w:rFonts w:eastAsia="TimesNewRoman"/>
          <w:szCs w:val="20"/>
        </w:rPr>
        <w:t xml:space="preserve"> letu 2018 in 2019 ni bilo več ekološko prirejenega mesa kopitarjev</w:t>
      </w:r>
      <w:r w:rsidRPr="005B2A49">
        <w:rPr>
          <w:rFonts w:eastAsia="Calibri"/>
          <w:szCs w:val="20"/>
        </w:rPr>
        <w:t>.</w:t>
      </w:r>
    </w:p>
    <w:p w14:paraId="52E2A024" w14:textId="688AFADF" w:rsidR="00726070" w:rsidRDefault="00726070" w:rsidP="00726070">
      <w:pPr>
        <w:pStyle w:val="SCPreglednica"/>
      </w:pPr>
      <w:bookmarkStart w:id="3126" w:name="_Toc86822654"/>
      <w:r>
        <w:t xml:space="preserve">Tabela </w:t>
      </w:r>
      <w:r>
        <w:rPr>
          <w:noProof/>
        </w:rPr>
        <w:fldChar w:fldCharType="begin"/>
      </w:r>
      <w:r>
        <w:rPr>
          <w:noProof/>
        </w:rPr>
        <w:instrText xml:space="preserve"> SEQ Tabela \* ARABIC </w:instrText>
      </w:r>
      <w:r>
        <w:rPr>
          <w:noProof/>
        </w:rPr>
        <w:fldChar w:fldCharType="separate"/>
      </w:r>
      <w:r w:rsidR="0088117A">
        <w:rPr>
          <w:noProof/>
        </w:rPr>
        <w:t>16</w:t>
      </w:r>
      <w:r>
        <w:rPr>
          <w:noProof/>
        </w:rPr>
        <w:fldChar w:fldCharType="end"/>
      </w:r>
      <w:r>
        <w:t xml:space="preserve">: </w:t>
      </w:r>
      <w:r w:rsidRPr="00726070">
        <w:t>Število konj v ekološki reji in prireja ekološkega mesa</w:t>
      </w:r>
      <w:bookmarkEnd w:id="3126"/>
    </w:p>
    <w:tbl>
      <w:tblPr>
        <w:tblW w:w="8813" w:type="dxa"/>
        <w:tblInd w:w="-5" w:type="dxa"/>
        <w:tblCellMar>
          <w:left w:w="70" w:type="dxa"/>
          <w:right w:w="70" w:type="dxa"/>
        </w:tblCellMar>
        <w:tblLook w:val="04A0" w:firstRow="1" w:lastRow="0" w:firstColumn="1" w:lastColumn="0" w:noHBand="0" w:noVBand="1"/>
      </w:tblPr>
      <w:tblGrid>
        <w:gridCol w:w="1134"/>
        <w:gridCol w:w="698"/>
        <w:gridCol w:w="698"/>
        <w:gridCol w:w="703"/>
        <w:gridCol w:w="740"/>
        <w:gridCol w:w="740"/>
        <w:gridCol w:w="740"/>
        <w:gridCol w:w="940"/>
        <w:gridCol w:w="940"/>
        <w:gridCol w:w="740"/>
        <w:gridCol w:w="740"/>
      </w:tblGrid>
      <w:tr w:rsidR="006A449B" w:rsidRPr="00910707" w14:paraId="4FA03429" w14:textId="77777777" w:rsidTr="00F832E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98CCB" w14:textId="77777777" w:rsidR="006A449B" w:rsidRPr="00180FEF" w:rsidRDefault="006A449B" w:rsidP="00F832E6">
            <w:pPr>
              <w:spacing w:line="240" w:lineRule="auto"/>
              <w:rPr>
                <w:sz w:val="16"/>
                <w:szCs w:val="16"/>
                <w:lang w:eastAsia="sl-SI"/>
              </w:rPr>
            </w:pP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1E4A"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2010</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5CEDA"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7675"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64AAF"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2013</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BEFCB"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B1EE0"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C794D"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6579C"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2017</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BF74E"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2018</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B3A15"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2019</w:t>
            </w:r>
          </w:p>
        </w:tc>
      </w:tr>
      <w:tr w:rsidR="006A449B" w:rsidRPr="00910707" w14:paraId="5E7A28F9" w14:textId="77777777" w:rsidTr="00F832E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DDE89"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Kopitarji</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F1F36"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3081</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D349B"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2981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7FDEB"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3262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4F184"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3544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24A4A"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3846</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8E41A"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3878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3B6E0"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4093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B8BEA"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4089</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34FFF"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4054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0C820"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lang w:eastAsia="sl-SI"/>
              </w:rPr>
              <w:t>4095</w:t>
            </w:r>
          </w:p>
        </w:tc>
      </w:tr>
      <w:tr w:rsidR="006A449B" w:rsidRPr="00910707" w14:paraId="72C999CA" w14:textId="77777777" w:rsidTr="00F832E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2BEE3" w14:textId="77777777" w:rsidR="006A449B" w:rsidRPr="00180FEF" w:rsidRDefault="006A449B" w:rsidP="00F832E6">
            <w:pPr>
              <w:spacing w:line="240" w:lineRule="auto"/>
              <w:rPr>
                <w:bCs/>
                <w:color w:val="000000"/>
                <w:sz w:val="16"/>
                <w:szCs w:val="16"/>
                <w:lang w:eastAsia="sl-SI"/>
              </w:rPr>
            </w:pPr>
            <w:r w:rsidRPr="00180FEF">
              <w:rPr>
                <w:bCs/>
                <w:color w:val="000000"/>
                <w:sz w:val="16"/>
                <w:szCs w:val="16"/>
                <w:lang w:eastAsia="sl-SI"/>
              </w:rPr>
              <w:t>Meso kopitarjev (t)</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1C98E" w14:textId="77777777" w:rsidR="006A449B" w:rsidRPr="00180FEF" w:rsidRDefault="006A449B" w:rsidP="00F832E6">
            <w:pPr>
              <w:spacing w:line="240" w:lineRule="auto"/>
              <w:jc w:val="right"/>
              <w:rPr>
                <w:color w:val="000000"/>
                <w:sz w:val="16"/>
                <w:szCs w:val="16"/>
                <w:lang w:eastAsia="sl-SI"/>
              </w:rPr>
            </w:pP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E242D" w14:textId="77777777" w:rsidR="006A449B" w:rsidRPr="00180FEF" w:rsidRDefault="006A449B" w:rsidP="00F832E6">
            <w:pPr>
              <w:spacing w:line="240" w:lineRule="auto"/>
              <w:jc w:val="right"/>
              <w:rPr>
                <w:color w:val="000000"/>
                <w:sz w:val="16"/>
                <w:szCs w:val="16"/>
                <w:lang w:eastAsia="sl-SI"/>
              </w:rPr>
            </w:pP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EB926"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1,84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1C8BC"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4,66</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EBDB9"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1,65</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12B7C"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E269C"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1,13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C2476"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1,38</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F8B06"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0,00</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53BF1" w14:textId="77777777" w:rsidR="006A449B" w:rsidRPr="00180FEF" w:rsidRDefault="006A449B" w:rsidP="00F832E6">
            <w:pPr>
              <w:spacing w:line="240" w:lineRule="auto"/>
              <w:jc w:val="right"/>
              <w:rPr>
                <w:color w:val="000000"/>
                <w:sz w:val="16"/>
                <w:szCs w:val="16"/>
                <w:lang w:eastAsia="sl-SI"/>
              </w:rPr>
            </w:pPr>
            <w:r w:rsidRPr="00180FEF">
              <w:rPr>
                <w:color w:val="000000"/>
                <w:sz w:val="16"/>
                <w:szCs w:val="16"/>
              </w:rPr>
              <w:t>0,00</w:t>
            </w:r>
          </w:p>
        </w:tc>
      </w:tr>
    </w:tbl>
    <w:p w14:paraId="3B1DC35C" w14:textId="77777777" w:rsidR="006A449B" w:rsidRPr="00726070" w:rsidRDefault="006A449B" w:rsidP="006A449B">
      <w:pPr>
        <w:spacing w:before="200" w:line="360" w:lineRule="auto"/>
        <w:rPr>
          <w:i/>
          <w:sz w:val="18"/>
          <w:szCs w:val="20"/>
        </w:rPr>
      </w:pPr>
      <w:r w:rsidRPr="00726070">
        <w:rPr>
          <w:i/>
          <w:sz w:val="18"/>
          <w:szCs w:val="20"/>
        </w:rPr>
        <w:t>Vir: SURS</w:t>
      </w:r>
    </w:p>
    <w:p w14:paraId="7A98A387" w14:textId="77777777" w:rsidR="006A449B" w:rsidRDefault="006A449B" w:rsidP="005B2A49">
      <w:pPr>
        <w:spacing w:after="120" w:line="260" w:lineRule="atLeast"/>
        <w:rPr>
          <w:rFonts w:eastAsia="TimesNewRoman"/>
          <w:szCs w:val="20"/>
        </w:rPr>
      </w:pPr>
      <w:r>
        <w:rPr>
          <w:rFonts w:eastAsia="TimesNewRoman"/>
          <w:szCs w:val="20"/>
        </w:rPr>
        <w:t>Zaradi majhnega število konj v Sloveniji, konjereja prispeva 1 % izpustov toplogrednih plinov na področju živinoreje, 0,7 </w:t>
      </w:r>
      <w:r>
        <w:rPr>
          <w:rFonts w:eastAsia="TimesNewRoman"/>
        </w:rPr>
        <w:t>% k</w:t>
      </w:r>
      <w:r>
        <w:rPr>
          <w:rFonts w:eastAsia="TimesNewRoman"/>
          <w:szCs w:val="20"/>
        </w:rPr>
        <w:t xml:space="preserve"> izpustom toplogrednih plinov na področju kmetijstva oziroma 0,07 % k vsem izpustom toplogrednih plinov v Sloveniji. </w:t>
      </w:r>
      <w:r w:rsidRPr="00180FEF">
        <w:rPr>
          <w:rFonts w:eastAsia="TimesNewRoman"/>
          <w:szCs w:val="20"/>
        </w:rPr>
        <w:t xml:space="preserve">Glede ukrepov </w:t>
      </w:r>
      <w:r>
        <w:rPr>
          <w:rFonts w:eastAsia="TimesNewRoman"/>
          <w:szCs w:val="20"/>
        </w:rPr>
        <w:t xml:space="preserve">za zmanjšanje izpustov toplogrednih plinov </w:t>
      </w:r>
      <w:r w:rsidRPr="00180FEF">
        <w:rPr>
          <w:rFonts w:eastAsia="TimesNewRoman"/>
          <w:szCs w:val="20"/>
        </w:rPr>
        <w:t>so možnosti v konjereji zelo omejene. Nekaj bi lahko izboljšali s pašo (manjše emisije metana, didušikovega oksida in amonijaka iz gnojišč).</w:t>
      </w:r>
    </w:p>
    <w:p w14:paraId="27A22BF4" w14:textId="77777777" w:rsidR="006A449B" w:rsidRDefault="006A449B" w:rsidP="005B2A49">
      <w:pPr>
        <w:spacing w:after="120" w:line="260" w:lineRule="atLeast"/>
        <w:rPr>
          <w:rFonts w:eastAsia="TimesNewRoman"/>
          <w:szCs w:val="20"/>
        </w:rPr>
      </w:pPr>
      <w:r>
        <w:rPr>
          <w:rFonts w:eastAsia="TimesNewRoman"/>
          <w:szCs w:val="20"/>
        </w:rPr>
        <w:t>V 20. stoletju je u</w:t>
      </w:r>
      <w:r w:rsidRPr="00180FEF">
        <w:rPr>
          <w:rFonts w:eastAsia="TimesNewRoman"/>
          <w:szCs w:val="20"/>
        </w:rPr>
        <w:t xml:space="preserve">vedba mehanizacije na kmetijah in specializacija kmetijske proizvodnje drastično posegla v </w:t>
      </w:r>
      <w:r>
        <w:rPr>
          <w:rFonts w:eastAsia="TimesNewRoman"/>
          <w:szCs w:val="20"/>
        </w:rPr>
        <w:t>konjerejo</w:t>
      </w:r>
      <w:r w:rsidRPr="00180FEF">
        <w:rPr>
          <w:rFonts w:eastAsia="TimesNewRoman"/>
          <w:szCs w:val="20"/>
        </w:rPr>
        <w:t xml:space="preserve"> in povzročila velik upad števila konj. </w:t>
      </w:r>
      <w:r>
        <w:rPr>
          <w:rFonts w:eastAsia="TimesNewRoman"/>
          <w:szCs w:val="20"/>
        </w:rPr>
        <w:t>V zadnjih desetletjih se</w:t>
      </w:r>
      <w:r w:rsidRPr="00180FEF">
        <w:rPr>
          <w:rFonts w:eastAsia="TimesNewRoman"/>
          <w:szCs w:val="20"/>
        </w:rPr>
        <w:t xml:space="preserve"> </w:t>
      </w:r>
      <w:r>
        <w:rPr>
          <w:rFonts w:eastAsia="TimesNewRoman"/>
          <w:szCs w:val="20"/>
        </w:rPr>
        <w:t xml:space="preserve">konji uporabljajo predvsem za rejo mesa, za turistično dejavnost ter športno in rekreativno konjeništvo. </w:t>
      </w:r>
      <w:r w:rsidRPr="00F209CD">
        <w:rPr>
          <w:rFonts w:eastAsia="TimesNewRoman"/>
          <w:szCs w:val="20"/>
        </w:rPr>
        <w:t xml:space="preserve">Ključne priložnosti razvoja </w:t>
      </w:r>
      <w:r>
        <w:rPr>
          <w:rFonts w:eastAsia="TimesNewRoman"/>
          <w:szCs w:val="20"/>
        </w:rPr>
        <w:t>konjereje</w:t>
      </w:r>
      <w:r w:rsidRPr="00F209CD">
        <w:rPr>
          <w:rFonts w:eastAsia="TimesNewRoman"/>
          <w:szCs w:val="20"/>
        </w:rPr>
        <w:t xml:space="preserve"> se kažejo v organizaciji prireditev, </w:t>
      </w:r>
      <w:r w:rsidRPr="00180FEF">
        <w:rPr>
          <w:rFonts w:eastAsia="TimesNewRoman"/>
          <w:szCs w:val="20"/>
        </w:rPr>
        <w:t xml:space="preserve">ki vključujejo konje, </w:t>
      </w:r>
      <w:r>
        <w:rPr>
          <w:rFonts w:eastAsia="TimesNewRoman"/>
          <w:szCs w:val="20"/>
        </w:rPr>
        <w:t xml:space="preserve">promociji konjereje in konjeništva, </w:t>
      </w:r>
      <w:r w:rsidRPr="00180FEF">
        <w:rPr>
          <w:rFonts w:eastAsia="TimesNewRoman"/>
          <w:szCs w:val="20"/>
        </w:rPr>
        <w:t xml:space="preserve">povezovanju med deležniki v verigi, proizvodnji in trženju nišnih proizvodov, uvajanju blagovnih znamk, proizvodnji specialne opreme za konjerejo in konjeništvo ter uporabi konj v terapevtske in rekreacijske namene. </w:t>
      </w:r>
    </w:p>
    <w:p w14:paraId="0F352FBD" w14:textId="77777777" w:rsidR="006A449B" w:rsidRPr="00C73213" w:rsidRDefault="006A449B" w:rsidP="005B2A49">
      <w:pPr>
        <w:spacing w:after="120" w:line="260" w:lineRule="atLeast"/>
        <w:rPr>
          <w:rFonts w:eastAsia="TimesNewRoman"/>
          <w:szCs w:val="20"/>
        </w:rPr>
      </w:pPr>
      <w:r w:rsidRPr="00C73213">
        <w:rPr>
          <w:rFonts w:eastAsia="TimesNewRoman"/>
          <w:szCs w:val="20"/>
        </w:rPr>
        <w:t>Dosedanje podpore SKP 2014-2020 za sektor konjereje izhajajo iz različnih ukrepov PRP 2014-2020 (M04 Naložbe v osnovna sredstva, M06 Razvoj kmetij in podjetij itd.). Do dne 31. 8. 2019 je bilo v okviru podukrepa M04.1 Podpora za naložbe v kmetijska gospodarstva izplačano približno 107.000 EUR, v okviru podukrepa M06.1 Pomoč za zagon dejavnosti za mlade kmete, kjer je sektor konjereje glede na število upravičencev (pod 1 %) eden izmed najmanj zastopanih sektorjev pa je bilo izplačano približno 76.000 EUR. V okviru podukrepa M06.3 Pomoč za zagon dejavnosti, namenjene razvoju majhnih kmetije bilo izplačano dobrih 300.000 EUR.</w:t>
      </w:r>
    </w:p>
    <w:p w14:paraId="67827A81" w14:textId="2733E803" w:rsidR="00F679A2" w:rsidRPr="005B2A49" w:rsidRDefault="006A449B" w:rsidP="005B2A49">
      <w:pPr>
        <w:spacing w:after="120" w:line="260" w:lineRule="atLeast"/>
        <w:rPr>
          <w:rFonts w:eastAsia="Calibri"/>
          <w:szCs w:val="20"/>
        </w:rPr>
      </w:pPr>
      <w:r w:rsidRPr="00C73213">
        <w:rPr>
          <w:rFonts w:eastAsia="TimesNewRoman"/>
          <w:szCs w:val="20"/>
        </w:rPr>
        <w:t xml:space="preserve">V okviru priprav Strateškega načrta SKP po 2020 so deležniki kot ključno slabost </w:t>
      </w:r>
      <w:r>
        <w:rPr>
          <w:rFonts w:eastAsia="TimesNewRoman"/>
          <w:szCs w:val="20"/>
        </w:rPr>
        <w:t>i</w:t>
      </w:r>
      <w:r w:rsidRPr="00C73213">
        <w:rPr>
          <w:rFonts w:eastAsia="TimesNewRoman"/>
          <w:szCs w:val="20"/>
        </w:rPr>
        <w:t>zpostavili dejstvo, da v programskem obdobju 2014-2020 ni bilo ukrepa dobrobiti živali za konjerejo. V prihodnjem programskem obdobju so izvajanje ukrepa dobrobit živali prepoznali kot priložnost za razvoj panoge.</w:t>
      </w:r>
      <w:r w:rsidRPr="003D106B">
        <w:rPr>
          <w:rFonts w:eastAsia="TimesNewRoman"/>
          <w:szCs w:val="20"/>
        </w:rPr>
        <w:t xml:space="preserve"> </w:t>
      </w:r>
      <w:r w:rsidRPr="00C73213">
        <w:rPr>
          <w:rFonts w:eastAsia="TimesNewRoman"/>
          <w:szCs w:val="20"/>
        </w:rPr>
        <w:t>Splošna javnost želi, da se dobrobit živali okrepi na vseh področjih, tudi na področju konjereje in konjeništva, ki je medijsko bolj izpostavljeno.</w:t>
      </w:r>
    </w:p>
    <w:p w14:paraId="236D2C48" w14:textId="5C1EB146" w:rsidR="00F679A2" w:rsidRDefault="00F679A2" w:rsidP="005B2A49">
      <w:pPr>
        <w:spacing w:after="120" w:line="260" w:lineRule="atLeast"/>
        <w:rPr>
          <w:rFonts w:eastAsia="Calibri"/>
          <w:szCs w:val="20"/>
        </w:rPr>
      </w:pPr>
      <w:r w:rsidRPr="005B2A49">
        <w:rPr>
          <w:rFonts w:eastAsia="Calibri"/>
          <w:szCs w:val="20"/>
        </w:rPr>
        <w:t>V javno službo strokovnih nalog na področju konjereje so vključene naslednje pasme: slovenska hladnokrvna pasma, posavski konj, lipicanski konj, haflinški konj, arabski konj, arabski polnokrvni konj, angleški polnokrvni konj, islandski konj in šetlandski poni, slovenski toplokrvni konj,</w:t>
      </w:r>
      <w:r w:rsidR="006A449B">
        <w:rPr>
          <w:rFonts w:eastAsia="Calibri"/>
          <w:szCs w:val="20"/>
        </w:rPr>
        <w:t xml:space="preserve"> bosanski planinski konj,</w:t>
      </w:r>
      <w:r w:rsidRPr="005B2A49">
        <w:rPr>
          <w:rFonts w:eastAsia="Calibri"/>
          <w:szCs w:val="20"/>
        </w:rPr>
        <w:t xml:space="preserve"> kasaški konj in ljutomerski kasač. Rejcem konj je svetovanje zagotovljeno preko javne kmetijske svetovalne službe.</w:t>
      </w:r>
    </w:p>
    <w:p w14:paraId="153DDCD7" w14:textId="77777777" w:rsidR="006A449B" w:rsidRPr="00C73213" w:rsidRDefault="006A449B" w:rsidP="005B2A49">
      <w:pPr>
        <w:spacing w:after="120" w:line="260" w:lineRule="atLeast"/>
        <w:rPr>
          <w:rFonts w:eastAsia="TimesNewRoman"/>
          <w:szCs w:val="20"/>
        </w:rPr>
      </w:pPr>
      <w:r w:rsidRPr="00C73213">
        <w:rPr>
          <w:rFonts w:eastAsia="TimesNewRoman"/>
          <w:szCs w:val="20"/>
        </w:rPr>
        <w:t>V Sloveniji imamo v primerjavi z drugimi vrstami rejnih živali, relativno veliko število avtohtonih in tradicionalnih pasem konj. Veliko pasem je ogroženih,</w:t>
      </w:r>
      <w:r>
        <w:rPr>
          <w:rFonts w:eastAsia="TimesNewRoman"/>
          <w:szCs w:val="20"/>
        </w:rPr>
        <w:t xml:space="preserve"> </w:t>
      </w:r>
      <w:r w:rsidRPr="00180FEF">
        <w:rPr>
          <w:rFonts w:eastAsia="TimesNewRoman"/>
          <w:szCs w:val="20"/>
        </w:rPr>
        <w:t>zato bi bilo potrebno okrepiti njihovo zaščito</w:t>
      </w:r>
      <w:r w:rsidRPr="00C73213">
        <w:rPr>
          <w:rFonts w:eastAsia="TimesNewRoman"/>
          <w:szCs w:val="20"/>
        </w:rPr>
        <w:t xml:space="preserve">. </w:t>
      </w:r>
      <w:r>
        <w:rPr>
          <w:rFonts w:eastAsia="TimesNewRoman"/>
          <w:szCs w:val="20"/>
        </w:rPr>
        <w:t>Glede na stopnjo</w:t>
      </w:r>
      <w:r w:rsidRPr="00FE3CE7">
        <w:rPr>
          <w:rFonts w:eastAsia="TimesNewRoman"/>
          <w:szCs w:val="20"/>
        </w:rPr>
        <w:t xml:space="preserve"> ogroženosti pasme na nacionalni ravni </w:t>
      </w:r>
      <w:r>
        <w:rPr>
          <w:rFonts w:eastAsia="TimesNewRoman"/>
          <w:szCs w:val="20"/>
        </w:rPr>
        <w:t xml:space="preserve">v letu 2019 </w:t>
      </w:r>
      <w:r w:rsidRPr="00180FEF">
        <w:rPr>
          <w:rFonts w:eastAsia="TimesNewRoman"/>
          <w:szCs w:val="20"/>
        </w:rPr>
        <w:t>so lipicanski konj, slovenski hladnokrvni konj, posavski konj</w:t>
      </w:r>
      <w:r>
        <w:rPr>
          <w:rFonts w:eastAsia="TimesNewRoman"/>
          <w:szCs w:val="20"/>
        </w:rPr>
        <w:t>, haflinški konj, bosanski planinski konj</w:t>
      </w:r>
      <w:r w:rsidRPr="00180FEF">
        <w:rPr>
          <w:rFonts w:eastAsia="TimesNewRoman"/>
          <w:szCs w:val="20"/>
        </w:rPr>
        <w:t xml:space="preserve"> in ljutomerski kasač uvrščeni med kritično ogrožene pasme</w:t>
      </w:r>
      <w:r>
        <w:rPr>
          <w:rFonts w:eastAsia="TimesNewRoman"/>
          <w:szCs w:val="20"/>
        </w:rPr>
        <w:t>.</w:t>
      </w:r>
      <w:r w:rsidRPr="00180FEF">
        <w:rPr>
          <w:rFonts w:eastAsia="TimesNewRoman"/>
          <w:szCs w:val="20"/>
        </w:rPr>
        <w:t xml:space="preserve"> </w:t>
      </w:r>
    </w:p>
    <w:p w14:paraId="2083A64B" w14:textId="77777777" w:rsidR="006A449B" w:rsidRPr="005B2A49" w:rsidRDefault="006A449B" w:rsidP="005B2A49">
      <w:pPr>
        <w:spacing w:after="120" w:line="260" w:lineRule="atLeast"/>
        <w:rPr>
          <w:rFonts w:eastAsia="Calibri"/>
          <w:szCs w:val="20"/>
        </w:rPr>
      </w:pPr>
    </w:p>
    <w:p w14:paraId="2E4889E5" w14:textId="77777777" w:rsidR="00F679A2" w:rsidRPr="005B2A49" w:rsidRDefault="00F679A2" w:rsidP="005B2A49">
      <w:pPr>
        <w:spacing w:after="120" w:line="260" w:lineRule="atLeast"/>
        <w:rPr>
          <w:rFonts w:eastAsia="Calibri"/>
          <w:szCs w:val="20"/>
        </w:rPr>
      </w:pPr>
      <w:r w:rsidRPr="005B2A49">
        <w:rPr>
          <w:rFonts w:eastAsia="Calibri"/>
          <w:szCs w:val="20"/>
        </w:rPr>
        <w:t>V okviru javne službe nalog genske banke v živinoreji se varujejo/ohranjajo tri avtohtone pasme konj: lipicanski, slovenski hladnokrvni in posavski ter dve tradicionalni pasmi: haflinški in ljutomerski kasač. V letu 2019 se je Register pasem z zootehniško oceno vodil za naslednje pasme konj: lipicanski, posavski, slovenski hladnokrvni, ljutomerski kasač, haflinški, kasaški, arabski, arabski polnokrvni, islandski, angleški polnokrvni, slovenski toplokrvni in bosanski planinski. Javna služba opravlja naloge na področjih spremljanja stanja in karakterizacije pasem, mehanizmih trajnostne rabe in razvoja, oblik ohranjanja živalskih genskih virov ter politik upravljanja živalskih genskih virov.</w:t>
      </w:r>
    </w:p>
    <w:p w14:paraId="2FDED176" w14:textId="77777777" w:rsidR="00F679A2" w:rsidRPr="00C4167C" w:rsidRDefault="00F679A2" w:rsidP="00F679A2"/>
    <w:p w14:paraId="12166959" w14:textId="77777777" w:rsidR="00F679A2" w:rsidRPr="00271FF1" w:rsidRDefault="00F679A2" w:rsidP="00F679A2">
      <w:pPr>
        <w:pStyle w:val="Naslov3"/>
        <w:rPr>
          <w:rFonts w:eastAsia="Calibri"/>
        </w:rPr>
      </w:pPr>
      <w:bookmarkStart w:id="3127" w:name="_Toc86822583"/>
      <w:r w:rsidRPr="00271FF1">
        <w:rPr>
          <w:rFonts w:eastAsia="Calibri"/>
        </w:rPr>
        <w:t>Ključne ugotovitve:</w:t>
      </w:r>
      <w:bookmarkEnd w:id="3127"/>
    </w:p>
    <w:p w14:paraId="00D427C5" w14:textId="77777777" w:rsidR="00F679A2" w:rsidRPr="00271FF1" w:rsidRDefault="00F679A2" w:rsidP="00F679A2">
      <w:pPr>
        <w:rPr>
          <w:rFonts w:eastAsia="Calibri"/>
        </w:rPr>
      </w:pPr>
    </w:p>
    <w:p w14:paraId="66065907" w14:textId="4409EE5E" w:rsidR="00F679A2" w:rsidRPr="00271FF1" w:rsidRDefault="006A449B" w:rsidP="005B2A49">
      <w:pPr>
        <w:pStyle w:val="Odstavekseznama"/>
        <w:numPr>
          <w:ilvl w:val="0"/>
          <w:numId w:val="187"/>
        </w:numPr>
        <w:spacing w:after="120" w:line="260" w:lineRule="atLeast"/>
        <w:ind w:left="357" w:hanging="357"/>
        <w:rPr>
          <w:rFonts w:ascii="Arial" w:hAnsi="Arial"/>
          <w:sz w:val="22"/>
          <w:szCs w:val="22"/>
        </w:rPr>
      </w:pPr>
      <w:r w:rsidRPr="005B2A49">
        <w:rPr>
          <w:rFonts w:ascii="Arial" w:hAnsi="Arial"/>
          <w:sz w:val="22"/>
          <w:szCs w:val="22"/>
        </w:rPr>
        <w:t>Vrednost konjereje kot delež od celotne kmetijske proizvodnje v Sloveniji v povprečju zadnjega desetletja znaša le okoli 0,3</w:t>
      </w:r>
      <w:r w:rsidR="00175627">
        <w:rPr>
          <w:rFonts w:ascii="Arial" w:hAnsi="Arial"/>
          <w:sz w:val="22"/>
          <w:szCs w:val="22"/>
        </w:rPr>
        <w:t> </w:t>
      </w:r>
      <w:r w:rsidRPr="005B2A49">
        <w:rPr>
          <w:rFonts w:ascii="Arial" w:hAnsi="Arial"/>
          <w:sz w:val="22"/>
          <w:szCs w:val="22"/>
        </w:rPr>
        <w:t>%</w:t>
      </w:r>
      <w:r w:rsidR="00F679A2" w:rsidRPr="00271FF1">
        <w:rPr>
          <w:rFonts w:ascii="Arial" w:hAnsi="Arial"/>
          <w:sz w:val="22"/>
          <w:szCs w:val="22"/>
        </w:rPr>
        <w:t>.</w:t>
      </w:r>
    </w:p>
    <w:p w14:paraId="1C923EAF" w14:textId="77777777" w:rsidR="00F679A2" w:rsidRPr="00271FF1" w:rsidRDefault="00F679A2" w:rsidP="005B2A49">
      <w:pPr>
        <w:pStyle w:val="Odstavekseznama"/>
        <w:numPr>
          <w:ilvl w:val="0"/>
          <w:numId w:val="187"/>
        </w:numPr>
        <w:spacing w:after="120" w:line="260" w:lineRule="atLeast"/>
        <w:ind w:left="357" w:hanging="357"/>
        <w:rPr>
          <w:rFonts w:ascii="Arial" w:hAnsi="Arial"/>
          <w:sz w:val="22"/>
          <w:szCs w:val="22"/>
        </w:rPr>
      </w:pPr>
      <w:r w:rsidRPr="00271FF1">
        <w:rPr>
          <w:rFonts w:ascii="Arial" w:hAnsi="Arial"/>
          <w:sz w:val="22"/>
          <w:szCs w:val="22"/>
        </w:rPr>
        <w:t>Število ekološko rejenih kopitarjev se je v obdobju 2010 – 2019 povečalo medtem, ko se je prireja ekološkega konjskega mesa povsem ustavila. Sektor ni vključen v ukrep dobrobit živali.</w:t>
      </w:r>
    </w:p>
    <w:p w14:paraId="317B760C" w14:textId="4C0A5760" w:rsidR="00F679A2" w:rsidRPr="00271FF1" w:rsidRDefault="00F679A2" w:rsidP="005B2A49">
      <w:pPr>
        <w:pStyle w:val="Odstavekseznama"/>
        <w:numPr>
          <w:ilvl w:val="0"/>
          <w:numId w:val="187"/>
        </w:numPr>
        <w:spacing w:after="120" w:line="260" w:lineRule="atLeast"/>
        <w:ind w:left="357" w:hanging="357"/>
        <w:rPr>
          <w:rFonts w:ascii="Arial" w:hAnsi="Arial"/>
          <w:sz w:val="22"/>
          <w:szCs w:val="22"/>
        </w:rPr>
      </w:pPr>
      <w:r w:rsidRPr="00271FF1">
        <w:rPr>
          <w:rFonts w:ascii="Arial" w:hAnsi="Arial"/>
          <w:sz w:val="22"/>
          <w:szCs w:val="22"/>
        </w:rPr>
        <w:t>Avtohtone in tradicionalne pasme konj so ogrožene, zato bi bilo potrebno okrepiti njihovo zaščito.</w:t>
      </w:r>
    </w:p>
    <w:p w14:paraId="686C8638" w14:textId="50323447" w:rsidR="00F679A2" w:rsidRPr="00271FF1" w:rsidRDefault="00F679A2" w:rsidP="005B2A49">
      <w:pPr>
        <w:pStyle w:val="Odstavekseznama"/>
        <w:numPr>
          <w:ilvl w:val="0"/>
          <w:numId w:val="187"/>
        </w:numPr>
        <w:spacing w:after="120" w:line="260" w:lineRule="atLeast"/>
        <w:ind w:left="357" w:hanging="357"/>
        <w:rPr>
          <w:rFonts w:ascii="Arial" w:hAnsi="Arial"/>
          <w:sz w:val="22"/>
          <w:szCs w:val="22"/>
        </w:rPr>
      </w:pPr>
      <w:r w:rsidRPr="00271FF1">
        <w:rPr>
          <w:rFonts w:ascii="Arial" w:hAnsi="Arial"/>
          <w:sz w:val="22"/>
          <w:szCs w:val="22"/>
        </w:rPr>
        <w:t>V konjereji so priložnosti v trženju lokalnih proizvodov in storitev, vendar je potrebno okrepiti promocijo</w:t>
      </w:r>
      <w:r w:rsidR="00175627">
        <w:rPr>
          <w:rFonts w:ascii="Arial" w:hAnsi="Arial"/>
          <w:sz w:val="22"/>
          <w:szCs w:val="22"/>
        </w:rPr>
        <w:t xml:space="preserve"> </w:t>
      </w:r>
      <w:r w:rsidR="00175627" w:rsidRPr="005B2A49">
        <w:rPr>
          <w:rFonts w:ascii="Arial" w:hAnsi="Arial"/>
          <w:sz w:val="22"/>
          <w:szCs w:val="22"/>
        </w:rPr>
        <w:t>konjereje in konjeništva</w:t>
      </w:r>
      <w:r w:rsidRPr="00271FF1">
        <w:rPr>
          <w:rFonts w:ascii="Arial" w:hAnsi="Arial"/>
          <w:sz w:val="22"/>
          <w:szCs w:val="22"/>
        </w:rPr>
        <w:t>.</w:t>
      </w:r>
    </w:p>
    <w:p w14:paraId="266606B6" w14:textId="77777777" w:rsidR="00F679A2" w:rsidRPr="00E2688B" w:rsidRDefault="00F679A2" w:rsidP="00F679A2"/>
    <w:p w14:paraId="331C2AF7" w14:textId="77777777" w:rsidR="00F679A2" w:rsidRPr="00271FF1" w:rsidRDefault="00F679A2" w:rsidP="00F679A2">
      <w:pPr>
        <w:pStyle w:val="Naslov2"/>
      </w:pPr>
      <w:bookmarkStart w:id="3128" w:name="_Toc86822584"/>
      <w:r w:rsidRPr="00271FF1">
        <w:t>Zelenjadarstvo</w:t>
      </w:r>
      <w:bookmarkEnd w:id="3128"/>
    </w:p>
    <w:p w14:paraId="5AA91E12" w14:textId="39FB5DF9" w:rsidR="00F679A2" w:rsidRDefault="00F679A2" w:rsidP="005B2A49">
      <w:pPr>
        <w:spacing w:after="120" w:line="260" w:lineRule="atLeast"/>
        <w:rPr>
          <w:rFonts w:eastAsia="Calibri"/>
          <w:szCs w:val="20"/>
        </w:rPr>
      </w:pPr>
      <w:r w:rsidRPr="005B2A49">
        <w:rPr>
          <w:rFonts w:eastAsia="Calibri"/>
          <w:szCs w:val="20"/>
        </w:rPr>
        <w:t>V Sloveniji so za tržno pridelavo zelenjave značilne majhne pridelovalne površine na posamezno kmetijsko gospodarstvo, ki pa so intenzivno obdelane. Pridelava je zelo odvisna od vremenskih razmer, saj imamo kar 96 % osnovnih površin, ki so namenjene pridelavi zelenjave, na prostem. Slovenija v povprečju uvozi 160.000 ton sveže zelenjave na leto, izvozi pa cca. 15.000 ton, kar kaže na velik potencial panoge</w:t>
      </w:r>
      <w:r w:rsidR="003453AC">
        <w:rPr>
          <w:rFonts w:eastAsia="Calibri"/>
          <w:szCs w:val="20"/>
        </w:rPr>
        <w:t xml:space="preserve">. </w:t>
      </w:r>
      <w:r w:rsidRPr="005B2A49">
        <w:rPr>
          <w:rFonts w:eastAsia="Calibri"/>
          <w:szCs w:val="20"/>
        </w:rPr>
        <w:t>Za boljše zagotavljanje prehranske varnosti države je pomembno, da bi čim večji del uvoza nadomestili z lastno pridelavo, še posebno v časih izrednih razmer – npr. pandemije, ter za ohranjanje in ustvarjanje novih delovnih mest na podeželju.</w:t>
      </w:r>
    </w:p>
    <w:p w14:paraId="5B2DBDFA" w14:textId="77777777" w:rsidR="00C25531" w:rsidRPr="005B2A49" w:rsidRDefault="00C25531" w:rsidP="005B2A49">
      <w:pPr>
        <w:spacing w:after="120" w:line="260" w:lineRule="atLeast"/>
        <w:rPr>
          <w:rFonts w:eastAsia="Calibri"/>
          <w:szCs w:val="20"/>
        </w:rPr>
      </w:pPr>
    </w:p>
    <w:p w14:paraId="24F3784D" w14:textId="77777777" w:rsidR="00F679A2" w:rsidRDefault="00F679A2" w:rsidP="00F679A2">
      <w:pPr>
        <w:pStyle w:val="Naslov3"/>
        <w:rPr>
          <w:rFonts w:eastAsia="Calibri"/>
        </w:rPr>
      </w:pPr>
      <w:bookmarkStart w:id="3129" w:name="_Toc86822585"/>
      <w:r w:rsidRPr="00271FF1">
        <w:rPr>
          <w:rFonts w:eastAsia="Calibri"/>
        </w:rPr>
        <w:t>Stanje v sektorju in osnovni ekonomski kazalniki</w:t>
      </w:r>
      <w:bookmarkEnd w:id="3129"/>
    </w:p>
    <w:p w14:paraId="2B5ADAB2" w14:textId="77777777" w:rsidR="00F679A2" w:rsidRPr="00271FF1" w:rsidRDefault="00F679A2" w:rsidP="00F679A2">
      <w:pPr>
        <w:rPr>
          <w:rFonts w:eastAsia="Calibri"/>
        </w:rPr>
      </w:pPr>
    </w:p>
    <w:p w14:paraId="5784A565" w14:textId="77777777" w:rsidR="00F679A2" w:rsidRPr="003B2B91" w:rsidRDefault="00F679A2" w:rsidP="005B2A49">
      <w:pPr>
        <w:spacing w:after="120" w:line="260" w:lineRule="atLeast"/>
        <w:rPr>
          <w:rFonts w:eastAsia="Calibri"/>
          <w:szCs w:val="20"/>
        </w:rPr>
      </w:pPr>
      <w:r w:rsidRPr="003B2B91">
        <w:rPr>
          <w:rFonts w:eastAsia="Calibri"/>
          <w:szCs w:val="20"/>
        </w:rPr>
        <w:t xml:space="preserve">Število kmetijskih gospodarstev, ki se ukvarjajo s tržno pridelavo zelenjave, se je po podatkih SURS povečalo. Leta 2010 se je s tržno pridelavo zelenjave ukvarjalo 1.192 kmetijskih gospodarstev, medtem ko v letu 2019 32 % več (1.584 pridelovalcev). Povprečni tržni pridelovalec je leta 2000 zelenjavo prideloval na 1,02 ha osnovne površine, v letu 2019 pa na 1,78 ha osnovne površine (+ 74 %). Povečuje se tudi pridelava zelenjave v zavarovanih prostorih, s povprečno površino 0,28 ha/KMG v letu 2019. Glavnina tržne pridelave zelenjadnic poteka na prostem (96 %). </w:t>
      </w:r>
    </w:p>
    <w:p w14:paraId="16C9FF84" w14:textId="705FB915" w:rsidR="00F679A2" w:rsidRDefault="00F679A2" w:rsidP="00F679A2">
      <w:pPr>
        <w:pStyle w:val="SCPreglednica"/>
      </w:pPr>
      <w:bookmarkStart w:id="3130" w:name="_Toc86822655"/>
      <w:r>
        <w:t xml:space="preserve">Tabela </w:t>
      </w:r>
      <w:r>
        <w:rPr>
          <w:noProof/>
        </w:rPr>
        <w:fldChar w:fldCharType="begin"/>
      </w:r>
      <w:r>
        <w:rPr>
          <w:noProof/>
        </w:rPr>
        <w:instrText xml:space="preserve"> SEQ Tabela \* ARABIC </w:instrText>
      </w:r>
      <w:r>
        <w:rPr>
          <w:noProof/>
        </w:rPr>
        <w:fldChar w:fldCharType="separate"/>
      </w:r>
      <w:r w:rsidR="0088117A">
        <w:rPr>
          <w:noProof/>
        </w:rPr>
        <w:t>17</w:t>
      </w:r>
      <w:r>
        <w:rPr>
          <w:noProof/>
        </w:rPr>
        <w:fldChar w:fldCharType="end"/>
      </w:r>
      <w:r>
        <w:t xml:space="preserve">: </w:t>
      </w:r>
      <w:r w:rsidRPr="00E2688B">
        <w:t>Število kmetijskih gospodarstev ter osnovna in pridelovalna površina zelenjadnic pri tržnih pridelovalcih za leta 2010, 2013, 2016 in 2019</w:t>
      </w:r>
      <w:bookmarkEnd w:id="3130"/>
    </w:p>
    <w:p w14:paraId="5E5C2D0A" w14:textId="77777777" w:rsidR="00F679A2" w:rsidRPr="003B2B91" w:rsidRDefault="00F679A2" w:rsidP="00F679A2">
      <w:pPr>
        <w:spacing w:line="360" w:lineRule="auto"/>
        <w:rPr>
          <w:rFonts w:eastAsia="Calibri"/>
          <w:szCs w:val="20"/>
        </w:rPr>
      </w:pPr>
      <w:r w:rsidRPr="003B2B91">
        <w:rPr>
          <w:noProof/>
          <w:szCs w:val="20"/>
          <w:lang w:eastAsia="sl-SI"/>
        </w:rPr>
        <w:drawing>
          <wp:inline distT="0" distB="0" distL="0" distR="0" wp14:anchorId="3C8566CD" wp14:editId="64C5A10F">
            <wp:extent cx="5760720" cy="1064260"/>
            <wp:effectExtent l="0" t="0" r="0" b="2540"/>
            <wp:docPr id="24169629" name="Slika 2416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1064260"/>
                    </a:xfrm>
                    <a:prstGeom prst="rect">
                      <a:avLst/>
                    </a:prstGeom>
                    <a:noFill/>
                    <a:ln>
                      <a:noFill/>
                    </a:ln>
                  </pic:spPr>
                </pic:pic>
              </a:graphicData>
            </a:graphic>
          </wp:inline>
        </w:drawing>
      </w:r>
    </w:p>
    <w:p w14:paraId="1138BA6B" w14:textId="77777777" w:rsidR="00F679A2" w:rsidRPr="003B2B91" w:rsidRDefault="00F679A2" w:rsidP="00F679A2">
      <w:pPr>
        <w:spacing w:line="360" w:lineRule="auto"/>
        <w:rPr>
          <w:rFonts w:eastAsia="Calibri"/>
          <w:szCs w:val="20"/>
        </w:rPr>
      </w:pPr>
      <w:r w:rsidRPr="005718B1">
        <w:rPr>
          <w:rFonts w:eastAsia="Calibri"/>
          <w:sz w:val="16"/>
          <w:szCs w:val="16"/>
        </w:rPr>
        <w:t>Vir: SURS</w:t>
      </w:r>
      <w:r w:rsidRPr="003E5B4D">
        <w:rPr>
          <w:rFonts w:eastAsia="Calibri"/>
          <w:sz w:val="16"/>
          <w:szCs w:val="16"/>
        </w:rPr>
        <w:t xml:space="preserve"> (popisi tržnega vrtnarstva</w:t>
      </w:r>
      <w:r w:rsidRPr="002C6682">
        <w:rPr>
          <w:rFonts w:eastAsia="Calibri"/>
          <w:sz w:val="16"/>
          <w:szCs w:val="16"/>
        </w:rPr>
        <w:t>) /</w:t>
      </w:r>
      <w:r w:rsidRPr="005718B1">
        <w:rPr>
          <w:rFonts w:eastAsia="Calibri"/>
          <w:sz w:val="16"/>
          <w:szCs w:val="16"/>
        </w:rPr>
        <w:t xml:space="preserve"> ZP-2019 </w:t>
      </w:r>
    </w:p>
    <w:p w14:paraId="48544FEC" w14:textId="37757BB3" w:rsidR="00F679A2" w:rsidRDefault="00F679A2" w:rsidP="005B2A49">
      <w:pPr>
        <w:spacing w:after="120" w:line="260" w:lineRule="atLeast"/>
        <w:rPr>
          <w:rFonts w:eastAsia="Calibri"/>
          <w:szCs w:val="20"/>
        </w:rPr>
      </w:pPr>
      <w:r w:rsidRPr="003B2B91">
        <w:rPr>
          <w:rFonts w:eastAsia="Calibri"/>
          <w:szCs w:val="20"/>
        </w:rPr>
        <w:t xml:space="preserve">V strukturi rabe njiv in vrtov so osnovne površine zelenjadnic (za tržne namene in za lastno pridelavo) v povprečju zadnjih </w:t>
      </w:r>
      <w:r w:rsidR="00114E22">
        <w:rPr>
          <w:rFonts w:eastAsia="Calibri"/>
          <w:szCs w:val="20"/>
        </w:rPr>
        <w:t>šestih</w:t>
      </w:r>
      <w:r w:rsidRPr="003B2B91">
        <w:rPr>
          <w:rFonts w:eastAsia="Calibri"/>
          <w:szCs w:val="20"/>
        </w:rPr>
        <w:t xml:space="preserve"> let (2014–201</w:t>
      </w:r>
      <w:r w:rsidR="00114E22">
        <w:rPr>
          <w:rFonts w:eastAsia="Calibri"/>
          <w:szCs w:val="20"/>
        </w:rPr>
        <w:t>9</w:t>
      </w:r>
      <w:r w:rsidRPr="003B2B91">
        <w:rPr>
          <w:rFonts w:eastAsia="Calibri"/>
          <w:szCs w:val="20"/>
        </w:rPr>
        <w:t>) zavzemale 2,</w:t>
      </w:r>
      <w:r w:rsidR="00114E22">
        <w:rPr>
          <w:rFonts w:eastAsia="Calibri"/>
          <w:szCs w:val="20"/>
        </w:rPr>
        <w:t>7</w:t>
      </w:r>
      <w:r w:rsidRPr="003B2B91">
        <w:rPr>
          <w:rFonts w:eastAsia="Calibri"/>
          <w:szCs w:val="20"/>
        </w:rPr>
        <w:t xml:space="preserve"> %, v letu 20</w:t>
      </w:r>
      <w:r w:rsidR="00114E22">
        <w:rPr>
          <w:rFonts w:eastAsia="Calibri"/>
          <w:szCs w:val="20"/>
        </w:rPr>
        <w:t>20</w:t>
      </w:r>
      <w:r w:rsidRPr="003B2B91">
        <w:rPr>
          <w:rFonts w:eastAsia="Calibri"/>
          <w:szCs w:val="20"/>
        </w:rPr>
        <w:t xml:space="preserve"> pa 3,</w:t>
      </w:r>
      <w:r w:rsidR="00114E22">
        <w:rPr>
          <w:rFonts w:eastAsia="Calibri"/>
          <w:szCs w:val="20"/>
        </w:rPr>
        <w:t>3</w:t>
      </w:r>
      <w:r w:rsidRPr="003B2B91">
        <w:rPr>
          <w:rFonts w:eastAsia="Calibri"/>
          <w:szCs w:val="20"/>
        </w:rPr>
        <w:t xml:space="preserve"> % kmetijskih površin. Skupna pridelovalna površina zelenjadnic je navadno za skoraj četrtino večja od osnovne površine in je v obdobju 20</w:t>
      </w:r>
      <w:r w:rsidR="00927B67">
        <w:rPr>
          <w:rFonts w:eastAsia="Calibri"/>
          <w:szCs w:val="20"/>
        </w:rPr>
        <w:t>10</w:t>
      </w:r>
      <w:r w:rsidRPr="003B2B91">
        <w:rPr>
          <w:rFonts w:eastAsia="Calibri"/>
          <w:szCs w:val="20"/>
        </w:rPr>
        <w:t>–20</w:t>
      </w:r>
      <w:r w:rsidR="00927B67">
        <w:rPr>
          <w:rFonts w:eastAsia="Calibri"/>
          <w:szCs w:val="20"/>
        </w:rPr>
        <w:t>20</w:t>
      </w:r>
      <w:r w:rsidRPr="003B2B91">
        <w:rPr>
          <w:rFonts w:eastAsia="Calibri"/>
          <w:szCs w:val="20"/>
        </w:rPr>
        <w:t xml:space="preserve"> obsegala od 2.</w:t>
      </w:r>
      <w:r w:rsidR="00927B67">
        <w:rPr>
          <w:rFonts w:eastAsia="Calibri"/>
          <w:szCs w:val="20"/>
        </w:rPr>
        <w:t>276</w:t>
      </w:r>
      <w:r w:rsidRPr="003B2B91">
        <w:rPr>
          <w:rFonts w:eastAsia="Calibri"/>
          <w:szCs w:val="20"/>
        </w:rPr>
        <w:t xml:space="preserve"> do 5.</w:t>
      </w:r>
      <w:r w:rsidR="00927B67">
        <w:rPr>
          <w:rFonts w:eastAsia="Calibri"/>
          <w:szCs w:val="20"/>
        </w:rPr>
        <w:t>766</w:t>
      </w:r>
      <w:r w:rsidRPr="003B2B91">
        <w:rPr>
          <w:rFonts w:eastAsia="Calibri"/>
          <w:szCs w:val="20"/>
        </w:rPr>
        <w:t xml:space="preserve"> ha. Leta 20</w:t>
      </w:r>
      <w:r w:rsidR="00114E22">
        <w:rPr>
          <w:rFonts w:eastAsia="Calibri"/>
          <w:szCs w:val="20"/>
        </w:rPr>
        <w:t>20</w:t>
      </w:r>
      <w:r w:rsidRPr="003B2B91">
        <w:rPr>
          <w:rFonts w:eastAsia="Calibri"/>
          <w:szCs w:val="20"/>
        </w:rPr>
        <w:t xml:space="preserve"> so bile zelenjadnice pospravljene s </w:t>
      </w:r>
      <w:r w:rsidR="00114E22">
        <w:rPr>
          <w:rFonts w:eastAsia="Calibri"/>
          <w:szCs w:val="20"/>
        </w:rPr>
        <w:t>7</w:t>
      </w:r>
      <w:r w:rsidRPr="003B2B91">
        <w:rPr>
          <w:rFonts w:eastAsia="Calibri"/>
          <w:szCs w:val="20"/>
        </w:rPr>
        <w:t>,</w:t>
      </w:r>
      <w:r w:rsidR="00114E22">
        <w:rPr>
          <w:rFonts w:eastAsia="Calibri"/>
          <w:szCs w:val="20"/>
        </w:rPr>
        <w:t>116</w:t>
      </w:r>
      <w:r w:rsidRPr="003B2B91">
        <w:rPr>
          <w:rFonts w:eastAsia="Calibri"/>
          <w:szCs w:val="20"/>
        </w:rPr>
        <w:t xml:space="preserve"> hektarjev njiv, kar je za </w:t>
      </w:r>
      <w:r w:rsidR="00114E22">
        <w:rPr>
          <w:rFonts w:eastAsia="Calibri"/>
          <w:szCs w:val="20"/>
        </w:rPr>
        <w:t>10</w:t>
      </w:r>
      <w:r w:rsidRPr="003B2B91">
        <w:rPr>
          <w:rFonts w:eastAsia="Calibri"/>
          <w:szCs w:val="20"/>
        </w:rPr>
        <w:t xml:space="preserve"> % več kot leto prej in </w:t>
      </w:r>
      <w:r w:rsidR="00114E22">
        <w:rPr>
          <w:rFonts w:eastAsia="Calibri"/>
          <w:szCs w:val="20"/>
        </w:rPr>
        <w:t>22 %</w:t>
      </w:r>
      <w:r w:rsidRPr="003B2B91">
        <w:rPr>
          <w:rFonts w:eastAsia="Calibri"/>
          <w:szCs w:val="20"/>
        </w:rPr>
        <w:t xml:space="preserve"> nad povprečjem zadnjih petih let. Na rekordno površino zelenjadnic je vplivalo močno povečanje površin namenjenih tržni pridelavi zelenjadnic (+55 %), ki so jih ugotovili s popisom v letu 2019.</w:t>
      </w:r>
    </w:p>
    <w:p w14:paraId="658ADB49" w14:textId="5063F427" w:rsidR="00F679A2" w:rsidRDefault="00F679A2" w:rsidP="00F679A2">
      <w:pPr>
        <w:pStyle w:val="SCSlika0"/>
      </w:pPr>
      <w:bookmarkStart w:id="3131" w:name="_Toc86822732"/>
      <w:r>
        <w:t xml:space="preserve">Slika </w:t>
      </w:r>
      <w:r>
        <w:rPr>
          <w:noProof/>
        </w:rPr>
        <w:fldChar w:fldCharType="begin"/>
      </w:r>
      <w:r>
        <w:rPr>
          <w:noProof/>
        </w:rPr>
        <w:instrText xml:space="preserve"> SEQ Slika \* ARABIC </w:instrText>
      </w:r>
      <w:r>
        <w:rPr>
          <w:noProof/>
        </w:rPr>
        <w:fldChar w:fldCharType="separate"/>
      </w:r>
      <w:r w:rsidR="0088117A">
        <w:rPr>
          <w:noProof/>
        </w:rPr>
        <w:t>60</w:t>
      </w:r>
      <w:r>
        <w:rPr>
          <w:noProof/>
        </w:rPr>
        <w:fldChar w:fldCharType="end"/>
      </w:r>
      <w:r>
        <w:t xml:space="preserve">: </w:t>
      </w:r>
      <w:r w:rsidRPr="00E2688B">
        <w:t>Površina zelenjadnic (ha) za tržne in netržne pridelovalce (2007-20</w:t>
      </w:r>
      <w:r w:rsidR="00D455EE">
        <w:t>20</w:t>
      </w:r>
      <w:r w:rsidRPr="00E2688B">
        <w:t>)</w:t>
      </w:r>
      <w:bookmarkEnd w:id="3131"/>
    </w:p>
    <w:p w14:paraId="1B0B7576" w14:textId="77BCDD58" w:rsidR="00F679A2" w:rsidRDefault="00F679A2" w:rsidP="00F679A2">
      <w:pPr>
        <w:spacing w:line="360" w:lineRule="auto"/>
        <w:rPr>
          <w:rFonts w:eastAsia="Calibri"/>
          <w:szCs w:val="20"/>
        </w:rPr>
      </w:pPr>
      <w:r w:rsidRPr="003B2B91">
        <w:rPr>
          <w:noProof/>
          <w:szCs w:val="20"/>
          <w:lang w:eastAsia="sl-SI"/>
        </w:rPr>
        <w:drawing>
          <wp:inline distT="0" distB="0" distL="0" distR="0" wp14:anchorId="0CC0AD72" wp14:editId="56CA9E98">
            <wp:extent cx="3733800" cy="2028825"/>
            <wp:effectExtent l="0" t="0" r="0" b="9525"/>
            <wp:docPr id="24169630" name="Grafikon 24169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3846A6A" w14:textId="2044D688" w:rsidR="00D455EE" w:rsidRDefault="00D455EE" w:rsidP="00F679A2">
      <w:pPr>
        <w:spacing w:line="360" w:lineRule="auto"/>
        <w:rPr>
          <w:rFonts w:eastAsia="Calibri"/>
          <w:szCs w:val="20"/>
        </w:rPr>
      </w:pPr>
    </w:p>
    <w:p w14:paraId="0BE6E312" w14:textId="426AE593" w:rsidR="00D455EE" w:rsidRPr="003B2B91" w:rsidRDefault="00D455EE" w:rsidP="00F679A2">
      <w:pPr>
        <w:spacing w:line="360" w:lineRule="auto"/>
        <w:rPr>
          <w:rFonts w:eastAsia="Calibri"/>
          <w:szCs w:val="20"/>
        </w:rPr>
      </w:pPr>
      <w:r>
        <w:rPr>
          <w:rFonts w:eastAsia="Calibri"/>
          <w:noProof/>
          <w:szCs w:val="20"/>
          <w:lang w:eastAsia="sl-SI"/>
        </w:rPr>
        <w:drawing>
          <wp:inline distT="0" distB="0" distL="0" distR="0" wp14:anchorId="3A34D269" wp14:editId="6D4D1D53">
            <wp:extent cx="4584700" cy="2755900"/>
            <wp:effectExtent l="0" t="0" r="635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A5DF99" w14:textId="77777777" w:rsidR="00F679A2" w:rsidRPr="003B2B91" w:rsidRDefault="00F679A2" w:rsidP="00F679A2">
      <w:pPr>
        <w:spacing w:line="360" w:lineRule="auto"/>
        <w:rPr>
          <w:rFonts w:eastAsia="Calibri"/>
          <w:szCs w:val="20"/>
        </w:rPr>
      </w:pPr>
      <w:r w:rsidRPr="005718B1">
        <w:rPr>
          <w:rFonts w:eastAsia="Arial,Calibri"/>
          <w:sz w:val="16"/>
          <w:szCs w:val="16"/>
        </w:rPr>
        <w:t xml:space="preserve">Vir: </w:t>
      </w:r>
      <w:r>
        <w:rPr>
          <w:rFonts w:eastAsia="Arial,Calibri"/>
          <w:sz w:val="16"/>
          <w:szCs w:val="16"/>
        </w:rPr>
        <w:t>SURS (</w:t>
      </w:r>
      <w:r w:rsidRPr="005718B1">
        <w:rPr>
          <w:rFonts w:eastAsia="Arial,Calibri"/>
          <w:sz w:val="16"/>
          <w:szCs w:val="16"/>
        </w:rPr>
        <w:t>ZP-2019</w:t>
      </w:r>
      <w:r>
        <w:rPr>
          <w:rFonts w:eastAsia="Arial,Calibri"/>
          <w:sz w:val="16"/>
          <w:szCs w:val="16"/>
        </w:rPr>
        <w:t>)</w:t>
      </w:r>
    </w:p>
    <w:p w14:paraId="737FBF1B" w14:textId="407B1FED" w:rsidR="00F679A2" w:rsidRDefault="00D455EE" w:rsidP="005B2A49">
      <w:pPr>
        <w:spacing w:after="120" w:line="260" w:lineRule="atLeast"/>
        <w:rPr>
          <w:rFonts w:eastAsia="Calibri"/>
          <w:szCs w:val="20"/>
        </w:rPr>
      </w:pPr>
      <w:r>
        <w:rPr>
          <w:rFonts w:eastAsia="Calibri"/>
          <w:szCs w:val="20"/>
        </w:rPr>
        <w:t xml:space="preserve">V Sloveniji smo v letu 2020 </w:t>
      </w:r>
      <w:r w:rsidRPr="00D455EE">
        <w:rPr>
          <w:rFonts w:eastAsia="Calibri"/>
          <w:szCs w:val="20"/>
        </w:rPr>
        <w:t>zaradi večjih površin in ugodne letine pridelali za 14 % več zelenjadnic kot leta 2019, količina pridelanih zelenjadnic pa je bila kar za tretjino večja od povprečja zadnjega petletnega obdobja</w:t>
      </w:r>
      <w:r>
        <w:rPr>
          <w:rFonts w:eastAsia="Calibri"/>
          <w:szCs w:val="20"/>
        </w:rPr>
        <w:t xml:space="preserve">. </w:t>
      </w:r>
      <w:r w:rsidR="00F679A2" w:rsidRPr="003B2B91">
        <w:rPr>
          <w:rFonts w:eastAsia="Calibri"/>
          <w:szCs w:val="20"/>
        </w:rPr>
        <w:t xml:space="preserve">Povprečni hektarski pridelek zelenjadnic je bil za </w:t>
      </w:r>
      <w:r w:rsidR="00DA7C50">
        <w:rPr>
          <w:rFonts w:eastAsia="Calibri"/>
          <w:szCs w:val="20"/>
        </w:rPr>
        <w:t>4</w:t>
      </w:r>
      <w:r w:rsidR="00F679A2" w:rsidRPr="003B2B91">
        <w:rPr>
          <w:rFonts w:eastAsia="Calibri"/>
          <w:szCs w:val="20"/>
        </w:rPr>
        <w:t xml:space="preserve"> % </w:t>
      </w:r>
      <w:r w:rsidR="00DA7C50">
        <w:rPr>
          <w:rFonts w:eastAsia="Calibri"/>
          <w:szCs w:val="20"/>
        </w:rPr>
        <w:t>večji</w:t>
      </w:r>
      <w:r w:rsidR="00F679A2" w:rsidRPr="003B2B91">
        <w:rPr>
          <w:rFonts w:eastAsia="Calibri"/>
          <w:szCs w:val="20"/>
        </w:rPr>
        <w:t xml:space="preserve"> kot v </w:t>
      </w:r>
      <w:r w:rsidR="00DA7C50">
        <w:rPr>
          <w:rFonts w:eastAsia="Calibri"/>
          <w:szCs w:val="20"/>
        </w:rPr>
        <w:t>letu 2019 in</w:t>
      </w:r>
      <w:r w:rsidR="00F679A2" w:rsidRPr="003B2B91">
        <w:rPr>
          <w:rFonts w:eastAsia="Calibri"/>
          <w:szCs w:val="20"/>
        </w:rPr>
        <w:t xml:space="preserve"> </w:t>
      </w:r>
      <w:r w:rsidR="00DA7C50">
        <w:rPr>
          <w:rFonts w:eastAsia="Calibri"/>
          <w:szCs w:val="20"/>
        </w:rPr>
        <w:t xml:space="preserve"> malo višji od</w:t>
      </w:r>
      <w:r w:rsidR="00F679A2" w:rsidRPr="003B2B91">
        <w:rPr>
          <w:rFonts w:eastAsia="Calibri"/>
          <w:szCs w:val="20"/>
        </w:rPr>
        <w:t xml:space="preserve"> povprečja zadnjih petih let.</w:t>
      </w:r>
    </w:p>
    <w:p w14:paraId="06D35670" w14:textId="77777777" w:rsidR="00F679A2" w:rsidRDefault="00F679A2" w:rsidP="00F679A2">
      <w:pPr>
        <w:spacing w:before="200" w:line="360" w:lineRule="auto"/>
        <w:rPr>
          <w:rFonts w:eastAsia="Calibri"/>
          <w:szCs w:val="20"/>
        </w:rPr>
      </w:pPr>
    </w:p>
    <w:p w14:paraId="74A7C241" w14:textId="73E98AAD" w:rsidR="00F679A2" w:rsidRDefault="00F679A2" w:rsidP="00F679A2">
      <w:pPr>
        <w:pStyle w:val="SCSlika0"/>
      </w:pPr>
      <w:bookmarkStart w:id="3132" w:name="_Toc86822733"/>
      <w:r>
        <w:t xml:space="preserve">Slika </w:t>
      </w:r>
      <w:r>
        <w:rPr>
          <w:noProof/>
        </w:rPr>
        <w:fldChar w:fldCharType="begin"/>
      </w:r>
      <w:r>
        <w:rPr>
          <w:noProof/>
        </w:rPr>
        <w:instrText xml:space="preserve"> SEQ Slika \* ARABIC </w:instrText>
      </w:r>
      <w:r>
        <w:rPr>
          <w:noProof/>
        </w:rPr>
        <w:fldChar w:fldCharType="separate"/>
      </w:r>
      <w:r w:rsidR="0088117A">
        <w:rPr>
          <w:noProof/>
        </w:rPr>
        <w:t>61</w:t>
      </w:r>
      <w:r>
        <w:rPr>
          <w:noProof/>
        </w:rPr>
        <w:fldChar w:fldCharType="end"/>
      </w:r>
      <w:r>
        <w:t xml:space="preserve">: </w:t>
      </w:r>
      <w:r w:rsidRPr="00E2688B">
        <w:t>Pridelek zelenjadnic (t) pri tržnih in netržnih pridelovalcih (2007-2019)</w:t>
      </w:r>
      <w:bookmarkEnd w:id="3132"/>
    </w:p>
    <w:p w14:paraId="62D420F6" w14:textId="77777777" w:rsidR="00F679A2" w:rsidRPr="003B2B91" w:rsidRDefault="00F679A2" w:rsidP="00F679A2">
      <w:pPr>
        <w:spacing w:line="360" w:lineRule="auto"/>
        <w:rPr>
          <w:rFonts w:eastAsia="Calibri"/>
          <w:szCs w:val="20"/>
        </w:rPr>
      </w:pPr>
      <w:r w:rsidRPr="003B2B91">
        <w:rPr>
          <w:noProof/>
          <w:szCs w:val="20"/>
          <w:lang w:eastAsia="sl-SI"/>
        </w:rPr>
        <w:drawing>
          <wp:inline distT="0" distB="0" distL="0" distR="0" wp14:anchorId="3632FF31" wp14:editId="5D74C9B3">
            <wp:extent cx="4143375" cy="1924050"/>
            <wp:effectExtent l="0" t="0" r="9525" b="0"/>
            <wp:docPr id="49" name="Grafikon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F016630" w14:textId="3BE75B4B" w:rsidR="00F679A2" w:rsidRPr="003B2B91" w:rsidRDefault="00F679A2" w:rsidP="00F679A2">
      <w:pPr>
        <w:spacing w:line="360" w:lineRule="auto"/>
        <w:rPr>
          <w:rFonts w:eastAsia="Calibri"/>
          <w:szCs w:val="20"/>
        </w:rPr>
      </w:pPr>
      <w:r w:rsidRPr="005718B1">
        <w:rPr>
          <w:rFonts w:eastAsia="Arial,Calibri"/>
          <w:sz w:val="16"/>
          <w:szCs w:val="16"/>
        </w:rPr>
        <w:t xml:space="preserve">Vir: </w:t>
      </w:r>
      <w:r>
        <w:rPr>
          <w:rFonts w:eastAsia="Arial,Calibri"/>
          <w:sz w:val="16"/>
          <w:szCs w:val="16"/>
        </w:rPr>
        <w:t>SURS (</w:t>
      </w:r>
      <w:r w:rsidRPr="005718B1">
        <w:rPr>
          <w:rFonts w:eastAsia="Arial,Calibri"/>
          <w:sz w:val="16"/>
          <w:szCs w:val="16"/>
        </w:rPr>
        <w:t>ZP-20</w:t>
      </w:r>
      <w:r w:rsidR="008E0331">
        <w:rPr>
          <w:rFonts w:eastAsia="Arial,Calibri"/>
          <w:sz w:val="16"/>
          <w:szCs w:val="16"/>
        </w:rPr>
        <w:t>20</w:t>
      </w:r>
      <w:r>
        <w:rPr>
          <w:rFonts w:eastAsia="Arial,Calibri"/>
          <w:sz w:val="16"/>
          <w:szCs w:val="16"/>
        </w:rPr>
        <w:t>)</w:t>
      </w:r>
    </w:p>
    <w:p w14:paraId="73BA440F" w14:textId="3ECBB00B" w:rsidR="00F679A2" w:rsidRPr="003B2B91" w:rsidRDefault="00F679A2" w:rsidP="005B2A49">
      <w:pPr>
        <w:spacing w:after="120" w:line="260" w:lineRule="atLeast"/>
        <w:rPr>
          <w:rFonts w:eastAsia="Calibri"/>
          <w:szCs w:val="20"/>
        </w:rPr>
      </w:pPr>
      <w:r w:rsidRPr="005B2A49">
        <w:rPr>
          <w:rFonts w:eastAsia="Calibri"/>
          <w:szCs w:val="20"/>
        </w:rPr>
        <w:t>V Sloveniji so kmetijska gospodarstva leta 20</w:t>
      </w:r>
      <w:r w:rsidR="008E0331">
        <w:rPr>
          <w:rFonts w:eastAsia="Calibri"/>
          <w:szCs w:val="20"/>
        </w:rPr>
        <w:t>20</w:t>
      </w:r>
      <w:r w:rsidRPr="005B2A49">
        <w:rPr>
          <w:rFonts w:eastAsia="Calibri"/>
          <w:szCs w:val="20"/>
        </w:rPr>
        <w:t xml:space="preserve"> na </w:t>
      </w:r>
      <w:r w:rsidR="008E0331">
        <w:rPr>
          <w:rFonts w:eastAsia="Calibri"/>
          <w:szCs w:val="20"/>
        </w:rPr>
        <w:t>7.116</w:t>
      </w:r>
      <w:r w:rsidRPr="005B2A49">
        <w:rPr>
          <w:rFonts w:eastAsia="Calibri"/>
          <w:szCs w:val="20"/>
        </w:rPr>
        <w:t xml:space="preserve"> ha površin pridelalali 1</w:t>
      </w:r>
      <w:r w:rsidR="008E0331">
        <w:rPr>
          <w:rFonts w:eastAsia="Calibri"/>
          <w:szCs w:val="20"/>
        </w:rPr>
        <w:t>37.227</w:t>
      </w:r>
      <w:r w:rsidRPr="005B2A49">
        <w:rPr>
          <w:rFonts w:eastAsia="Calibri"/>
          <w:szCs w:val="20"/>
        </w:rPr>
        <w:t xml:space="preserve"> ton zelenjave, od tega na 3.487 ha površin 8</w:t>
      </w:r>
      <w:r w:rsidR="008E0331">
        <w:rPr>
          <w:rFonts w:eastAsia="Calibri"/>
          <w:szCs w:val="20"/>
        </w:rPr>
        <w:t>5.275</w:t>
      </w:r>
      <w:r w:rsidRPr="005B2A49">
        <w:rPr>
          <w:rFonts w:eastAsia="Calibri"/>
          <w:szCs w:val="20"/>
        </w:rPr>
        <w:t xml:space="preserve"> ton za prodajo. Glede na leto 200</w:t>
      </w:r>
      <w:r w:rsidR="008E0331">
        <w:rPr>
          <w:rFonts w:eastAsia="Calibri"/>
          <w:szCs w:val="20"/>
        </w:rPr>
        <w:t>8</w:t>
      </w:r>
      <w:r w:rsidRPr="005B2A49">
        <w:rPr>
          <w:rFonts w:eastAsia="Calibri"/>
          <w:szCs w:val="20"/>
        </w:rPr>
        <w:t xml:space="preserve"> se je tržni pridelek zelenjadnic za enkrat povečal (</w:t>
      </w:r>
      <w:r w:rsidR="008E0331">
        <w:rPr>
          <w:rFonts w:eastAsia="Calibri"/>
          <w:szCs w:val="20"/>
        </w:rPr>
        <w:t>97</w:t>
      </w:r>
      <w:r w:rsidRPr="005B2A49">
        <w:rPr>
          <w:rFonts w:eastAsia="Calibri"/>
          <w:szCs w:val="20"/>
        </w:rPr>
        <w:t xml:space="preserve"> %). Povprečni hektarski pridelki posameznih tržnih zelenjadnic zaostajajo za povprečnimi hektarskimi pridelki v državah članicah Evropske unije (EU). V pridelovalni strukturi tržnih zelenjadnic, so bile leta 20</w:t>
      </w:r>
      <w:r w:rsidR="008E0331">
        <w:rPr>
          <w:rFonts w:eastAsia="Calibri"/>
          <w:szCs w:val="20"/>
        </w:rPr>
        <w:t>20</w:t>
      </w:r>
      <w:r w:rsidRPr="005B2A49">
        <w:rPr>
          <w:rFonts w:eastAsia="Calibri"/>
          <w:szCs w:val="20"/>
        </w:rPr>
        <w:t xml:space="preserve"> po količini najpomembnejše zelenjadnice zelje, čebula, paradižnik, solata, korenček, paprika, rdeča pesa in bučka.</w:t>
      </w:r>
    </w:p>
    <w:p w14:paraId="4BD1E0C5" w14:textId="4175214E" w:rsidR="00F679A2" w:rsidRPr="005B2A49" w:rsidRDefault="00F679A2" w:rsidP="005B2A49">
      <w:pPr>
        <w:spacing w:after="120" w:line="260" w:lineRule="atLeast"/>
        <w:rPr>
          <w:rFonts w:eastAsia="Calibri"/>
          <w:szCs w:val="20"/>
        </w:rPr>
      </w:pPr>
      <w:r w:rsidRPr="005B2A49">
        <w:rPr>
          <w:rFonts w:eastAsia="Calibri"/>
          <w:szCs w:val="20"/>
        </w:rPr>
        <w:t>V letu 20</w:t>
      </w:r>
      <w:r w:rsidR="008E0331">
        <w:rPr>
          <w:rFonts w:eastAsia="Calibri"/>
          <w:szCs w:val="20"/>
        </w:rPr>
        <w:t>20</w:t>
      </w:r>
      <w:r w:rsidRPr="005B2A49">
        <w:rPr>
          <w:rFonts w:eastAsia="Calibri"/>
          <w:szCs w:val="20"/>
        </w:rPr>
        <w:t xml:space="preserve"> smo pridelali za 1</w:t>
      </w:r>
      <w:r w:rsidR="008E0331">
        <w:rPr>
          <w:rFonts w:eastAsia="Calibri"/>
          <w:szCs w:val="20"/>
        </w:rPr>
        <w:t>7</w:t>
      </w:r>
      <w:r w:rsidRPr="005B2A49">
        <w:rPr>
          <w:rFonts w:eastAsia="Calibri"/>
          <w:szCs w:val="20"/>
        </w:rPr>
        <w:t> % več zelenjadnic kot leta 201</w:t>
      </w:r>
      <w:r w:rsidR="008E0331">
        <w:rPr>
          <w:rFonts w:eastAsia="Calibri"/>
          <w:szCs w:val="20"/>
        </w:rPr>
        <w:t>9</w:t>
      </w:r>
      <w:r w:rsidRPr="005B2A49">
        <w:rPr>
          <w:rFonts w:eastAsia="Calibri"/>
          <w:szCs w:val="20"/>
        </w:rPr>
        <w:t>. Količina pridelanih zelenjadnic v letu 20</w:t>
      </w:r>
      <w:r w:rsidR="008E0331">
        <w:rPr>
          <w:rFonts w:eastAsia="Calibri"/>
          <w:szCs w:val="20"/>
        </w:rPr>
        <w:t>20</w:t>
      </w:r>
      <w:r w:rsidRPr="005B2A49">
        <w:rPr>
          <w:rFonts w:eastAsia="Calibri"/>
          <w:szCs w:val="20"/>
        </w:rPr>
        <w:t xml:space="preserve"> po naših ocenah ter na podlagi analize podatkov zadnjega tržnega popisa vrtnarstva verjetno vključuje tudi pridelek zelenjadnic, ki ni bil v celoti namenjen prehrani ljudi (npr. repa, redkev, grah, bučke).</w:t>
      </w:r>
    </w:p>
    <w:p w14:paraId="4DA8C001" w14:textId="47873A05" w:rsidR="00F679A2" w:rsidRDefault="00F679A2" w:rsidP="00F679A2">
      <w:pPr>
        <w:pStyle w:val="SCSlika0"/>
      </w:pPr>
      <w:bookmarkStart w:id="3133" w:name="_Toc86822734"/>
      <w:r>
        <w:t xml:space="preserve">Slika </w:t>
      </w:r>
      <w:r>
        <w:rPr>
          <w:noProof/>
        </w:rPr>
        <w:fldChar w:fldCharType="begin"/>
      </w:r>
      <w:r>
        <w:rPr>
          <w:noProof/>
        </w:rPr>
        <w:instrText xml:space="preserve"> SEQ Slika \* ARABIC </w:instrText>
      </w:r>
      <w:r>
        <w:rPr>
          <w:noProof/>
        </w:rPr>
        <w:fldChar w:fldCharType="separate"/>
      </w:r>
      <w:r w:rsidR="0088117A">
        <w:rPr>
          <w:noProof/>
        </w:rPr>
        <w:t>62</w:t>
      </w:r>
      <w:r>
        <w:rPr>
          <w:noProof/>
        </w:rPr>
        <w:fldChar w:fldCharType="end"/>
      </w:r>
      <w:r>
        <w:t xml:space="preserve">: </w:t>
      </w:r>
      <w:r w:rsidRPr="005718B1">
        <w:rPr>
          <w:rFonts w:eastAsia="Calibri"/>
        </w:rPr>
        <w:t>Pridelava in poraba zelenjave</w:t>
      </w:r>
      <w:r>
        <w:rPr>
          <w:rFonts w:eastAsia="Calibri"/>
        </w:rPr>
        <w:t xml:space="preserve"> (v 1000 t, ekvivalent sveže zelenjave)</w:t>
      </w:r>
      <w:bookmarkEnd w:id="3133"/>
    </w:p>
    <w:p w14:paraId="5DDAC96B" w14:textId="0C4F8841" w:rsidR="00F679A2" w:rsidRPr="003B2B91" w:rsidRDefault="00F679A2" w:rsidP="00F679A2">
      <w:pPr>
        <w:pStyle w:val="ZPtekst"/>
        <w:spacing w:before="0" w:line="360" w:lineRule="auto"/>
        <w:rPr>
          <w:rFonts w:eastAsia="Calibri"/>
          <w:szCs w:val="20"/>
        </w:rPr>
      </w:pPr>
    </w:p>
    <w:p w14:paraId="4964371A" w14:textId="66215C27" w:rsidR="003439B6" w:rsidRDefault="003439B6" w:rsidP="00F679A2">
      <w:pPr>
        <w:spacing w:line="360" w:lineRule="auto"/>
        <w:rPr>
          <w:rFonts w:eastAsia="Calibri"/>
          <w:sz w:val="16"/>
          <w:szCs w:val="16"/>
        </w:rPr>
      </w:pPr>
      <w:r>
        <w:rPr>
          <w:rFonts w:eastAsia="Calibri"/>
          <w:noProof/>
          <w:sz w:val="16"/>
          <w:szCs w:val="16"/>
          <w:lang w:eastAsia="sl-SI"/>
        </w:rPr>
        <w:drawing>
          <wp:inline distT="0" distB="0" distL="0" distR="0" wp14:anchorId="456809B7" wp14:editId="40BE787E">
            <wp:extent cx="4584700" cy="2755900"/>
            <wp:effectExtent l="0" t="0" r="6350" b="6350"/>
            <wp:docPr id="1631865358" name="Slika 163186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6DECA8" w14:textId="318C0D00" w:rsidR="00F679A2" w:rsidRPr="005718B1" w:rsidRDefault="00F679A2" w:rsidP="00F679A2">
      <w:pPr>
        <w:spacing w:line="360" w:lineRule="auto"/>
        <w:rPr>
          <w:rFonts w:eastAsia="Calibri"/>
          <w:sz w:val="16"/>
          <w:szCs w:val="16"/>
        </w:rPr>
      </w:pPr>
      <w:r w:rsidRPr="005718B1">
        <w:rPr>
          <w:rFonts w:eastAsia="Calibri"/>
          <w:sz w:val="16"/>
          <w:szCs w:val="16"/>
        </w:rPr>
        <w:t xml:space="preserve">Vir: </w:t>
      </w:r>
      <w:r>
        <w:rPr>
          <w:rFonts w:eastAsia="Calibri"/>
          <w:sz w:val="16"/>
          <w:szCs w:val="16"/>
        </w:rPr>
        <w:t>SURS, KIS (</w:t>
      </w:r>
      <w:r w:rsidRPr="005718B1">
        <w:rPr>
          <w:rFonts w:eastAsia="Calibri"/>
          <w:sz w:val="16"/>
          <w:szCs w:val="16"/>
        </w:rPr>
        <w:t>ZP-20</w:t>
      </w:r>
      <w:r w:rsidR="003439B6">
        <w:rPr>
          <w:rFonts w:eastAsia="Calibri"/>
          <w:sz w:val="16"/>
          <w:szCs w:val="16"/>
        </w:rPr>
        <w:t>20</w:t>
      </w:r>
      <w:r>
        <w:rPr>
          <w:rFonts w:eastAsia="Calibri"/>
          <w:sz w:val="16"/>
          <w:szCs w:val="16"/>
        </w:rPr>
        <w:t>)</w:t>
      </w:r>
    </w:p>
    <w:p w14:paraId="793A7423" w14:textId="77777777" w:rsidR="003439B6" w:rsidRDefault="003439B6" w:rsidP="005B2A49">
      <w:pPr>
        <w:spacing w:after="120" w:line="260" w:lineRule="atLeast"/>
        <w:rPr>
          <w:rFonts w:eastAsia="Calibri"/>
          <w:szCs w:val="20"/>
        </w:rPr>
      </w:pPr>
    </w:p>
    <w:p w14:paraId="6D1CBA40" w14:textId="3ED47FDF" w:rsidR="00F679A2" w:rsidRPr="005B2A49" w:rsidRDefault="00F679A2" w:rsidP="005B2A49">
      <w:pPr>
        <w:spacing w:after="120" w:line="260" w:lineRule="atLeast"/>
        <w:rPr>
          <w:rFonts w:eastAsia="Calibri"/>
          <w:szCs w:val="20"/>
        </w:rPr>
      </w:pPr>
      <w:r w:rsidRPr="005B2A49">
        <w:rPr>
          <w:rFonts w:eastAsia="Calibri"/>
          <w:szCs w:val="20"/>
        </w:rPr>
        <w:t xml:space="preserve">Površine vključene v ekološko pridelavo zelenjadnic, tako na prostem kot v zaščitenem prostoru, naraščajo. V letu 2010 je bilo v ekološko pridelavo vključenih 122 ha površin z zelenjadnicami, medtem ko so se v letu 2019 površine povečale za 168 % (328 ha).  </w:t>
      </w:r>
    </w:p>
    <w:p w14:paraId="6BA8AA59" w14:textId="77777777" w:rsidR="00726070" w:rsidRDefault="00726070" w:rsidP="00F679A2">
      <w:pPr>
        <w:pStyle w:val="SCSlika0"/>
      </w:pPr>
    </w:p>
    <w:p w14:paraId="73079F9C" w14:textId="6F29D1DA" w:rsidR="00F679A2" w:rsidRDefault="00F679A2" w:rsidP="00F679A2">
      <w:pPr>
        <w:pStyle w:val="SCSlika0"/>
      </w:pPr>
      <w:bookmarkStart w:id="3134" w:name="_Toc86822735"/>
      <w:r>
        <w:t xml:space="preserve">Slika </w:t>
      </w:r>
      <w:r>
        <w:rPr>
          <w:noProof/>
        </w:rPr>
        <w:fldChar w:fldCharType="begin"/>
      </w:r>
      <w:r>
        <w:rPr>
          <w:noProof/>
        </w:rPr>
        <w:instrText xml:space="preserve"> SEQ Slika \* ARABIC </w:instrText>
      </w:r>
      <w:r>
        <w:rPr>
          <w:noProof/>
        </w:rPr>
        <w:fldChar w:fldCharType="separate"/>
      </w:r>
      <w:r w:rsidR="0088117A">
        <w:rPr>
          <w:noProof/>
        </w:rPr>
        <w:t>63</w:t>
      </w:r>
      <w:r>
        <w:rPr>
          <w:noProof/>
        </w:rPr>
        <w:fldChar w:fldCharType="end"/>
      </w:r>
      <w:r>
        <w:t xml:space="preserve">: Površine (ha) </w:t>
      </w:r>
      <w:r w:rsidRPr="005718B1">
        <w:t xml:space="preserve">vrtnin na prostem in v zaščitenem prostoru </w:t>
      </w:r>
      <w:r>
        <w:t>vključene v ekološko pridelavo</w:t>
      </w:r>
      <w:bookmarkEnd w:id="3134"/>
    </w:p>
    <w:p w14:paraId="06831A84"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013BC534" wp14:editId="6D0910DD">
            <wp:extent cx="3540556" cy="2051685"/>
            <wp:effectExtent l="0" t="0" r="3175" b="5715"/>
            <wp:docPr id="53" name="Grafikon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E9CE14A" w14:textId="77777777" w:rsidR="00F679A2" w:rsidRPr="003B2B91" w:rsidRDefault="00F679A2" w:rsidP="00F679A2">
      <w:pPr>
        <w:spacing w:line="360" w:lineRule="auto"/>
        <w:rPr>
          <w:szCs w:val="20"/>
        </w:rPr>
      </w:pPr>
      <w:r w:rsidRPr="005718B1">
        <w:rPr>
          <w:rFonts w:eastAsia="Arial,Times New Roman"/>
          <w:sz w:val="16"/>
          <w:szCs w:val="16"/>
        </w:rPr>
        <w:t>V</w:t>
      </w:r>
      <w:r>
        <w:rPr>
          <w:rFonts w:eastAsia="Arial,Times New Roman"/>
          <w:sz w:val="16"/>
          <w:szCs w:val="16"/>
        </w:rPr>
        <w:t>ir</w:t>
      </w:r>
      <w:r w:rsidRPr="005718B1">
        <w:rPr>
          <w:rFonts w:eastAsia="Arial,Times New Roman"/>
          <w:sz w:val="16"/>
          <w:szCs w:val="16"/>
        </w:rPr>
        <w:t>: MKGP</w:t>
      </w:r>
      <w:r>
        <w:rPr>
          <w:rFonts w:eastAsia="Arial,Times New Roman"/>
          <w:sz w:val="16"/>
          <w:szCs w:val="16"/>
        </w:rPr>
        <w:t>-2020</w:t>
      </w:r>
    </w:p>
    <w:p w14:paraId="137BBB96" w14:textId="4D8CE62A" w:rsidR="00F679A2" w:rsidRPr="005B2A49" w:rsidRDefault="00F679A2" w:rsidP="005B2A49">
      <w:pPr>
        <w:spacing w:after="120" w:line="260" w:lineRule="atLeast"/>
        <w:rPr>
          <w:rFonts w:eastAsia="Calibri"/>
          <w:szCs w:val="20"/>
        </w:rPr>
      </w:pPr>
      <w:r w:rsidRPr="005B2A49">
        <w:rPr>
          <w:rFonts w:eastAsia="Calibri"/>
          <w:szCs w:val="20"/>
        </w:rPr>
        <w:t>Površine tržne pridelave zelenjadnic, ki so vključene v integrirano pridelavo, so se v letu 20</w:t>
      </w:r>
      <w:r w:rsidR="00216C2C">
        <w:rPr>
          <w:rFonts w:eastAsia="Calibri"/>
          <w:szCs w:val="20"/>
        </w:rPr>
        <w:t>20</w:t>
      </w:r>
      <w:r w:rsidRPr="005B2A49">
        <w:rPr>
          <w:rFonts w:eastAsia="Calibri"/>
          <w:szCs w:val="20"/>
        </w:rPr>
        <w:t xml:space="preserve"> zmanjšale za </w:t>
      </w:r>
      <w:r w:rsidR="00216C2C">
        <w:rPr>
          <w:rFonts w:eastAsia="Calibri"/>
          <w:szCs w:val="20"/>
        </w:rPr>
        <w:t>76</w:t>
      </w:r>
      <w:r w:rsidRPr="005B2A49">
        <w:rPr>
          <w:rFonts w:eastAsia="Calibri"/>
          <w:szCs w:val="20"/>
        </w:rPr>
        <w:t xml:space="preserve"> % glede na leto 2010. Površine, vključene v kontrolo integrirane pridelave, po letu </w:t>
      </w:r>
      <w:r w:rsidR="00216C2C">
        <w:rPr>
          <w:rFonts w:eastAsia="Calibri"/>
          <w:szCs w:val="20"/>
        </w:rPr>
        <w:t>2010 padajo.</w:t>
      </w:r>
    </w:p>
    <w:p w14:paraId="0CD82BF5" w14:textId="0071F047" w:rsidR="00F679A2" w:rsidRDefault="00F679A2" w:rsidP="00F679A2">
      <w:pPr>
        <w:pStyle w:val="SCSlika0"/>
      </w:pPr>
      <w:bookmarkStart w:id="3135" w:name="_Toc86822736"/>
      <w:r>
        <w:t xml:space="preserve">Slika </w:t>
      </w:r>
      <w:r>
        <w:rPr>
          <w:noProof/>
        </w:rPr>
        <w:fldChar w:fldCharType="begin"/>
      </w:r>
      <w:r>
        <w:rPr>
          <w:noProof/>
        </w:rPr>
        <w:instrText xml:space="preserve"> SEQ Slika \* ARABIC </w:instrText>
      </w:r>
      <w:r>
        <w:rPr>
          <w:noProof/>
        </w:rPr>
        <w:fldChar w:fldCharType="separate"/>
      </w:r>
      <w:r w:rsidR="0088117A">
        <w:rPr>
          <w:noProof/>
        </w:rPr>
        <w:t>64</w:t>
      </w:r>
      <w:r>
        <w:rPr>
          <w:noProof/>
        </w:rPr>
        <w:fldChar w:fldCharType="end"/>
      </w:r>
      <w:r>
        <w:t xml:space="preserve">: </w:t>
      </w:r>
      <w:r w:rsidRPr="00E2688B">
        <w:t>Površine (ha) vključene v integrirano pridelavo zelenjadnic na prostem in v zaščitenem prostoru</w:t>
      </w:r>
      <w:bookmarkEnd w:id="3135"/>
    </w:p>
    <w:p w14:paraId="5C1B0DE6" w14:textId="5D9D8535" w:rsidR="00F679A2" w:rsidRPr="003B2B91" w:rsidRDefault="00F679A2" w:rsidP="00F679A2">
      <w:pPr>
        <w:spacing w:line="360" w:lineRule="auto"/>
        <w:rPr>
          <w:szCs w:val="20"/>
        </w:rPr>
      </w:pPr>
    </w:p>
    <w:p w14:paraId="13A0CDDE" w14:textId="77777777" w:rsidR="00216C2C" w:rsidRDefault="00216C2C" w:rsidP="00F679A2">
      <w:pPr>
        <w:spacing w:line="360" w:lineRule="auto"/>
        <w:rPr>
          <w:rFonts w:eastAsia="Arial,Times New Roman"/>
          <w:sz w:val="16"/>
          <w:szCs w:val="16"/>
        </w:rPr>
      </w:pPr>
    </w:p>
    <w:p w14:paraId="2B8EAF61" w14:textId="190504D7" w:rsidR="00216C2C" w:rsidRDefault="00216C2C" w:rsidP="00F679A2">
      <w:pPr>
        <w:spacing w:line="360" w:lineRule="auto"/>
        <w:rPr>
          <w:rFonts w:eastAsia="Arial,Times New Roman"/>
          <w:sz w:val="16"/>
          <w:szCs w:val="16"/>
        </w:rPr>
      </w:pPr>
      <w:r>
        <w:rPr>
          <w:rFonts w:eastAsia="Arial,Times New Roman"/>
          <w:noProof/>
          <w:sz w:val="16"/>
          <w:szCs w:val="16"/>
          <w:lang w:eastAsia="sl-SI"/>
        </w:rPr>
        <w:drawing>
          <wp:inline distT="0" distB="0" distL="0" distR="0" wp14:anchorId="6F983C8C" wp14:editId="221E4F38">
            <wp:extent cx="3848100" cy="2394669"/>
            <wp:effectExtent l="0" t="0" r="0" b="5715"/>
            <wp:docPr id="1631865366" name="Slika 163186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55018" cy="2398974"/>
                    </a:xfrm>
                    <a:prstGeom prst="rect">
                      <a:avLst/>
                    </a:prstGeom>
                    <a:noFill/>
                  </pic:spPr>
                </pic:pic>
              </a:graphicData>
            </a:graphic>
          </wp:inline>
        </w:drawing>
      </w:r>
    </w:p>
    <w:p w14:paraId="14F11DBA" w14:textId="20A585A7" w:rsidR="00F679A2" w:rsidRPr="005718B1" w:rsidRDefault="00F679A2" w:rsidP="00F679A2">
      <w:pPr>
        <w:spacing w:line="360" w:lineRule="auto"/>
        <w:rPr>
          <w:sz w:val="16"/>
          <w:szCs w:val="16"/>
        </w:rPr>
      </w:pPr>
      <w:r w:rsidRPr="005718B1">
        <w:rPr>
          <w:rFonts w:eastAsia="Arial,Times New Roman"/>
          <w:sz w:val="16"/>
          <w:szCs w:val="16"/>
        </w:rPr>
        <w:t>V</w:t>
      </w:r>
      <w:r>
        <w:rPr>
          <w:rFonts w:eastAsia="Arial,Times New Roman"/>
          <w:sz w:val="16"/>
          <w:szCs w:val="16"/>
        </w:rPr>
        <w:t>ir</w:t>
      </w:r>
      <w:r w:rsidRPr="005718B1">
        <w:rPr>
          <w:rFonts w:eastAsia="Arial,Times New Roman"/>
          <w:sz w:val="16"/>
          <w:szCs w:val="16"/>
        </w:rPr>
        <w:t>: MKGP</w:t>
      </w:r>
      <w:r>
        <w:rPr>
          <w:rFonts w:eastAsia="Arial,Times New Roman"/>
          <w:sz w:val="16"/>
          <w:szCs w:val="16"/>
        </w:rPr>
        <w:t>-202</w:t>
      </w:r>
      <w:r w:rsidR="00216C2C">
        <w:rPr>
          <w:rFonts w:eastAsia="Arial,Times New Roman"/>
          <w:sz w:val="16"/>
          <w:szCs w:val="16"/>
        </w:rPr>
        <w:t>1</w:t>
      </w:r>
    </w:p>
    <w:p w14:paraId="010E3500" w14:textId="2506B62A" w:rsidR="00F679A2" w:rsidRPr="00216C2C" w:rsidRDefault="00F679A2" w:rsidP="005B2A49">
      <w:pPr>
        <w:spacing w:after="120" w:line="260" w:lineRule="atLeast"/>
        <w:rPr>
          <w:rFonts w:eastAsia="Calibri"/>
          <w:szCs w:val="20"/>
        </w:rPr>
      </w:pPr>
      <w:r w:rsidRPr="005B2A49">
        <w:rPr>
          <w:rFonts w:eastAsia="Calibri"/>
          <w:szCs w:val="20"/>
        </w:rPr>
        <w:t>Stopnja samooskrbe z zelenjavo je nizka, kljub temu, da klimatske, hidrološke in pedološke danosti ter možnost zagotavljanja obnovljivih virov energije v Republiki Sloveniji omogočajo pridelavo vseh kontinentalnih vrst zelenjave na prostem, v primeru pridelave v zavarovanih prostorih pa je mogoče tudi podaljšanje sezone pridelave ali pri posameznih zelenjadnicah celo celoletna pridelava. V letu 20</w:t>
      </w:r>
      <w:r w:rsidR="00216C2C">
        <w:rPr>
          <w:rFonts w:eastAsia="Calibri"/>
          <w:szCs w:val="20"/>
        </w:rPr>
        <w:t>20</w:t>
      </w:r>
      <w:r w:rsidRPr="005B2A49">
        <w:rPr>
          <w:rFonts w:eastAsia="Calibri"/>
          <w:szCs w:val="20"/>
        </w:rPr>
        <w:t xml:space="preserve"> je samooskrba z zelenjavo dosegla 4</w:t>
      </w:r>
      <w:r w:rsidR="00216C2C">
        <w:rPr>
          <w:rFonts w:eastAsia="Calibri"/>
          <w:szCs w:val="20"/>
        </w:rPr>
        <w:t>8</w:t>
      </w:r>
      <w:r w:rsidRPr="005B2A49">
        <w:rPr>
          <w:rFonts w:eastAsia="Calibri"/>
          <w:szCs w:val="20"/>
        </w:rPr>
        <w:t xml:space="preserve"> %, s svežo zelenjavo pa </w:t>
      </w:r>
      <w:r w:rsidR="00216C2C">
        <w:rPr>
          <w:rFonts w:eastAsia="Calibri"/>
          <w:szCs w:val="20"/>
        </w:rPr>
        <w:t>61</w:t>
      </w:r>
      <w:r w:rsidRPr="005B2A49">
        <w:rPr>
          <w:rFonts w:eastAsia="Calibri"/>
          <w:szCs w:val="20"/>
        </w:rPr>
        <w:t>% (Vir: ZP-20</w:t>
      </w:r>
      <w:r w:rsidR="00216C2C">
        <w:rPr>
          <w:rFonts w:eastAsia="Calibri"/>
          <w:szCs w:val="20"/>
        </w:rPr>
        <w:t>20</w:t>
      </w:r>
      <w:r w:rsidRPr="005B2A49">
        <w:rPr>
          <w:rFonts w:eastAsia="Calibri"/>
          <w:szCs w:val="20"/>
        </w:rPr>
        <w:t>). Glavni razlogi za nizko stopnjo samooskrbe so nekonkurenčnost po ceni in količini z drugimi EU državami, nepovezanost pridelovalcev, neurejene pogodbe odkupa ter premalo pridelave zelenjave v zavarovanih prostorih. Pomemben delež zelenjave v Republiki Sloveniji tradicionalno pridelajo tudi ljubiteljski vrtnarji (vrtičkarji) za lastno oskrbo gospodinjstev, vendar podatki o teh pridelkih niso vključeni v uradni izračun samooskrbe z zelenjavo.</w:t>
      </w:r>
    </w:p>
    <w:p w14:paraId="1913FEF8" w14:textId="18890811" w:rsidR="00F679A2" w:rsidRPr="005B2A49" w:rsidRDefault="00F679A2" w:rsidP="005B2A49">
      <w:pPr>
        <w:spacing w:after="120" w:line="260" w:lineRule="atLeast"/>
        <w:rPr>
          <w:rFonts w:eastAsia="Calibri"/>
          <w:szCs w:val="20"/>
        </w:rPr>
      </w:pPr>
      <w:r w:rsidRPr="005B2A49">
        <w:rPr>
          <w:rFonts w:eastAsia="Calibri"/>
          <w:szCs w:val="20"/>
        </w:rPr>
        <w:t>Ker pridelava zelenjave že dolgo ne sledi več povpraševanju, se dolgoročno povečuje uvoz iz notranjega trga EU in tretjih držav. Skupni uvoz zelenjave je leta 20</w:t>
      </w:r>
      <w:r w:rsidR="00216C2C">
        <w:rPr>
          <w:rFonts w:eastAsia="Calibri"/>
          <w:szCs w:val="20"/>
        </w:rPr>
        <w:t>20</w:t>
      </w:r>
      <w:r w:rsidRPr="005B2A49">
        <w:rPr>
          <w:rFonts w:eastAsia="Calibri"/>
          <w:szCs w:val="20"/>
        </w:rPr>
        <w:t xml:space="preserve"> znašal 17</w:t>
      </w:r>
      <w:r w:rsidR="00216C2C">
        <w:rPr>
          <w:rFonts w:eastAsia="Calibri"/>
          <w:szCs w:val="20"/>
        </w:rPr>
        <w:t>3</w:t>
      </w:r>
      <w:r w:rsidRPr="005B2A49">
        <w:rPr>
          <w:rFonts w:eastAsia="Calibri"/>
          <w:szCs w:val="20"/>
        </w:rPr>
        <w:t xml:space="preserve"> tisoč ton, od tega </w:t>
      </w:r>
      <w:r w:rsidR="00216C2C">
        <w:rPr>
          <w:rFonts w:eastAsia="Calibri"/>
          <w:szCs w:val="20"/>
        </w:rPr>
        <w:t>58</w:t>
      </w:r>
      <w:r w:rsidRPr="005B2A49">
        <w:rPr>
          <w:rFonts w:eastAsia="Calibri"/>
          <w:szCs w:val="20"/>
        </w:rPr>
        <w:t xml:space="preserve"> % sveže zelenjave. V primerjavi z letom 20</w:t>
      </w:r>
      <w:r w:rsidR="00216C2C">
        <w:rPr>
          <w:rFonts w:eastAsia="Calibri"/>
          <w:szCs w:val="20"/>
        </w:rPr>
        <w:t>16</w:t>
      </w:r>
      <w:r w:rsidRPr="005B2A49">
        <w:rPr>
          <w:rFonts w:eastAsia="Calibri"/>
          <w:szCs w:val="20"/>
        </w:rPr>
        <w:t>, ko se je uvozilo 1</w:t>
      </w:r>
      <w:r w:rsidR="00216C2C">
        <w:rPr>
          <w:rFonts w:eastAsia="Calibri"/>
          <w:szCs w:val="20"/>
        </w:rPr>
        <w:t>64</w:t>
      </w:r>
      <w:r w:rsidRPr="005B2A49">
        <w:rPr>
          <w:rFonts w:eastAsia="Calibri"/>
          <w:szCs w:val="20"/>
        </w:rPr>
        <w:t xml:space="preserve"> tisoč ton zelenjave, se je uvoz do leta 20</w:t>
      </w:r>
      <w:r w:rsidR="00216C2C">
        <w:rPr>
          <w:rFonts w:eastAsia="Calibri"/>
          <w:szCs w:val="20"/>
        </w:rPr>
        <w:t>20</w:t>
      </w:r>
      <w:r w:rsidRPr="005B2A49">
        <w:rPr>
          <w:rFonts w:eastAsia="Calibri"/>
          <w:szCs w:val="20"/>
        </w:rPr>
        <w:t xml:space="preserve"> povečal za </w:t>
      </w:r>
      <w:r w:rsidR="00216C2C">
        <w:rPr>
          <w:rFonts w:eastAsia="Calibri"/>
          <w:szCs w:val="20"/>
        </w:rPr>
        <w:t>5</w:t>
      </w:r>
      <w:r w:rsidRPr="005B2A49">
        <w:rPr>
          <w:rFonts w:eastAsia="Calibri"/>
          <w:szCs w:val="20"/>
        </w:rPr>
        <w:t xml:space="preserve"> %. Izvoz zelenjave v obsegu približno 2</w:t>
      </w:r>
      <w:r w:rsidR="00216C2C">
        <w:rPr>
          <w:rFonts w:eastAsia="Calibri"/>
          <w:szCs w:val="20"/>
        </w:rPr>
        <w:t>5</w:t>
      </w:r>
      <w:r w:rsidRPr="005B2A49">
        <w:rPr>
          <w:rFonts w:eastAsia="Calibri"/>
          <w:szCs w:val="20"/>
        </w:rPr>
        <w:t xml:space="preserve"> tisoč ton (od tega je bilo </w:t>
      </w:r>
      <w:r w:rsidR="004C24E4">
        <w:rPr>
          <w:rFonts w:eastAsia="Calibri"/>
          <w:szCs w:val="20"/>
        </w:rPr>
        <w:t>52</w:t>
      </w:r>
      <w:r w:rsidRPr="005B2A49">
        <w:rPr>
          <w:rFonts w:eastAsia="Calibri"/>
          <w:szCs w:val="20"/>
        </w:rPr>
        <w:t xml:space="preserve"> % sveže zelenjave), se je leta 20</w:t>
      </w:r>
      <w:r w:rsidR="004C24E4">
        <w:rPr>
          <w:rFonts w:eastAsia="Calibri"/>
          <w:szCs w:val="20"/>
        </w:rPr>
        <w:t>20</w:t>
      </w:r>
      <w:r w:rsidRPr="005B2A49">
        <w:rPr>
          <w:rFonts w:eastAsia="Calibri"/>
          <w:szCs w:val="20"/>
        </w:rPr>
        <w:t xml:space="preserve"> v primerjavi z letom 20</w:t>
      </w:r>
      <w:r w:rsidR="004C24E4">
        <w:rPr>
          <w:rFonts w:eastAsia="Calibri"/>
          <w:szCs w:val="20"/>
        </w:rPr>
        <w:t>16</w:t>
      </w:r>
      <w:r w:rsidRPr="005B2A49">
        <w:rPr>
          <w:rFonts w:eastAsia="Calibri"/>
          <w:szCs w:val="20"/>
        </w:rPr>
        <w:t xml:space="preserve"> povečal za </w:t>
      </w:r>
      <w:r w:rsidR="004C24E4">
        <w:rPr>
          <w:rFonts w:eastAsia="Calibri"/>
          <w:szCs w:val="20"/>
        </w:rPr>
        <w:t>54</w:t>
      </w:r>
      <w:r w:rsidRPr="005B2A49">
        <w:rPr>
          <w:rFonts w:eastAsia="Calibri"/>
          <w:szCs w:val="20"/>
        </w:rPr>
        <w:t xml:space="preserve"> %, v letu 20</w:t>
      </w:r>
      <w:r w:rsidR="004C24E4">
        <w:rPr>
          <w:rFonts w:eastAsia="Calibri"/>
          <w:szCs w:val="20"/>
        </w:rPr>
        <w:t>16</w:t>
      </w:r>
      <w:r w:rsidRPr="005B2A49">
        <w:rPr>
          <w:rFonts w:eastAsia="Calibri"/>
          <w:szCs w:val="20"/>
        </w:rPr>
        <w:t xml:space="preserve"> je znašal približno 1</w:t>
      </w:r>
      <w:r w:rsidR="004C24E4">
        <w:rPr>
          <w:rFonts w:eastAsia="Calibri"/>
          <w:szCs w:val="20"/>
        </w:rPr>
        <w:t>6</w:t>
      </w:r>
      <w:r w:rsidRPr="005B2A49">
        <w:rPr>
          <w:rFonts w:eastAsia="Calibri"/>
          <w:szCs w:val="20"/>
        </w:rPr>
        <w:t xml:space="preserve"> tisoč ton. V količinski strukturi zunanje trgovine sveže zelenjave so najpomembnejše zelenjadnice: paradižnik, čebula, paprika, solata, lubenica ter melona, kumara in zelje. </w:t>
      </w:r>
    </w:p>
    <w:p w14:paraId="2F292BE4" w14:textId="4F05AE8D" w:rsidR="00F679A2" w:rsidRPr="00C25531" w:rsidRDefault="00F679A2" w:rsidP="005B2A49">
      <w:pPr>
        <w:spacing w:after="120" w:line="260" w:lineRule="atLeast"/>
        <w:rPr>
          <w:rFonts w:eastAsia="Calibri"/>
          <w:szCs w:val="20"/>
        </w:rPr>
      </w:pPr>
      <w:r w:rsidRPr="00F679A2">
        <w:rPr>
          <w:rFonts w:eastAsia="Calibri"/>
          <w:szCs w:val="20"/>
        </w:rPr>
        <w:t>V obdobju 2007–2018 je vrednost pridelave zelenjave po osnovnih cenah naraščala in je znašala</w:t>
      </w:r>
      <w:r w:rsidRPr="00C25531">
        <w:rPr>
          <w:rFonts w:eastAsia="Calibri"/>
          <w:szCs w:val="20"/>
        </w:rPr>
        <w:t xml:space="preserve"> med 39 mio EUR leta 2010 in 93 mio EUR leta 2018.</w:t>
      </w:r>
      <w:r w:rsidRPr="00C25531" w:rsidDel="002A6767">
        <w:rPr>
          <w:rFonts w:eastAsia="Calibri"/>
          <w:szCs w:val="20"/>
        </w:rPr>
        <w:t xml:space="preserve"> </w:t>
      </w:r>
      <w:r w:rsidRPr="00C25531">
        <w:rPr>
          <w:rFonts w:eastAsia="Calibri"/>
          <w:szCs w:val="20"/>
        </w:rPr>
        <w:t xml:space="preserve"> Pridelava zelenjadnic je v obdobju 200</w:t>
      </w:r>
      <w:r w:rsidR="004C24E4">
        <w:rPr>
          <w:rFonts w:eastAsia="Calibri"/>
          <w:szCs w:val="20"/>
        </w:rPr>
        <w:t>8</w:t>
      </w:r>
      <w:r w:rsidRPr="00C25531">
        <w:rPr>
          <w:rFonts w:eastAsia="Calibri"/>
          <w:szCs w:val="20"/>
        </w:rPr>
        <w:t>–201</w:t>
      </w:r>
      <w:r w:rsidR="004C24E4">
        <w:rPr>
          <w:rFonts w:eastAsia="Calibri"/>
          <w:szCs w:val="20"/>
        </w:rPr>
        <w:t>9</w:t>
      </w:r>
      <w:r w:rsidRPr="00C25531">
        <w:rPr>
          <w:rFonts w:eastAsia="Calibri"/>
          <w:szCs w:val="20"/>
        </w:rPr>
        <w:t xml:space="preserve"> k skupni vrednosti kmetijske proizvodnje prispevala od 3,</w:t>
      </w:r>
      <w:r w:rsidR="004C24E4">
        <w:rPr>
          <w:rFonts w:eastAsia="Calibri"/>
          <w:szCs w:val="20"/>
        </w:rPr>
        <w:t>8</w:t>
      </w:r>
      <w:r w:rsidRPr="00C25531">
        <w:rPr>
          <w:rFonts w:eastAsia="Calibri"/>
          <w:szCs w:val="20"/>
        </w:rPr>
        <w:t xml:space="preserve"> % do </w:t>
      </w:r>
      <w:r w:rsidR="004C24E4">
        <w:rPr>
          <w:rFonts w:eastAsia="Calibri"/>
          <w:szCs w:val="20"/>
        </w:rPr>
        <w:t>9,3</w:t>
      </w:r>
      <w:r w:rsidRPr="00C25531">
        <w:rPr>
          <w:rFonts w:eastAsia="Calibri"/>
          <w:szCs w:val="20"/>
        </w:rPr>
        <w:t xml:space="preserve"> %, k vrednosti rastlinske pridelave pa od </w:t>
      </w:r>
      <w:r w:rsidR="007F38E5">
        <w:rPr>
          <w:rFonts w:eastAsia="Calibri"/>
          <w:szCs w:val="20"/>
        </w:rPr>
        <w:t>7,1</w:t>
      </w:r>
      <w:r w:rsidRPr="00C25531">
        <w:rPr>
          <w:rFonts w:eastAsia="Calibri"/>
          <w:szCs w:val="20"/>
        </w:rPr>
        <w:t xml:space="preserve"> % do </w:t>
      </w:r>
      <w:r w:rsidR="007F38E5">
        <w:rPr>
          <w:rFonts w:eastAsia="Calibri"/>
          <w:szCs w:val="20"/>
        </w:rPr>
        <w:t>16,8</w:t>
      </w:r>
      <w:r w:rsidRPr="00C25531">
        <w:rPr>
          <w:rFonts w:eastAsia="Calibri"/>
          <w:szCs w:val="20"/>
        </w:rPr>
        <w:t xml:space="preserve"> %. Leta 20</w:t>
      </w:r>
      <w:r w:rsidR="007F38E5">
        <w:rPr>
          <w:rFonts w:eastAsia="Calibri"/>
          <w:szCs w:val="20"/>
        </w:rPr>
        <w:t>20</w:t>
      </w:r>
      <w:r w:rsidRPr="00C25531">
        <w:rPr>
          <w:rFonts w:eastAsia="Calibri"/>
          <w:szCs w:val="20"/>
        </w:rPr>
        <w:t xml:space="preserve"> so imele zelenjadnice v skupni vrednosti kmetijske proizvodnje </w:t>
      </w:r>
      <w:r w:rsidR="007F38E5">
        <w:rPr>
          <w:rFonts w:eastAsia="Calibri"/>
          <w:szCs w:val="20"/>
        </w:rPr>
        <w:t>9,7</w:t>
      </w:r>
      <w:r w:rsidRPr="00C25531">
        <w:rPr>
          <w:rFonts w:eastAsia="Calibri"/>
          <w:szCs w:val="20"/>
        </w:rPr>
        <w:t xml:space="preserve"> %, v vrednosti rastlinske pridelave pa </w:t>
      </w:r>
      <w:r w:rsidR="007F38E5">
        <w:rPr>
          <w:rFonts w:eastAsia="Calibri"/>
          <w:szCs w:val="20"/>
        </w:rPr>
        <w:t>16,8</w:t>
      </w:r>
      <w:r w:rsidRPr="00C25531">
        <w:rPr>
          <w:rFonts w:eastAsia="Calibri"/>
          <w:szCs w:val="20"/>
        </w:rPr>
        <w:t xml:space="preserve"> %, kar je največ do zdaj.</w:t>
      </w:r>
    </w:p>
    <w:p w14:paraId="598586DB" w14:textId="77777777" w:rsidR="00F679A2" w:rsidRPr="00FC4DC2" w:rsidRDefault="00F679A2" w:rsidP="005B2A49">
      <w:pPr>
        <w:spacing w:after="120" w:line="260" w:lineRule="atLeast"/>
        <w:rPr>
          <w:rFonts w:eastAsia="Calibri"/>
          <w:szCs w:val="20"/>
        </w:rPr>
      </w:pPr>
      <w:r w:rsidRPr="00BF3857">
        <w:rPr>
          <w:rFonts w:eastAsia="Calibri"/>
          <w:szCs w:val="20"/>
        </w:rPr>
        <w:t>V letu 2016 je</w:t>
      </w:r>
      <w:r w:rsidRPr="00FC732C">
        <w:rPr>
          <w:rFonts w:eastAsia="Calibri"/>
          <w:szCs w:val="20"/>
        </w:rPr>
        <w:t xml:space="preserve"> bi</w:t>
      </w:r>
      <w:r w:rsidRPr="00FC4DC2">
        <w:rPr>
          <w:rFonts w:eastAsia="Calibri"/>
          <w:szCs w:val="20"/>
        </w:rPr>
        <w:t>lo v Sloveniji po tipu kmetovanja vrtnarskih 440 kmetij (vsaj 2/3 prihodkov iz vrtnarstva) ali 0.6 % vseh KMG (17 % manj kot v 2010), ki so obdelovala 1.690 ha KZU ali 0,3 % vseh KZU in dosegla 27,6 mio EUR ali 2,4 % standardnega prihodka. V enakem obdobju je bilo v EU-28 po tipu kmetovanja vrtnarskih kmetij 2 %, obdelovale so 0,7 % vseh KZU in dosegle 8 % standardnega prihodka.</w:t>
      </w:r>
    </w:p>
    <w:p w14:paraId="72936A84"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Pridelava tržne zelenjave v Republiki Sloveniji je zelo razdrobljena – majhna povprečna osnovna površina z zelenjadnicami na kmetijsko gospodarstvo, pri čemer se v povprečju na teh površinah prideluje več različnih vrst zelenjadnic (po podatkih iz zbirne vloge za proizvodno vezano plačilo za zelenjadnice, brez repe, se je leta 2019 na kmetijskem gospodarstvu v povprečju pridelovalo 3 vrste zelenjadnic). Predvsem zaradi razdrobljene strukture pridelave in visokih stroškov dela, so stroški pridelave večine zelenjadnic v Republiki Sloveniji višji kot v državah članicah EU, iz katerih se uvozi glavnina zelenjave, ki vstopa v slovensko verigo oskrbe z zelenjavo. Dodatno cenovno nekonkurenčnost slovenske tržne pridelave zelenjave poslabšujejo tehnološki zaostanek, visoki stroški reprodukcijskega materiala in nedostopnost učinkovitih fitofarmacevtskih sredstev ter sredstev za biotično varstvo (neustrezna cona, visoki stroški registracije). </w:t>
      </w:r>
    </w:p>
    <w:p w14:paraId="1C6A4224" w14:textId="32D76339" w:rsidR="00F679A2" w:rsidRPr="005B2A49" w:rsidRDefault="00F679A2" w:rsidP="005B2A49">
      <w:pPr>
        <w:spacing w:after="120" w:line="260" w:lineRule="atLeast"/>
        <w:rPr>
          <w:rFonts w:eastAsia="Calibri"/>
          <w:szCs w:val="20"/>
        </w:rPr>
      </w:pPr>
      <w:r w:rsidRPr="005B2A49">
        <w:rPr>
          <w:rFonts w:eastAsia="Calibri"/>
          <w:szCs w:val="20"/>
        </w:rPr>
        <w:t>Po oceni SURS se evidentirana prodaja zelenjave (odkup in prodaja zelenjave na tržnicah) zadnja štiri leta povečuje. Leta 20</w:t>
      </w:r>
      <w:r w:rsidR="00450178">
        <w:rPr>
          <w:rFonts w:eastAsia="Calibri"/>
          <w:szCs w:val="20"/>
        </w:rPr>
        <w:t>20</w:t>
      </w:r>
      <w:r w:rsidRPr="005B2A49">
        <w:rPr>
          <w:rFonts w:eastAsia="Calibri"/>
          <w:szCs w:val="20"/>
        </w:rPr>
        <w:t xml:space="preserve"> je znašala 2</w:t>
      </w:r>
      <w:r w:rsidR="00450178">
        <w:rPr>
          <w:rFonts w:eastAsia="Calibri"/>
          <w:szCs w:val="20"/>
        </w:rPr>
        <w:t>3.162</w:t>
      </w:r>
      <w:r w:rsidRPr="005B2A49">
        <w:rPr>
          <w:rFonts w:eastAsia="Calibri"/>
          <w:szCs w:val="20"/>
        </w:rPr>
        <w:t xml:space="preserve"> ton (1</w:t>
      </w:r>
      <w:r w:rsidR="00450178">
        <w:rPr>
          <w:rFonts w:eastAsia="Calibri"/>
          <w:szCs w:val="20"/>
        </w:rPr>
        <w:t>0</w:t>
      </w:r>
      <w:r w:rsidRPr="005B2A49">
        <w:rPr>
          <w:rFonts w:eastAsia="Calibri"/>
          <w:szCs w:val="20"/>
        </w:rPr>
        <w:t xml:space="preserve"> % več kot leta 201</w:t>
      </w:r>
      <w:r w:rsidR="00450178">
        <w:rPr>
          <w:rFonts w:eastAsia="Calibri"/>
          <w:szCs w:val="20"/>
        </w:rPr>
        <w:t>9</w:t>
      </w:r>
      <w:r w:rsidRPr="005B2A49">
        <w:rPr>
          <w:rFonts w:eastAsia="Calibri"/>
          <w:szCs w:val="20"/>
        </w:rPr>
        <w:t>), a je še vedno</w:t>
      </w:r>
      <w:r w:rsidRPr="005B2A49" w:rsidDel="0031182F">
        <w:rPr>
          <w:rFonts w:eastAsia="Calibri"/>
          <w:szCs w:val="20"/>
        </w:rPr>
        <w:t xml:space="preserve"> </w:t>
      </w:r>
      <w:r w:rsidRPr="005B2A49">
        <w:rPr>
          <w:rFonts w:eastAsia="Calibri"/>
          <w:szCs w:val="20"/>
        </w:rPr>
        <w:t>predstavljala le 2</w:t>
      </w:r>
      <w:r w:rsidR="00450178">
        <w:rPr>
          <w:rFonts w:eastAsia="Calibri"/>
          <w:szCs w:val="20"/>
        </w:rPr>
        <w:t>7</w:t>
      </w:r>
      <w:r w:rsidRPr="005B2A49">
        <w:rPr>
          <w:rFonts w:eastAsia="Calibri"/>
          <w:szCs w:val="20"/>
        </w:rPr>
        <w:t xml:space="preserve"> % skupnega pridelka tržnih pridelovalcev zelenjave. </w:t>
      </w:r>
    </w:p>
    <w:p w14:paraId="3378200B" w14:textId="082C528D" w:rsidR="00F679A2" w:rsidRPr="005B2A49" w:rsidRDefault="00F679A2" w:rsidP="005B2A49">
      <w:pPr>
        <w:spacing w:after="120" w:line="260" w:lineRule="atLeast"/>
        <w:rPr>
          <w:rFonts w:eastAsia="Calibri"/>
          <w:szCs w:val="20"/>
        </w:rPr>
      </w:pPr>
      <w:r w:rsidRPr="005B2A49">
        <w:rPr>
          <w:rFonts w:eastAsia="Calibri"/>
          <w:szCs w:val="20"/>
        </w:rPr>
        <w:t>V Sloveniji še ni priznana nobena organizacije proizvajalcev, ki bi združevala tudi pridelovalce zelenjave. Kmetijske zadruge in gospodarske družbe, ki že tradicionalno združujejo slovenske pridelovalce zelenjave, imajo možnost za priznanje od leta 2014. Konec leta 20</w:t>
      </w:r>
      <w:r w:rsidR="00450178">
        <w:rPr>
          <w:rFonts w:eastAsia="Calibri"/>
          <w:szCs w:val="20"/>
        </w:rPr>
        <w:t>20</w:t>
      </w:r>
      <w:r w:rsidRPr="005B2A49">
        <w:rPr>
          <w:rFonts w:eastAsia="Calibri"/>
          <w:szCs w:val="20"/>
        </w:rPr>
        <w:t xml:space="preserve"> je bil sicer opazen napredek pri organiziranju v evropsko primerljive oblike, saj so bile v sektorju sadje in zelenjava priznan</w:t>
      </w:r>
      <w:r w:rsidR="00450178">
        <w:rPr>
          <w:rFonts w:eastAsia="Calibri"/>
          <w:szCs w:val="20"/>
        </w:rPr>
        <w:t>ih</w:t>
      </w:r>
      <w:r w:rsidRPr="005B2A49">
        <w:rPr>
          <w:rFonts w:eastAsia="Calibri"/>
          <w:szCs w:val="20"/>
        </w:rPr>
        <w:t xml:space="preserve"> </w:t>
      </w:r>
      <w:r w:rsidR="00450178">
        <w:rPr>
          <w:rFonts w:eastAsia="Calibri"/>
          <w:szCs w:val="20"/>
        </w:rPr>
        <w:t>pet</w:t>
      </w:r>
      <w:r w:rsidRPr="005B2A49">
        <w:rPr>
          <w:rFonts w:eastAsia="Calibri"/>
          <w:szCs w:val="20"/>
        </w:rPr>
        <w:t xml:space="preserve"> skupin proizvajalcev za skupno trženje in ena organizacija proizvajalcev za sadje. </w:t>
      </w:r>
    </w:p>
    <w:p w14:paraId="22720BFB" w14:textId="77777777" w:rsidR="00F679A2" w:rsidRPr="005B2A49" w:rsidDel="00B73D20" w:rsidRDefault="00F679A2" w:rsidP="005B2A49">
      <w:pPr>
        <w:spacing w:after="120" w:line="260" w:lineRule="atLeast"/>
        <w:rPr>
          <w:rFonts w:eastAsia="Calibri"/>
          <w:szCs w:val="20"/>
        </w:rPr>
      </w:pPr>
      <w:r w:rsidRPr="005B2A49">
        <w:rPr>
          <w:rFonts w:eastAsia="Calibri"/>
          <w:szCs w:val="20"/>
        </w:rPr>
        <w:t xml:space="preserve">V spremenjenih podnebnih razmerah so pridelovalci zelenjave zaradi majhnega deleža pridelave v zavarovanih prostorih (4 %) zelo odvisni od vremena v rastni dobi. Ker skoraj vsako leto beležimo ekstremne vremenske razmere (suša, toča, zmrzali, itd.), je potrebno povečati delež pokritih površin namenjenih pridelavi zelenjave, povečati delež namakalnih sistemov, protitočnih mrež, sistemov za oroševanje ter spodbujati uporabo specialne mehanizacije, ki bo bistveno prispeva k ohranjanju okolja (npr. manjša raba FFS). V celotni oskrbi z zelenjavo bi bilo potrebno zamenjati plastiko in nerazgradljive materiale z razgradljivimi.  </w:t>
      </w:r>
    </w:p>
    <w:p w14:paraId="0C4268B0" w14:textId="77777777" w:rsidR="00F679A2" w:rsidRPr="005B2A49" w:rsidRDefault="00F679A2" w:rsidP="005B2A49">
      <w:pPr>
        <w:spacing w:after="120" w:line="260" w:lineRule="atLeast"/>
        <w:rPr>
          <w:rFonts w:eastAsia="Calibri"/>
          <w:szCs w:val="20"/>
        </w:rPr>
      </w:pPr>
      <w:r w:rsidRPr="005B2A49">
        <w:rPr>
          <w:rFonts w:eastAsia="Calibri"/>
          <w:szCs w:val="20"/>
        </w:rPr>
        <w:t>V Sloveniji želimo povečati delež samooskrbe z zelenjadnicami na podeželju, kar bi vodilo tudi k spodbujanju zaposlovanja na podeželju, predvsem mladih kmetov ter ohranjanju kulturne krajine in biotski raznovrstnosti. Za ta namen, bi bilo potrebno olajšati dostop do primernih kmetijskih zemljišč za proizvodnjo zelenjave ter prilagoditi pridelavo na območjih z varstvenimi režimi (NATURA, VVO, itd.) ter spodbujati ekološko pridelavo zelenjadnic.</w:t>
      </w:r>
    </w:p>
    <w:p w14:paraId="6AB6ECDF" w14:textId="2CAEA61A" w:rsidR="00F679A2" w:rsidRPr="005B2A49" w:rsidRDefault="00F679A2" w:rsidP="005B2A49">
      <w:pPr>
        <w:spacing w:after="120" w:line="260" w:lineRule="atLeast"/>
        <w:rPr>
          <w:rFonts w:eastAsia="Calibri"/>
          <w:szCs w:val="20"/>
        </w:rPr>
      </w:pPr>
      <w:r w:rsidRPr="005B2A49">
        <w:rPr>
          <w:rFonts w:eastAsia="Calibri"/>
          <w:szCs w:val="20"/>
        </w:rPr>
        <w:t xml:space="preserve">V programskem obdobju PRP 2014–2020 so lahko pridelovalci zelenjadnic na podlagi plačilnih pravic iz sheme neposrednih plačil pridobili osnovno plačilo in plačilo za zeleno komponento. Pridelovalci zelenjadnic so poleg tega upravičeni tudi do proizvodno vezanih plačil, katerih višina v posameznem letu je odvisna od števila upravičenih hektarjev in višine ovojnice za to shemo. V letih 2015–2019 je bilo shemi za zelenjadnice namenjeno 1,5 % ovojnice za neposredna plačila, povprečno proizvodno vezano plačilo pa je bilo v letu 2019 </w:t>
      </w:r>
      <w:r w:rsidR="00141C6B">
        <w:rPr>
          <w:rFonts w:eastAsia="Calibri"/>
          <w:szCs w:val="20"/>
        </w:rPr>
        <w:t xml:space="preserve">in 2020 </w:t>
      </w:r>
      <w:r w:rsidRPr="005B2A49">
        <w:rPr>
          <w:rFonts w:eastAsia="Calibri"/>
          <w:szCs w:val="20"/>
        </w:rPr>
        <w:t>nižj</w:t>
      </w:r>
      <w:r w:rsidR="00141C6B">
        <w:rPr>
          <w:rFonts w:eastAsia="Calibri"/>
          <w:szCs w:val="20"/>
        </w:rPr>
        <w:t>i</w:t>
      </w:r>
      <w:r w:rsidRPr="005B2A49">
        <w:rPr>
          <w:rFonts w:eastAsia="Calibri"/>
          <w:szCs w:val="20"/>
        </w:rPr>
        <w:t xml:space="preserve"> kot v let</w:t>
      </w:r>
      <w:r w:rsidR="00141C6B">
        <w:rPr>
          <w:rFonts w:eastAsia="Calibri"/>
          <w:szCs w:val="20"/>
        </w:rPr>
        <w:t>ih pred temin</w:t>
      </w:r>
      <w:r w:rsidRPr="005B2A49">
        <w:rPr>
          <w:rFonts w:eastAsia="Calibri"/>
          <w:szCs w:val="20"/>
        </w:rPr>
        <w:t xml:space="preserve"> je znašal</w:t>
      </w:r>
      <w:r w:rsidR="00141C6B">
        <w:rPr>
          <w:rFonts w:eastAsia="Calibri"/>
          <w:szCs w:val="20"/>
        </w:rPr>
        <w:t>a v letu 2019</w:t>
      </w:r>
      <w:r w:rsidRPr="005B2A49">
        <w:rPr>
          <w:rFonts w:eastAsia="Calibri"/>
          <w:szCs w:val="20"/>
        </w:rPr>
        <w:t xml:space="preserve"> 699 EUR/ha </w:t>
      </w:r>
      <w:r w:rsidR="00141C6B">
        <w:rPr>
          <w:rFonts w:eastAsia="Calibri"/>
          <w:szCs w:val="20"/>
        </w:rPr>
        <w:t>in v letu 2020 662 EUR/ha.</w:t>
      </w:r>
      <w:r w:rsidRPr="005B2A49">
        <w:rPr>
          <w:rFonts w:eastAsia="Calibri"/>
          <w:szCs w:val="20"/>
        </w:rPr>
        <w:t xml:space="preserve">. Tudi pri zavarovanju zelenjadnic je bilo </w:t>
      </w:r>
      <w:r w:rsidR="00141C6B">
        <w:rPr>
          <w:rFonts w:eastAsia="Calibri"/>
          <w:szCs w:val="20"/>
        </w:rPr>
        <w:t xml:space="preserve">v </w:t>
      </w:r>
      <w:r w:rsidRPr="005B2A49">
        <w:rPr>
          <w:rFonts w:eastAsia="Calibri"/>
          <w:szCs w:val="20"/>
        </w:rPr>
        <w:t>let</w:t>
      </w:r>
      <w:r w:rsidR="00141C6B">
        <w:rPr>
          <w:rFonts w:eastAsia="Calibri"/>
          <w:szCs w:val="20"/>
        </w:rPr>
        <w:t>u</w:t>
      </w:r>
      <w:r w:rsidRPr="005B2A49">
        <w:rPr>
          <w:rFonts w:eastAsia="Calibri"/>
          <w:szCs w:val="20"/>
        </w:rPr>
        <w:t xml:space="preserve"> </w:t>
      </w:r>
      <w:r w:rsidR="00141C6B">
        <w:rPr>
          <w:rFonts w:eastAsia="Calibri"/>
          <w:szCs w:val="20"/>
        </w:rPr>
        <w:t>2020</w:t>
      </w:r>
      <w:r w:rsidRPr="005B2A49">
        <w:rPr>
          <w:rFonts w:eastAsia="Calibri"/>
          <w:szCs w:val="20"/>
        </w:rPr>
        <w:t xml:space="preserve"> mogoče uveljaviti regres v vrednosti 50 % zavarovalne premije (v letu 2018: 40 % in v letih 2015–2017: 20 %). V ukrep je bilo leta 2018 vključenih 230 kmetijskih gospodarstev s 188 ha ali 10 % osnovnih površin zelenjadnic. Pridelovalci lahko uveljavljajo tudi pravico do vračila dela trošarine za gorivo, porabljeno v kmetijstvu (70 %).</w:t>
      </w:r>
    </w:p>
    <w:p w14:paraId="06AA050D"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okviru ukrepov PRP 2014–2020 je bilo s stanjem na dan 31. 8. 2019 za sektor zelenjave odobrenih 62 vlog v skupnem znesku podpore 5,6 milijona EUR, od tega za ukrep M04.1 Podpore za naložbe v kmetijska gospodarstva 35 vlog v skupnem znesku 3,7 milijona EUR in za ukrep M04.2 Podpora za naložbe v predelavo/trženje in/ali razvoj kmetijskih proizvodov 7 vlog v skupnem znesku podpore 1,2 milijona EUR. </w:t>
      </w:r>
    </w:p>
    <w:p w14:paraId="439075A0" w14:textId="13224499" w:rsidR="00F679A2" w:rsidRDefault="00F679A2" w:rsidP="005B2A49">
      <w:pPr>
        <w:spacing w:after="120" w:line="260" w:lineRule="atLeast"/>
        <w:rPr>
          <w:rFonts w:eastAsia="Calibri"/>
          <w:szCs w:val="20"/>
        </w:rPr>
      </w:pPr>
      <w:r w:rsidRPr="005B2A49">
        <w:rPr>
          <w:rFonts w:eastAsia="Calibri"/>
          <w:szCs w:val="20"/>
        </w:rPr>
        <w:t>V Sloveniji je vzpostavljena Javna služba na področju vrtnarstva, v okviru katere se izvajajo naloge: selekcija zelišč, žlahtnjenje zelenjadnic, introdukcija zelenjadnic in ugotavljanje njihove vrednosti za predelavo, introdukcija in ekološko rajonizacijo zelišč ter ugotavljanje njihove vrednosti za predelavo, tehnologije pridelave zelenjadnic, tehnologije pridelave zelišč in strokovno-tehnična koordinacija v vrtnarstvu. Slednja je zelo pomembna za prenos znanja in rezultatov nalog javne službe, ki potekajo v sodelovanju z javno službo kmetijskega svetovanja. Ohranjanje rastlinskih genskih virov zelenjadnic poteka v okviru javne službe nalog rastlinske genske banke, kjer je shranjenih 1466 akcesij.</w:t>
      </w:r>
    </w:p>
    <w:p w14:paraId="24AE6BEA" w14:textId="77777777" w:rsidR="00C25531" w:rsidRPr="005B2A49" w:rsidRDefault="00C25531" w:rsidP="005B2A49">
      <w:pPr>
        <w:spacing w:after="120" w:line="260" w:lineRule="atLeast"/>
        <w:rPr>
          <w:rFonts w:eastAsia="Calibri"/>
          <w:szCs w:val="20"/>
        </w:rPr>
      </w:pPr>
    </w:p>
    <w:p w14:paraId="17FD53EB" w14:textId="77777777" w:rsidR="00F679A2" w:rsidRDefault="00F679A2" w:rsidP="00F679A2">
      <w:pPr>
        <w:pStyle w:val="Naslov3"/>
        <w:rPr>
          <w:rFonts w:eastAsia="Calibri"/>
        </w:rPr>
      </w:pPr>
      <w:bookmarkStart w:id="3136" w:name="_Toc86822586"/>
      <w:r w:rsidRPr="00271FF1">
        <w:rPr>
          <w:rFonts w:eastAsia="Calibri"/>
        </w:rPr>
        <w:t>Ključne ugotovitve</w:t>
      </w:r>
      <w:bookmarkEnd w:id="3136"/>
    </w:p>
    <w:p w14:paraId="62E5D356"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 xml:space="preserve">Slovenija ima ugodne naravne danosti za zelenjadarstvo, vendar kljub temu ne dosega pridelovalnega in tržnega potenciala, zlasti zaradi razdrobljene strukture pridelave in tehnološkega zaostanka, visokih stroškov dela, pa tudi zaradi </w:t>
      </w:r>
      <w:r>
        <w:rPr>
          <w:rFonts w:eastAsia="Arial"/>
          <w:szCs w:val="20"/>
        </w:rPr>
        <w:t xml:space="preserve">zelo majhne </w:t>
      </w:r>
      <w:r w:rsidRPr="003B2B91">
        <w:rPr>
          <w:rFonts w:eastAsia="Arial"/>
          <w:szCs w:val="20"/>
        </w:rPr>
        <w:t>povezanosti pridelovalcev.</w:t>
      </w:r>
    </w:p>
    <w:p w14:paraId="25E979AA"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Obseg proizvodnje zelenjadnic pri tržnih pridelovalcih se povečuje, enako tudi povprečna površina na kateri kmetijska gospodarstva pridelujejo zelenjadnice, vendar struktura pridelave še zmeraj ostaja razdrobljena.</w:t>
      </w:r>
    </w:p>
    <w:p w14:paraId="08ED260F"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 xml:space="preserve">Ker pridelava zelenjadnic v Republiki Sloveniji večinoma poteka na prostem (dobrih 94 % vseh tržnih površin), je pridelek zelenjave tako količinsko kot po kakovosti nestabilen in močno odvisen od vremenskih dejavnikov. </w:t>
      </w:r>
    </w:p>
    <w:p w14:paraId="0CD9C2E0"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 xml:space="preserve">Povprečni pridelki posameznih zelenjadnic so nizki. Sektor je v tehnološkem zaostanku tako pri pridelavi kot skladiščenju/hlajenju, pripravi zelenjave za trg ter distribuciji. V sektorju niso izkoriščene naravne danosti za podaljšanje sezone pridelave oziroma celoletno pridelavo in zmanjšanje tveganj povezanih z ekstremnimi vremenskimi pojavi in učinkovitostjo rabe virov, zaradi česar je cenovna konkurenčnost v primerjavi z uvoženo zelenjavo prenizka. </w:t>
      </w:r>
    </w:p>
    <w:p w14:paraId="1915D269"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Stroški pridelave na enoto pridelka</w:t>
      </w:r>
      <w:r>
        <w:rPr>
          <w:rFonts w:eastAsia="Arial"/>
          <w:szCs w:val="20"/>
        </w:rPr>
        <w:t xml:space="preserve"> tudi zaradi tehnološkega zaostanka</w:t>
      </w:r>
      <w:r w:rsidRPr="003B2B91">
        <w:rPr>
          <w:rFonts w:eastAsia="Arial"/>
          <w:szCs w:val="20"/>
        </w:rPr>
        <w:t>, z upoštevanjem subvencij, so pri večini zelenjadnic višji od odkupne cene in cene, po kateri zelenjadnice vstopajo v trgovinske sisteme.</w:t>
      </w:r>
    </w:p>
    <w:p w14:paraId="7535C11C"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Organiziranost pridelovalcev v evropsko primerljive oblike sodelovanja je nizka, tudi medpanožno sodelovanje v verigi vrednosti s strani deležnikov ni ustrezno prepoznano.</w:t>
      </w:r>
      <w:r w:rsidRPr="003B2B91" w:rsidDel="004C6035">
        <w:rPr>
          <w:rFonts w:eastAsia="Arial"/>
          <w:szCs w:val="20"/>
        </w:rPr>
        <w:t xml:space="preserve"> </w:t>
      </w:r>
    </w:p>
    <w:p w14:paraId="2A3E4D81"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Pogajalski položaj slovenskih pridelovalcev zelenjave v verigi oskrbe z zelenjavo je slab, ponudba zelenjave ni ustrezno načrtovana (časovno, količinsko in glede izenačenosti kakovosti).</w:t>
      </w:r>
    </w:p>
    <w:p w14:paraId="33300AEE" w14:textId="55C8B78D" w:rsidR="00F679A2" w:rsidRPr="003B2B91" w:rsidRDefault="00F679A2" w:rsidP="005B2A49">
      <w:pPr>
        <w:numPr>
          <w:ilvl w:val="0"/>
          <w:numId w:val="188"/>
        </w:numPr>
        <w:spacing w:after="120" w:line="260" w:lineRule="atLeast"/>
        <w:ind w:left="357" w:hanging="357"/>
        <w:rPr>
          <w:szCs w:val="20"/>
        </w:rPr>
      </w:pPr>
      <w:r>
        <w:rPr>
          <w:rFonts w:eastAsia="Arial"/>
          <w:szCs w:val="20"/>
        </w:rPr>
        <w:t xml:space="preserve">V Sloveniji imamo premalo </w:t>
      </w:r>
      <w:r w:rsidRPr="003B2B91">
        <w:rPr>
          <w:rFonts w:eastAsia="Arial"/>
          <w:szCs w:val="20"/>
        </w:rPr>
        <w:t>zbirn</w:t>
      </w:r>
      <w:r>
        <w:rPr>
          <w:rFonts w:eastAsia="Arial"/>
          <w:szCs w:val="20"/>
        </w:rPr>
        <w:t>ih</w:t>
      </w:r>
      <w:r w:rsidR="008C320F">
        <w:rPr>
          <w:rFonts w:eastAsia="Arial"/>
          <w:szCs w:val="20"/>
        </w:rPr>
        <w:t xml:space="preserve"> </w:t>
      </w:r>
      <w:r w:rsidRPr="003B2B91">
        <w:rPr>
          <w:rFonts w:eastAsia="Arial"/>
          <w:szCs w:val="20"/>
        </w:rPr>
        <w:t>centr</w:t>
      </w:r>
      <w:r>
        <w:rPr>
          <w:rFonts w:eastAsia="Arial"/>
          <w:szCs w:val="20"/>
        </w:rPr>
        <w:t>ov</w:t>
      </w:r>
      <w:r w:rsidRPr="003B2B91">
        <w:rPr>
          <w:rFonts w:eastAsia="Arial"/>
          <w:szCs w:val="20"/>
        </w:rPr>
        <w:t xml:space="preserve"> za pripravo blaga za trg (hladilne/skladiščne kapacitete, sortirne linije, pakirne linije) z ustrezno infrastrukturo, ki b</w:t>
      </w:r>
      <w:r>
        <w:rPr>
          <w:rFonts w:eastAsia="Arial"/>
          <w:szCs w:val="20"/>
        </w:rPr>
        <w:t>i</w:t>
      </w:r>
      <w:r w:rsidRPr="003B2B91">
        <w:rPr>
          <w:rFonts w:eastAsia="Arial"/>
          <w:szCs w:val="20"/>
        </w:rPr>
        <w:t xml:space="preserve"> omogoč</w:t>
      </w:r>
      <w:r>
        <w:rPr>
          <w:rFonts w:eastAsia="Arial"/>
          <w:szCs w:val="20"/>
        </w:rPr>
        <w:t>alaa</w:t>
      </w:r>
      <w:r w:rsidRPr="003B2B91">
        <w:rPr>
          <w:rFonts w:eastAsia="Arial"/>
          <w:szCs w:val="20"/>
        </w:rPr>
        <w:t xml:space="preserve"> večjo dodano vrednost pridelave zelenjave v primarnem sektorju.</w:t>
      </w:r>
    </w:p>
    <w:p w14:paraId="552027B9" w14:textId="77777777" w:rsidR="00F679A2" w:rsidRPr="003B2B91" w:rsidRDefault="00F679A2" w:rsidP="005B2A49">
      <w:pPr>
        <w:numPr>
          <w:ilvl w:val="0"/>
          <w:numId w:val="188"/>
        </w:numPr>
        <w:spacing w:after="120" w:line="260" w:lineRule="atLeast"/>
        <w:ind w:left="357" w:hanging="357"/>
        <w:rPr>
          <w:szCs w:val="20"/>
        </w:rPr>
      </w:pPr>
      <w:r w:rsidRPr="003B2B91">
        <w:rPr>
          <w:rFonts w:eastAsia="Arial"/>
          <w:szCs w:val="20"/>
        </w:rPr>
        <w:t>Glede na nizko stopnjo samooskrbe pri posameznih zelenjadnicah imamo velike možnosti za povečanje obsega pridelave zelenjave, tako s povečanjem površin kot s povečanjem produktivnosti ter učinkovitosti rabe virov. Beležimo tudi spremembe prehranjevalnih navad v smer rastlinske prehrane.</w:t>
      </w:r>
    </w:p>
    <w:p w14:paraId="4DA0C730" w14:textId="11E0DCA2" w:rsidR="00F679A2" w:rsidRPr="005B2A49" w:rsidRDefault="00F679A2" w:rsidP="005B2A49">
      <w:pPr>
        <w:numPr>
          <w:ilvl w:val="0"/>
          <w:numId w:val="188"/>
        </w:numPr>
        <w:spacing w:after="120" w:line="260" w:lineRule="atLeast"/>
        <w:ind w:left="357" w:hanging="357"/>
        <w:rPr>
          <w:szCs w:val="20"/>
        </w:rPr>
      </w:pPr>
      <w:r w:rsidRPr="003B2B91">
        <w:rPr>
          <w:rFonts w:eastAsia="Arial"/>
          <w:szCs w:val="20"/>
        </w:rPr>
        <w:t>Shema kakovosti Izbrana kakovost v sektorju še ni vzpostavljena, delež površin zelenjadnic, vključenih v ostale sheme kakovosti je nizek in se zmanjšuje.</w:t>
      </w:r>
    </w:p>
    <w:p w14:paraId="7A7CEEA4" w14:textId="77777777" w:rsidR="00C25531" w:rsidRPr="003B2B91" w:rsidRDefault="00C25531" w:rsidP="005B2A49">
      <w:pPr>
        <w:spacing w:after="120" w:line="260" w:lineRule="atLeast"/>
        <w:ind w:left="357"/>
        <w:rPr>
          <w:szCs w:val="20"/>
        </w:rPr>
      </w:pPr>
    </w:p>
    <w:p w14:paraId="2C065441" w14:textId="77777777" w:rsidR="00F679A2" w:rsidRPr="00271FF1" w:rsidRDefault="00F679A2" w:rsidP="00F679A2">
      <w:pPr>
        <w:pStyle w:val="Naslov2"/>
      </w:pPr>
      <w:bookmarkStart w:id="3137" w:name="_Toc86822587"/>
      <w:r w:rsidRPr="00271FF1">
        <w:t>Zelišča</w:t>
      </w:r>
      <w:bookmarkEnd w:id="3137"/>
    </w:p>
    <w:p w14:paraId="09DB16F6"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 Slovenijo je značilno tradicionalno nabiranje zdravilnih in aromatičnih rastlin v naravi, sušenje le-teh in zbiranje posušenih zelišč (znotraj odkupnih zbirališč/centrov) za potrebe prehranske (dišavnice) in farmacevtske industrije (zdravilna zelišča). Zelišča, ki so pridelana v nasadih ali na njivah in izvirajo iz poznanega genskega materiala s stalno in nadzorovano kakovostjo pa so pomemben potencial, saj je v Sloveniji vse večje povpraševanje po zeliščih ali zeliščnih polproizvodih (rastlinskih izvlečkov). </w:t>
      </w:r>
    </w:p>
    <w:p w14:paraId="350C8A93" w14:textId="2A16586D" w:rsidR="00F679A2" w:rsidRDefault="00F679A2" w:rsidP="005B2A49">
      <w:pPr>
        <w:spacing w:after="120" w:line="260" w:lineRule="atLeast"/>
        <w:rPr>
          <w:rFonts w:eastAsia="Calibri"/>
          <w:szCs w:val="20"/>
        </w:rPr>
      </w:pPr>
      <w:r w:rsidRPr="005B2A49">
        <w:rPr>
          <w:rFonts w:eastAsia="Calibri"/>
          <w:szCs w:val="20"/>
        </w:rPr>
        <w:t>Pridelava zdravilnih zelišč se na kmetijskih gospodarstvih lahko opravlja kot osnovna ali dopolnilna dejavnost (predelava zelišč, dišav in začimb in dejavnosti povezane s tradicionalnimi znanji na kmetiji, t.j. tradicionalni izdelki iz zelišč in dišavnic).</w:t>
      </w:r>
    </w:p>
    <w:p w14:paraId="364B1F58" w14:textId="3CA79771" w:rsidR="00C25531" w:rsidRDefault="00C25531" w:rsidP="005B2A49">
      <w:pPr>
        <w:spacing w:after="120" w:line="260" w:lineRule="atLeast"/>
        <w:rPr>
          <w:rFonts w:eastAsia="Calibri"/>
          <w:szCs w:val="20"/>
        </w:rPr>
      </w:pPr>
    </w:p>
    <w:p w14:paraId="77BD5B76" w14:textId="77777777" w:rsidR="00C25531" w:rsidRPr="00271FF1" w:rsidRDefault="00C25531" w:rsidP="00C25531">
      <w:pPr>
        <w:pStyle w:val="Naslov3"/>
        <w:rPr>
          <w:rFonts w:eastAsia="Calibri"/>
        </w:rPr>
      </w:pPr>
      <w:bookmarkStart w:id="3138" w:name="_Toc86822588"/>
      <w:r w:rsidRPr="00271FF1">
        <w:rPr>
          <w:rFonts w:eastAsia="Calibri"/>
        </w:rPr>
        <w:t>Stanje v sektorju in osnovni ekonomski kazalniki</w:t>
      </w:r>
      <w:bookmarkEnd w:id="3138"/>
    </w:p>
    <w:p w14:paraId="3D2CED83" w14:textId="77777777" w:rsidR="00F679A2" w:rsidRPr="005B2A49" w:rsidRDefault="00F679A2" w:rsidP="005B2A49">
      <w:pPr>
        <w:spacing w:after="120" w:line="260" w:lineRule="atLeast"/>
        <w:rPr>
          <w:rFonts w:eastAsia="Calibri"/>
          <w:szCs w:val="20"/>
        </w:rPr>
      </w:pPr>
      <w:r w:rsidRPr="005B2A49">
        <w:rPr>
          <w:rFonts w:eastAsia="Calibri"/>
          <w:szCs w:val="20"/>
        </w:rPr>
        <w:t>Obseg pridelave njivskih zelišč v obdobju 2000 – 2019 izrazito narašča. Po podatkih SURSa je razvidno, da je zelišča leta 2000 pridelovalo 67 kmetijskih gospodarstev na 13,3 ha. Leta 2019 pa je zelišča pridelovalo 311 kmetijskih gospodarstev, od tega 71 v zavarovanih prostorih na skupno 150 ha. Iz tega izhaja, da se odvijajo pomembne strukturne spremembe, ki izhajajo iz večjega povpraševanja po zeliščih ali zeliščnih proizvodov na trgu.</w:t>
      </w:r>
    </w:p>
    <w:p w14:paraId="7FA098B2" w14:textId="77777777" w:rsidR="00F679A2" w:rsidRPr="003B2B91" w:rsidRDefault="00F679A2" w:rsidP="00F679A2">
      <w:pPr>
        <w:spacing w:before="200" w:line="360" w:lineRule="auto"/>
        <w:rPr>
          <w:szCs w:val="20"/>
        </w:rPr>
      </w:pPr>
    </w:p>
    <w:p w14:paraId="4F0EEA43" w14:textId="769BBBA2" w:rsidR="00F679A2" w:rsidRPr="00E2688B" w:rsidRDefault="00F679A2" w:rsidP="00F679A2">
      <w:pPr>
        <w:pStyle w:val="SCSlika0"/>
      </w:pPr>
      <w:bookmarkStart w:id="3139" w:name="_Toc86822737"/>
      <w:r>
        <w:t xml:space="preserve">Slika </w:t>
      </w:r>
      <w:r>
        <w:rPr>
          <w:noProof/>
        </w:rPr>
        <w:fldChar w:fldCharType="begin"/>
      </w:r>
      <w:r>
        <w:rPr>
          <w:noProof/>
        </w:rPr>
        <w:instrText xml:space="preserve"> SEQ Slika \* ARABIC </w:instrText>
      </w:r>
      <w:r>
        <w:rPr>
          <w:noProof/>
        </w:rPr>
        <w:fldChar w:fldCharType="separate"/>
      </w:r>
      <w:r w:rsidR="0088117A">
        <w:rPr>
          <w:noProof/>
        </w:rPr>
        <w:t>65</w:t>
      </w:r>
      <w:r>
        <w:rPr>
          <w:noProof/>
        </w:rPr>
        <w:fldChar w:fldCharType="end"/>
      </w:r>
      <w:r>
        <w:t>:</w:t>
      </w:r>
      <w:r w:rsidRPr="00E2688B">
        <w:t xml:space="preserve"> Pridelovalne površine z zelišči, dišavnicami in zdravilnimi rastlinam (2000-2019)</w:t>
      </w:r>
      <w:bookmarkEnd w:id="3139"/>
    </w:p>
    <w:p w14:paraId="0A3DE116" w14:textId="77777777" w:rsidR="00F679A2" w:rsidRPr="003B2B91" w:rsidRDefault="00F679A2" w:rsidP="00F679A2">
      <w:pPr>
        <w:keepNext/>
        <w:keepLines/>
        <w:spacing w:line="360" w:lineRule="auto"/>
        <w:rPr>
          <w:szCs w:val="20"/>
        </w:rPr>
      </w:pPr>
      <w:r w:rsidRPr="003B2B91">
        <w:rPr>
          <w:noProof/>
          <w:szCs w:val="20"/>
          <w:lang w:eastAsia="sl-SI"/>
        </w:rPr>
        <w:drawing>
          <wp:inline distT="0" distB="0" distL="0" distR="0" wp14:anchorId="6186E893" wp14:editId="0F9532FC">
            <wp:extent cx="4133850" cy="2152650"/>
            <wp:effectExtent l="0" t="0" r="0" b="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2F0CD2E" w14:textId="77777777" w:rsidR="00F679A2" w:rsidRDefault="00F679A2" w:rsidP="00F679A2">
      <w:pPr>
        <w:keepNext/>
        <w:keepLines/>
        <w:spacing w:line="360" w:lineRule="auto"/>
        <w:rPr>
          <w:szCs w:val="20"/>
        </w:rPr>
      </w:pPr>
      <w:r w:rsidRPr="005718B1">
        <w:rPr>
          <w:rFonts w:eastAsia="Arial"/>
          <w:sz w:val="16"/>
          <w:szCs w:val="16"/>
        </w:rPr>
        <w:t>V</w:t>
      </w:r>
      <w:r>
        <w:rPr>
          <w:rFonts w:eastAsia="Arial"/>
          <w:sz w:val="16"/>
          <w:szCs w:val="16"/>
        </w:rPr>
        <w:t>ir</w:t>
      </w:r>
      <w:r w:rsidRPr="005718B1">
        <w:rPr>
          <w:rFonts w:eastAsia="Arial"/>
          <w:sz w:val="16"/>
          <w:szCs w:val="16"/>
        </w:rPr>
        <w:t>: SURS</w:t>
      </w:r>
      <w:r>
        <w:rPr>
          <w:rFonts w:eastAsia="Arial"/>
          <w:sz w:val="16"/>
          <w:szCs w:val="16"/>
        </w:rPr>
        <w:t>-2020</w:t>
      </w:r>
    </w:p>
    <w:p w14:paraId="6AFC1C6C" w14:textId="77777777" w:rsidR="00F679A2" w:rsidRDefault="00F679A2" w:rsidP="00F679A2">
      <w:pPr>
        <w:pStyle w:val="Napis"/>
      </w:pPr>
    </w:p>
    <w:p w14:paraId="64DB5CB6" w14:textId="27FBDEF5" w:rsidR="00F679A2" w:rsidRDefault="00F679A2" w:rsidP="00F679A2">
      <w:pPr>
        <w:pStyle w:val="SCSlika0"/>
      </w:pPr>
      <w:bookmarkStart w:id="3140" w:name="_Toc86822738"/>
      <w:r>
        <w:t xml:space="preserve">Slika </w:t>
      </w:r>
      <w:r>
        <w:rPr>
          <w:noProof/>
        </w:rPr>
        <w:fldChar w:fldCharType="begin"/>
      </w:r>
      <w:r>
        <w:rPr>
          <w:noProof/>
        </w:rPr>
        <w:instrText xml:space="preserve"> SEQ Slika \* ARABIC </w:instrText>
      </w:r>
      <w:r>
        <w:rPr>
          <w:noProof/>
        </w:rPr>
        <w:fldChar w:fldCharType="separate"/>
      </w:r>
      <w:r w:rsidR="0088117A">
        <w:rPr>
          <w:noProof/>
        </w:rPr>
        <w:t>66</w:t>
      </w:r>
      <w:r>
        <w:rPr>
          <w:noProof/>
        </w:rPr>
        <w:fldChar w:fldCharType="end"/>
      </w:r>
      <w:r>
        <w:t xml:space="preserve">: </w:t>
      </w:r>
      <w:r w:rsidRPr="00E2688B">
        <w:t>Število kmetijskih gospodarstev (KMG), ki pridelujejo zelišča, dišavnice in zdravilne rastline</w:t>
      </w:r>
      <w:bookmarkEnd w:id="3140"/>
    </w:p>
    <w:p w14:paraId="4E809E3D"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69D1B061" wp14:editId="2C687A57">
            <wp:extent cx="4276725" cy="2457450"/>
            <wp:effectExtent l="0" t="0" r="9525" b="0"/>
            <wp:docPr id="57" name="Grafikon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743681F" w14:textId="77777777" w:rsidR="00F679A2" w:rsidRPr="005718B1" w:rsidRDefault="00F679A2" w:rsidP="00F679A2">
      <w:pPr>
        <w:spacing w:line="360" w:lineRule="auto"/>
        <w:rPr>
          <w:sz w:val="16"/>
          <w:szCs w:val="16"/>
        </w:rPr>
      </w:pPr>
      <w:r w:rsidRPr="005718B1">
        <w:rPr>
          <w:rFonts w:eastAsia="Arial"/>
          <w:sz w:val="16"/>
          <w:szCs w:val="16"/>
        </w:rPr>
        <w:t>V</w:t>
      </w:r>
      <w:r>
        <w:rPr>
          <w:rFonts w:eastAsia="Arial"/>
          <w:sz w:val="16"/>
          <w:szCs w:val="16"/>
        </w:rPr>
        <w:t>ir</w:t>
      </w:r>
      <w:r w:rsidRPr="005718B1">
        <w:rPr>
          <w:rFonts w:eastAsia="Arial"/>
          <w:sz w:val="16"/>
          <w:szCs w:val="16"/>
        </w:rPr>
        <w:t>: SURS</w:t>
      </w:r>
      <w:r>
        <w:rPr>
          <w:rFonts w:eastAsia="Arial"/>
          <w:sz w:val="16"/>
          <w:szCs w:val="16"/>
        </w:rPr>
        <w:t>-2020</w:t>
      </w:r>
    </w:p>
    <w:p w14:paraId="2FFE3E8F" w14:textId="77777777" w:rsidR="00F679A2" w:rsidRPr="005B2A49" w:rsidRDefault="00F679A2" w:rsidP="005B2A49">
      <w:pPr>
        <w:spacing w:after="120" w:line="260" w:lineRule="atLeast"/>
        <w:rPr>
          <w:rFonts w:eastAsia="Calibri"/>
          <w:szCs w:val="20"/>
        </w:rPr>
      </w:pPr>
      <w:r w:rsidRPr="005B2A49">
        <w:rPr>
          <w:rFonts w:eastAsia="Calibri"/>
          <w:szCs w:val="20"/>
        </w:rPr>
        <w:t>V okviru Javne službe v vrtnarstvu se izvajajo tudi naloge na področju zelišč: selekcija zelišč, introdukcija in ekološka rajonizacija zelišč ter ugotavljanje njihove vrednosti za predelavo, tehnologije pridelave zelišč. Ohranjanje rastlinskih genskih virov zdravilnih in aromatičnih rastlin  poteka v okviru javne službe nalog rastlinske genske banke, kjer je shranjenih 251 akcesij zdravilnih in aromatičnih rastlin.</w:t>
      </w:r>
    </w:p>
    <w:p w14:paraId="47B2D0DC" w14:textId="7CB778AA" w:rsidR="00F679A2" w:rsidRDefault="00F679A2" w:rsidP="005B2A49">
      <w:pPr>
        <w:spacing w:after="120" w:line="260" w:lineRule="atLeast"/>
        <w:rPr>
          <w:rFonts w:eastAsia="Calibri"/>
          <w:szCs w:val="20"/>
        </w:rPr>
      </w:pPr>
      <w:r w:rsidRPr="005B2A49">
        <w:rPr>
          <w:rFonts w:eastAsia="Calibri"/>
          <w:szCs w:val="20"/>
        </w:rPr>
        <w:t>Uvajanje pridelave zelišč je pomembno tudi s stališča ohranjanja naravnih rastišč samoniklih zelišč in s tem ohranjanja biotske raznovrstnosti. Preveliko povpraševanje po določenih zeliščih lahko vodi v nekontrolirano, prekomerno nabiranje le-teh, zaradi česar so naravna rastišča ogrožena. Samonikla zelišča iz naravnih rastišč so namreč lahko tudi izvorni material za raziskave in žlahtnjenje ter za razvoj populacij zelišč, primernih za njivsko pridelavo, kar je tudi ena od nalog Javne službe v vrtnarstvu.</w:t>
      </w:r>
    </w:p>
    <w:p w14:paraId="259D05F9" w14:textId="77777777" w:rsidR="00C25531" w:rsidRPr="005B2A49" w:rsidRDefault="00C25531" w:rsidP="005B2A49">
      <w:pPr>
        <w:spacing w:after="120" w:line="260" w:lineRule="atLeast"/>
        <w:rPr>
          <w:rFonts w:eastAsia="Calibri"/>
          <w:szCs w:val="20"/>
        </w:rPr>
      </w:pPr>
    </w:p>
    <w:p w14:paraId="32036AC1" w14:textId="77777777" w:rsidR="00F679A2" w:rsidRDefault="00F679A2" w:rsidP="00F679A2">
      <w:pPr>
        <w:pStyle w:val="Naslov3"/>
        <w:rPr>
          <w:rFonts w:eastAsia="Calibri"/>
        </w:rPr>
      </w:pPr>
      <w:bookmarkStart w:id="3141" w:name="_Toc86822589"/>
      <w:r w:rsidRPr="00271FF1">
        <w:rPr>
          <w:rFonts w:eastAsia="Calibri"/>
        </w:rPr>
        <w:t>Ključne ugotovitve</w:t>
      </w:r>
      <w:bookmarkEnd w:id="3141"/>
    </w:p>
    <w:p w14:paraId="0A27E8DD" w14:textId="3E427CD1" w:rsidR="00F679A2" w:rsidRDefault="00F679A2" w:rsidP="005B2A49">
      <w:pPr>
        <w:numPr>
          <w:ilvl w:val="0"/>
          <w:numId w:val="188"/>
        </w:numPr>
        <w:spacing w:after="120" w:line="260" w:lineRule="atLeast"/>
        <w:ind w:left="357" w:hanging="357"/>
        <w:rPr>
          <w:rFonts w:eastAsia="Arial"/>
          <w:szCs w:val="20"/>
        </w:rPr>
      </w:pPr>
      <w:r w:rsidRPr="000E474E">
        <w:rPr>
          <w:rFonts w:eastAsia="Arial"/>
          <w:szCs w:val="20"/>
        </w:rPr>
        <w:t xml:space="preserve">Pomembnejši vzroki, ki zavirajo razvoj panoge so manjkajoča oz. razpršena in neurejena zakonodajna ureditev, ki zadeva več vladnih resorjev, nepovezanost pridelovalcev zdravilnih zelišč ter neurejenost odkupa, skladiščenja, sušenja, priprave in predelave ter kontrole zdravilnih zelišč. </w:t>
      </w:r>
    </w:p>
    <w:p w14:paraId="17BB2FD3" w14:textId="77777777" w:rsidR="00C25531" w:rsidRDefault="00C25531" w:rsidP="005B2A49">
      <w:pPr>
        <w:spacing w:after="120" w:line="260" w:lineRule="atLeast"/>
        <w:ind w:left="357"/>
        <w:rPr>
          <w:rFonts w:eastAsia="Arial"/>
          <w:szCs w:val="20"/>
        </w:rPr>
      </w:pPr>
    </w:p>
    <w:p w14:paraId="381D14BE" w14:textId="77777777" w:rsidR="00F679A2" w:rsidRPr="00271FF1" w:rsidRDefault="00F679A2" w:rsidP="00F679A2">
      <w:pPr>
        <w:pStyle w:val="Naslov2"/>
      </w:pPr>
      <w:bookmarkStart w:id="3142" w:name="_Toc86822590"/>
      <w:r w:rsidRPr="00271FF1">
        <w:t>Sadjarstvo</w:t>
      </w:r>
      <w:bookmarkEnd w:id="3142"/>
    </w:p>
    <w:p w14:paraId="4EB1882D" w14:textId="77777777" w:rsidR="00F679A2" w:rsidRPr="005B2A49" w:rsidRDefault="00F679A2" w:rsidP="005B2A49">
      <w:pPr>
        <w:spacing w:after="120" w:line="260" w:lineRule="atLeast"/>
        <w:rPr>
          <w:rFonts w:eastAsia="Calibri"/>
          <w:szCs w:val="20"/>
        </w:rPr>
      </w:pPr>
      <w:r w:rsidRPr="005B2A49">
        <w:rPr>
          <w:rFonts w:eastAsia="Calibri"/>
          <w:szCs w:val="20"/>
        </w:rPr>
        <w:t>V Sloveniji ima s</w:t>
      </w:r>
      <w:r w:rsidRPr="005B2A49" w:rsidDel="00077748">
        <w:rPr>
          <w:rFonts w:eastAsia="Calibri"/>
          <w:szCs w:val="20"/>
        </w:rPr>
        <w:t xml:space="preserve">adjarstvo </w:t>
      </w:r>
      <w:r w:rsidRPr="005B2A49">
        <w:rPr>
          <w:rFonts w:eastAsia="Calibri"/>
          <w:szCs w:val="20"/>
        </w:rPr>
        <w:t xml:space="preserve">še precej neizkoriščenih možnosti za večji tehnološki napredek in nadaljnji razvoj, kar med drugim izvira iz naravnih danosti, tradicije, uveljavljenosti okolju prijaznih načinov pridelave, kakovostnega znanja, ugodne geografske lege ter velikih rezerv na področju porabe v prehrani, ki se kažejo v še vedno v prenizki stopnji samooskrbe s sadjem. </w:t>
      </w:r>
    </w:p>
    <w:p w14:paraId="0BC2074F"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 razvoju mednarodno konkurenčnega sadjarstva in ob upoštevanju zelo visokih okoljevarstvenih standardov ter izrazitega vpliva podnebnih sprememb v zadnjih letih, bo tudi v Sloveniji treba še več vlagati v nova znanja in iskanje novih tehnoloških rešitev.   </w:t>
      </w:r>
    </w:p>
    <w:p w14:paraId="4B3B6E2D" w14:textId="55BBA66A" w:rsidR="00F679A2" w:rsidRDefault="00F679A2" w:rsidP="005B2A49">
      <w:pPr>
        <w:spacing w:after="120" w:line="260" w:lineRule="atLeast"/>
        <w:rPr>
          <w:rFonts w:eastAsia="Calibri"/>
          <w:szCs w:val="20"/>
        </w:rPr>
      </w:pPr>
      <w:r w:rsidRPr="005B2A49">
        <w:rPr>
          <w:rFonts w:eastAsia="Calibri"/>
          <w:szCs w:val="20"/>
        </w:rPr>
        <w:t>Temeljni cilji razvoja slovenskega sadjarstva so povečanje obsega pridelanega sadja, izboljšanje konkurenčnosti in kakovosti pridelanega sadja ter povečanje porabe sadja.</w:t>
      </w:r>
    </w:p>
    <w:p w14:paraId="1AEC22DA" w14:textId="77777777" w:rsidR="00C25531" w:rsidRPr="000A4C0A" w:rsidRDefault="00C25531" w:rsidP="005B2A49">
      <w:pPr>
        <w:spacing w:after="120" w:line="260" w:lineRule="atLeast"/>
        <w:rPr>
          <w:rFonts w:eastAsia="Calibri"/>
          <w:szCs w:val="20"/>
        </w:rPr>
      </w:pPr>
    </w:p>
    <w:p w14:paraId="41FE7FCD" w14:textId="77777777" w:rsidR="00F679A2" w:rsidRPr="00271FF1" w:rsidRDefault="00F679A2" w:rsidP="00F679A2">
      <w:pPr>
        <w:pStyle w:val="Naslov3"/>
        <w:rPr>
          <w:rFonts w:eastAsia="Calibri"/>
        </w:rPr>
      </w:pPr>
      <w:bookmarkStart w:id="3143" w:name="_Toc86822591"/>
      <w:r w:rsidRPr="00271FF1">
        <w:rPr>
          <w:rFonts w:eastAsia="Calibri"/>
        </w:rPr>
        <w:t>Stanje v sektorju in osnovni ekonomski kazalniki</w:t>
      </w:r>
      <w:bookmarkEnd w:id="3143"/>
    </w:p>
    <w:p w14:paraId="5B79B1F0" w14:textId="77777777" w:rsidR="00F679A2" w:rsidRPr="00F14D7D" w:rsidRDefault="00F679A2" w:rsidP="005B2A49">
      <w:pPr>
        <w:spacing w:after="120" w:line="260" w:lineRule="atLeast"/>
        <w:rPr>
          <w:rFonts w:eastAsia="Calibri"/>
          <w:szCs w:val="20"/>
        </w:rPr>
      </w:pPr>
      <w:r w:rsidRPr="00F14D7D">
        <w:rPr>
          <w:rFonts w:eastAsia="Calibri"/>
          <w:szCs w:val="20"/>
        </w:rPr>
        <w:t>K skupni vrednosti kmetijske proizvodnje po osnovnih cenah je v obdobju 2010–2019 pridelava sadja prispevala med 4,1 % in 8,4 %, k vrednosti rastlinske proizvodnje pa med 7,4 % in 16,3 %.</w:t>
      </w:r>
    </w:p>
    <w:p w14:paraId="66AC358D" w14:textId="77777777" w:rsidR="00F679A2" w:rsidRPr="005B2A49" w:rsidRDefault="00F679A2" w:rsidP="005B2A49">
      <w:pPr>
        <w:spacing w:after="120" w:line="260" w:lineRule="atLeast"/>
        <w:rPr>
          <w:rFonts w:eastAsia="Calibri"/>
          <w:szCs w:val="20"/>
        </w:rPr>
      </w:pPr>
      <w:r w:rsidRPr="00F14D7D">
        <w:rPr>
          <w:rFonts w:eastAsia="Calibri"/>
          <w:szCs w:val="20"/>
        </w:rPr>
        <w:t xml:space="preserve">Površine sadovnjakov, ki vključujejo površine ekstenzivnih sadovnjakov in površine intenzivnih sadovnjakov vključno z jagodami in namiznim grozdjem, zavzemajo približno 2 % kmetijskih zemljišč v uporabi. Leta 2019 so obsegale 10,8 tisoč hektarjev in so bile v primerjavi z zadnjim desetletnim obdobjem (2009-2018) večje za 17 %. Ekstenzivni sadovnjaki so obsegali 6,5 tisoč hektarjev ali 60 % vseh sadovnjakov (površina se je v obdobju 2001–2009 postopno zmanjševala, v zadnjih letih pa je opazno njeno povečevanje), intenzivni sadovnjaki so obsegali 4,3 tisoč hektarjev in so tudi v trendu povečevanja. </w:t>
      </w:r>
    </w:p>
    <w:p w14:paraId="778F5B9A" w14:textId="211DD324" w:rsidR="00F679A2" w:rsidRPr="005B2A49" w:rsidRDefault="00F679A2" w:rsidP="005B2A49">
      <w:pPr>
        <w:spacing w:after="120" w:line="260" w:lineRule="atLeast"/>
        <w:rPr>
          <w:rFonts w:eastAsia="Calibri"/>
          <w:szCs w:val="20"/>
        </w:rPr>
      </w:pPr>
      <w:r w:rsidRPr="00F14D7D">
        <w:rPr>
          <w:rFonts w:eastAsia="Calibri"/>
          <w:szCs w:val="20"/>
        </w:rPr>
        <w:t>Struktura sadnih vrst v intenzivnih sadovnjakih se je v obdobju 20</w:t>
      </w:r>
      <w:r w:rsidR="003356E2">
        <w:rPr>
          <w:rFonts w:eastAsia="Calibri"/>
          <w:szCs w:val="20"/>
        </w:rPr>
        <w:t>10</w:t>
      </w:r>
      <w:r w:rsidRPr="00F14D7D">
        <w:rPr>
          <w:rFonts w:eastAsia="Calibri"/>
          <w:szCs w:val="20"/>
        </w:rPr>
        <w:t>-20</w:t>
      </w:r>
      <w:r w:rsidR="003356E2">
        <w:rPr>
          <w:rFonts w:eastAsia="Calibri"/>
          <w:szCs w:val="20"/>
        </w:rPr>
        <w:t>20</w:t>
      </w:r>
      <w:r w:rsidRPr="00F14D7D">
        <w:rPr>
          <w:rFonts w:eastAsia="Calibri"/>
          <w:szCs w:val="20"/>
        </w:rPr>
        <w:t xml:space="preserve"> nekoliko spremenila. Površine jablan z 2.267 ha še vedno močno prevladujejo (53 %), vendar je njihov delež v strukturi bruto površine v trendu zmanjševanja. Zmanjšuje se tudi delež drugih v preteklosti najbolj razširjenih sadnih vrst kot so hruške, breskve in nektarine. Glede na leto 2012 se povečuje zastopanost lupinarjev, jagod in drugega jagodičja, nekaterih koščičarjev, zlasti češenj, in drugih sadnih vrst. V letu 20</w:t>
      </w:r>
      <w:r w:rsidR="003356E2">
        <w:rPr>
          <w:rFonts w:eastAsia="Calibri"/>
          <w:szCs w:val="20"/>
        </w:rPr>
        <w:t>20</w:t>
      </w:r>
      <w:r w:rsidRPr="00F14D7D">
        <w:rPr>
          <w:rFonts w:eastAsia="Calibri"/>
          <w:szCs w:val="20"/>
        </w:rPr>
        <w:t xml:space="preserve"> so se v intenzivnih sadovnjakih za 210 ha povečale tudi površine z novimi sadnimi vrstami. </w:t>
      </w:r>
      <w:r w:rsidRPr="005B2A49">
        <w:rPr>
          <w:rFonts w:eastAsia="Calibri"/>
          <w:szCs w:val="20"/>
        </w:rPr>
        <w:t>V pridelavi intenzivnih sadovnjakov je značilna velika posestna razdrobljenost, kar 60% sadjarjev obdeluje pod 0,5 ha sadovnjakov, velikost do 1 ha sadovnjaka pa zajame kar 76% vseh pridelovalcev.</w:t>
      </w:r>
    </w:p>
    <w:p w14:paraId="51BA2D0A" w14:textId="6E3AA082" w:rsidR="00F679A2" w:rsidRPr="005B2A49" w:rsidRDefault="00F679A2" w:rsidP="005B2A49">
      <w:pPr>
        <w:pStyle w:val="ZPtekst"/>
        <w:rPr>
          <w:rFonts w:eastAsia="Calibri"/>
          <w:szCs w:val="20"/>
        </w:rPr>
      </w:pPr>
      <w:r w:rsidRPr="00F14D7D">
        <w:rPr>
          <w:rFonts w:eastAsia="Calibri"/>
          <w:szCs w:val="20"/>
        </w:rPr>
        <w:t>Skupna pridelava sadja v ekstenzivnih in intenzivnih sadovnjakih je bila v letu 20</w:t>
      </w:r>
      <w:r w:rsidR="00442E6B">
        <w:rPr>
          <w:rFonts w:eastAsia="Calibri"/>
          <w:szCs w:val="20"/>
        </w:rPr>
        <w:t>20</w:t>
      </w:r>
      <w:r w:rsidRPr="00F14D7D">
        <w:rPr>
          <w:rFonts w:eastAsia="Calibri"/>
          <w:szCs w:val="20"/>
        </w:rPr>
        <w:t xml:space="preserve"> </w:t>
      </w:r>
      <w:r w:rsidR="00442E6B">
        <w:rPr>
          <w:rFonts w:eastAsia="Calibri"/>
          <w:szCs w:val="20"/>
        </w:rPr>
        <w:t>113</w:t>
      </w:r>
      <w:r w:rsidRPr="00F14D7D">
        <w:rPr>
          <w:rFonts w:eastAsia="Calibri"/>
          <w:szCs w:val="20"/>
        </w:rPr>
        <w:t xml:space="preserve"> tisoč ton, kar je za </w:t>
      </w:r>
      <w:r w:rsidR="00442E6B" w:rsidRPr="00623E67">
        <w:t>15 % pod povprečjem obdobja 2011–2015 (zadnjih pet zaporednih let brez večjih ekstremnih vremenskih razmer)</w:t>
      </w:r>
      <w:r w:rsidRPr="00F14D7D">
        <w:rPr>
          <w:rFonts w:eastAsia="Calibri"/>
          <w:szCs w:val="20"/>
        </w:rPr>
        <w:t xml:space="preserve">. Hektarski pridelek jablan v intenzivnih nasadih je bil </w:t>
      </w:r>
      <w:r w:rsidR="00442E6B">
        <w:rPr>
          <w:rFonts w:eastAsia="Calibri"/>
          <w:szCs w:val="20"/>
        </w:rPr>
        <w:t>30,5</w:t>
      </w:r>
      <w:r w:rsidRPr="00F14D7D">
        <w:rPr>
          <w:rFonts w:eastAsia="Calibri"/>
          <w:szCs w:val="20"/>
        </w:rPr>
        <w:t xml:space="preserve"> t/ha </w:t>
      </w:r>
      <w:r w:rsidR="00442E6B" w:rsidRPr="00623E67">
        <w:t>in je za desetino presegel povprečje obdobja 2011–2015.</w:t>
      </w:r>
      <w:r w:rsidR="00442E6B">
        <w:t xml:space="preserve"> </w:t>
      </w:r>
      <w:r w:rsidRPr="005B2A49">
        <w:rPr>
          <w:rFonts w:eastAsia="Calibri"/>
          <w:szCs w:val="20"/>
        </w:rPr>
        <w:t xml:space="preserve"> </w:t>
      </w:r>
    </w:p>
    <w:p w14:paraId="6E5EA97A" w14:textId="39A7BFF0" w:rsidR="00F679A2" w:rsidRDefault="00F679A2" w:rsidP="00F679A2">
      <w:pPr>
        <w:pStyle w:val="SCSlika0"/>
      </w:pPr>
      <w:bookmarkStart w:id="3144" w:name="_Toc86822739"/>
      <w:r>
        <w:t xml:space="preserve">Slika </w:t>
      </w:r>
      <w:r>
        <w:rPr>
          <w:noProof/>
        </w:rPr>
        <w:fldChar w:fldCharType="begin"/>
      </w:r>
      <w:r>
        <w:rPr>
          <w:noProof/>
        </w:rPr>
        <w:instrText xml:space="preserve"> SEQ Slika \* ARABIC </w:instrText>
      </w:r>
      <w:r>
        <w:rPr>
          <w:noProof/>
        </w:rPr>
        <w:fldChar w:fldCharType="separate"/>
      </w:r>
      <w:r w:rsidR="0088117A">
        <w:rPr>
          <w:noProof/>
        </w:rPr>
        <w:t>67</w:t>
      </w:r>
      <w:r>
        <w:rPr>
          <w:noProof/>
        </w:rPr>
        <w:fldChar w:fldCharType="end"/>
      </w:r>
      <w:r>
        <w:t xml:space="preserve">: </w:t>
      </w:r>
      <w:r w:rsidRPr="00F14D7D">
        <w:t>Površina in pridelek sadja (200</w:t>
      </w:r>
      <w:r w:rsidR="002B2C4D">
        <w:t>8</w:t>
      </w:r>
      <w:r w:rsidRPr="00F14D7D">
        <w:t>–20</w:t>
      </w:r>
      <w:r w:rsidR="002B2C4D">
        <w:t>20</w:t>
      </w:r>
      <w:r w:rsidRPr="00F14D7D">
        <w:t>)</w:t>
      </w:r>
      <w:bookmarkEnd w:id="3144"/>
    </w:p>
    <w:p w14:paraId="03C9DC71" w14:textId="77777777" w:rsidR="002B2C4D" w:rsidRPr="00623E67" w:rsidRDefault="002B2C4D" w:rsidP="002B2C4D">
      <w:pPr>
        <w:pStyle w:val="ZPslika"/>
      </w:pPr>
      <w:r w:rsidRPr="00623E67">
        <w:drawing>
          <wp:inline distT="0" distB="0" distL="0" distR="0" wp14:anchorId="721A896E" wp14:editId="7F172B81">
            <wp:extent cx="5760085" cy="1956116"/>
            <wp:effectExtent l="0" t="0" r="0" b="6350"/>
            <wp:docPr id="1631865365" name="Slika 163186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1956116"/>
                    </a:xfrm>
                    <a:prstGeom prst="rect">
                      <a:avLst/>
                    </a:prstGeom>
                    <a:noFill/>
                    <a:ln>
                      <a:noFill/>
                    </a:ln>
                  </pic:spPr>
                </pic:pic>
              </a:graphicData>
            </a:graphic>
          </wp:inline>
        </w:drawing>
      </w:r>
    </w:p>
    <w:p w14:paraId="3C376026" w14:textId="2908A0E1" w:rsidR="00F679A2" w:rsidRPr="005718B1" w:rsidRDefault="00F679A2" w:rsidP="00F679A2">
      <w:pPr>
        <w:widowControl w:val="0"/>
        <w:spacing w:line="360" w:lineRule="auto"/>
        <w:contextualSpacing/>
        <w:rPr>
          <w:color w:val="000000" w:themeColor="text1"/>
          <w:szCs w:val="20"/>
        </w:rPr>
      </w:pPr>
      <w:r w:rsidRPr="005718B1">
        <w:rPr>
          <w:rFonts w:eastAsia="Calibri"/>
          <w:color w:val="000000" w:themeColor="text1"/>
          <w:sz w:val="16"/>
          <w:szCs w:val="16"/>
        </w:rPr>
        <w:t xml:space="preserve">Vir: </w:t>
      </w:r>
      <w:r>
        <w:rPr>
          <w:color w:val="000000" w:themeColor="text1"/>
          <w:sz w:val="16"/>
          <w:szCs w:val="16"/>
        </w:rPr>
        <w:t>SURS (ZP-20</w:t>
      </w:r>
      <w:r w:rsidR="002B2C4D">
        <w:rPr>
          <w:color w:val="000000" w:themeColor="text1"/>
          <w:sz w:val="16"/>
          <w:szCs w:val="16"/>
        </w:rPr>
        <w:t>20</w:t>
      </w:r>
      <w:r>
        <w:rPr>
          <w:color w:val="000000" w:themeColor="text1"/>
          <w:sz w:val="16"/>
          <w:szCs w:val="16"/>
        </w:rPr>
        <w:t>)</w:t>
      </w:r>
    </w:p>
    <w:p w14:paraId="33706760" w14:textId="77777777" w:rsidR="00F679A2" w:rsidRPr="005B2A49" w:rsidRDefault="00F679A2" w:rsidP="005B2A49">
      <w:pPr>
        <w:spacing w:after="120" w:line="260" w:lineRule="atLeast"/>
        <w:rPr>
          <w:rFonts w:eastAsia="Calibri"/>
          <w:szCs w:val="20"/>
        </w:rPr>
      </w:pPr>
      <w:r w:rsidRPr="005B2A49">
        <w:rPr>
          <w:rFonts w:eastAsia="Calibri"/>
          <w:szCs w:val="20"/>
        </w:rPr>
        <w:t xml:space="preserve">Delež nasadov z mrežami proti toči in namakalnimi sistemi je še vedno premajhen. V letu 2019 je bilo z mrežo proti toči pokritih 1.297 ha ali 30 % vseh intenzivnih sadovnjakov, od tega 1.171 ha ali 52 % vseh intenzivnih nasadov jablan, kar je še vedno premalo. Namakanih je bilo 812 ha ali 18,7 % intenzivnih sadovnjakov, od tega 360 ha ali 16 % intenzivnih nasadov jablan. Glede na strateške in razvojne cilje v sadjarstvu najbolj izstopa trend naraščanja površin z mrežami proti toči pri jablani, katerih cilj je 80 % pokritost površin jablan. </w:t>
      </w:r>
    </w:p>
    <w:p w14:paraId="16F4EA01" w14:textId="7861527D" w:rsidR="002B2C4D" w:rsidRPr="002B2C4D" w:rsidRDefault="00F679A2" w:rsidP="002B2C4D">
      <w:pPr>
        <w:pStyle w:val="SCSlika0"/>
      </w:pPr>
      <w:bookmarkStart w:id="3145" w:name="_Toc86822740"/>
      <w:r>
        <w:t xml:space="preserve">Slika </w:t>
      </w:r>
      <w:r>
        <w:rPr>
          <w:noProof/>
        </w:rPr>
        <w:fldChar w:fldCharType="begin"/>
      </w:r>
      <w:r>
        <w:rPr>
          <w:noProof/>
        </w:rPr>
        <w:instrText xml:space="preserve"> SEQ Slika \* ARABIC </w:instrText>
      </w:r>
      <w:r>
        <w:rPr>
          <w:noProof/>
        </w:rPr>
        <w:fldChar w:fldCharType="separate"/>
      </w:r>
      <w:r w:rsidR="0088117A">
        <w:rPr>
          <w:noProof/>
        </w:rPr>
        <w:t>68</w:t>
      </w:r>
      <w:r>
        <w:rPr>
          <w:noProof/>
        </w:rPr>
        <w:fldChar w:fldCharType="end"/>
      </w:r>
      <w:r>
        <w:t xml:space="preserve">: </w:t>
      </w:r>
      <w:r w:rsidRPr="009F16BA">
        <w:t xml:space="preserve">Deleži pokritosti sadovnjakov z mrežami proti </w:t>
      </w:r>
      <w:r w:rsidRPr="0085099A">
        <w:t xml:space="preserve">toči oz. z namakalnimi sistemi </w:t>
      </w:r>
      <w:r>
        <w:t>(v %)</w:t>
      </w:r>
      <w:bookmarkEnd w:id="3145"/>
      <w:r w:rsidR="002B2C4D">
        <w:t xml:space="preserve"> </w:t>
      </w:r>
    </w:p>
    <w:p w14:paraId="33FF4EA8" w14:textId="77777777" w:rsidR="00F679A2" w:rsidRDefault="00F679A2" w:rsidP="00F679A2">
      <w:pPr>
        <w:spacing w:line="360" w:lineRule="auto"/>
        <w:rPr>
          <w:szCs w:val="20"/>
        </w:rPr>
      </w:pPr>
      <w:r>
        <w:rPr>
          <w:noProof/>
          <w:lang w:eastAsia="sl-SI"/>
        </w:rPr>
        <w:drawing>
          <wp:inline distT="0" distB="0" distL="0" distR="0" wp14:anchorId="5ECEA53D" wp14:editId="38A60361">
            <wp:extent cx="5759355" cy="2905760"/>
            <wp:effectExtent l="0" t="0" r="13335" b="8890"/>
            <wp:docPr id="63" name="Grafikon 6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4796243" w14:textId="77777777" w:rsidR="00F679A2" w:rsidRPr="005718B1" w:rsidRDefault="00F679A2" w:rsidP="00F679A2">
      <w:pPr>
        <w:spacing w:line="360" w:lineRule="auto"/>
        <w:rPr>
          <w:rFonts w:eastAsia="Calibri"/>
          <w:sz w:val="16"/>
          <w:szCs w:val="16"/>
        </w:rPr>
      </w:pPr>
      <w:r w:rsidRPr="005718B1">
        <w:rPr>
          <w:sz w:val="16"/>
          <w:szCs w:val="16"/>
        </w:rPr>
        <w:t>Vir: RKG</w:t>
      </w:r>
      <w:r w:rsidRPr="0034156F">
        <w:rPr>
          <w:sz w:val="16"/>
          <w:szCs w:val="16"/>
        </w:rPr>
        <w:t>-2020</w:t>
      </w:r>
    </w:p>
    <w:p w14:paraId="1FBB9F60" w14:textId="77777777" w:rsidR="00F679A2" w:rsidRPr="003B2B91" w:rsidRDefault="00F679A2" w:rsidP="005B2A49">
      <w:pPr>
        <w:spacing w:after="120" w:line="260" w:lineRule="atLeast"/>
        <w:rPr>
          <w:rFonts w:eastAsia="Calibri"/>
          <w:szCs w:val="20"/>
        </w:rPr>
      </w:pPr>
      <w:r w:rsidRPr="003B2B91">
        <w:rPr>
          <w:rFonts w:eastAsia="Calibri"/>
          <w:szCs w:val="20"/>
        </w:rPr>
        <w:t>Zaradi neugodne starostne strukture intenzivnih sadovnjakov, bi bilo potrebno povečati delež obnovljenih intenzivnih sadovnjakov. Po podatkih RKG bi bila v letu 2019 za 2.808 ha oziroma 66 % intenzivnih sadovnjakov starih do 15 let in 1.464 ha oziroma 34 % starih več kot 15 let potrebna obnova nadasov. Povprečna letna obnova v obdobju 2013–2019 je znašala 220 ha intenzivnih sadovnjakov na leto, od tega 50 ha nasadov jablan. Izmed intenzivnih jablanovih nasadov, ki je še vedno najbolj razširjena sadna vrsta, je bilo 377 ha ali 17 % starih do 5 let, 427 ha ali 19 % 6–10 let, 883 ha ali 39 % 11–20 let in 580 ha ali 25 % več kot 20 let.</w:t>
      </w:r>
    </w:p>
    <w:p w14:paraId="7BDDE317" w14:textId="29B5DBF7" w:rsidR="00F679A2" w:rsidRDefault="00F679A2" w:rsidP="00F679A2">
      <w:pPr>
        <w:pStyle w:val="SCSlika0"/>
      </w:pPr>
      <w:bookmarkStart w:id="3146" w:name="_Toc86822741"/>
      <w:r>
        <w:t xml:space="preserve">Slika </w:t>
      </w:r>
      <w:r>
        <w:rPr>
          <w:noProof/>
        </w:rPr>
        <w:fldChar w:fldCharType="begin"/>
      </w:r>
      <w:r>
        <w:rPr>
          <w:noProof/>
        </w:rPr>
        <w:instrText xml:space="preserve"> SEQ Slika \* ARABIC </w:instrText>
      </w:r>
      <w:r>
        <w:rPr>
          <w:noProof/>
        </w:rPr>
        <w:fldChar w:fldCharType="separate"/>
      </w:r>
      <w:r w:rsidR="0088117A">
        <w:rPr>
          <w:noProof/>
        </w:rPr>
        <w:t>69</w:t>
      </w:r>
      <w:r>
        <w:rPr>
          <w:noProof/>
        </w:rPr>
        <w:fldChar w:fldCharType="end"/>
      </w:r>
      <w:r>
        <w:t xml:space="preserve">: </w:t>
      </w:r>
      <w:r w:rsidRPr="009F16BA">
        <w:t xml:space="preserve">Starostna struktura sadovnjakov </w:t>
      </w:r>
      <w:r>
        <w:t xml:space="preserve">(ha) v letih </w:t>
      </w:r>
      <w:r w:rsidRPr="009F16BA">
        <w:t xml:space="preserve">(jablana, hruška, oreh, </w:t>
      </w:r>
      <w:r w:rsidRPr="00F14D7D">
        <w:t>češnja</w:t>
      </w:r>
      <w:r w:rsidRPr="009F16BA">
        <w:t>)</w:t>
      </w:r>
      <w:bookmarkEnd w:id="3146"/>
    </w:p>
    <w:p w14:paraId="0A5DD28F" w14:textId="77777777" w:rsidR="00F679A2" w:rsidRPr="003B2B91" w:rsidRDefault="00F679A2" w:rsidP="00F679A2">
      <w:pPr>
        <w:spacing w:line="360" w:lineRule="auto"/>
        <w:rPr>
          <w:szCs w:val="20"/>
        </w:rPr>
      </w:pPr>
      <w:r>
        <w:rPr>
          <w:noProof/>
          <w:lang w:eastAsia="sl-SI"/>
        </w:rPr>
        <w:drawing>
          <wp:inline distT="0" distB="0" distL="0" distR="0" wp14:anchorId="53DC817F" wp14:editId="4D60B622">
            <wp:extent cx="5554639" cy="3043451"/>
            <wp:effectExtent l="0" t="0" r="8255" b="5080"/>
            <wp:docPr id="1631865344" name="Grafikon 1631865344">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C636C53" w14:textId="77777777" w:rsidR="00F679A2" w:rsidRDefault="00F679A2" w:rsidP="00F679A2">
      <w:pPr>
        <w:spacing w:line="360" w:lineRule="auto"/>
        <w:rPr>
          <w:rFonts w:eastAsia="Calibri"/>
          <w:szCs w:val="20"/>
        </w:rPr>
      </w:pPr>
      <w:r w:rsidRPr="005718B1">
        <w:rPr>
          <w:rFonts w:eastAsia="Calibri"/>
          <w:sz w:val="16"/>
          <w:szCs w:val="16"/>
        </w:rPr>
        <w:t>Vir: RKG</w:t>
      </w:r>
      <w:r>
        <w:rPr>
          <w:rFonts w:eastAsia="Calibri"/>
          <w:sz w:val="16"/>
          <w:szCs w:val="16"/>
        </w:rPr>
        <w:t>-2020</w:t>
      </w:r>
    </w:p>
    <w:p w14:paraId="1D3F84B8" w14:textId="77777777" w:rsidR="00F679A2" w:rsidRPr="005B2A49" w:rsidRDefault="00F679A2" w:rsidP="005B2A49">
      <w:pPr>
        <w:spacing w:after="120" w:line="260" w:lineRule="atLeast"/>
        <w:rPr>
          <w:rFonts w:eastAsia="Calibri"/>
          <w:szCs w:val="20"/>
        </w:rPr>
      </w:pPr>
      <w:r w:rsidRPr="00F14D7D">
        <w:rPr>
          <w:rFonts w:eastAsia="Calibri"/>
          <w:szCs w:val="20"/>
        </w:rPr>
        <w:t xml:space="preserve">Pri sadju so opazna precejšnja medletna nihanja stopenj samooskrbe in porabe, ki so predvsem posledica bolj ali manj obilnih letin. V letu 2019 je bila nizka stopnja samooskrbe s sadjem (sveže in predelano) in je znašala 29,6%, najvišja stopnja samooskrbe v zadnjem desetletnem obdobju je bila v letu 2018 z 48 %. Pri stopnji samooskrbe s svežim sadjem 43,7 % je bila poraba na prebivalca 76 kg, v vseh oblikah sadja pa 129 kg na prebivalca. </w:t>
      </w:r>
    </w:p>
    <w:p w14:paraId="28D35525" w14:textId="77777777" w:rsidR="00F679A2" w:rsidRPr="00F14D7D" w:rsidRDefault="00F679A2" w:rsidP="005B2A49">
      <w:pPr>
        <w:spacing w:after="120" w:line="260" w:lineRule="atLeast"/>
        <w:rPr>
          <w:rFonts w:eastAsia="Calibri"/>
          <w:szCs w:val="20"/>
        </w:rPr>
      </w:pPr>
      <w:r w:rsidRPr="005B2A49">
        <w:rPr>
          <w:rFonts w:eastAsia="Calibri"/>
          <w:szCs w:val="20"/>
        </w:rPr>
        <w:t>V obdobju 2015–2019 je zunanja trgovina z užitnim sadjem obsegala od 323 do 379 tisoč ton oziroma vrednostno od 259 do 302 tisoč EUR na leto. Leta 2019 je bilo v zunanjetrgovinski menjavi prodanega vrednostno in količinsko več sadja kot leto prej. Zunanjetrgovinska bilanca z jabolki se je zaradi manjšega uvoza in povečanega izvoza povečala. V letu 2019 je bilo v sveži in predelani obliki (vključno s sokovi) porabljeno približno 301 tisoč ton sadja, kar je za 17 % več glede na povprečje obdobja 2009–2018.</w:t>
      </w:r>
    </w:p>
    <w:p w14:paraId="4E763F29" w14:textId="77777777" w:rsidR="00F679A2" w:rsidRPr="00F679A2" w:rsidRDefault="00F679A2" w:rsidP="005B2A49">
      <w:pPr>
        <w:spacing w:after="120" w:line="260" w:lineRule="atLeast"/>
        <w:rPr>
          <w:rFonts w:eastAsia="Calibri"/>
          <w:szCs w:val="20"/>
        </w:rPr>
      </w:pPr>
      <w:r w:rsidRPr="00F14D7D">
        <w:rPr>
          <w:rFonts w:eastAsia="Calibri"/>
          <w:szCs w:val="20"/>
        </w:rPr>
        <w:t xml:space="preserve">Ocene na podlagi letine in modelnih kalkulacij kažejo, da so se ekonomske razmere pri pridelavi sadja, kljub slabši letini v letu 2019, predvsem zaradi pomembno višjih odkupnih cen jabolk v letu 2019 večinoma izboljšale. Odkupne cene namiznih jabolk in namiznih hrušk, pridelanih v letu 2019, so bile v času spravila višje za 45 % oziroma 19 %, odkupne cene namiznih breskev pa so bile nižje za 4 %. </w:t>
      </w:r>
    </w:p>
    <w:p w14:paraId="2961F61E" w14:textId="6EB9963C" w:rsidR="00F679A2" w:rsidRDefault="00F679A2" w:rsidP="00F679A2">
      <w:pPr>
        <w:pStyle w:val="SCSlika0"/>
      </w:pPr>
      <w:bookmarkStart w:id="3147" w:name="_Toc86822742"/>
      <w:r>
        <w:t xml:space="preserve">Slika </w:t>
      </w:r>
      <w:r>
        <w:rPr>
          <w:noProof/>
        </w:rPr>
        <w:fldChar w:fldCharType="begin"/>
      </w:r>
      <w:r>
        <w:rPr>
          <w:noProof/>
        </w:rPr>
        <w:instrText xml:space="preserve"> SEQ Slika \* ARABIC </w:instrText>
      </w:r>
      <w:r>
        <w:rPr>
          <w:noProof/>
        </w:rPr>
        <w:fldChar w:fldCharType="separate"/>
      </w:r>
      <w:r w:rsidR="0088117A">
        <w:rPr>
          <w:noProof/>
        </w:rPr>
        <w:t>70</w:t>
      </w:r>
      <w:r>
        <w:rPr>
          <w:noProof/>
        </w:rPr>
        <w:fldChar w:fldCharType="end"/>
      </w:r>
      <w:r>
        <w:t xml:space="preserve">: </w:t>
      </w:r>
      <w:r w:rsidRPr="00F14D7D">
        <w:t>Osnovni ekonomski kazalci pri pridelavi jabolk (indeks, povprečje 2014–2018 = 100)</w:t>
      </w:r>
      <w:bookmarkEnd w:id="3147"/>
    </w:p>
    <w:p w14:paraId="2E2B97CB" w14:textId="77777777" w:rsidR="00F679A2" w:rsidRPr="005718B1" w:rsidRDefault="00F679A2" w:rsidP="00F679A2">
      <w:pPr>
        <w:pStyle w:val="opomba"/>
        <w:keepNext/>
        <w:spacing w:line="360" w:lineRule="auto"/>
        <w:jc w:val="center"/>
        <w:rPr>
          <w:color w:val="000000" w:themeColor="text1"/>
          <w:sz w:val="20"/>
        </w:rPr>
      </w:pPr>
      <w:r w:rsidRPr="005718B1">
        <w:rPr>
          <w:noProof/>
          <w:color w:val="000000" w:themeColor="text1"/>
          <w:sz w:val="20"/>
        </w:rPr>
        <w:drawing>
          <wp:inline distT="0" distB="0" distL="0" distR="0" wp14:anchorId="12381DC1" wp14:editId="0DDA4211">
            <wp:extent cx="5702300" cy="2191385"/>
            <wp:effectExtent l="0" t="0" r="0" b="0"/>
            <wp:docPr id="1631865346" name="Slika 163186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596B17BE" w14:textId="77777777" w:rsidR="00F679A2" w:rsidRPr="005718B1" w:rsidRDefault="00F679A2" w:rsidP="00F679A2">
      <w:pPr>
        <w:spacing w:line="360" w:lineRule="auto"/>
        <w:rPr>
          <w:color w:val="000000" w:themeColor="text1"/>
          <w:sz w:val="16"/>
          <w:szCs w:val="16"/>
        </w:rPr>
      </w:pPr>
      <w:r w:rsidRPr="005718B1">
        <w:rPr>
          <w:color w:val="000000" w:themeColor="text1"/>
          <w:sz w:val="16"/>
          <w:szCs w:val="16"/>
        </w:rPr>
        <w:t>Vir:</w:t>
      </w:r>
      <w:r>
        <w:rPr>
          <w:color w:val="000000" w:themeColor="text1"/>
          <w:sz w:val="16"/>
          <w:szCs w:val="16"/>
        </w:rPr>
        <w:t xml:space="preserve"> Modelne kalkulacije KIS (ZP-2019)</w:t>
      </w:r>
    </w:p>
    <w:p w14:paraId="7C7ABB6C"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zadnjih letih je gibanje stroškov pridelave jabolk manj intenzivno od gibanja odkupnih cen. Cenovno-stroškovna pariteta, ki odraža le razmerje med spremembami cen inputov in spremembami odkupnih cen, je zato v zadnjih letih zelo spremenljiva. Ekonomski položaj pri pridelavi jabolk se je leta 2019, kljub slabi letini in nekoliko višjih stroških pridelave, zaradi znatnega povišanja odkupnih cen izboljšal in je med ugodnejšimi v zadnjih letih. </w:t>
      </w:r>
    </w:p>
    <w:p w14:paraId="0B75118D"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Zaradi podnebnih sprememb je v Sloveniji pridelava sadja zelo odvisna od vremenskih razmer, s tem pa so povezana tudi velika tveganja na primer zmrzal in toča. Za obvladovanje le-teh je z mrežami proti toči in drugimi vrstami mrež pokritih 30 % intenzivnih sadovnjakov ter več kot polovico intenzivnih nasadov jablan, pridelovalci so upravičeni do 50 % stopnje sofinanciranja zavarovalne premije. Bistveno premalo je vzpostavljenih namakalnih sistemov in vodnih zajetij, </w:t>
      </w:r>
      <w:r w:rsidRPr="00F14D7D">
        <w:rPr>
          <w:rFonts w:eastAsia="Calibri"/>
          <w:szCs w:val="20"/>
        </w:rPr>
        <w:t>tudi glede na vedno večje potrebe protislanske zaščite sadovnjakov</w:t>
      </w:r>
      <w:r w:rsidRPr="005B2A49">
        <w:rPr>
          <w:rFonts w:eastAsia="Calibri"/>
          <w:szCs w:val="20"/>
        </w:rPr>
        <w:t>, ter drugih zaščitnih mrež, sodobnih hladilnih in skladiščnih kapacitet ter specialne mehanizacije in opreme. Za boljše obvladovanje podnebnih sprememb v panogi primanjkuje specifičnega znanja.</w:t>
      </w:r>
    </w:p>
    <w:p w14:paraId="252F16AE"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Zaradi strukturnih sprememb se v pridelavo ponovno uvajajo sadne vrste, ki so se v preteklosti opustile, povečuje se tudi povpraševanje po ekološko pridelanemu sadju. Bolje bi lahko izkoristili dostopnost obnovljivih virov energije za pridelavo v zavarovanih prostorih in možnost podaljšanja sezone pridelave in celoletna pridelava (npr. jagode). Pridelava sadja je izpostavljena pojavu novih škodljivih organizmov (marmorirana smrdljivka, plodova vinska mušica…), za katere je na voljo vedno manj fitofarmacevstskih sredstev. </w:t>
      </w:r>
    </w:p>
    <w:p w14:paraId="1A85DD7E" w14:textId="77777777" w:rsidR="00F679A2" w:rsidRPr="005B2A49" w:rsidRDefault="00F679A2" w:rsidP="005B2A49">
      <w:pPr>
        <w:spacing w:after="120" w:line="260" w:lineRule="atLeast"/>
        <w:rPr>
          <w:rFonts w:eastAsia="Calibri"/>
          <w:szCs w:val="20"/>
        </w:rPr>
      </w:pPr>
      <w:r w:rsidRPr="005B2A49">
        <w:rPr>
          <w:rFonts w:eastAsia="Calibri"/>
          <w:szCs w:val="20"/>
        </w:rPr>
        <w:t>Zaradi nepovezanosti pridelovalcev v organizirano obliko delovanja in razmer na trgu je njihova cenovna nekonkurenčnost še večja. V Sloveniji imamo priznano eno organizacijo proizvajalcev, ki pa še ne izvaja operativnega programa organizacije proizvajalcev in ne črpa sredstev iz naslova tega ukrepa.</w:t>
      </w:r>
    </w:p>
    <w:p w14:paraId="1C8EDACE"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 sodobnejše načine hlajenja in skladiščenja je premalo kapacitet pri pridelovalcih, neustrezna je tehnološka priprava pridelkov za trg (npr. zagotavljanje hladne linije, tehnologije za podaljšanje obstojnosti pridelka na prodajni polici). Z večjo vključitvijo slovenskega sadja v okviru obstoječe živilsko predelovalne industrije bi bilo potrebno povečati predelovalne kapacitete.  </w:t>
      </w:r>
    </w:p>
    <w:p w14:paraId="2F6CD4DF"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Sloveniji želimo s promocijo povečati uživanje sadja, saj je zaradi cenovnih razmer še vedno prenizko povpraševanje po slovenskem sadju. </w:t>
      </w:r>
    </w:p>
    <w:p w14:paraId="7D2F4626" w14:textId="77777777" w:rsidR="00F679A2" w:rsidRPr="005B2A49" w:rsidRDefault="00F679A2" w:rsidP="005B2A49">
      <w:pPr>
        <w:spacing w:after="120" w:line="260" w:lineRule="atLeast"/>
        <w:rPr>
          <w:rFonts w:eastAsia="Calibri"/>
          <w:szCs w:val="20"/>
        </w:rPr>
      </w:pPr>
      <w:r w:rsidRPr="005B2A49">
        <w:rPr>
          <w:rFonts w:eastAsia="Calibri"/>
          <w:szCs w:val="20"/>
        </w:rPr>
        <w:t xml:space="preserve">Razdrobljena je lastniška in posestna struktura, neugodna je tudi starostna struktura sadovnjakov. </w:t>
      </w:r>
    </w:p>
    <w:p w14:paraId="19A32987" w14:textId="77777777" w:rsidR="00F679A2" w:rsidRPr="005B2A49" w:rsidRDefault="00F679A2" w:rsidP="005B2A49">
      <w:pPr>
        <w:spacing w:after="120" w:line="260" w:lineRule="atLeast"/>
        <w:rPr>
          <w:rFonts w:eastAsia="Calibri"/>
          <w:szCs w:val="20"/>
        </w:rPr>
      </w:pPr>
      <w:r w:rsidRPr="005B2A49">
        <w:rPr>
          <w:rFonts w:eastAsia="Calibri"/>
          <w:szCs w:val="20"/>
        </w:rPr>
        <w:t xml:space="preserve">Sadjarji so v letu 2019 vstopili v shemo Izbrana kakovost, vendar ugotavljamo, da je med potrošniki še vedno slaba prepoznavnost oznak iz shem kakovosti (ekološka pridelava, integrirana, izbrana kakovost, druge sheme kakovosti), čeprav so ankete pokazale, da je zvestoba slovenskih potrošnikov slovenskim blagovnim znamkam in slovenskim proizvodom velika. Podpore bi bile potrebne tudi za spodbujanje zaposlovanja na podeželju, predvsem mladih kmetov ter ohranjanju kulturne krajine in biotske raznovrstnosti, spodbuditi pa bi morali še socialno podjetništvo in zaposlovanje ranljivih skupin prebivalstva. </w:t>
      </w:r>
    </w:p>
    <w:p w14:paraId="237CCE20"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programskem obdobju SKP 2014–2020 lahko pridelovalci sadja </w:t>
      </w:r>
      <w:r w:rsidRPr="005B2A49" w:rsidDel="00CE351F">
        <w:rPr>
          <w:rFonts w:eastAsia="Calibri"/>
          <w:szCs w:val="20"/>
        </w:rPr>
        <w:t xml:space="preserve">na podlagi plačilnih pravic </w:t>
      </w:r>
      <w:r w:rsidRPr="005B2A49">
        <w:rPr>
          <w:rFonts w:eastAsia="Calibri"/>
          <w:szCs w:val="20"/>
        </w:rPr>
        <w:t>iz sheme neposrednih plačil pridobijo osnovno plačilo in plačilo za zeleno komponento. Od leta 2006 so tudi sadjarji upravičeni do sofinanciranja zavarovanja, ki se je leta 2018 zvišalo iz 40 % na 50 % zavarovalne premije (leta 2018 je bilo v ukrep vključenih 455 KMG s 1.363 ha ali 32 % intenzivnih sadovnjakov), uveljavljajo pa lahko tudi pravico do vračila dela trošarine za gorivo, porabljeno v kmetijstvu (od leta 2009 70 %).</w:t>
      </w:r>
    </w:p>
    <w:p w14:paraId="05FC704E"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PRP 2014 – 2020 se podore sadjarstvu lahko izvajajo v okviru naslednjih ukrepov: prenos znanja in dejavnosti informiranja, podpora za pomoč pri uporabi storitev svetovanja, podpora za novo sodelovanje v shemah kakovosti, podpora za naložbe v kmetijska gospodarstva, podpora za naložbe v predelavo ali trženje kmetijskih proizvodov, naložbe v infrastrukturo, povezano z razvojem kmetijstva in gozdarstva, pomoč za zagon dejavnosti za mlade kmete, pomoč za zagon dejavnosti za razvoj majhnih kmetij, ustanavljanje skupin in organizacij proizvajalcev v kmetijskem sektorju, kmetijsko okoljsko podnebna plačila (KOPOP), ekološko kmetovanje, plačila območjem z naravnimi ali drugimi posebnimi omejitvami, sodelovanje. V tem obdobju so pridelovalci sadja iz ukrepov prejeli do 11 mio EUR, od tega smo podprli tudi 130 naložb v kmetijska gospodarstva v skupni višini 8,6 mio EUR. </w:t>
      </w:r>
    </w:p>
    <w:p w14:paraId="406D092C" w14:textId="77777777" w:rsidR="00F679A2" w:rsidRPr="00F14D7D" w:rsidRDefault="00F679A2" w:rsidP="005B2A49">
      <w:pPr>
        <w:spacing w:after="120" w:line="260" w:lineRule="atLeast"/>
        <w:rPr>
          <w:rFonts w:eastAsia="Calibri"/>
          <w:szCs w:val="20"/>
        </w:rPr>
      </w:pPr>
      <w:r w:rsidRPr="005B2A49">
        <w:rPr>
          <w:rFonts w:eastAsia="Calibri"/>
          <w:szCs w:val="20"/>
        </w:rPr>
        <w:t xml:space="preserve">V tehnologiji pridelave sadja prevladuje integriran način pridelave, v katero je bilo v letu 2014 vključenih 714 kmetijskih gospodarstev z 2.973 hektarji sadovnjakov, v letu 2017 pa le še 25 % oziroma 1030 hektarjev, saj se je podpora integrirani pridelavi v okviru kmetijsko okoljskih plačil z letom 2014 ukinila. Pri ekološkem načinu pridelave je v </w:t>
      </w:r>
      <w:r w:rsidRPr="00F14D7D">
        <w:rPr>
          <w:rFonts w:eastAsia="Calibri"/>
          <w:szCs w:val="20"/>
        </w:rPr>
        <w:t xml:space="preserve">obdobju 2010-2019 </w:t>
      </w:r>
      <w:r w:rsidRPr="005B2A49">
        <w:rPr>
          <w:rFonts w:eastAsia="Calibri"/>
          <w:szCs w:val="20"/>
        </w:rPr>
        <w:t xml:space="preserve">zaznati trend povečevanja površin </w:t>
      </w:r>
      <w:r w:rsidRPr="00F14D7D">
        <w:rPr>
          <w:rFonts w:eastAsia="Calibri"/>
          <w:szCs w:val="20"/>
        </w:rPr>
        <w:t xml:space="preserve">sadovnjakov, vključenih v sistem nadzora ekološke pridelave, in sicer so se površine sadovnjakov povečale iz 798 ha na 2.119 ha. </w:t>
      </w:r>
    </w:p>
    <w:p w14:paraId="3205B69A" w14:textId="77777777" w:rsidR="00F679A2" w:rsidRPr="005B2A49" w:rsidRDefault="00F679A2" w:rsidP="005B2A49">
      <w:pPr>
        <w:spacing w:after="120" w:line="260" w:lineRule="atLeast"/>
        <w:rPr>
          <w:rFonts w:eastAsia="Calibri"/>
          <w:szCs w:val="20"/>
        </w:rPr>
      </w:pPr>
      <w:r w:rsidRPr="005B2A49">
        <w:rPr>
          <w:rFonts w:eastAsia="Calibri"/>
          <w:szCs w:val="20"/>
        </w:rPr>
        <w:t>Zaradi prepovedi izvoza svežega sadja in zelenjave iz EU v Rusko Federacijo so posredne učinke na trgu v letu 2014 občutili tudi slovenski pridelovalci sadja. Za blažitev krize so bili na podlagi Uredbe o ureditvi kmetijskih trgov na ozemlju celotne EU vzpostavljeni začasni izredni ukrepi, do katerih so bili izjemoma upravičeni tudi pridelovalci, ki niso bili združeni v okviru organizacij proizvajalcev. V obdobju 2014–2016 je bilo v Sloveniji s trga umaknjenih 5.931 ton pridelka, za katerega so pridelovalci v okviru ukrepa prejeli 1,63 milijona EUR nadomestila.</w:t>
      </w:r>
    </w:p>
    <w:p w14:paraId="203AEEB7" w14:textId="77777777" w:rsidR="00F679A2" w:rsidRPr="005B2A49" w:rsidRDefault="00F679A2" w:rsidP="005B2A49">
      <w:pPr>
        <w:spacing w:after="120" w:line="260" w:lineRule="atLeast"/>
        <w:rPr>
          <w:rFonts w:eastAsia="Calibri"/>
          <w:szCs w:val="20"/>
        </w:rPr>
      </w:pPr>
      <w:r w:rsidRPr="005B2A49">
        <w:rPr>
          <w:rFonts w:eastAsia="Calibri"/>
          <w:szCs w:val="20"/>
        </w:rPr>
        <w:t>Za tehnološki napredek in izmenjavo znanja v panogi je pomembna Javna služba na področju sadjarstva, v okviru katere se izvajajo naloge selekcija in introdukcija sadnih rastlin in ugotavljanje njihove vrednosti za predelavo, preizkušanje tehnologij, zagotavljanje izhodiščnega razmnoževalnega materiala ter strokovno-tehnična koordinacija v sadjarstvu. Slednja je pomembna za prenos znanja in rezultatov nalog javne službe do kmetijskih pridelovalcev, ki potekajo v sodelovanju z javno službo kmetijskega svetovanja. Pomembna pa je tudi za ustrezen prenos znanja med raziskovalnimi, izobraževalnimi in svetovalnimi ustanovami. Rastlinske genske vire v sadjarstvu ohranjamo v okviru javne službe nalog rastlinske genske banke (JSRGB). Njihovo ohranjanje je pomembno iz različnih vidikov, med drugim tudi za to, ker so vir biotske raznovrstnosti kmetijskih rastlin za trajnostno kmetijstvo. Na področju sadjarstva ima JSRGB shranjenih 119 akcesij jablan in 48 akcesij hrušk.</w:t>
      </w:r>
    </w:p>
    <w:p w14:paraId="0FE4A1E0"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okviru projektov ukrepa sodelovanja - Evropskega partnerstva za inovacije na področju kmetijske produktivnosti in trajnosti (EIP), so pridelovalci sadja v okviru različnih projektov (npr. visokostorilna trajnostna pridelava jabolk) vzpostavili partnerstvo za doseganje cilja trajnostne in konkurenčnejše pridelave sadja, zmanjševanje obremenitev okolja, zmanjševanje pridelovalnih tveganj zaradi podnebnih sprememb in doseganje najvišjih trženjskih standardov. V okviru ciljno raziskovalnih projektov so se preučevali specifični problemi v pridelavi sadja kot npr. tehnološki ukrepi z zmanjšano uporabo zaščitnih sredstev, tehnologije za konkurenčnejšo pridelavo jabolk, hrušk in češenj. </w:t>
      </w:r>
    </w:p>
    <w:p w14:paraId="5122B51D" w14:textId="77777777" w:rsidR="00F679A2" w:rsidRPr="005B2A49" w:rsidRDefault="00F679A2" w:rsidP="005B2A49">
      <w:pPr>
        <w:spacing w:after="120" w:line="260" w:lineRule="atLeast"/>
        <w:rPr>
          <w:rFonts w:eastAsia="Calibri"/>
          <w:szCs w:val="20"/>
        </w:rPr>
      </w:pPr>
      <w:r w:rsidRPr="005B2A49">
        <w:rPr>
          <w:rFonts w:eastAsia="Calibri"/>
          <w:szCs w:val="20"/>
        </w:rPr>
        <w:t xml:space="preserve">Okrepiti bi morali finančne podpore za razvoj novejših tehnologij in aplikativnih poskusov, zlasti na demonstracijsko poskusnih centrih, in v praksi neposredno uporabnih raziskovalnih in razvojnih nalog (javne službe, CRPi, ARRS projekti), s čimer bi lahko zmanjšali tehnološko zaostalost v pridelavi in dosegali boljšo tržno kakovost in večje količine pridelanega sadja. Povezanost in sodelovanje strokovnih inštitucij še ni optimalna zato je pomemben cilj okrepljeno povezovanje strokovnih inštitucij v okviru delujočega sistema AKIS. </w:t>
      </w:r>
    </w:p>
    <w:p w14:paraId="3B8AEFDA" w14:textId="77777777" w:rsidR="00F679A2" w:rsidRPr="000E474E" w:rsidRDefault="00F679A2" w:rsidP="00F679A2"/>
    <w:p w14:paraId="5C2061A0" w14:textId="77777777" w:rsidR="00F679A2" w:rsidRDefault="00F679A2" w:rsidP="00F679A2">
      <w:pPr>
        <w:pStyle w:val="Naslov3"/>
        <w:rPr>
          <w:rFonts w:eastAsia="Calibri"/>
        </w:rPr>
      </w:pPr>
      <w:bookmarkStart w:id="3148" w:name="_Toc86822592"/>
      <w:r w:rsidRPr="00271FF1">
        <w:rPr>
          <w:rFonts w:eastAsia="Calibri"/>
        </w:rPr>
        <w:t>Ključne ugotovitve</w:t>
      </w:r>
      <w:bookmarkEnd w:id="3148"/>
    </w:p>
    <w:p w14:paraId="0B2442F3" w14:textId="77777777" w:rsidR="00F679A2" w:rsidRPr="00271FF1" w:rsidRDefault="00F679A2" w:rsidP="005B2A49">
      <w:pPr>
        <w:pStyle w:val="Odstavekseznama"/>
        <w:numPr>
          <w:ilvl w:val="0"/>
          <w:numId w:val="189"/>
        </w:numPr>
        <w:tabs>
          <w:tab w:val="left" w:pos="2160"/>
        </w:tabs>
        <w:spacing w:after="120" w:line="260" w:lineRule="atLeast"/>
        <w:ind w:left="357" w:hanging="357"/>
        <w:rPr>
          <w:rFonts w:ascii="Arial" w:hAnsi="Arial"/>
          <w:sz w:val="22"/>
          <w:szCs w:val="22"/>
          <w:u w:val="single"/>
        </w:rPr>
      </w:pPr>
      <w:r w:rsidRPr="00271FF1">
        <w:rPr>
          <w:rFonts w:ascii="Arial" w:hAnsi="Arial"/>
          <w:sz w:val="22"/>
          <w:szCs w:val="22"/>
        </w:rPr>
        <w:t>Površine intenzivnih sadovnjakov rahlo naraščajo (do 2 % na leto), zmanjšujejo se površine najbolj razširjene sadne vrste jablane, ki obsegajo 52 % površin, nastajajo pa strukturne spremembe z večjo pestrostjo sadnih vrst. Neugodna je starostna struktura intenzivnih sadovnjakov, zato je potrebno okrepiti naložbe, zlasti v postavitev novih nasadov in obnove nasadov. Prevelika je posestna razdrobljenost.</w:t>
      </w:r>
    </w:p>
    <w:p w14:paraId="092915BC" w14:textId="77777777" w:rsidR="00F679A2" w:rsidRPr="00271FF1" w:rsidRDefault="00F679A2" w:rsidP="005B2A49">
      <w:pPr>
        <w:numPr>
          <w:ilvl w:val="0"/>
          <w:numId w:val="189"/>
        </w:numPr>
        <w:spacing w:after="120" w:line="260" w:lineRule="atLeast"/>
        <w:ind w:left="357" w:hanging="357"/>
        <w:rPr>
          <w:szCs w:val="22"/>
        </w:rPr>
      </w:pPr>
      <w:r w:rsidRPr="00271FF1">
        <w:rPr>
          <w:szCs w:val="22"/>
        </w:rPr>
        <w:t>Pridelovalci na trgu niso konkurenčni tako zaradi neustreznih tehnologij pridelave (premajhen tržni delež I. kakovostnega razreda, prenizek hektarski pridelek), neustreznega načina hlajenja in skladiščenja ter priprave za trg, zaradi nizkih cen v Sloveniji oziroma visoke lastne cene v primerjavi z ostalimi konkurenčnimi državami, kot tudi zaradi nepovezanosti pridelovalcev ter preveč obdavčene delovne sile.</w:t>
      </w:r>
    </w:p>
    <w:p w14:paraId="08337C48" w14:textId="77777777" w:rsidR="00F679A2" w:rsidRPr="00271FF1" w:rsidRDefault="00F679A2" w:rsidP="005B2A49">
      <w:pPr>
        <w:numPr>
          <w:ilvl w:val="0"/>
          <w:numId w:val="189"/>
        </w:numPr>
        <w:spacing w:after="120" w:line="260" w:lineRule="atLeast"/>
        <w:ind w:left="357" w:hanging="357"/>
        <w:rPr>
          <w:szCs w:val="22"/>
        </w:rPr>
      </w:pPr>
      <w:r w:rsidRPr="00271FF1">
        <w:rPr>
          <w:szCs w:val="22"/>
        </w:rPr>
        <w:t xml:space="preserve">Spremenjene podnebne spremembe imajo na sadjarstvo v zadnji desetih letih izjemen vpliv, zato bo potrebna še boljša prilagoditev panoge s sodobnejšimi tehnologijami in dodatnimi naložbami, sofinanciranjem zavarovalnih premij in podobno. </w:t>
      </w:r>
    </w:p>
    <w:p w14:paraId="3A33855D" w14:textId="4A1B9F7D" w:rsidR="00F679A2" w:rsidRDefault="00F679A2" w:rsidP="005B2A49">
      <w:pPr>
        <w:numPr>
          <w:ilvl w:val="0"/>
          <w:numId w:val="189"/>
        </w:numPr>
        <w:spacing w:after="120" w:line="260" w:lineRule="atLeast"/>
        <w:ind w:left="357" w:hanging="357"/>
        <w:rPr>
          <w:szCs w:val="22"/>
        </w:rPr>
      </w:pPr>
      <w:r w:rsidRPr="00271FF1">
        <w:rPr>
          <w:szCs w:val="22"/>
        </w:rPr>
        <w:t>Shema kakovosti Izbrana kakovost je v sektorju vzpostavljena od leta 2019, pri čemer bo potrebno še okrepiti promocijske dejavnosti.</w:t>
      </w:r>
    </w:p>
    <w:p w14:paraId="20C25CE6" w14:textId="77777777" w:rsidR="00C25531" w:rsidRPr="00271FF1" w:rsidRDefault="00C25531" w:rsidP="005B2A49">
      <w:pPr>
        <w:spacing w:after="120" w:line="260" w:lineRule="atLeast"/>
        <w:ind w:left="357"/>
        <w:rPr>
          <w:szCs w:val="22"/>
        </w:rPr>
      </w:pPr>
    </w:p>
    <w:p w14:paraId="659004E5" w14:textId="49FD469C" w:rsidR="00F679A2" w:rsidRPr="00271FF1" w:rsidRDefault="00E95B10" w:rsidP="00F679A2">
      <w:pPr>
        <w:pStyle w:val="Naslov2"/>
      </w:pPr>
      <w:bookmarkStart w:id="3149" w:name="_Toc86822593"/>
      <w:r>
        <w:t>Vinogradništvo in vinarstvo</w:t>
      </w:r>
      <w:bookmarkEnd w:id="3149"/>
    </w:p>
    <w:p w14:paraId="6118A34D" w14:textId="77777777" w:rsidR="00F679A2" w:rsidRPr="005B2A49" w:rsidRDefault="00F679A2" w:rsidP="005B2A49">
      <w:pPr>
        <w:spacing w:after="120" w:line="260" w:lineRule="atLeast"/>
        <w:rPr>
          <w:rFonts w:eastAsia="Calibri"/>
          <w:szCs w:val="20"/>
        </w:rPr>
      </w:pPr>
      <w:r w:rsidRPr="005B2A49">
        <w:rPr>
          <w:rFonts w:eastAsia="Calibri"/>
          <w:szCs w:val="20"/>
        </w:rPr>
        <w:t>Vinogradništvo in vinarstvo v Sloveniji predstavljata pomembno kmetijsko panogo, ki ima tudi vidno gospodarsko vlogo in pomen pri ohranjanju kulturne krajine ter ohranjanju poseljenosti slovenskega podeželja. V vrednosti kmetijske proizvodnje</w:t>
      </w:r>
      <w:r w:rsidRPr="005B2A49" w:rsidDel="00A3569E">
        <w:rPr>
          <w:rFonts w:eastAsia="Calibri"/>
          <w:szCs w:val="20"/>
        </w:rPr>
        <w:t xml:space="preserve"> </w:t>
      </w:r>
      <w:r w:rsidRPr="005B2A49">
        <w:rPr>
          <w:rFonts w:eastAsia="Calibri"/>
          <w:szCs w:val="20"/>
        </w:rPr>
        <w:t>imata med rastlinskimi pridelki grozdje in vino skupaj največji delež.</w:t>
      </w:r>
    </w:p>
    <w:p w14:paraId="093DA036" w14:textId="77777777" w:rsidR="00F679A2" w:rsidRPr="005B2A49" w:rsidRDefault="00F679A2" w:rsidP="005B2A49">
      <w:pPr>
        <w:spacing w:after="120" w:line="260" w:lineRule="atLeast"/>
        <w:rPr>
          <w:rFonts w:eastAsia="Calibri"/>
          <w:szCs w:val="20"/>
        </w:rPr>
      </w:pPr>
      <w:r w:rsidRPr="005B2A49">
        <w:rPr>
          <w:rFonts w:eastAsia="Calibri"/>
          <w:szCs w:val="20"/>
        </w:rPr>
        <w:t>Strateški cilji Slovenije na področju vinogradništva in vinarstva so predvsem ohranitev obsega obstoječih vinogradniških površin in izboljšanje velikostne strukture, povečanje produktivnosti in izboljšanje konkurenčnosti panoge, tudi preko povečanja prepoznavnosti slovenskih vin.</w:t>
      </w:r>
    </w:p>
    <w:p w14:paraId="1C37E5ED" w14:textId="77777777" w:rsidR="00F679A2" w:rsidRDefault="00F679A2" w:rsidP="00F679A2">
      <w:pPr>
        <w:pStyle w:val="Naslov3"/>
        <w:rPr>
          <w:rFonts w:eastAsia="Calibri"/>
        </w:rPr>
      </w:pPr>
      <w:bookmarkStart w:id="3150" w:name="_Toc86822594"/>
      <w:r w:rsidRPr="00271FF1">
        <w:rPr>
          <w:rFonts w:eastAsia="Calibri"/>
        </w:rPr>
        <w:t>Stanje v sektorju in osnovni ekonomski kazalniki</w:t>
      </w:r>
      <w:bookmarkEnd w:id="3150"/>
    </w:p>
    <w:p w14:paraId="6C3A5042" w14:textId="1869491B" w:rsidR="00F679A2" w:rsidRPr="005B2A49" w:rsidRDefault="00F679A2" w:rsidP="005B2A49">
      <w:pPr>
        <w:spacing w:after="120" w:line="260" w:lineRule="atLeast"/>
        <w:rPr>
          <w:rFonts w:eastAsia="Calibri"/>
          <w:szCs w:val="20"/>
        </w:rPr>
      </w:pPr>
      <w:r w:rsidRPr="005B2A49">
        <w:rPr>
          <w:rFonts w:eastAsia="Calibri"/>
          <w:szCs w:val="20"/>
        </w:rPr>
        <w:t>Po podatkih zajema rabe kmetijskih zemljišč v letu 2019 imamo v Sloveniji 18.113 ha vinogradov, v register kmetijskih gospodarstev (RKG, 2019) je vpisanih 15.437 ha (zavezani KMG z 0,05 ha in več vinogradov), pridelek se v register pridelovalcev grozdja in vina (RPGV) redno prijavlja iz 14.200 ha (zavezanci KMG z 0,1 ha in več). V primerjavi z letom 2010 je razvidno, da so se površine pod vinogradi po podatkih RKG zmanjšale za 5 %, po zajemu rabe kmetijskih zemljišč pa kar za 18 %, kar kaže na opuščanje predvsem manjših vinogradov. Povprečna površina vinogradov na KMG se nekoliko povečuje in znaša 0,55 ha.</w:t>
      </w:r>
    </w:p>
    <w:p w14:paraId="1425F515"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RPGV je vpisanih skoraj 30.000 pridelovalcev grozdja in skoraj vsi so tudi pridelovalci vina, za stekleničenje je registriranih preko 2.300 pridelovalcev, od tega je 11 večjih (preko 500.000 litrov letno). </w:t>
      </w:r>
    </w:p>
    <w:p w14:paraId="0F37D8E9" w14:textId="7DE4C625" w:rsidR="00F679A2" w:rsidRPr="005B2A49" w:rsidRDefault="00F679A2" w:rsidP="005B2A49">
      <w:pPr>
        <w:spacing w:after="120" w:line="260" w:lineRule="atLeast"/>
        <w:rPr>
          <w:rFonts w:eastAsia="Calibri"/>
          <w:szCs w:val="20"/>
        </w:rPr>
      </w:pPr>
      <w:r w:rsidRPr="005B2A49">
        <w:rPr>
          <w:rFonts w:eastAsia="Calibri"/>
          <w:szCs w:val="20"/>
        </w:rPr>
        <w:t>Značilna je velika razdrobljenost vinogradov, kar 84 % vinogradnikov obdeluje pod 0,5 ha vinogradov, velikost do 1 ha vinogradov pa zajame kar 91 % vseh pridelovalcev. Največja razdrobljenost je na območjih Štajerske Slovenije, Prekmurja, Dolenjske, Bele krajine in Bizeljsko-Sremiča; manj kot 0,5 ha pa obdeluje večina pridelovalcev v vinorodnih območjih Prekmurje (95 %), Dolenjska (94 %) in Bela krajina (93 %).</w:t>
      </w:r>
      <w:r w:rsidR="00C23AC1">
        <w:rPr>
          <w:rFonts w:eastAsia="Calibri"/>
          <w:szCs w:val="20"/>
        </w:rPr>
        <w:t xml:space="preserve"> Strukturno slaba je tudi velikost posameznega vinograda, ki v povprečju znaša manj kot 0,32 ha.</w:t>
      </w:r>
    </w:p>
    <w:p w14:paraId="6C89118C" w14:textId="68BCF30F" w:rsidR="00F679A2" w:rsidRDefault="00F679A2" w:rsidP="00F679A2">
      <w:pPr>
        <w:pStyle w:val="SCPreglednica"/>
      </w:pPr>
      <w:bookmarkStart w:id="3151" w:name="_Toc86822656"/>
      <w:r>
        <w:t xml:space="preserve">Tabela </w:t>
      </w:r>
      <w:r>
        <w:rPr>
          <w:noProof/>
        </w:rPr>
        <w:fldChar w:fldCharType="begin"/>
      </w:r>
      <w:r>
        <w:rPr>
          <w:noProof/>
        </w:rPr>
        <w:instrText xml:space="preserve"> SEQ Tabela \* ARABIC </w:instrText>
      </w:r>
      <w:r>
        <w:rPr>
          <w:noProof/>
        </w:rPr>
        <w:fldChar w:fldCharType="separate"/>
      </w:r>
      <w:r w:rsidR="0088117A">
        <w:rPr>
          <w:noProof/>
        </w:rPr>
        <w:t>18</w:t>
      </w:r>
      <w:r>
        <w:rPr>
          <w:noProof/>
        </w:rPr>
        <w:fldChar w:fldCharType="end"/>
      </w:r>
      <w:r>
        <w:t xml:space="preserve">: </w:t>
      </w:r>
      <w:r w:rsidRPr="00F14D7D">
        <w:t>Podatek o površinah vinogradov po letih (ha)</w:t>
      </w:r>
      <w:bookmarkEnd w:id="3151"/>
    </w:p>
    <w:tbl>
      <w:tblPr>
        <w:tblW w:w="9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88"/>
        <w:gridCol w:w="789"/>
        <w:gridCol w:w="789"/>
        <w:gridCol w:w="789"/>
        <w:gridCol w:w="789"/>
        <w:gridCol w:w="789"/>
        <w:gridCol w:w="789"/>
        <w:gridCol w:w="789"/>
        <w:gridCol w:w="789"/>
        <w:gridCol w:w="789"/>
      </w:tblGrid>
      <w:tr w:rsidR="00F679A2" w:rsidRPr="003B2B91" w14:paraId="2D3C6E28" w14:textId="77777777" w:rsidTr="00B97309">
        <w:trPr>
          <w:trHeight w:val="261"/>
        </w:trPr>
        <w:tc>
          <w:tcPr>
            <w:tcW w:w="1134" w:type="dxa"/>
            <w:shd w:val="clear" w:color="auto" w:fill="C6D9F1" w:themeFill="text2" w:themeFillTint="33"/>
          </w:tcPr>
          <w:p w14:paraId="61731CD2" w14:textId="77777777" w:rsidR="00F679A2" w:rsidRPr="003B2B91" w:rsidRDefault="00F679A2" w:rsidP="00B97309">
            <w:pPr>
              <w:spacing w:line="360" w:lineRule="auto"/>
              <w:rPr>
                <w:szCs w:val="20"/>
              </w:rPr>
            </w:pPr>
          </w:p>
        </w:tc>
        <w:tc>
          <w:tcPr>
            <w:tcW w:w="788" w:type="dxa"/>
            <w:shd w:val="clear" w:color="auto" w:fill="C6D9F1" w:themeFill="text2" w:themeFillTint="33"/>
          </w:tcPr>
          <w:p w14:paraId="182592F6" w14:textId="77777777" w:rsidR="00F679A2" w:rsidRPr="003B2B91" w:rsidRDefault="00F679A2" w:rsidP="00B97309">
            <w:pPr>
              <w:spacing w:line="360" w:lineRule="auto"/>
              <w:rPr>
                <w:szCs w:val="20"/>
              </w:rPr>
            </w:pPr>
            <w:r w:rsidRPr="003B2B91">
              <w:rPr>
                <w:szCs w:val="20"/>
              </w:rPr>
              <w:t>2010</w:t>
            </w:r>
          </w:p>
        </w:tc>
        <w:tc>
          <w:tcPr>
            <w:tcW w:w="789" w:type="dxa"/>
            <w:shd w:val="clear" w:color="auto" w:fill="C6D9F1" w:themeFill="text2" w:themeFillTint="33"/>
          </w:tcPr>
          <w:p w14:paraId="7483A5B4" w14:textId="77777777" w:rsidR="00F679A2" w:rsidRPr="003B2B91" w:rsidRDefault="00F679A2" w:rsidP="00B97309">
            <w:pPr>
              <w:spacing w:line="360" w:lineRule="auto"/>
              <w:rPr>
                <w:szCs w:val="20"/>
              </w:rPr>
            </w:pPr>
            <w:r w:rsidRPr="003B2B91">
              <w:rPr>
                <w:szCs w:val="20"/>
              </w:rPr>
              <w:t>2011</w:t>
            </w:r>
          </w:p>
        </w:tc>
        <w:tc>
          <w:tcPr>
            <w:tcW w:w="789" w:type="dxa"/>
            <w:shd w:val="clear" w:color="auto" w:fill="C6D9F1" w:themeFill="text2" w:themeFillTint="33"/>
          </w:tcPr>
          <w:p w14:paraId="7978EF63" w14:textId="77777777" w:rsidR="00F679A2" w:rsidRPr="003B2B91" w:rsidRDefault="00F679A2" w:rsidP="00B97309">
            <w:pPr>
              <w:spacing w:line="360" w:lineRule="auto"/>
              <w:rPr>
                <w:szCs w:val="20"/>
              </w:rPr>
            </w:pPr>
            <w:r w:rsidRPr="003B2B91">
              <w:rPr>
                <w:szCs w:val="20"/>
              </w:rPr>
              <w:t>2012</w:t>
            </w:r>
          </w:p>
        </w:tc>
        <w:tc>
          <w:tcPr>
            <w:tcW w:w="789" w:type="dxa"/>
            <w:shd w:val="clear" w:color="auto" w:fill="C6D9F1" w:themeFill="text2" w:themeFillTint="33"/>
          </w:tcPr>
          <w:p w14:paraId="2F8492B1" w14:textId="77777777" w:rsidR="00F679A2" w:rsidRPr="003B2B91" w:rsidRDefault="00F679A2" w:rsidP="00B97309">
            <w:pPr>
              <w:spacing w:line="360" w:lineRule="auto"/>
              <w:rPr>
                <w:szCs w:val="20"/>
              </w:rPr>
            </w:pPr>
            <w:r w:rsidRPr="003B2B91">
              <w:rPr>
                <w:szCs w:val="20"/>
              </w:rPr>
              <w:t>2013</w:t>
            </w:r>
          </w:p>
        </w:tc>
        <w:tc>
          <w:tcPr>
            <w:tcW w:w="789" w:type="dxa"/>
            <w:shd w:val="clear" w:color="auto" w:fill="C6D9F1" w:themeFill="text2" w:themeFillTint="33"/>
          </w:tcPr>
          <w:p w14:paraId="0BFC4F2B" w14:textId="77777777" w:rsidR="00F679A2" w:rsidRPr="003B2B91" w:rsidRDefault="00F679A2" w:rsidP="00B97309">
            <w:pPr>
              <w:spacing w:line="360" w:lineRule="auto"/>
              <w:rPr>
                <w:szCs w:val="20"/>
              </w:rPr>
            </w:pPr>
            <w:r w:rsidRPr="003B2B91">
              <w:rPr>
                <w:szCs w:val="20"/>
              </w:rPr>
              <w:t>2014</w:t>
            </w:r>
          </w:p>
        </w:tc>
        <w:tc>
          <w:tcPr>
            <w:tcW w:w="789" w:type="dxa"/>
            <w:shd w:val="clear" w:color="auto" w:fill="C6D9F1" w:themeFill="text2" w:themeFillTint="33"/>
          </w:tcPr>
          <w:p w14:paraId="6975E74E" w14:textId="77777777" w:rsidR="00F679A2" w:rsidRPr="003B2B91" w:rsidRDefault="00F679A2" w:rsidP="00B97309">
            <w:pPr>
              <w:spacing w:line="360" w:lineRule="auto"/>
              <w:rPr>
                <w:szCs w:val="20"/>
              </w:rPr>
            </w:pPr>
            <w:r w:rsidRPr="003B2B91">
              <w:rPr>
                <w:szCs w:val="20"/>
              </w:rPr>
              <w:t>2015</w:t>
            </w:r>
          </w:p>
        </w:tc>
        <w:tc>
          <w:tcPr>
            <w:tcW w:w="789" w:type="dxa"/>
            <w:shd w:val="clear" w:color="auto" w:fill="C6D9F1" w:themeFill="text2" w:themeFillTint="33"/>
          </w:tcPr>
          <w:p w14:paraId="6B378E80" w14:textId="77777777" w:rsidR="00F679A2" w:rsidRPr="003B2B91" w:rsidRDefault="00F679A2" w:rsidP="00B97309">
            <w:pPr>
              <w:spacing w:line="360" w:lineRule="auto"/>
              <w:rPr>
                <w:szCs w:val="20"/>
              </w:rPr>
            </w:pPr>
            <w:r w:rsidRPr="003B2B91">
              <w:rPr>
                <w:szCs w:val="20"/>
              </w:rPr>
              <w:t>2016</w:t>
            </w:r>
          </w:p>
        </w:tc>
        <w:tc>
          <w:tcPr>
            <w:tcW w:w="789" w:type="dxa"/>
            <w:shd w:val="clear" w:color="auto" w:fill="C6D9F1" w:themeFill="text2" w:themeFillTint="33"/>
          </w:tcPr>
          <w:p w14:paraId="4D62A54F" w14:textId="77777777" w:rsidR="00F679A2" w:rsidRPr="003B2B91" w:rsidRDefault="00F679A2" w:rsidP="00B97309">
            <w:pPr>
              <w:spacing w:line="360" w:lineRule="auto"/>
              <w:rPr>
                <w:szCs w:val="20"/>
              </w:rPr>
            </w:pPr>
            <w:r w:rsidRPr="003B2B91">
              <w:rPr>
                <w:szCs w:val="20"/>
              </w:rPr>
              <w:t>2017</w:t>
            </w:r>
          </w:p>
        </w:tc>
        <w:tc>
          <w:tcPr>
            <w:tcW w:w="789" w:type="dxa"/>
            <w:shd w:val="clear" w:color="auto" w:fill="C6D9F1" w:themeFill="text2" w:themeFillTint="33"/>
          </w:tcPr>
          <w:p w14:paraId="5C6C9540" w14:textId="77777777" w:rsidR="00F679A2" w:rsidRPr="003B2B91" w:rsidRDefault="00F679A2" w:rsidP="00B97309">
            <w:pPr>
              <w:spacing w:line="360" w:lineRule="auto"/>
              <w:rPr>
                <w:szCs w:val="20"/>
              </w:rPr>
            </w:pPr>
            <w:r w:rsidRPr="003B2B91">
              <w:rPr>
                <w:szCs w:val="20"/>
              </w:rPr>
              <w:t>2018</w:t>
            </w:r>
          </w:p>
        </w:tc>
        <w:tc>
          <w:tcPr>
            <w:tcW w:w="789" w:type="dxa"/>
            <w:shd w:val="clear" w:color="auto" w:fill="C6D9F1" w:themeFill="text2" w:themeFillTint="33"/>
          </w:tcPr>
          <w:p w14:paraId="4CA69203" w14:textId="77777777" w:rsidR="00F679A2" w:rsidRPr="003B2B91" w:rsidRDefault="00F679A2" w:rsidP="00B97309">
            <w:pPr>
              <w:spacing w:line="360" w:lineRule="auto"/>
              <w:rPr>
                <w:szCs w:val="20"/>
              </w:rPr>
            </w:pPr>
            <w:r w:rsidRPr="003B2B91">
              <w:rPr>
                <w:szCs w:val="20"/>
              </w:rPr>
              <w:t>2019</w:t>
            </w:r>
          </w:p>
        </w:tc>
      </w:tr>
      <w:tr w:rsidR="00F679A2" w:rsidRPr="003B2B91" w14:paraId="1A5F0B1F" w14:textId="77777777" w:rsidTr="00B97309">
        <w:trPr>
          <w:trHeight w:val="261"/>
        </w:trPr>
        <w:tc>
          <w:tcPr>
            <w:tcW w:w="1134" w:type="dxa"/>
          </w:tcPr>
          <w:p w14:paraId="025AD20C" w14:textId="77777777" w:rsidR="00F679A2" w:rsidRPr="00726070" w:rsidRDefault="00F679A2" w:rsidP="00B97309">
            <w:pPr>
              <w:spacing w:line="360" w:lineRule="auto"/>
              <w:rPr>
                <w:sz w:val="18"/>
                <w:szCs w:val="20"/>
              </w:rPr>
            </w:pPr>
            <w:r w:rsidRPr="00726070">
              <w:rPr>
                <w:sz w:val="18"/>
                <w:szCs w:val="20"/>
              </w:rPr>
              <w:t>RKG</w:t>
            </w:r>
          </w:p>
        </w:tc>
        <w:tc>
          <w:tcPr>
            <w:tcW w:w="788" w:type="dxa"/>
          </w:tcPr>
          <w:p w14:paraId="7138BDD8" w14:textId="77777777" w:rsidR="00F679A2" w:rsidRPr="005718B1" w:rsidRDefault="00F679A2" w:rsidP="00B97309">
            <w:pPr>
              <w:spacing w:line="360" w:lineRule="auto"/>
              <w:rPr>
                <w:sz w:val="18"/>
                <w:szCs w:val="18"/>
              </w:rPr>
            </w:pPr>
            <w:r w:rsidRPr="005718B1">
              <w:rPr>
                <w:sz w:val="18"/>
                <w:szCs w:val="18"/>
              </w:rPr>
              <w:t>16.214</w:t>
            </w:r>
          </w:p>
        </w:tc>
        <w:tc>
          <w:tcPr>
            <w:tcW w:w="789" w:type="dxa"/>
          </w:tcPr>
          <w:p w14:paraId="28D7FD1C" w14:textId="77777777" w:rsidR="00F679A2" w:rsidRPr="005718B1" w:rsidRDefault="00F679A2" w:rsidP="00B97309">
            <w:pPr>
              <w:spacing w:line="360" w:lineRule="auto"/>
              <w:rPr>
                <w:sz w:val="18"/>
                <w:szCs w:val="18"/>
              </w:rPr>
            </w:pPr>
            <w:r w:rsidRPr="005718B1">
              <w:rPr>
                <w:sz w:val="18"/>
                <w:szCs w:val="18"/>
              </w:rPr>
              <w:t>16.082</w:t>
            </w:r>
          </w:p>
        </w:tc>
        <w:tc>
          <w:tcPr>
            <w:tcW w:w="789" w:type="dxa"/>
          </w:tcPr>
          <w:p w14:paraId="0115EC79" w14:textId="77777777" w:rsidR="00F679A2" w:rsidRPr="005718B1" w:rsidRDefault="00F679A2" w:rsidP="00B97309">
            <w:pPr>
              <w:spacing w:line="360" w:lineRule="auto"/>
              <w:rPr>
                <w:sz w:val="18"/>
                <w:szCs w:val="18"/>
              </w:rPr>
            </w:pPr>
            <w:r w:rsidRPr="005718B1">
              <w:rPr>
                <w:sz w:val="18"/>
                <w:szCs w:val="18"/>
              </w:rPr>
              <w:t>16.141</w:t>
            </w:r>
          </w:p>
        </w:tc>
        <w:tc>
          <w:tcPr>
            <w:tcW w:w="789" w:type="dxa"/>
          </w:tcPr>
          <w:p w14:paraId="411D9481" w14:textId="77777777" w:rsidR="00F679A2" w:rsidRPr="005718B1" w:rsidRDefault="00F679A2" w:rsidP="00B97309">
            <w:pPr>
              <w:spacing w:line="360" w:lineRule="auto"/>
              <w:rPr>
                <w:sz w:val="18"/>
                <w:szCs w:val="18"/>
              </w:rPr>
            </w:pPr>
            <w:r w:rsidRPr="005718B1">
              <w:rPr>
                <w:sz w:val="18"/>
                <w:szCs w:val="18"/>
              </w:rPr>
              <w:t>15.993</w:t>
            </w:r>
          </w:p>
        </w:tc>
        <w:tc>
          <w:tcPr>
            <w:tcW w:w="789" w:type="dxa"/>
          </w:tcPr>
          <w:p w14:paraId="26D6FBB2" w14:textId="77777777" w:rsidR="00F679A2" w:rsidRPr="005718B1" w:rsidRDefault="00F679A2" w:rsidP="00B97309">
            <w:pPr>
              <w:spacing w:line="360" w:lineRule="auto"/>
              <w:rPr>
                <w:sz w:val="18"/>
                <w:szCs w:val="18"/>
              </w:rPr>
            </w:pPr>
            <w:r w:rsidRPr="005718B1">
              <w:rPr>
                <w:sz w:val="18"/>
                <w:szCs w:val="18"/>
              </w:rPr>
              <w:t>15.773</w:t>
            </w:r>
          </w:p>
        </w:tc>
        <w:tc>
          <w:tcPr>
            <w:tcW w:w="789" w:type="dxa"/>
          </w:tcPr>
          <w:p w14:paraId="2082B102" w14:textId="77777777" w:rsidR="00F679A2" w:rsidRPr="005718B1" w:rsidRDefault="00F679A2" w:rsidP="00B97309">
            <w:pPr>
              <w:spacing w:line="360" w:lineRule="auto"/>
              <w:rPr>
                <w:sz w:val="18"/>
                <w:szCs w:val="18"/>
              </w:rPr>
            </w:pPr>
            <w:r w:rsidRPr="005718B1">
              <w:rPr>
                <w:sz w:val="18"/>
                <w:szCs w:val="18"/>
              </w:rPr>
              <w:t>15.694</w:t>
            </w:r>
          </w:p>
        </w:tc>
        <w:tc>
          <w:tcPr>
            <w:tcW w:w="789" w:type="dxa"/>
          </w:tcPr>
          <w:p w14:paraId="50CD6F4B" w14:textId="77777777" w:rsidR="00F679A2" w:rsidRPr="005718B1" w:rsidRDefault="00F679A2" w:rsidP="00B97309">
            <w:pPr>
              <w:spacing w:line="360" w:lineRule="auto"/>
              <w:rPr>
                <w:sz w:val="18"/>
                <w:szCs w:val="18"/>
              </w:rPr>
            </w:pPr>
            <w:r w:rsidRPr="005718B1">
              <w:rPr>
                <w:sz w:val="18"/>
                <w:szCs w:val="18"/>
              </w:rPr>
              <w:t>15.573</w:t>
            </w:r>
          </w:p>
        </w:tc>
        <w:tc>
          <w:tcPr>
            <w:tcW w:w="789" w:type="dxa"/>
          </w:tcPr>
          <w:p w14:paraId="74337AB7" w14:textId="77777777" w:rsidR="00F679A2" w:rsidRPr="005718B1" w:rsidRDefault="00F679A2" w:rsidP="00B97309">
            <w:pPr>
              <w:spacing w:line="360" w:lineRule="auto"/>
              <w:rPr>
                <w:sz w:val="18"/>
                <w:szCs w:val="18"/>
              </w:rPr>
            </w:pPr>
            <w:r w:rsidRPr="005718B1">
              <w:rPr>
                <w:sz w:val="18"/>
                <w:szCs w:val="18"/>
              </w:rPr>
              <w:t>15.555</w:t>
            </w:r>
          </w:p>
        </w:tc>
        <w:tc>
          <w:tcPr>
            <w:tcW w:w="789" w:type="dxa"/>
          </w:tcPr>
          <w:p w14:paraId="75F7C2F3" w14:textId="77777777" w:rsidR="00F679A2" w:rsidRPr="005718B1" w:rsidRDefault="00F679A2" w:rsidP="00B97309">
            <w:pPr>
              <w:spacing w:line="360" w:lineRule="auto"/>
              <w:rPr>
                <w:sz w:val="18"/>
                <w:szCs w:val="18"/>
              </w:rPr>
            </w:pPr>
            <w:r w:rsidRPr="005718B1">
              <w:rPr>
                <w:sz w:val="18"/>
                <w:szCs w:val="18"/>
              </w:rPr>
              <w:t>15.661</w:t>
            </w:r>
          </w:p>
        </w:tc>
        <w:tc>
          <w:tcPr>
            <w:tcW w:w="789" w:type="dxa"/>
          </w:tcPr>
          <w:p w14:paraId="3CFEE9E0" w14:textId="77777777" w:rsidR="00F679A2" w:rsidRPr="005718B1" w:rsidRDefault="00F679A2" w:rsidP="00B97309">
            <w:pPr>
              <w:spacing w:line="360" w:lineRule="auto"/>
              <w:rPr>
                <w:sz w:val="18"/>
                <w:szCs w:val="18"/>
              </w:rPr>
            </w:pPr>
            <w:r w:rsidRPr="005718B1">
              <w:rPr>
                <w:sz w:val="18"/>
                <w:szCs w:val="18"/>
              </w:rPr>
              <w:t>15.437</w:t>
            </w:r>
          </w:p>
        </w:tc>
      </w:tr>
      <w:tr w:rsidR="00F679A2" w:rsidRPr="003B2B91" w14:paraId="3885CEE1" w14:textId="77777777" w:rsidTr="00B97309">
        <w:trPr>
          <w:trHeight w:val="261"/>
        </w:trPr>
        <w:tc>
          <w:tcPr>
            <w:tcW w:w="1134" w:type="dxa"/>
          </w:tcPr>
          <w:p w14:paraId="4B3A6872" w14:textId="77777777" w:rsidR="00F679A2" w:rsidRPr="00726070" w:rsidRDefault="00F679A2" w:rsidP="00B97309">
            <w:pPr>
              <w:spacing w:line="360" w:lineRule="auto"/>
              <w:rPr>
                <w:sz w:val="18"/>
                <w:szCs w:val="20"/>
              </w:rPr>
            </w:pPr>
            <w:r w:rsidRPr="00726070">
              <w:rPr>
                <w:sz w:val="18"/>
                <w:szCs w:val="20"/>
              </w:rPr>
              <w:t>Raba kmetijskih zemljišč</w:t>
            </w:r>
          </w:p>
        </w:tc>
        <w:tc>
          <w:tcPr>
            <w:tcW w:w="788" w:type="dxa"/>
          </w:tcPr>
          <w:p w14:paraId="1AC5C27F" w14:textId="77777777" w:rsidR="00F679A2" w:rsidRPr="005718B1" w:rsidRDefault="00F679A2" w:rsidP="00B97309">
            <w:pPr>
              <w:spacing w:line="360" w:lineRule="auto"/>
              <w:rPr>
                <w:sz w:val="18"/>
                <w:szCs w:val="18"/>
              </w:rPr>
            </w:pPr>
            <w:r w:rsidRPr="005718B1">
              <w:rPr>
                <w:sz w:val="18"/>
                <w:szCs w:val="18"/>
              </w:rPr>
              <w:t>22.201</w:t>
            </w:r>
          </w:p>
        </w:tc>
        <w:tc>
          <w:tcPr>
            <w:tcW w:w="789" w:type="dxa"/>
          </w:tcPr>
          <w:p w14:paraId="2FC336E3" w14:textId="77777777" w:rsidR="00F679A2" w:rsidRPr="005718B1" w:rsidRDefault="00F679A2" w:rsidP="00B97309">
            <w:pPr>
              <w:spacing w:line="360" w:lineRule="auto"/>
              <w:rPr>
                <w:sz w:val="18"/>
                <w:szCs w:val="18"/>
              </w:rPr>
            </w:pPr>
            <w:r w:rsidRPr="005718B1">
              <w:rPr>
                <w:sz w:val="18"/>
                <w:szCs w:val="18"/>
              </w:rPr>
              <w:t>21.489</w:t>
            </w:r>
          </w:p>
        </w:tc>
        <w:tc>
          <w:tcPr>
            <w:tcW w:w="789" w:type="dxa"/>
          </w:tcPr>
          <w:p w14:paraId="6F1D7782" w14:textId="77777777" w:rsidR="00F679A2" w:rsidRPr="005718B1" w:rsidRDefault="00F679A2" w:rsidP="00B97309">
            <w:pPr>
              <w:spacing w:line="360" w:lineRule="auto"/>
              <w:rPr>
                <w:sz w:val="18"/>
                <w:szCs w:val="18"/>
              </w:rPr>
            </w:pPr>
            <w:r w:rsidRPr="005718B1">
              <w:rPr>
                <w:sz w:val="18"/>
                <w:szCs w:val="18"/>
              </w:rPr>
              <w:t>21.256</w:t>
            </w:r>
          </w:p>
        </w:tc>
        <w:tc>
          <w:tcPr>
            <w:tcW w:w="789" w:type="dxa"/>
          </w:tcPr>
          <w:p w14:paraId="587E9649" w14:textId="77777777" w:rsidR="00F679A2" w:rsidRPr="005718B1" w:rsidRDefault="00F679A2" w:rsidP="00B97309">
            <w:pPr>
              <w:spacing w:line="360" w:lineRule="auto"/>
              <w:rPr>
                <w:sz w:val="18"/>
                <w:szCs w:val="18"/>
              </w:rPr>
            </w:pPr>
            <w:r w:rsidRPr="005718B1">
              <w:rPr>
                <w:sz w:val="18"/>
                <w:szCs w:val="18"/>
              </w:rPr>
              <w:t>19.671</w:t>
            </w:r>
          </w:p>
        </w:tc>
        <w:tc>
          <w:tcPr>
            <w:tcW w:w="789" w:type="dxa"/>
          </w:tcPr>
          <w:p w14:paraId="0B584344" w14:textId="77777777" w:rsidR="00F679A2" w:rsidRPr="005718B1" w:rsidRDefault="00F679A2" w:rsidP="00B97309">
            <w:pPr>
              <w:spacing w:line="360" w:lineRule="auto"/>
              <w:rPr>
                <w:sz w:val="18"/>
                <w:szCs w:val="18"/>
              </w:rPr>
            </w:pPr>
            <w:r w:rsidRPr="005718B1">
              <w:rPr>
                <w:sz w:val="18"/>
                <w:szCs w:val="18"/>
              </w:rPr>
              <w:t>19.312</w:t>
            </w:r>
          </w:p>
        </w:tc>
        <w:tc>
          <w:tcPr>
            <w:tcW w:w="789" w:type="dxa"/>
          </w:tcPr>
          <w:p w14:paraId="54194BE3" w14:textId="77777777" w:rsidR="00F679A2" w:rsidRPr="005718B1" w:rsidRDefault="00F679A2" w:rsidP="00B97309">
            <w:pPr>
              <w:spacing w:line="360" w:lineRule="auto"/>
              <w:rPr>
                <w:sz w:val="18"/>
                <w:szCs w:val="18"/>
              </w:rPr>
            </w:pPr>
            <w:r w:rsidRPr="005718B1">
              <w:rPr>
                <w:sz w:val="18"/>
                <w:szCs w:val="18"/>
              </w:rPr>
              <w:t>19.140</w:t>
            </w:r>
          </w:p>
        </w:tc>
        <w:tc>
          <w:tcPr>
            <w:tcW w:w="789" w:type="dxa"/>
          </w:tcPr>
          <w:p w14:paraId="6981288A" w14:textId="77777777" w:rsidR="00F679A2" w:rsidRPr="005718B1" w:rsidRDefault="00F679A2" w:rsidP="00B97309">
            <w:pPr>
              <w:spacing w:line="360" w:lineRule="auto"/>
              <w:rPr>
                <w:sz w:val="18"/>
                <w:szCs w:val="18"/>
              </w:rPr>
            </w:pPr>
            <w:r w:rsidRPr="005718B1">
              <w:rPr>
                <w:sz w:val="18"/>
                <w:szCs w:val="18"/>
              </w:rPr>
              <w:t>18.976</w:t>
            </w:r>
          </w:p>
        </w:tc>
        <w:tc>
          <w:tcPr>
            <w:tcW w:w="789" w:type="dxa"/>
          </w:tcPr>
          <w:p w14:paraId="1AFD379D" w14:textId="77777777" w:rsidR="00F679A2" w:rsidRPr="005718B1" w:rsidRDefault="00F679A2" w:rsidP="00B97309">
            <w:pPr>
              <w:spacing w:line="360" w:lineRule="auto"/>
              <w:rPr>
                <w:sz w:val="18"/>
                <w:szCs w:val="18"/>
              </w:rPr>
            </w:pPr>
            <w:r w:rsidRPr="005718B1">
              <w:rPr>
                <w:sz w:val="18"/>
                <w:szCs w:val="18"/>
              </w:rPr>
              <w:t>18.696</w:t>
            </w:r>
          </w:p>
        </w:tc>
        <w:tc>
          <w:tcPr>
            <w:tcW w:w="789" w:type="dxa"/>
          </w:tcPr>
          <w:p w14:paraId="7F4B30B6" w14:textId="77777777" w:rsidR="00F679A2" w:rsidRPr="005718B1" w:rsidRDefault="00F679A2" w:rsidP="00B97309">
            <w:pPr>
              <w:spacing w:line="360" w:lineRule="auto"/>
              <w:rPr>
                <w:sz w:val="18"/>
                <w:szCs w:val="18"/>
              </w:rPr>
            </w:pPr>
            <w:r w:rsidRPr="005718B1">
              <w:rPr>
                <w:sz w:val="18"/>
                <w:szCs w:val="18"/>
              </w:rPr>
              <w:t>18.463</w:t>
            </w:r>
          </w:p>
        </w:tc>
        <w:tc>
          <w:tcPr>
            <w:tcW w:w="789" w:type="dxa"/>
          </w:tcPr>
          <w:p w14:paraId="0298BC8B" w14:textId="77777777" w:rsidR="00F679A2" w:rsidRPr="005718B1" w:rsidRDefault="00F679A2" w:rsidP="00B97309">
            <w:pPr>
              <w:spacing w:line="360" w:lineRule="auto"/>
              <w:rPr>
                <w:sz w:val="18"/>
                <w:szCs w:val="18"/>
              </w:rPr>
            </w:pPr>
            <w:r w:rsidRPr="005718B1">
              <w:rPr>
                <w:sz w:val="18"/>
                <w:szCs w:val="18"/>
              </w:rPr>
              <w:t>18.113</w:t>
            </w:r>
          </w:p>
        </w:tc>
      </w:tr>
    </w:tbl>
    <w:p w14:paraId="005E51EE" w14:textId="77777777" w:rsidR="00F679A2" w:rsidRPr="005718B1" w:rsidRDefault="00F679A2" w:rsidP="00F679A2">
      <w:pPr>
        <w:spacing w:line="360" w:lineRule="auto"/>
        <w:rPr>
          <w:color w:val="000000" w:themeColor="text1"/>
          <w:sz w:val="16"/>
          <w:szCs w:val="16"/>
        </w:rPr>
      </w:pPr>
      <w:r w:rsidRPr="005718B1">
        <w:rPr>
          <w:color w:val="000000" w:themeColor="text1"/>
          <w:sz w:val="16"/>
          <w:szCs w:val="16"/>
        </w:rPr>
        <w:t>Vir: RKG</w:t>
      </w:r>
      <w:r>
        <w:rPr>
          <w:color w:val="000000" w:themeColor="text1"/>
          <w:sz w:val="16"/>
          <w:szCs w:val="16"/>
        </w:rPr>
        <w:t>-2020</w:t>
      </w:r>
    </w:p>
    <w:p w14:paraId="3D79C6D1" w14:textId="53DFCD6A" w:rsidR="00F679A2" w:rsidRPr="005B2A49" w:rsidRDefault="00F679A2" w:rsidP="005B2A49">
      <w:pPr>
        <w:spacing w:after="120" w:line="260" w:lineRule="atLeast"/>
        <w:rPr>
          <w:rFonts w:eastAsia="Calibri"/>
          <w:szCs w:val="20"/>
        </w:rPr>
      </w:pPr>
      <w:r w:rsidRPr="005B2A49">
        <w:rPr>
          <w:rFonts w:eastAsia="Calibri"/>
          <w:szCs w:val="20"/>
        </w:rPr>
        <w:t xml:space="preserve">Letno se obnovi ali na novo zasadi v povprečju dobrih 300 ha vinogradov, kar ne zadostuje za enostavno reprodukcijo. Posledično se slabša starostna struktura vinogradov: 12 % vinogradov je starejših od 40 let, medtem ko je bilo pred 15 leti takih le 4 %. Največji delež mladih vinogradov (do 25 let) je na Primorskem (70 %), medtem ko jih je v Podravju in Posavju le dobra polovica. Situacija se </w:t>
      </w:r>
      <w:r w:rsidR="00C23AC1">
        <w:rPr>
          <w:rFonts w:eastAsia="Calibri"/>
          <w:szCs w:val="20"/>
        </w:rPr>
        <w:t xml:space="preserve">je </w:t>
      </w:r>
      <w:r w:rsidRPr="005B2A49">
        <w:rPr>
          <w:rFonts w:eastAsia="Calibri"/>
          <w:szCs w:val="20"/>
        </w:rPr>
        <w:t>nekoliko izboljš</w:t>
      </w:r>
      <w:r w:rsidR="00C23AC1">
        <w:rPr>
          <w:rFonts w:eastAsia="Calibri"/>
          <w:szCs w:val="20"/>
        </w:rPr>
        <w:t>ala</w:t>
      </w:r>
      <w:r w:rsidRPr="005B2A49">
        <w:rPr>
          <w:rFonts w:eastAsia="Calibri"/>
          <w:szCs w:val="20"/>
        </w:rPr>
        <w:t xml:space="preserve"> v zadnjih treh letih, ko je bilo na novo zasajenih po skoraj 400 ha vinogradov letno</w:t>
      </w:r>
      <w:r w:rsidR="00C23AC1">
        <w:rPr>
          <w:rFonts w:eastAsia="Calibri"/>
          <w:szCs w:val="20"/>
        </w:rPr>
        <w:t>, v letu 2020 in 2021 pa se je zaradi epidemije spet nekoliko poslabšala</w:t>
      </w:r>
      <w:r w:rsidRPr="005B2A49">
        <w:rPr>
          <w:rFonts w:eastAsia="Calibri"/>
          <w:szCs w:val="20"/>
        </w:rPr>
        <w:t>.</w:t>
      </w:r>
    </w:p>
    <w:p w14:paraId="03CD11FA" w14:textId="77777777" w:rsidR="00F679A2" w:rsidRPr="005B2A49" w:rsidRDefault="00F679A2" w:rsidP="005B2A49">
      <w:pPr>
        <w:spacing w:after="120" w:line="260" w:lineRule="atLeast"/>
        <w:rPr>
          <w:rFonts w:eastAsia="Calibri"/>
          <w:szCs w:val="20"/>
        </w:rPr>
      </w:pPr>
      <w:r w:rsidRPr="005B2A49">
        <w:rPr>
          <w:rFonts w:eastAsia="Calibri"/>
          <w:szCs w:val="20"/>
        </w:rPr>
        <w:t>Strmo narašča vključenost kmetijskih gospodarstev v ekološko pridelavo grozdja - v letu 2019 je bilo vključenih že 412 kmetijskih gospodarstev s 704 ha vinogradov, po drugi strani kot posledica ukinitve podpore za integrirano pridelavo upada vključenost v integrirano pridelavo grozdja.</w:t>
      </w:r>
    </w:p>
    <w:p w14:paraId="6D3761B5" w14:textId="77777777" w:rsidR="00F679A2" w:rsidRPr="005B2A49" w:rsidRDefault="00F679A2" w:rsidP="005B2A49">
      <w:pPr>
        <w:spacing w:after="120" w:line="260" w:lineRule="atLeast"/>
        <w:rPr>
          <w:rFonts w:eastAsia="Calibri"/>
          <w:szCs w:val="20"/>
        </w:rPr>
      </w:pPr>
      <w:r w:rsidRPr="005B2A49">
        <w:rPr>
          <w:rFonts w:eastAsia="Calibri"/>
          <w:szCs w:val="20"/>
        </w:rPr>
        <w:t>Letno se pridela med 63 in 89 mio litri vina, pri čemer ga je cca. 20 % za samooskrbo – registrirane pridelave je tako 45-55 mio litrov letno. Glavnino pridelka predstavljajo kakovostna vina z zaščitenim geografskim poreklom (70 %). Večina grozdja se pridela na kmetijah (80 %), večje kleti – podjetja odkupijo znaten delež in pridelajo od tretjine do polovice letne količine vina.</w:t>
      </w:r>
    </w:p>
    <w:p w14:paraId="00AC5E4F" w14:textId="010A78C6" w:rsidR="00F679A2" w:rsidRDefault="00F679A2" w:rsidP="00F679A2">
      <w:pPr>
        <w:pStyle w:val="SCPreglednica"/>
      </w:pPr>
      <w:bookmarkStart w:id="3152" w:name="_Toc86822657"/>
      <w:r>
        <w:t xml:space="preserve">Tabela </w:t>
      </w:r>
      <w:r>
        <w:rPr>
          <w:noProof/>
        </w:rPr>
        <w:fldChar w:fldCharType="begin"/>
      </w:r>
      <w:r>
        <w:rPr>
          <w:noProof/>
        </w:rPr>
        <w:instrText xml:space="preserve"> SEQ Tabela \* ARABIC </w:instrText>
      </w:r>
      <w:r>
        <w:rPr>
          <w:noProof/>
        </w:rPr>
        <w:fldChar w:fldCharType="separate"/>
      </w:r>
      <w:r w:rsidR="0088117A">
        <w:rPr>
          <w:noProof/>
        </w:rPr>
        <w:t>19</w:t>
      </w:r>
      <w:r>
        <w:rPr>
          <w:noProof/>
        </w:rPr>
        <w:fldChar w:fldCharType="end"/>
      </w:r>
      <w:r>
        <w:t xml:space="preserve">: </w:t>
      </w:r>
      <w:r w:rsidRPr="00D874C5">
        <w:t xml:space="preserve">Količina pridelka </w:t>
      </w:r>
      <w:r w:rsidR="00C23AC1">
        <w:t xml:space="preserve">vina </w:t>
      </w:r>
      <w:r w:rsidRPr="00D874C5">
        <w:t>po letih, prijavljena v RPGV (v 1000 litrih)</w:t>
      </w:r>
      <w:bookmarkEnd w:id="315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21"/>
        <w:gridCol w:w="820"/>
        <w:gridCol w:w="821"/>
        <w:gridCol w:w="820"/>
        <w:gridCol w:w="821"/>
        <w:gridCol w:w="820"/>
        <w:gridCol w:w="820"/>
        <w:gridCol w:w="821"/>
        <w:gridCol w:w="821"/>
        <w:gridCol w:w="870"/>
      </w:tblGrid>
      <w:tr w:rsidR="00C23AC1" w:rsidRPr="003B2B91" w14:paraId="46FFBC5E" w14:textId="77777777" w:rsidTr="00C23AC1">
        <w:trPr>
          <w:trHeight w:val="261"/>
        </w:trPr>
        <w:tc>
          <w:tcPr>
            <w:tcW w:w="817" w:type="dxa"/>
            <w:shd w:val="clear" w:color="auto" w:fill="C6D9F1" w:themeFill="text2" w:themeFillTint="33"/>
          </w:tcPr>
          <w:p w14:paraId="6FAAB26C" w14:textId="77777777" w:rsidR="00C23AC1" w:rsidRPr="003B2B91" w:rsidRDefault="00C23AC1" w:rsidP="00B97309">
            <w:pPr>
              <w:spacing w:line="360" w:lineRule="auto"/>
              <w:rPr>
                <w:szCs w:val="20"/>
              </w:rPr>
            </w:pPr>
          </w:p>
        </w:tc>
        <w:tc>
          <w:tcPr>
            <w:tcW w:w="821" w:type="dxa"/>
            <w:shd w:val="clear" w:color="auto" w:fill="C6D9F1" w:themeFill="text2" w:themeFillTint="33"/>
          </w:tcPr>
          <w:p w14:paraId="45BD8D77" w14:textId="77777777" w:rsidR="00C23AC1" w:rsidRPr="003B2B91" w:rsidRDefault="00C23AC1" w:rsidP="00B97309">
            <w:pPr>
              <w:spacing w:line="360" w:lineRule="auto"/>
              <w:rPr>
                <w:szCs w:val="20"/>
              </w:rPr>
            </w:pPr>
            <w:r w:rsidRPr="003B2B91">
              <w:rPr>
                <w:szCs w:val="20"/>
              </w:rPr>
              <w:t>2010</w:t>
            </w:r>
          </w:p>
        </w:tc>
        <w:tc>
          <w:tcPr>
            <w:tcW w:w="820" w:type="dxa"/>
            <w:shd w:val="clear" w:color="auto" w:fill="C6D9F1" w:themeFill="text2" w:themeFillTint="33"/>
          </w:tcPr>
          <w:p w14:paraId="13E8E6A7" w14:textId="77777777" w:rsidR="00C23AC1" w:rsidRPr="003B2B91" w:rsidRDefault="00C23AC1" w:rsidP="00B97309">
            <w:pPr>
              <w:spacing w:line="360" w:lineRule="auto"/>
              <w:rPr>
                <w:szCs w:val="20"/>
              </w:rPr>
            </w:pPr>
            <w:r w:rsidRPr="003B2B91">
              <w:rPr>
                <w:szCs w:val="20"/>
              </w:rPr>
              <w:t>2011</w:t>
            </w:r>
          </w:p>
        </w:tc>
        <w:tc>
          <w:tcPr>
            <w:tcW w:w="821" w:type="dxa"/>
            <w:shd w:val="clear" w:color="auto" w:fill="C6D9F1" w:themeFill="text2" w:themeFillTint="33"/>
          </w:tcPr>
          <w:p w14:paraId="68E545AB" w14:textId="77777777" w:rsidR="00C23AC1" w:rsidRPr="003B2B91" w:rsidRDefault="00C23AC1" w:rsidP="00B97309">
            <w:pPr>
              <w:spacing w:line="360" w:lineRule="auto"/>
              <w:rPr>
                <w:szCs w:val="20"/>
              </w:rPr>
            </w:pPr>
            <w:r w:rsidRPr="003B2B91">
              <w:rPr>
                <w:szCs w:val="20"/>
              </w:rPr>
              <w:t>2012</w:t>
            </w:r>
          </w:p>
        </w:tc>
        <w:tc>
          <w:tcPr>
            <w:tcW w:w="820" w:type="dxa"/>
            <w:shd w:val="clear" w:color="auto" w:fill="C6D9F1" w:themeFill="text2" w:themeFillTint="33"/>
          </w:tcPr>
          <w:p w14:paraId="3EAEA962" w14:textId="77777777" w:rsidR="00C23AC1" w:rsidRPr="003B2B91" w:rsidRDefault="00C23AC1" w:rsidP="00B97309">
            <w:pPr>
              <w:spacing w:line="360" w:lineRule="auto"/>
              <w:rPr>
                <w:szCs w:val="20"/>
              </w:rPr>
            </w:pPr>
            <w:r w:rsidRPr="003B2B91">
              <w:rPr>
                <w:szCs w:val="20"/>
              </w:rPr>
              <w:t>2013</w:t>
            </w:r>
          </w:p>
        </w:tc>
        <w:tc>
          <w:tcPr>
            <w:tcW w:w="821" w:type="dxa"/>
            <w:shd w:val="clear" w:color="auto" w:fill="C6D9F1" w:themeFill="text2" w:themeFillTint="33"/>
          </w:tcPr>
          <w:p w14:paraId="4DA4DC88" w14:textId="77777777" w:rsidR="00C23AC1" w:rsidRPr="003B2B91" w:rsidRDefault="00C23AC1" w:rsidP="00B97309">
            <w:pPr>
              <w:spacing w:line="360" w:lineRule="auto"/>
              <w:rPr>
                <w:szCs w:val="20"/>
              </w:rPr>
            </w:pPr>
            <w:r w:rsidRPr="003B2B91">
              <w:rPr>
                <w:szCs w:val="20"/>
              </w:rPr>
              <w:t>2014</w:t>
            </w:r>
          </w:p>
        </w:tc>
        <w:tc>
          <w:tcPr>
            <w:tcW w:w="820" w:type="dxa"/>
            <w:shd w:val="clear" w:color="auto" w:fill="C6D9F1" w:themeFill="text2" w:themeFillTint="33"/>
          </w:tcPr>
          <w:p w14:paraId="48AD35A2" w14:textId="77777777" w:rsidR="00C23AC1" w:rsidRPr="003B2B91" w:rsidRDefault="00C23AC1" w:rsidP="00B97309">
            <w:pPr>
              <w:spacing w:line="360" w:lineRule="auto"/>
              <w:rPr>
                <w:szCs w:val="20"/>
              </w:rPr>
            </w:pPr>
            <w:r w:rsidRPr="003B2B91">
              <w:rPr>
                <w:szCs w:val="20"/>
              </w:rPr>
              <w:t>2015</w:t>
            </w:r>
          </w:p>
        </w:tc>
        <w:tc>
          <w:tcPr>
            <w:tcW w:w="820" w:type="dxa"/>
            <w:shd w:val="clear" w:color="auto" w:fill="C6D9F1" w:themeFill="text2" w:themeFillTint="33"/>
          </w:tcPr>
          <w:p w14:paraId="37EF54BB" w14:textId="77777777" w:rsidR="00C23AC1" w:rsidRPr="003B2B91" w:rsidRDefault="00C23AC1" w:rsidP="00B97309">
            <w:pPr>
              <w:spacing w:line="360" w:lineRule="auto"/>
              <w:rPr>
                <w:szCs w:val="20"/>
              </w:rPr>
            </w:pPr>
            <w:r w:rsidRPr="003B2B91">
              <w:rPr>
                <w:szCs w:val="20"/>
              </w:rPr>
              <w:t>2016</w:t>
            </w:r>
          </w:p>
        </w:tc>
        <w:tc>
          <w:tcPr>
            <w:tcW w:w="821" w:type="dxa"/>
            <w:shd w:val="clear" w:color="auto" w:fill="C6D9F1" w:themeFill="text2" w:themeFillTint="33"/>
          </w:tcPr>
          <w:p w14:paraId="73924B58" w14:textId="77777777" w:rsidR="00C23AC1" w:rsidRPr="003B2B91" w:rsidRDefault="00C23AC1" w:rsidP="00B97309">
            <w:pPr>
              <w:spacing w:line="360" w:lineRule="auto"/>
              <w:rPr>
                <w:szCs w:val="20"/>
              </w:rPr>
            </w:pPr>
            <w:r w:rsidRPr="003B2B91">
              <w:rPr>
                <w:szCs w:val="20"/>
              </w:rPr>
              <w:t>2017</w:t>
            </w:r>
          </w:p>
        </w:tc>
        <w:tc>
          <w:tcPr>
            <w:tcW w:w="821" w:type="dxa"/>
            <w:shd w:val="clear" w:color="auto" w:fill="C6D9F1" w:themeFill="text2" w:themeFillTint="33"/>
          </w:tcPr>
          <w:p w14:paraId="4E615EC3" w14:textId="77777777" w:rsidR="00C23AC1" w:rsidRPr="003B2B91" w:rsidRDefault="00C23AC1" w:rsidP="00B97309">
            <w:pPr>
              <w:spacing w:line="360" w:lineRule="auto"/>
              <w:rPr>
                <w:szCs w:val="20"/>
              </w:rPr>
            </w:pPr>
            <w:r w:rsidRPr="003B2B91">
              <w:rPr>
                <w:szCs w:val="20"/>
              </w:rPr>
              <w:t>2018</w:t>
            </w:r>
          </w:p>
        </w:tc>
        <w:tc>
          <w:tcPr>
            <w:tcW w:w="870" w:type="dxa"/>
            <w:shd w:val="clear" w:color="auto" w:fill="C6D9F1" w:themeFill="text2" w:themeFillTint="33"/>
          </w:tcPr>
          <w:p w14:paraId="087D38FB" w14:textId="77777777" w:rsidR="00C23AC1" w:rsidRPr="003B2B91" w:rsidRDefault="00C23AC1" w:rsidP="00B97309">
            <w:pPr>
              <w:spacing w:line="360" w:lineRule="auto"/>
              <w:rPr>
                <w:szCs w:val="20"/>
              </w:rPr>
            </w:pPr>
            <w:r w:rsidRPr="003B2B91">
              <w:rPr>
                <w:szCs w:val="20"/>
              </w:rPr>
              <w:t>2019</w:t>
            </w:r>
          </w:p>
        </w:tc>
      </w:tr>
      <w:tr w:rsidR="00C23AC1" w:rsidRPr="003B2B91" w14:paraId="6E4E5FF9" w14:textId="77777777" w:rsidTr="00C23AC1">
        <w:trPr>
          <w:trHeight w:val="261"/>
        </w:trPr>
        <w:tc>
          <w:tcPr>
            <w:tcW w:w="817" w:type="dxa"/>
          </w:tcPr>
          <w:p w14:paraId="5BEA2B0D" w14:textId="77777777" w:rsidR="00C23AC1" w:rsidRPr="005718B1" w:rsidRDefault="00C23AC1" w:rsidP="00B97309">
            <w:pPr>
              <w:spacing w:line="360" w:lineRule="auto"/>
              <w:rPr>
                <w:sz w:val="16"/>
                <w:szCs w:val="16"/>
              </w:rPr>
            </w:pPr>
            <w:r w:rsidRPr="005718B1">
              <w:rPr>
                <w:sz w:val="16"/>
                <w:szCs w:val="16"/>
              </w:rPr>
              <w:t>Pridelek</w:t>
            </w:r>
          </w:p>
        </w:tc>
        <w:tc>
          <w:tcPr>
            <w:tcW w:w="821" w:type="dxa"/>
          </w:tcPr>
          <w:p w14:paraId="47A0F43A" w14:textId="77777777" w:rsidR="00C23AC1" w:rsidRPr="005718B1" w:rsidRDefault="00C23AC1" w:rsidP="00B97309">
            <w:pPr>
              <w:spacing w:line="360" w:lineRule="auto"/>
              <w:rPr>
                <w:sz w:val="18"/>
                <w:szCs w:val="18"/>
              </w:rPr>
            </w:pPr>
            <w:r w:rsidRPr="005718B1">
              <w:rPr>
                <w:sz w:val="18"/>
                <w:szCs w:val="18"/>
              </w:rPr>
              <w:t>49.379</w:t>
            </w:r>
          </w:p>
        </w:tc>
        <w:tc>
          <w:tcPr>
            <w:tcW w:w="820" w:type="dxa"/>
          </w:tcPr>
          <w:p w14:paraId="04C641B8" w14:textId="77777777" w:rsidR="00C23AC1" w:rsidRPr="005718B1" w:rsidRDefault="00C23AC1" w:rsidP="00B97309">
            <w:pPr>
              <w:spacing w:line="360" w:lineRule="auto"/>
              <w:rPr>
                <w:sz w:val="18"/>
                <w:szCs w:val="18"/>
              </w:rPr>
            </w:pPr>
            <w:r w:rsidRPr="005718B1">
              <w:rPr>
                <w:sz w:val="18"/>
                <w:szCs w:val="18"/>
              </w:rPr>
              <w:t>57.582</w:t>
            </w:r>
          </w:p>
        </w:tc>
        <w:tc>
          <w:tcPr>
            <w:tcW w:w="821" w:type="dxa"/>
          </w:tcPr>
          <w:p w14:paraId="44D3F1DB" w14:textId="77777777" w:rsidR="00C23AC1" w:rsidRPr="005718B1" w:rsidRDefault="00C23AC1" w:rsidP="00B97309">
            <w:pPr>
              <w:spacing w:line="360" w:lineRule="auto"/>
              <w:rPr>
                <w:sz w:val="18"/>
                <w:szCs w:val="18"/>
              </w:rPr>
            </w:pPr>
            <w:r w:rsidRPr="005718B1">
              <w:rPr>
                <w:sz w:val="18"/>
                <w:szCs w:val="18"/>
              </w:rPr>
              <w:t>44.810</w:t>
            </w:r>
          </w:p>
        </w:tc>
        <w:tc>
          <w:tcPr>
            <w:tcW w:w="820" w:type="dxa"/>
          </w:tcPr>
          <w:p w14:paraId="11F23960" w14:textId="77777777" w:rsidR="00C23AC1" w:rsidRPr="005718B1" w:rsidRDefault="00C23AC1" w:rsidP="00B97309">
            <w:pPr>
              <w:spacing w:line="360" w:lineRule="auto"/>
              <w:rPr>
                <w:sz w:val="18"/>
                <w:szCs w:val="18"/>
              </w:rPr>
            </w:pPr>
            <w:r w:rsidRPr="005718B1">
              <w:rPr>
                <w:sz w:val="18"/>
                <w:szCs w:val="18"/>
              </w:rPr>
              <w:t>54.243</w:t>
            </w:r>
          </w:p>
        </w:tc>
        <w:tc>
          <w:tcPr>
            <w:tcW w:w="821" w:type="dxa"/>
          </w:tcPr>
          <w:p w14:paraId="148FD10C" w14:textId="77777777" w:rsidR="00C23AC1" w:rsidRPr="005718B1" w:rsidRDefault="00C23AC1" w:rsidP="00B97309">
            <w:pPr>
              <w:spacing w:line="360" w:lineRule="auto"/>
              <w:rPr>
                <w:sz w:val="18"/>
                <w:szCs w:val="18"/>
              </w:rPr>
            </w:pPr>
            <w:r w:rsidRPr="005718B1">
              <w:rPr>
                <w:sz w:val="18"/>
                <w:szCs w:val="18"/>
              </w:rPr>
              <w:t>47.827</w:t>
            </w:r>
          </w:p>
        </w:tc>
        <w:tc>
          <w:tcPr>
            <w:tcW w:w="820" w:type="dxa"/>
          </w:tcPr>
          <w:p w14:paraId="6C538389" w14:textId="77777777" w:rsidR="00C23AC1" w:rsidRPr="005718B1" w:rsidRDefault="00C23AC1" w:rsidP="00B97309">
            <w:pPr>
              <w:spacing w:line="360" w:lineRule="auto"/>
              <w:rPr>
                <w:sz w:val="18"/>
                <w:szCs w:val="18"/>
              </w:rPr>
            </w:pPr>
            <w:r w:rsidRPr="005718B1">
              <w:rPr>
                <w:sz w:val="18"/>
                <w:szCs w:val="18"/>
              </w:rPr>
              <w:t>62.285</w:t>
            </w:r>
          </w:p>
        </w:tc>
        <w:tc>
          <w:tcPr>
            <w:tcW w:w="820" w:type="dxa"/>
          </w:tcPr>
          <w:p w14:paraId="5AEA183A" w14:textId="77777777" w:rsidR="00C23AC1" w:rsidRPr="005718B1" w:rsidRDefault="00C23AC1" w:rsidP="00B97309">
            <w:pPr>
              <w:spacing w:line="360" w:lineRule="auto"/>
              <w:rPr>
                <w:sz w:val="18"/>
                <w:szCs w:val="18"/>
              </w:rPr>
            </w:pPr>
            <w:r w:rsidRPr="005718B1">
              <w:rPr>
                <w:sz w:val="18"/>
                <w:szCs w:val="18"/>
              </w:rPr>
              <w:t>52.461</w:t>
            </w:r>
          </w:p>
        </w:tc>
        <w:tc>
          <w:tcPr>
            <w:tcW w:w="821" w:type="dxa"/>
          </w:tcPr>
          <w:p w14:paraId="61B053D7" w14:textId="77777777" w:rsidR="00C23AC1" w:rsidRPr="005718B1" w:rsidRDefault="00C23AC1" w:rsidP="00B97309">
            <w:pPr>
              <w:spacing w:line="360" w:lineRule="auto"/>
              <w:rPr>
                <w:sz w:val="18"/>
                <w:szCs w:val="18"/>
              </w:rPr>
            </w:pPr>
            <w:r w:rsidRPr="005718B1">
              <w:rPr>
                <w:sz w:val="18"/>
                <w:szCs w:val="18"/>
              </w:rPr>
              <w:t>53.565</w:t>
            </w:r>
          </w:p>
        </w:tc>
        <w:tc>
          <w:tcPr>
            <w:tcW w:w="821" w:type="dxa"/>
          </w:tcPr>
          <w:p w14:paraId="448D5917" w14:textId="77777777" w:rsidR="00C23AC1" w:rsidRPr="005718B1" w:rsidRDefault="00C23AC1" w:rsidP="00B97309">
            <w:pPr>
              <w:spacing w:line="360" w:lineRule="auto"/>
              <w:rPr>
                <w:sz w:val="18"/>
                <w:szCs w:val="18"/>
              </w:rPr>
            </w:pPr>
            <w:r w:rsidRPr="005718B1">
              <w:rPr>
                <w:sz w:val="18"/>
                <w:szCs w:val="18"/>
              </w:rPr>
              <w:t>68.132</w:t>
            </w:r>
          </w:p>
        </w:tc>
        <w:tc>
          <w:tcPr>
            <w:tcW w:w="870" w:type="dxa"/>
          </w:tcPr>
          <w:p w14:paraId="7D9F961A" w14:textId="77777777" w:rsidR="00C23AC1" w:rsidRPr="005718B1" w:rsidRDefault="00C23AC1" w:rsidP="00B97309">
            <w:pPr>
              <w:spacing w:line="360" w:lineRule="auto"/>
              <w:rPr>
                <w:sz w:val="18"/>
                <w:szCs w:val="18"/>
              </w:rPr>
            </w:pPr>
            <w:r w:rsidRPr="005718B1">
              <w:rPr>
                <w:sz w:val="18"/>
                <w:szCs w:val="18"/>
              </w:rPr>
              <w:t>56.199</w:t>
            </w:r>
          </w:p>
        </w:tc>
      </w:tr>
    </w:tbl>
    <w:p w14:paraId="4FC4CF76" w14:textId="77777777" w:rsidR="00F679A2" w:rsidRPr="003B2B91" w:rsidRDefault="00F679A2" w:rsidP="00F679A2">
      <w:pPr>
        <w:spacing w:line="360" w:lineRule="auto"/>
        <w:rPr>
          <w:szCs w:val="20"/>
        </w:rPr>
      </w:pPr>
      <w:r w:rsidRPr="005718B1">
        <w:rPr>
          <w:sz w:val="16"/>
          <w:szCs w:val="16"/>
        </w:rPr>
        <w:t>Vir: RPGV</w:t>
      </w:r>
      <w:r>
        <w:rPr>
          <w:sz w:val="16"/>
          <w:szCs w:val="16"/>
        </w:rPr>
        <w:t>-2020</w:t>
      </w:r>
    </w:p>
    <w:p w14:paraId="4C57D362"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Zaloge vina so odvisne predvsem od pretekle letine in se gibljejo med 30 in 40 mio litri letno, zaradi obilne letine 2018 so v letu 2019 poskočile na 48 mio litrov. </w:t>
      </w:r>
    </w:p>
    <w:p w14:paraId="6055378F" w14:textId="49215810" w:rsidR="00F679A2" w:rsidRPr="005B2A49" w:rsidRDefault="00F679A2" w:rsidP="005B2A49">
      <w:pPr>
        <w:spacing w:after="120" w:line="260" w:lineRule="atLeast"/>
        <w:rPr>
          <w:rFonts w:eastAsia="Calibri"/>
          <w:szCs w:val="20"/>
        </w:rPr>
      </w:pPr>
      <w:r w:rsidRPr="005B2A49">
        <w:rPr>
          <w:rFonts w:eastAsia="Calibri"/>
          <w:szCs w:val="20"/>
        </w:rPr>
        <w:t xml:space="preserve">Količinsko je bilanca zunanje trgovine z vinom od leta 2006 negativna, vrednostno pa dokaj izenačena. Izvoz vina se je leta 2019 količinsko sicer zmanjšal za dobrih 20 % na 5,33 mio litrov, vrednostno pa povečal za 4 % na 16 mio evrov in je bil za 18 % nad povprečjem zadnjih petih let. Uvoz vina, ki se je v letih 2013–2015 intenzivno povečeval, se zadnja štiri leta zmanjšuje. Leta 2019 je bilo uvoženih 9,75 mio litrov vina, kar je 23 % manj vina kot v povprečju zadnjih petih let. V uvozu vina prevladuje vino brez označbe porekla in geografske označbe, ki ga glede na strukturo pridelave in potrošnje primanjkuje, izvažamo </w:t>
      </w:r>
      <w:r w:rsidR="003F5847">
        <w:rPr>
          <w:rFonts w:eastAsia="Calibri"/>
          <w:szCs w:val="20"/>
        </w:rPr>
        <w:t>predvsem vino z označbo porekla, ki ga tudi največ pridelamo</w:t>
      </w:r>
      <w:r w:rsidRPr="005B2A49">
        <w:rPr>
          <w:rFonts w:eastAsia="Calibri"/>
          <w:szCs w:val="20"/>
        </w:rPr>
        <w:t>. Glavni trgi za slovensko vino so: Nemčija, ZDA, Hrvaška, Nizozemska, Bosna in Hercegovina ter v zadnjih letih Češka. Glavne države izvoznice na naš trg so: Makedonija, Italija, Nemčija in Madžarska. Po podatkih SURS znaša poraba vina v Sloveniji 37,8 litra/leto na prebivalca (2018/2019).</w:t>
      </w:r>
    </w:p>
    <w:p w14:paraId="40414470" w14:textId="77777777" w:rsidR="00F679A2" w:rsidRPr="005B2A49" w:rsidRDefault="00F679A2" w:rsidP="005B2A49">
      <w:pPr>
        <w:spacing w:after="120" w:line="260" w:lineRule="atLeast"/>
        <w:rPr>
          <w:rFonts w:eastAsia="Calibri"/>
          <w:szCs w:val="20"/>
        </w:rPr>
      </w:pPr>
      <w:r w:rsidRPr="005B2A49">
        <w:rPr>
          <w:rFonts w:eastAsia="Calibri"/>
          <w:szCs w:val="20"/>
        </w:rPr>
        <w:t>Po letu 2007 predstavljata grozdje in vino skupaj od 9,2 % do 14,6 % vrednosti kmetijske proizvodnje, kar je največ med rastlinskimi pridelki, v vrednosti rastlinske pridelave pa je ta delež od 17,5 % do 25,2 %. V letu 2019 je grozdje k skupni vrednosti kmetijske proizvodnje prispevalo 1,5 %, vino pa 12,6 %, kar je pri grozdju in vinu na ravni leta 2018 in nad povprečjem zadnjega petletnega obdobja (2014–2018).</w:t>
      </w:r>
    </w:p>
    <w:p w14:paraId="22EB4E36" w14:textId="77777777" w:rsidR="00F679A2" w:rsidRPr="005B2A49" w:rsidRDefault="00F679A2" w:rsidP="005B2A49">
      <w:pPr>
        <w:spacing w:after="120" w:line="260" w:lineRule="atLeast"/>
        <w:rPr>
          <w:rFonts w:eastAsia="Calibri"/>
          <w:szCs w:val="20"/>
        </w:rPr>
      </w:pPr>
      <w:r w:rsidRPr="005B2A49">
        <w:rPr>
          <w:rFonts w:eastAsia="Calibri"/>
          <w:szCs w:val="20"/>
        </w:rPr>
        <w:t>Odkupne cene grozdja so v porastu in so se v letu 2019 ponovno nekoliko zvišale po znižanju v letu prej.</w:t>
      </w:r>
    </w:p>
    <w:p w14:paraId="38243912" w14:textId="4049FA45" w:rsidR="00F679A2" w:rsidRDefault="00F679A2" w:rsidP="00F679A2">
      <w:pPr>
        <w:pStyle w:val="SCPreglednica"/>
      </w:pPr>
      <w:bookmarkStart w:id="3153" w:name="_Toc86822658"/>
      <w:r>
        <w:t xml:space="preserve">Tabela </w:t>
      </w:r>
      <w:r>
        <w:rPr>
          <w:noProof/>
        </w:rPr>
        <w:fldChar w:fldCharType="begin"/>
      </w:r>
      <w:r>
        <w:rPr>
          <w:noProof/>
        </w:rPr>
        <w:instrText xml:space="preserve"> SEQ Tabela \* ARABIC </w:instrText>
      </w:r>
      <w:r>
        <w:rPr>
          <w:noProof/>
        </w:rPr>
        <w:fldChar w:fldCharType="separate"/>
      </w:r>
      <w:r w:rsidR="0088117A">
        <w:rPr>
          <w:noProof/>
        </w:rPr>
        <w:t>20</w:t>
      </w:r>
      <w:r>
        <w:rPr>
          <w:noProof/>
        </w:rPr>
        <w:fldChar w:fldCharType="end"/>
      </w:r>
      <w:r>
        <w:t xml:space="preserve">: </w:t>
      </w:r>
      <w:r w:rsidRPr="00D874C5">
        <w:t>Povprečna cena odkupljenega grozdja</w:t>
      </w:r>
      <w:bookmarkEnd w:id="3153"/>
    </w:p>
    <w:tbl>
      <w:tblPr>
        <w:tblW w:w="80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91"/>
        <w:gridCol w:w="630"/>
        <w:gridCol w:w="630"/>
        <w:gridCol w:w="630"/>
        <w:gridCol w:w="630"/>
        <w:gridCol w:w="630"/>
        <w:gridCol w:w="630"/>
        <w:gridCol w:w="630"/>
        <w:gridCol w:w="630"/>
        <w:gridCol w:w="630"/>
        <w:gridCol w:w="630"/>
      </w:tblGrid>
      <w:tr w:rsidR="00F679A2" w:rsidRPr="003B2B91" w14:paraId="14542101" w14:textId="77777777" w:rsidTr="00B97309">
        <w:trPr>
          <w:trHeight w:val="300"/>
        </w:trPr>
        <w:tc>
          <w:tcPr>
            <w:tcW w:w="2191" w:type="dxa"/>
            <w:shd w:val="clear" w:color="auto" w:fill="C6D9F1" w:themeFill="text2" w:themeFillTint="33"/>
            <w:noWrap/>
            <w:vAlign w:val="bottom"/>
          </w:tcPr>
          <w:p w14:paraId="60AE3E01" w14:textId="77777777" w:rsidR="00F679A2" w:rsidRPr="003B2B91" w:rsidRDefault="00F679A2" w:rsidP="00B97309">
            <w:pPr>
              <w:spacing w:line="360" w:lineRule="auto"/>
              <w:jc w:val="left"/>
              <w:rPr>
                <w:bCs/>
                <w:szCs w:val="20"/>
              </w:rPr>
            </w:pPr>
            <w:r w:rsidRPr="003B2B91">
              <w:rPr>
                <w:bCs/>
                <w:szCs w:val="20"/>
              </w:rPr>
              <w:t>Povprečna cena (EUR)</w:t>
            </w:r>
          </w:p>
        </w:tc>
        <w:tc>
          <w:tcPr>
            <w:tcW w:w="587" w:type="dxa"/>
            <w:shd w:val="clear" w:color="auto" w:fill="C6D9F1" w:themeFill="text2" w:themeFillTint="33"/>
            <w:vAlign w:val="center"/>
          </w:tcPr>
          <w:p w14:paraId="178D9DBC" w14:textId="77777777" w:rsidR="00F679A2" w:rsidRPr="003B2B91" w:rsidRDefault="00F679A2" w:rsidP="00B97309">
            <w:pPr>
              <w:spacing w:line="360" w:lineRule="auto"/>
              <w:jc w:val="right"/>
              <w:rPr>
                <w:bCs/>
                <w:szCs w:val="20"/>
              </w:rPr>
            </w:pPr>
            <w:r w:rsidRPr="003B2B91">
              <w:rPr>
                <w:bCs/>
                <w:szCs w:val="20"/>
              </w:rPr>
              <w:t>2010</w:t>
            </w:r>
          </w:p>
        </w:tc>
        <w:tc>
          <w:tcPr>
            <w:tcW w:w="587" w:type="dxa"/>
            <w:shd w:val="clear" w:color="auto" w:fill="C6D9F1" w:themeFill="text2" w:themeFillTint="33"/>
            <w:vAlign w:val="center"/>
          </w:tcPr>
          <w:p w14:paraId="2EE8E1F5" w14:textId="77777777" w:rsidR="00F679A2" w:rsidRPr="003B2B91" w:rsidRDefault="00F679A2" w:rsidP="00B97309">
            <w:pPr>
              <w:spacing w:line="360" w:lineRule="auto"/>
              <w:jc w:val="right"/>
              <w:rPr>
                <w:bCs/>
                <w:szCs w:val="20"/>
              </w:rPr>
            </w:pPr>
            <w:r w:rsidRPr="003B2B91">
              <w:rPr>
                <w:bCs/>
                <w:szCs w:val="20"/>
              </w:rPr>
              <w:t>2011</w:t>
            </w:r>
          </w:p>
        </w:tc>
        <w:tc>
          <w:tcPr>
            <w:tcW w:w="587" w:type="dxa"/>
            <w:shd w:val="clear" w:color="auto" w:fill="C6D9F1" w:themeFill="text2" w:themeFillTint="33"/>
            <w:vAlign w:val="center"/>
          </w:tcPr>
          <w:p w14:paraId="3731315F" w14:textId="77777777" w:rsidR="00F679A2" w:rsidRPr="003B2B91" w:rsidRDefault="00F679A2" w:rsidP="00B97309">
            <w:pPr>
              <w:spacing w:line="360" w:lineRule="auto"/>
              <w:jc w:val="right"/>
              <w:rPr>
                <w:bCs/>
                <w:szCs w:val="20"/>
              </w:rPr>
            </w:pPr>
            <w:r w:rsidRPr="003B2B91">
              <w:rPr>
                <w:bCs/>
                <w:szCs w:val="20"/>
              </w:rPr>
              <w:t>2012</w:t>
            </w:r>
          </w:p>
        </w:tc>
        <w:tc>
          <w:tcPr>
            <w:tcW w:w="587" w:type="dxa"/>
            <w:shd w:val="clear" w:color="auto" w:fill="C6D9F1" w:themeFill="text2" w:themeFillTint="33"/>
            <w:noWrap/>
            <w:vAlign w:val="center"/>
          </w:tcPr>
          <w:p w14:paraId="753FDA48" w14:textId="77777777" w:rsidR="00F679A2" w:rsidRPr="003B2B91" w:rsidRDefault="00F679A2" w:rsidP="00B97309">
            <w:pPr>
              <w:spacing w:line="360" w:lineRule="auto"/>
              <w:jc w:val="right"/>
              <w:rPr>
                <w:bCs/>
                <w:szCs w:val="20"/>
              </w:rPr>
            </w:pPr>
            <w:r w:rsidRPr="003B2B91">
              <w:rPr>
                <w:bCs/>
                <w:szCs w:val="20"/>
              </w:rPr>
              <w:t>2013</w:t>
            </w:r>
          </w:p>
        </w:tc>
        <w:tc>
          <w:tcPr>
            <w:tcW w:w="587" w:type="dxa"/>
            <w:shd w:val="clear" w:color="auto" w:fill="C6D9F1" w:themeFill="text2" w:themeFillTint="33"/>
            <w:noWrap/>
            <w:vAlign w:val="center"/>
          </w:tcPr>
          <w:p w14:paraId="2DA5F504" w14:textId="77777777" w:rsidR="00F679A2" w:rsidRPr="003B2B91" w:rsidRDefault="00F679A2" w:rsidP="00B97309">
            <w:pPr>
              <w:spacing w:line="360" w:lineRule="auto"/>
              <w:jc w:val="right"/>
              <w:rPr>
                <w:bCs/>
                <w:szCs w:val="20"/>
              </w:rPr>
            </w:pPr>
            <w:r w:rsidRPr="003B2B91">
              <w:rPr>
                <w:bCs/>
                <w:szCs w:val="20"/>
              </w:rPr>
              <w:t>2014</w:t>
            </w:r>
          </w:p>
        </w:tc>
        <w:tc>
          <w:tcPr>
            <w:tcW w:w="587" w:type="dxa"/>
            <w:shd w:val="clear" w:color="auto" w:fill="C6D9F1" w:themeFill="text2" w:themeFillTint="33"/>
            <w:noWrap/>
            <w:vAlign w:val="center"/>
          </w:tcPr>
          <w:p w14:paraId="52B573D7" w14:textId="77777777" w:rsidR="00F679A2" w:rsidRPr="003B2B91" w:rsidRDefault="00F679A2" w:rsidP="00B97309">
            <w:pPr>
              <w:spacing w:line="360" w:lineRule="auto"/>
              <w:jc w:val="right"/>
              <w:rPr>
                <w:bCs/>
                <w:szCs w:val="20"/>
              </w:rPr>
            </w:pPr>
            <w:r w:rsidRPr="003B2B91">
              <w:rPr>
                <w:bCs/>
                <w:szCs w:val="20"/>
              </w:rPr>
              <w:t>2015</w:t>
            </w:r>
          </w:p>
        </w:tc>
        <w:tc>
          <w:tcPr>
            <w:tcW w:w="587" w:type="dxa"/>
            <w:shd w:val="clear" w:color="auto" w:fill="C6D9F1" w:themeFill="text2" w:themeFillTint="33"/>
            <w:noWrap/>
            <w:vAlign w:val="center"/>
          </w:tcPr>
          <w:p w14:paraId="1629F3B2" w14:textId="77777777" w:rsidR="00F679A2" w:rsidRPr="003B2B91" w:rsidRDefault="00F679A2" w:rsidP="00B97309">
            <w:pPr>
              <w:spacing w:line="360" w:lineRule="auto"/>
              <w:jc w:val="right"/>
              <w:rPr>
                <w:bCs/>
                <w:szCs w:val="20"/>
              </w:rPr>
            </w:pPr>
            <w:r w:rsidRPr="003B2B91">
              <w:rPr>
                <w:bCs/>
                <w:szCs w:val="20"/>
              </w:rPr>
              <w:t>2016</w:t>
            </w:r>
          </w:p>
        </w:tc>
        <w:tc>
          <w:tcPr>
            <w:tcW w:w="629" w:type="dxa"/>
            <w:shd w:val="clear" w:color="auto" w:fill="C6D9F1" w:themeFill="text2" w:themeFillTint="33"/>
            <w:noWrap/>
            <w:vAlign w:val="center"/>
          </w:tcPr>
          <w:p w14:paraId="6276BF6A" w14:textId="77777777" w:rsidR="00F679A2" w:rsidRPr="003B2B91" w:rsidRDefault="00F679A2" w:rsidP="00B97309">
            <w:pPr>
              <w:spacing w:line="360" w:lineRule="auto"/>
              <w:jc w:val="right"/>
              <w:rPr>
                <w:bCs/>
                <w:szCs w:val="20"/>
              </w:rPr>
            </w:pPr>
            <w:r w:rsidRPr="003B2B91">
              <w:rPr>
                <w:bCs/>
                <w:szCs w:val="20"/>
              </w:rPr>
              <w:t>2017</w:t>
            </w:r>
          </w:p>
        </w:tc>
        <w:tc>
          <w:tcPr>
            <w:tcW w:w="585" w:type="dxa"/>
            <w:shd w:val="clear" w:color="auto" w:fill="C6D9F1" w:themeFill="text2" w:themeFillTint="33"/>
            <w:noWrap/>
            <w:vAlign w:val="center"/>
          </w:tcPr>
          <w:p w14:paraId="009A37DA" w14:textId="77777777" w:rsidR="00F679A2" w:rsidRPr="003B2B91" w:rsidRDefault="00F679A2" w:rsidP="00B97309">
            <w:pPr>
              <w:spacing w:line="360" w:lineRule="auto"/>
              <w:jc w:val="right"/>
              <w:rPr>
                <w:bCs/>
                <w:szCs w:val="20"/>
              </w:rPr>
            </w:pPr>
            <w:r w:rsidRPr="003B2B91">
              <w:rPr>
                <w:bCs/>
                <w:szCs w:val="20"/>
              </w:rPr>
              <w:t>2018</w:t>
            </w:r>
          </w:p>
        </w:tc>
        <w:tc>
          <w:tcPr>
            <w:tcW w:w="585" w:type="dxa"/>
            <w:shd w:val="clear" w:color="auto" w:fill="C6D9F1" w:themeFill="text2" w:themeFillTint="33"/>
            <w:vAlign w:val="center"/>
          </w:tcPr>
          <w:p w14:paraId="375D60B7" w14:textId="77777777" w:rsidR="00F679A2" w:rsidRPr="003B2B91" w:rsidRDefault="00F679A2" w:rsidP="00B97309">
            <w:pPr>
              <w:spacing w:line="360" w:lineRule="auto"/>
              <w:jc w:val="right"/>
              <w:rPr>
                <w:bCs/>
                <w:szCs w:val="20"/>
              </w:rPr>
            </w:pPr>
            <w:r w:rsidRPr="003B2B91">
              <w:rPr>
                <w:bCs/>
                <w:szCs w:val="20"/>
              </w:rPr>
              <w:t>2019</w:t>
            </w:r>
          </w:p>
        </w:tc>
      </w:tr>
      <w:tr w:rsidR="00F679A2" w:rsidRPr="003B2B91" w14:paraId="22D7190C" w14:textId="77777777" w:rsidTr="00B97309">
        <w:trPr>
          <w:trHeight w:val="300"/>
        </w:trPr>
        <w:tc>
          <w:tcPr>
            <w:tcW w:w="2191" w:type="dxa"/>
            <w:noWrap/>
            <w:vAlign w:val="bottom"/>
          </w:tcPr>
          <w:p w14:paraId="7A82DE1B" w14:textId="77777777" w:rsidR="00F679A2" w:rsidRPr="003B2B91" w:rsidRDefault="00F679A2" w:rsidP="00B97309">
            <w:pPr>
              <w:spacing w:line="360" w:lineRule="auto"/>
              <w:jc w:val="left"/>
              <w:rPr>
                <w:bCs/>
                <w:szCs w:val="20"/>
              </w:rPr>
            </w:pPr>
            <w:r w:rsidRPr="003B2B91">
              <w:rPr>
                <w:bCs/>
                <w:szCs w:val="20"/>
              </w:rPr>
              <w:t>Grozdje za predelavo</w:t>
            </w:r>
          </w:p>
        </w:tc>
        <w:tc>
          <w:tcPr>
            <w:tcW w:w="587" w:type="dxa"/>
            <w:vAlign w:val="center"/>
          </w:tcPr>
          <w:p w14:paraId="098F9B3D" w14:textId="77777777" w:rsidR="00F679A2" w:rsidRPr="003B2B91" w:rsidRDefault="00F679A2" w:rsidP="00B97309">
            <w:pPr>
              <w:spacing w:line="360" w:lineRule="auto"/>
              <w:jc w:val="right"/>
              <w:rPr>
                <w:szCs w:val="20"/>
              </w:rPr>
            </w:pPr>
            <w:r w:rsidRPr="003B2B91">
              <w:rPr>
                <w:szCs w:val="20"/>
              </w:rPr>
              <w:t>0,45</w:t>
            </w:r>
          </w:p>
        </w:tc>
        <w:tc>
          <w:tcPr>
            <w:tcW w:w="587" w:type="dxa"/>
            <w:vAlign w:val="center"/>
          </w:tcPr>
          <w:p w14:paraId="65431626" w14:textId="77777777" w:rsidR="00F679A2" w:rsidRPr="003B2B91" w:rsidRDefault="00F679A2" w:rsidP="00B97309">
            <w:pPr>
              <w:spacing w:line="360" w:lineRule="auto"/>
              <w:jc w:val="right"/>
              <w:rPr>
                <w:szCs w:val="20"/>
              </w:rPr>
            </w:pPr>
            <w:r w:rsidRPr="003B2B91">
              <w:rPr>
                <w:szCs w:val="20"/>
              </w:rPr>
              <w:t>0,43</w:t>
            </w:r>
          </w:p>
        </w:tc>
        <w:tc>
          <w:tcPr>
            <w:tcW w:w="587" w:type="dxa"/>
            <w:vAlign w:val="center"/>
          </w:tcPr>
          <w:p w14:paraId="59B5A956" w14:textId="77777777" w:rsidR="00F679A2" w:rsidRPr="003B2B91" w:rsidRDefault="00F679A2" w:rsidP="00B97309">
            <w:pPr>
              <w:spacing w:line="360" w:lineRule="auto"/>
              <w:jc w:val="right"/>
              <w:rPr>
                <w:szCs w:val="20"/>
              </w:rPr>
            </w:pPr>
            <w:r w:rsidRPr="003B2B91">
              <w:rPr>
                <w:szCs w:val="20"/>
              </w:rPr>
              <w:t>0,47</w:t>
            </w:r>
          </w:p>
        </w:tc>
        <w:tc>
          <w:tcPr>
            <w:tcW w:w="587" w:type="dxa"/>
            <w:noWrap/>
            <w:vAlign w:val="center"/>
          </w:tcPr>
          <w:p w14:paraId="292E39E9" w14:textId="77777777" w:rsidR="00F679A2" w:rsidRPr="003B2B91" w:rsidRDefault="00F679A2" w:rsidP="00B97309">
            <w:pPr>
              <w:spacing w:line="360" w:lineRule="auto"/>
              <w:jc w:val="right"/>
              <w:rPr>
                <w:szCs w:val="20"/>
              </w:rPr>
            </w:pPr>
            <w:r w:rsidRPr="003B2B91">
              <w:rPr>
                <w:szCs w:val="20"/>
              </w:rPr>
              <w:t>0,46</w:t>
            </w:r>
          </w:p>
        </w:tc>
        <w:tc>
          <w:tcPr>
            <w:tcW w:w="587" w:type="dxa"/>
            <w:noWrap/>
            <w:vAlign w:val="center"/>
          </w:tcPr>
          <w:p w14:paraId="6D70682C" w14:textId="77777777" w:rsidR="00F679A2" w:rsidRPr="003B2B91" w:rsidRDefault="00F679A2" w:rsidP="00B97309">
            <w:pPr>
              <w:spacing w:line="360" w:lineRule="auto"/>
              <w:jc w:val="right"/>
              <w:rPr>
                <w:szCs w:val="20"/>
              </w:rPr>
            </w:pPr>
            <w:r w:rsidRPr="003B2B91">
              <w:rPr>
                <w:szCs w:val="20"/>
              </w:rPr>
              <w:t>0,46</w:t>
            </w:r>
          </w:p>
        </w:tc>
        <w:tc>
          <w:tcPr>
            <w:tcW w:w="587" w:type="dxa"/>
            <w:noWrap/>
            <w:vAlign w:val="center"/>
          </w:tcPr>
          <w:p w14:paraId="0C595999" w14:textId="77777777" w:rsidR="00F679A2" w:rsidRPr="003B2B91" w:rsidRDefault="00F679A2" w:rsidP="00B97309">
            <w:pPr>
              <w:spacing w:line="360" w:lineRule="auto"/>
              <w:jc w:val="right"/>
              <w:rPr>
                <w:szCs w:val="20"/>
              </w:rPr>
            </w:pPr>
            <w:r w:rsidRPr="003B2B91">
              <w:rPr>
                <w:szCs w:val="20"/>
              </w:rPr>
              <w:t>0,50</w:t>
            </w:r>
          </w:p>
        </w:tc>
        <w:tc>
          <w:tcPr>
            <w:tcW w:w="587" w:type="dxa"/>
            <w:noWrap/>
            <w:vAlign w:val="center"/>
          </w:tcPr>
          <w:p w14:paraId="5ACEEE90" w14:textId="77777777" w:rsidR="00F679A2" w:rsidRPr="003B2B91" w:rsidRDefault="00F679A2" w:rsidP="00B97309">
            <w:pPr>
              <w:spacing w:line="360" w:lineRule="auto"/>
              <w:jc w:val="right"/>
              <w:rPr>
                <w:szCs w:val="20"/>
              </w:rPr>
            </w:pPr>
            <w:r w:rsidRPr="003B2B91">
              <w:rPr>
                <w:szCs w:val="20"/>
              </w:rPr>
              <w:t>0,55</w:t>
            </w:r>
          </w:p>
        </w:tc>
        <w:tc>
          <w:tcPr>
            <w:tcW w:w="629" w:type="dxa"/>
            <w:noWrap/>
            <w:vAlign w:val="center"/>
          </w:tcPr>
          <w:p w14:paraId="4FA2FC0E" w14:textId="77777777" w:rsidR="00F679A2" w:rsidRPr="003B2B91" w:rsidRDefault="00F679A2" w:rsidP="00B97309">
            <w:pPr>
              <w:spacing w:line="360" w:lineRule="auto"/>
              <w:jc w:val="right"/>
              <w:rPr>
                <w:szCs w:val="20"/>
              </w:rPr>
            </w:pPr>
            <w:r w:rsidRPr="003B2B91">
              <w:rPr>
                <w:szCs w:val="20"/>
              </w:rPr>
              <w:t>0,60</w:t>
            </w:r>
          </w:p>
        </w:tc>
        <w:tc>
          <w:tcPr>
            <w:tcW w:w="585" w:type="dxa"/>
            <w:noWrap/>
            <w:vAlign w:val="center"/>
          </w:tcPr>
          <w:p w14:paraId="3AAC7496" w14:textId="77777777" w:rsidR="00F679A2" w:rsidRPr="003B2B91" w:rsidRDefault="00F679A2" w:rsidP="00B97309">
            <w:pPr>
              <w:spacing w:line="360" w:lineRule="auto"/>
              <w:jc w:val="right"/>
              <w:rPr>
                <w:szCs w:val="20"/>
              </w:rPr>
            </w:pPr>
            <w:r w:rsidRPr="003B2B91">
              <w:rPr>
                <w:szCs w:val="20"/>
              </w:rPr>
              <w:t>0,57</w:t>
            </w:r>
          </w:p>
        </w:tc>
        <w:tc>
          <w:tcPr>
            <w:tcW w:w="585" w:type="dxa"/>
            <w:vAlign w:val="center"/>
          </w:tcPr>
          <w:p w14:paraId="05016D9F" w14:textId="77777777" w:rsidR="00F679A2" w:rsidRPr="003B2B91" w:rsidRDefault="00F679A2" w:rsidP="00B97309">
            <w:pPr>
              <w:spacing w:line="360" w:lineRule="auto"/>
              <w:jc w:val="right"/>
              <w:rPr>
                <w:szCs w:val="20"/>
              </w:rPr>
            </w:pPr>
            <w:r w:rsidRPr="003B2B91">
              <w:rPr>
                <w:szCs w:val="20"/>
              </w:rPr>
              <w:t>0,60</w:t>
            </w:r>
          </w:p>
        </w:tc>
      </w:tr>
    </w:tbl>
    <w:p w14:paraId="30E8A240" w14:textId="77777777" w:rsidR="00F679A2" w:rsidRPr="005718B1" w:rsidRDefault="00F679A2" w:rsidP="00F679A2">
      <w:pPr>
        <w:spacing w:line="360" w:lineRule="auto"/>
        <w:rPr>
          <w:sz w:val="16"/>
          <w:szCs w:val="16"/>
        </w:rPr>
      </w:pPr>
      <w:r w:rsidRPr="005718B1">
        <w:rPr>
          <w:sz w:val="16"/>
          <w:szCs w:val="16"/>
        </w:rPr>
        <w:t>Vir: SURS</w:t>
      </w:r>
      <w:r>
        <w:rPr>
          <w:sz w:val="16"/>
          <w:szCs w:val="16"/>
        </w:rPr>
        <w:t>-2020</w:t>
      </w:r>
    </w:p>
    <w:p w14:paraId="67A53043" w14:textId="292C0392" w:rsidR="00F679A2" w:rsidRPr="005B2A49" w:rsidRDefault="00F679A2" w:rsidP="005B2A49">
      <w:pPr>
        <w:spacing w:after="120" w:line="260" w:lineRule="atLeast"/>
        <w:rPr>
          <w:rFonts w:eastAsia="Calibri"/>
          <w:szCs w:val="20"/>
        </w:rPr>
      </w:pPr>
      <w:r w:rsidRPr="005B2A49">
        <w:rPr>
          <w:rFonts w:eastAsia="Calibri"/>
          <w:szCs w:val="20"/>
        </w:rPr>
        <w:t>V primerjavi z zadnjim petletnim obdobjem (2014–2018) so bile povprečne cene vina v letu 2019 višje za 17 %. Podatki ARSKTRP za leto 2019 tudi kažejo, da se je prodaja vina na slovenskem trgu kot tudi trgu EU nekoliko povečala.</w:t>
      </w:r>
      <w:r w:rsidR="003F5847">
        <w:rPr>
          <w:rFonts w:eastAsia="Calibri"/>
          <w:szCs w:val="20"/>
        </w:rPr>
        <w:t xml:space="preserve"> Zaradi posledic epidemije pa so se cene v letu 2020 ponovno znižale.</w:t>
      </w:r>
    </w:p>
    <w:p w14:paraId="47397153" w14:textId="4CC73CEB" w:rsidR="00F679A2" w:rsidRPr="005B2A49" w:rsidRDefault="00F679A2" w:rsidP="005B2A49">
      <w:pPr>
        <w:spacing w:after="120" w:line="260" w:lineRule="atLeast"/>
        <w:rPr>
          <w:rFonts w:eastAsia="Calibri"/>
          <w:szCs w:val="20"/>
        </w:rPr>
      </w:pPr>
      <w:r w:rsidRPr="005B2A49">
        <w:rPr>
          <w:rFonts w:eastAsia="Calibri"/>
          <w:szCs w:val="20"/>
        </w:rPr>
        <w:t>Od leta 2018 SURS vodi tudi povprečne letne drobnoprodajne cene za alkoholne pijače na podlagi podatkovnih baz trgovcev. Za leto 2018 po teh podatkih znaša povprečna drobnoprodajna cena za t.i. namizno vino 1,98 EUR/l in za kakovostno vino 4,85 EUR/l, za leto 2019 pa 2,04 EUR/l za namizno in 4,05 EUR/l za kakovostno vino.</w:t>
      </w:r>
    </w:p>
    <w:p w14:paraId="01BD6814" w14:textId="77777777" w:rsidR="00F679A2" w:rsidRPr="005B2A49" w:rsidRDefault="00F679A2" w:rsidP="005B2A49">
      <w:pPr>
        <w:spacing w:after="120" w:line="260" w:lineRule="atLeast"/>
        <w:rPr>
          <w:rFonts w:eastAsia="Calibri"/>
          <w:szCs w:val="20"/>
        </w:rPr>
      </w:pPr>
      <w:r w:rsidRPr="005B2A49">
        <w:rPr>
          <w:rFonts w:eastAsia="Calibri"/>
          <w:szCs w:val="20"/>
        </w:rPr>
        <w:t xml:space="preserve">Ekonomika pridelave grozdja je bila v letih 2016 in 2017 nekoliko boljša kot v letih prej, vendar so se z rekordnim pridelkom leta 2018 razmere na trgu z vinom ponovno poslabšale. Letina 2019 pa je bila dokaj povprečna. Višja predvidena rast odkupnih cen grozdja od zvišanja stroškov pridelave naj bi pozitivno vplivala na ekonomski položaj pridelovalcev grozdja, vendar je zaradi izredno zaostrenih razmer na trgu z vinom v prvi polovici leta 2020 (posledica epidemije koronavirusa) realizacija izplačila v jeseni leta 2019 statistično zabeleženih odkupnih cen grozdja zelo vprašljiva. </w:t>
      </w:r>
      <w:r w:rsidRPr="005B2A49">
        <w:rPr>
          <w:rFonts w:eastAsia="Calibri"/>
        </w:rPr>
        <w:t>Ekonomika pridelave grozdja za prodajo je z izjemo nekoliko ugodnejših let 2016 in 2017 na splošno že leta zelo slaba. Malce boljše ekonomske rezultate so imeli v zadnjih letih verjetno le pridelovalci grozdja, namenjenega za vina višje kakovosti, ki dosegajo višje odkupne cene. Boljši ekonomski položaj so imeli vinogradniki z lastno predelavo in uspešnejšim trženjem vina na domačem in tujih trgih, saj so bile cene vina zadnja leta večinoma v porastu.</w:t>
      </w:r>
    </w:p>
    <w:p w14:paraId="5A4E8275" w14:textId="77777777" w:rsidR="00F679A2" w:rsidRPr="005B2A49" w:rsidRDefault="00F679A2" w:rsidP="005B2A49">
      <w:pPr>
        <w:spacing w:after="120" w:line="260" w:lineRule="atLeast"/>
        <w:rPr>
          <w:rFonts w:eastAsia="Calibri"/>
          <w:szCs w:val="20"/>
        </w:rPr>
      </w:pPr>
      <w:r w:rsidRPr="005B2A49">
        <w:rPr>
          <w:rFonts w:eastAsia="Calibri"/>
          <w:szCs w:val="20"/>
        </w:rPr>
        <w:t>Glede na velikostno strukturo kmetijskih gospodarstev z vinogradi je nesorazmernost v dohodkih težko uravnavati z neposrednimi dohodkovnimi podporami, saj ima manj kot 10 % kmetijskih gospodarstev, ki obdelujejo vinograde, v uporabi več kot 1 ha KZU (obdelujejo 10.500 ha vinogradov).</w:t>
      </w:r>
    </w:p>
    <w:p w14:paraId="10EFAF61" w14:textId="77777777" w:rsidR="00F679A2" w:rsidRPr="005B2A49" w:rsidRDefault="00F679A2" w:rsidP="005B2A49">
      <w:pPr>
        <w:spacing w:after="120" w:line="260" w:lineRule="atLeast"/>
        <w:rPr>
          <w:rFonts w:eastAsia="Calibri"/>
          <w:szCs w:val="20"/>
        </w:rPr>
      </w:pPr>
      <w:r w:rsidRPr="005B2A49">
        <w:rPr>
          <w:rFonts w:eastAsia="Calibri"/>
          <w:szCs w:val="20"/>
        </w:rPr>
        <w:t xml:space="preserve">Ohranitev vinogradov na legah, ki za druge kulture niso primerne, je ključno za ohranjanje obdelanosti zemljišč. Težavo pri ohranjanju obsega vinogradov predstavlja splošen trend zmanjševanje vinogradov in porabe vina v Evropi, dodatno pa tudi nekonkurenčna pridelava slovenskih vin zaradi naravnih danosti in razne omejitve (npr. omejitve na območjih okoljsko občutljivega trajnega travinja na potencialnih vinogradniških legah).  </w:t>
      </w:r>
    </w:p>
    <w:p w14:paraId="5627E3CB" w14:textId="77777777" w:rsidR="00F679A2" w:rsidRPr="005B2A49" w:rsidRDefault="00F679A2" w:rsidP="005B2A49">
      <w:pPr>
        <w:spacing w:after="120" w:line="260" w:lineRule="atLeast"/>
        <w:rPr>
          <w:rFonts w:eastAsia="Calibri"/>
          <w:szCs w:val="20"/>
        </w:rPr>
      </w:pPr>
      <w:r w:rsidRPr="005B2A49">
        <w:rPr>
          <w:rFonts w:eastAsia="Calibri"/>
          <w:szCs w:val="20"/>
        </w:rPr>
        <w:t>Razvoj panoge ovira tudi majhnost kmetijskih gospodarstev in nerešena zemljiška vprašanja (razdrobljenost, zapuščena zemljišča, lastništvo), delno pa tudi zemljiška politika z neustreznim vrstnim redom za nakup kmetijskih zemljišč in spreminjanjem pravil zakupa s strani Sklada kmetijskih zemljišč in gozdov Republike Slovenije.</w:t>
      </w:r>
    </w:p>
    <w:p w14:paraId="535ACE7E" w14:textId="77777777" w:rsidR="00F679A2" w:rsidRPr="005B2A49" w:rsidRDefault="00F679A2" w:rsidP="005B2A49">
      <w:pPr>
        <w:spacing w:after="120" w:line="260" w:lineRule="atLeast"/>
        <w:rPr>
          <w:rFonts w:eastAsia="Calibri"/>
          <w:szCs w:val="20"/>
        </w:rPr>
      </w:pPr>
      <w:r w:rsidRPr="005B2A49">
        <w:rPr>
          <w:rFonts w:eastAsia="Calibri"/>
          <w:szCs w:val="20"/>
        </w:rPr>
        <w:t>Dodatno pridelavo otežujejo podnebne spremembe (ekstremni dogodki: toča, pozeba, dvig temperature, pojav novih škodljivcev, bolezni), večji del pridelovalcev pridelka ne zavaruje zaradi visokih zavarovalnih premij za škodo v vinogradih.</w:t>
      </w:r>
    </w:p>
    <w:p w14:paraId="5DB09941" w14:textId="77777777" w:rsidR="00F679A2" w:rsidRPr="005B2A49" w:rsidRDefault="00F679A2" w:rsidP="005B2A49">
      <w:pPr>
        <w:spacing w:after="120" w:line="260" w:lineRule="atLeast"/>
        <w:rPr>
          <w:rFonts w:eastAsia="Calibri"/>
          <w:szCs w:val="20"/>
        </w:rPr>
      </w:pPr>
      <w:r w:rsidRPr="005B2A49">
        <w:rPr>
          <w:rFonts w:eastAsia="Calibri"/>
          <w:szCs w:val="20"/>
        </w:rPr>
        <w:t>Vino ima pomembno vlogo v promociji turizma in gastronomije, ki pa bi jo bilo treba še okrepiti, kar je zaradi močne antialkoholne politike včasih oteženo. Dohodek na podeželju bi se lahko povečal preko diverzifikacije in neposredne prodaje vina.</w:t>
      </w:r>
    </w:p>
    <w:p w14:paraId="5AF43884" w14:textId="77777777" w:rsidR="00F679A2" w:rsidRPr="005B2A49" w:rsidRDefault="00F679A2" w:rsidP="005B2A49">
      <w:pPr>
        <w:spacing w:after="120" w:line="260" w:lineRule="atLeast"/>
        <w:rPr>
          <w:rFonts w:eastAsia="Calibri"/>
          <w:szCs w:val="20"/>
        </w:rPr>
      </w:pPr>
      <w:r w:rsidRPr="005B2A49">
        <w:rPr>
          <w:rFonts w:eastAsia="Calibri"/>
          <w:szCs w:val="20"/>
        </w:rPr>
        <w:t>Potrebnega bi bilo več izobraževanja in ozaveščanja potrošnikov o kulturi pitja vina in kakovosti vina, saj je zvestoba potrošnika na domačem trgu v upadu. Pri tem pa bo potrebno tudi večje razumevanje potreb trga s strani pridelovalcev.</w:t>
      </w:r>
    </w:p>
    <w:p w14:paraId="6628FAFD" w14:textId="77777777" w:rsidR="00F679A2" w:rsidRPr="005B2A49" w:rsidRDefault="00F679A2" w:rsidP="005B2A49">
      <w:pPr>
        <w:spacing w:after="120" w:line="260" w:lineRule="atLeast"/>
        <w:rPr>
          <w:rFonts w:eastAsia="Calibri"/>
          <w:szCs w:val="20"/>
        </w:rPr>
      </w:pPr>
      <w:r w:rsidRPr="005B2A49">
        <w:rPr>
          <w:rFonts w:eastAsia="Calibri"/>
          <w:szCs w:val="20"/>
        </w:rPr>
        <w:t>V Sloveniji deluje Javna služba na področju vinogradništva, v okviru katere se izvajajo strokovne naloge, kot je selekcija in introdukcija novih sort vinske trte, preizkušanje tehnologij ter strokovno-tehnična koordinacija v vinogradništvu. Slednja je pomembna za prenos znanja in rezultatov nalog javne službe do kmetijskih pridelovalcev, ki potekajo v sodelovanju z javno službo kmetijskega svetovanja. Pomembna pa je tudi za ustrezen prenos znanja med raziskovalnimi, izobraževalnimi in svetovalnimi ustanovami. Ohranjanje rastlinskih genskih virov vinske trte  poteka v okviru javne službe nalog rastlinske genske banke, kjer je shrajenih 340 akcesij.</w:t>
      </w:r>
    </w:p>
    <w:p w14:paraId="4D31B059"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Prenos znanja do pridelovalcev grozdja in vina poteka tudi preko pooblaščenih organizacij, ki spremljajo dozorevanje grozdja pred trgatvijo in analizirajo pridelek vina pred vstopom na trg, organizacij, ki izvajajo izotopske in druge analize vina in grozdja, izobražujejo pokuševalce vina in vinarske inšpektorje ter preko vsakoletnih strokovnih srečanj, organiziranih v okviru javnih služb. </w:t>
      </w:r>
    </w:p>
    <w:p w14:paraId="06472A84" w14:textId="77777777" w:rsidR="00F679A2" w:rsidRPr="005B2A49" w:rsidRDefault="00F679A2" w:rsidP="005B2A49">
      <w:pPr>
        <w:spacing w:after="120" w:line="260" w:lineRule="atLeast"/>
        <w:rPr>
          <w:rFonts w:eastAsia="Calibri"/>
          <w:szCs w:val="20"/>
        </w:rPr>
      </w:pPr>
      <w:r w:rsidRPr="005B2A49">
        <w:rPr>
          <w:rFonts w:eastAsia="Calibri"/>
          <w:szCs w:val="20"/>
        </w:rPr>
        <w:t>Od leta 2011 dalje sta bila področju vinogradništva ali vinarstva namenjena le dva ciljna raziskovalna programa (CRP). V letu 2019 je bil v okviru Evropskega partnerstva za inovacije (EIP) izbran projekt “Uvedba novih mehanskih in avtonomnih avtomatiziranih tehnologij za trajnostno pridelavo grozdja v vinogradih”.</w:t>
      </w:r>
    </w:p>
    <w:p w14:paraId="7336B7CE" w14:textId="2A80EC1C" w:rsidR="00F679A2" w:rsidRPr="005B2A49" w:rsidRDefault="00F679A2" w:rsidP="005B2A49">
      <w:pPr>
        <w:spacing w:after="120" w:line="260" w:lineRule="atLeast"/>
        <w:rPr>
          <w:rFonts w:eastAsia="Calibri"/>
          <w:szCs w:val="20"/>
        </w:rPr>
      </w:pPr>
      <w:r w:rsidRPr="005B2A49">
        <w:rPr>
          <w:rFonts w:eastAsia="Calibri"/>
          <w:szCs w:val="20"/>
        </w:rPr>
        <w:t xml:space="preserve">Pomemben vpliv na razvoj panoge ima tudi dostopnost brezplačnih storitev javnih služb za uporabnike ter vzpostavljen sistem napovedovanja bolezni in škodljivcev, potrebno pa </w:t>
      </w:r>
      <w:r w:rsidR="000314AD">
        <w:rPr>
          <w:rFonts w:eastAsia="Calibri"/>
          <w:szCs w:val="20"/>
        </w:rPr>
        <w:t xml:space="preserve">bi </w:t>
      </w:r>
      <w:r w:rsidRPr="005B2A49">
        <w:rPr>
          <w:rFonts w:eastAsia="Calibri"/>
          <w:szCs w:val="20"/>
        </w:rPr>
        <w:t>bilo financiranje več raziskovalnih in razvojnih nalog (CRP, EIP projekti in drugi projekti iz ukrepa »Sodelovanje«) za doseganje višje kakovosti in konkurenčnosti (izboljšanje tehnologije) ter okrepitev prenosa znanja.</w:t>
      </w:r>
    </w:p>
    <w:p w14:paraId="15366056" w14:textId="77777777" w:rsidR="00F679A2" w:rsidRPr="005B2A49" w:rsidRDefault="00F679A2" w:rsidP="005B2A49">
      <w:pPr>
        <w:spacing w:after="120" w:line="260" w:lineRule="atLeast"/>
        <w:rPr>
          <w:rFonts w:eastAsia="Calibri"/>
          <w:szCs w:val="20"/>
        </w:rPr>
      </w:pPr>
      <w:r w:rsidRPr="005B2A49">
        <w:rPr>
          <w:rFonts w:eastAsia="Calibri"/>
          <w:szCs w:val="20"/>
        </w:rPr>
        <w:t xml:space="preserve">Skupna evropska tržna ureditev za vino v okviru SKP 2014-2020 daje vinogradnikom možnost uveljavljanja podpor za različne ukrepe kmetijske politike. S spremembo skupne kmetijske politike v programskem obdobju 2014–2020 so vinogradi vključeni v shemo neposrednih plačil, zato lahko upravičenci na podlagi v letu 2015 na novo dodeljenih plačilnih pravic pridobijo osnovno plačilo in plačilo za zeleno komponento. </w:t>
      </w:r>
    </w:p>
    <w:p w14:paraId="621A7884" w14:textId="24025BF7" w:rsidR="00F679A2" w:rsidRPr="005B2A49" w:rsidRDefault="00F679A2" w:rsidP="005B2A49">
      <w:pPr>
        <w:spacing w:after="120" w:line="260" w:lineRule="atLeast"/>
        <w:rPr>
          <w:rFonts w:eastAsia="Calibri"/>
          <w:szCs w:val="20"/>
        </w:rPr>
      </w:pPr>
      <w:r w:rsidRPr="005B2A49">
        <w:rPr>
          <w:rFonts w:eastAsia="Calibri"/>
          <w:szCs w:val="20"/>
        </w:rPr>
        <w:t>Ključna prelomnica v EU tržni ureditvi za vino se je zgodila 1. avgusta 2008, ko se je kot rezultat t.i. vinske reforme spremenil način črpanja EU sredstev za ukrepe ureditve trga z vinom</w:t>
      </w:r>
      <w:r w:rsidR="00D00C2D">
        <w:rPr>
          <w:rFonts w:eastAsia="Calibri"/>
          <w:szCs w:val="20"/>
        </w:rPr>
        <w:t xml:space="preserve"> (t.i. nacionalne ovojnice za vino)</w:t>
      </w:r>
      <w:r w:rsidRPr="005B2A49">
        <w:rPr>
          <w:rFonts w:eastAsia="Calibri"/>
          <w:szCs w:val="20"/>
        </w:rPr>
        <w:t>. Program črpanja razpoložljivih sredstev, predložen EU Komisiji za obdobje 2009-2013, je vseboval naslednje ukrepe: prestrukturiranje vinogradov, promocija na tretjih trgih, podpora za uporabo zgoščenega grozdnega mošta in podpora za zeleno trgatev. Programa za obdobje 2014-2018 in 2019-2023 pa vsebujeta ukrepa za prestrukturiranje vinogradov in promocijo vina</w:t>
      </w:r>
      <w:r w:rsidR="00D00C2D">
        <w:rPr>
          <w:rFonts w:eastAsia="Calibri"/>
          <w:szCs w:val="20"/>
        </w:rPr>
        <w:t xml:space="preserve"> (izjemoma so se zaradi reševanja krize na trgu z vinom v letu 2020 in 2021 v program dodali tudi krizni ukrepi)</w:t>
      </w:r>
      <w:r w:rsidRPr="005B2A49">
        <w:rPr>
          <w:rFonts w:eastAsia="Calibri"/>
          <w:szCs w:val="20"/>
        </w:rPr>
        <w:t>.</w:t>
      </w:r>
    </w:p>
    <w:p w14:paraId="2C8E3F6A" w14:textId="77777777" w:rsidR="00F679A2" w:rsidRPr="005B2A49" w:rsidRDefault="00F679A2" w:rsidP="005B2A49">
      <w:pPr>
        <w:spacing w:after="120" w:line="260" w:lineRule="atLeast"/>
        <w:rPr>
          <w:rFonts w:eastAsia="Calibri"/>
          <w:szCs w:val="20"/>
        </w:rPr>
      </w:pPr>
      <w:r w:rsidRPr="005B2A49">
        <w:rPr>
          <w:rFonts w:eastAsia="Calibri"/>
          <w:szCs w:val="20"/>
        </w:rPr>
        <w:t>Dodatno se izvaja tudi nacionalni ukrep, namenjen podpiranju sejemskih in promocijskih dejavnosti na ciljnih trgih v obsegu 0,3 do 0,4 mio EUR letno.</w:t>
      </w:r>
    </w:p>
    <w:p w14:paraId="682388B7" w14:textId="77777777" w:rsidR="00F679A2" w:rsidRPr="005B2A49" w:rsidRDefault="00F679A2" w:rsidP="005B2A49">
      <w:pPr>
        <w:spacing w:after="120" w:line="260" w:lineRule="atLeast"/>
        <w:rPr>
          <w:rFonts w:eastAsia="Calibri"/>
          <w:szCs w:val="20"/>
        </w:rPr>
      </w:pPr>
      <w:r w:rsidRPr="005B2A49">
        <w:rPr>
          <w:rFonts w:eastAsia="Calibri"/>
          <w:szCs w:val="20"/>
        </w:rPr>
        <w:t>V preteklih letih je bilo v okviru ukrepov programa razvoja podeželja izvedenih precej investicij v tehnološko opremo kleti. Do konca avgusta 2019 je bilo v okviru ukrepa Naložbe v predelavo/trženje kmetijskih proizvodov (PRP 2014-2020) za sektor vina izplačanih 36 vlog v skupni višini 2,13 mio EUR. V okviru ukrepa naložbe na kmetijskih gospodarstvih je bilo za sektor vinogradništva izplačanih 30 vlog v višini 0,74 mio EUR, za sektor vino pa 10 vlog v višini 0,21 mio EUR. V okviru ukrepa KOPOP je v letu 2019 operacijo Vinogradništvo uveljavljalo 1079 kmetijskih gospodarstev za 6711 ha vinogradov. Za ekološko pridelavo pa je v letu 2019 podporo prejelo 607 ha vinogradov v višini 0,45 mio EUR.</w:t>
      </w:r>
    </w:p>
    <w:p w14:paraId="3640D210" w14:textId="4A9997C3" w:rsidR="00F679A2" w:rsidRPr="005B2A49" w:rsidRDefault="00F679A2" w:rsidP="005B2A49">
      <w:pPr>
        <w:spacing w:after="120" w:line="260" w:lineRule="atLeast"/>
        <w:rPr>
          <w:rFonts w:eastAsia="Calibri"/>
          <w:szCs w:val="20"/>
        </w:rPr>
      </w:pPr>
      <w:r w:rsidRPr="005B2A49">
        <w:rPr>
          <w:rFonts w:eastAsia="Calibri"/>
          <w:szCs w:val="20"/>
        </w:rPr>
        <w:t xml:space="preserve">Podobno kot drugje v rastlinski pridelavi so tudi vinogradniki upravičeni do </w:t>
      </w:r>
      <w:r w:rsidR="00146C50">
        <w:rPr>
          <w:rFonts w:eastAsia="Calibri"/>
          <w:szCs w:val="20"/>
        </w:rPr>
        <w:t>sofinanciranja zavarovalne premije</w:t>
      </w:r>
      <w:r w:rsidRPr="005B2A49">
        <w:rPr>
          <w:rFonts w:eastAsia="Calibri"/>
          <w:szCs w:val="20"/>
        </w:rPr>
        <w:t xml:space="preserve"> za zavarovanje pridelka, ki je leta 201</w:t>
      </w:r>
      <w:r w:rsidR="00146C50">
        <w:rPr>
          <w:rFonts w:eastAsia="Calibri"/>
          <w:szCs w:val="20"/>
        </w:rPr>
        <w:t>9</w:t>
      </w:r>
      <w:r w:rsidRPr="005B2A49">
        <w:rPr>
          <w:rFonts w:eastAsia="Calibri"/>
          <w:szCs w:val="20"/>
        </w:rPr>
        <w:t xml:space="preserve"> znašala </w:t>
      </w:r>
      <w:r w:rsidR="00146C50">
        <w:rPr>
          <w:rFonts w:eastAsia="Calibri"/>
          <w:szCs w:val="20"/>
        </w:rPr>
        <w:t>5</w:t>
      </w:r>
      <w:r w:rsidRPr="005B2A49">
        <w:rPr>
          <w:rFonts w:eastAsia="Calibri"/>
          <w:szCs w:val="20"/>
        </w:rPr>
        <w:t>0 % (</w:t>
      </w:r>
      <w:r w:rsidR="00146C50">
        <w:rPr>
          <w:rFonts w:eastAsia="Calibri"/>
          <w:szCs w:val="20"/>
        </w:rPr>
        <w:t xml:space="preserve">enako kot v letu 2018, ko se je dvignila iz 30 % </w:t>
      </w:r>
      <w:r w:rsidRPr="005B2A49">
        <w:rPr>
          <w:rFonts w:eastAsia="Calibri"/>
          <w:szCs w:val="20"/>
        </w:rPr>
        <w:t>v letu 201</w:t>
      </w:r>
      <w:r w:rsidR="00146C50">
        <w:rPr>
          <w:rFonts w:eastAsia="Calibri"/>
          <w:szCs w:val="20"/>
        </w:rPr>
        <w:t>7</w:t>
      </w:r>
      <w:r w:rsidRPr="005B2A49">
        <w:rPr>
          <w:rFonts w:eastAsia="Calibri"/>
          <w:szCs w:val="20"/>
        </w:rPr>
        <w:t>),</w:t>
      </w:r>
      <w:r w:rsidRPr="00D874C5">
        <w:rPr>
          <w:rFonts w:eastAsia="Calibri"/>
          <w:szCs w:val="20"/>
        </w:rPr>
        <w:t xml:space="preserve"> </w:t>
      </w:r>
      <w:r w:rsidRPr="005B2A49">
        <w:rPr>
          <w:rFonts w:eastAsia="Calibri"/>
          <w:szCs w:val="20"/>
        </w:rPr>
        <w:t xml:space="preserve">in vračila 70 % trošarine za porabljeno gorivo v kmetijske namene. </w:t>
      </w:r>
    </w:p>
    <w:p w14:paraId="6FC773C5" w14:textId="7FAAA5CE" w:rsidR="00F679A2" w:rsidRDefault="00F679A2" w:rsidP="005B2A49">
      <w:pPr>
        <w:spacing w:after="120" w:line="260" w:lineRule="atLeast"/>
        <w:rPr>
          <w:rFonts w:eastAsia="Calibri"/>
          <w:szCs w:val="20"/>
        </w:rPr>
      </w:pPr>
      <w:r w:rsidRPr="005B2A49">
        <w:rPr>
          <w:rFonts w:eastAsia="Calibri"/>
          <w:szCs w:val="20"/>
        </w:rPr>
        <w:t>V obdobju pandemije oziroma izrednih razmer zaradi Covid-19 v prvi polovici leta 2020 so bili slovenski vinogradniki in vinarji upravičeni tudi do naslednjih kriznih ukrepov v skupni višini 8,76 mio EUR, namenjenih posebej tej panogi: krizna destilacija vina (umik s trga 6,87 mio litrov vina), krizno skladiščenje vina (začasni umik 0,75 mio litrov vina), zelena trgatev (zmanjšanje pridelka na nič na 126 ha vinogradov) in finančna pomoč za izpad dohodka v proizvodnji vina (pomoč je prejelo 1624 vinarjev).</w:t>
      </w:r>
    </w:p>
    <w:p w14:paraId="50A7CCF7" w14:textId="77777777" w:rsidR="00C25531" w:rsidRPr="005B2A49" w:rsidRDefault="00C25531" w:rsidP="005B2A49">
      <w:pPr>
        <w:spacing w:after="120" w:line="260" w:lineRule="atLeast"/>
        <w:rPr>
          <w:rFonts w:eastAsia="Calibri"/>
          <w:szCs w:val="20"/>
        </w:rPr>
      </w:pPr>
    </w:p>
    <w:p w14:paraId="51B1431A" w14:textId="77777777" w:rsidR="00F679A2" w:rsidRPr="00271FF1" w:rsidRDefault="00F679A2" w:rsidP="00F679A2">
      <w:pPr>
        <w:pStyle w:val="Naslov3"/>
        <w:rPr>
          <w:rFonts w:eastAsia="Calibri"/>
        </w:rPr>
      </w:pPr>
      <w:bookmarkStart w:id="3154" w:name="_Toc86822595"/>
      <w:r w:rsidRPr="00271FF1">
        <w:rPr>
          <w:rFonts w:eastAsia="Calibri"/>
        </w:rPr>
        <w:t>Ključne ugotovitve</w:t>
      </w:r>
      <w:bookmarkEnd w:id="3154"/>
    </w:p>
    <w:p w14:paraId="6E3CA865" w14:textId="50914A3F" w:rsidR="00F679A2" w:rsidRPr="00271FF1" w:rsidRDefault="00F679A2" w:rsidP="005B2A49">
      <w:pPr>
        <w:pStyle w:val="Odstavekseznama"/>
        <w:numPr>
          <w:ilvl w:val="0"/>
          <w:numId w:val="189"/>
        </w:numPr>
        <w:tabs>
          <w:tab w:val="left" w:pos="2160"/>
        </w:tabs>
        <w:spacing w:after="120" w:line="260" w:lineRule="atLeast"/>
        <w:ind w:left="357" w:hanging="357"/>
        <w:rPr>
          <w:rFonts w:ascii="Arial" w:hAnsi="Arial"/>
          <w:sz w:val="22"/>
          <w:szCs w:val="22"/>
        </w:rPr>
      </w:pPr>
      <w:r w:rsidRPr="00271FF1">
        <w:rPr>
          <w:rFonts w:ascii="Arial" w:hAnsi="Arial"/>
          <w:sz w:val="22"/>
          <w:szCs w:val="22"/>
        </w:rPr>
        <w:t xml:space="preserve">Obseg površin vinogradov v Sloveniji se zmanjšuje, značilna je razdrobljena velikostna struktura, obnove vinogradov ne dosegajo enostavne reprodukcije, zato bi bilo potrebno okrepiti naložbe, zlasti v </w:t>
      </w:r>
      <w:r w:rsidR="00D00C2D">
        <w:rPr>
          <w:rFonts w:ascii="Arial" w:hAnsi="Arial"/>
          <w:sz w:val="22"/>
          <w:szCs w:val="22"/>
        </w:rPr>
        <w:t>prestrukturiranje vinogradov</w:t>
      </w:r>
      <w:r w:rsidRPr="00271FF1">
        <w:rPr>
          <w:rFonts w:ascii="Arial" w:hAnsi="Arial"/>
          <w:sz w:val="22"/>
          <w:szCs w:val="22"/>
        </w:rPr>
        <w:t xml:space="preserve"> in povečati velikostno strukturo vinogradov.</w:t>
      </w:r>
    </w:p>
    <w:p w14:paraId="28150D13" w14:textId="77777777" w:rsidR="00F679A2" w:rsidRPr="002E7B9B"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Večina območij, na katerih ležijo vinogradi, je takih, ki so po talnih, reliefnih in podnebnih razmerah primerne predvsem za vinogradništvo, zato bi opustitev vinogradov na teh območjih potencialno pripeljala do zaraščanja.</w:t>
      </w:r>
    </w:p>
    <w:p w14:paraId="4AA35869" w14:textId="77777777" w:rsidR="00F679A2" w:rsidRPr="002E7B9B"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Ekonomika pridelave grozdja se sicer nekoliko izboljšuje, vendar je zelo odvisna od letine, z rekordnim pridelkom leta 2018 pa so se razmere na trgu z vinom ponovno poslabšale, zato se pojavlja potreba po okrepitvi naložb in prilagoditvi tehnologije pridelave novim razmeram, kot tudi upravljanju in obvladovanju tveganj.</w:t>
      </w:r>
    </w:p>
    <w:p w14:paraId="77838B0F" w14:textId="77777777" w:rsidR="00F679A2" w:rsidRPr="002E7B9B"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V panogi šepa združevanje pridelovalcev za skupni nastop na trgu in izboljšanje položaja  pridelovalcev v verigi, zato bi bilo potrebno spodbujati povezovanje pridelovalcev.</w:t>
      </w:r>
    </w:p>
    <w:p w14:paraId="0C7AB344" w14:textId="77777777" w:rsidR="00F679A2" w:rsidRPr="002E7B9B"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 xml:space="preserve">Slovenska vina še niso dosegla ustrezne stopnje prepoznavnosti, zato je potrebno nadaljevati s promocijskimi aktivnostmi v okviru sektorskih intervencij in drugih podpor (tudi v sklopu turizma in gastronomije), z večjim poudarkom na generični promociji. </w:t>
      </w:r>
    </w:p>
    <w:p w14:paraId="5A3BF212" w14:textId="16272B33" w:rsidR="00F679A2" w:rsidRDefault="00F679A2" w:rsidP="005B2A49">
      <w:pPr>
        <w:pStyle w:val="Odstavekseznama"/>
        <w:numPr>
          <w:ilvl w:val="0"/>
          <w:numId w:val="189"/>
        </w:numPr>
        <w:tabs>
          <w:tab w:val="left" w:pos="2160"/>
        </w:tabs>
        <w:spacing w:after="120" w:line="260" w:lineRule="atLeast"/>
        <w:ind w:left="357" w:hanging="357"/>
        <w:rPr>
          <w:szCs w:val="22"/>
        </w:rPr>
      </w:pPr>
      <w:r w:rsidRPr="005B2A49">
        <w:rPr>
          <w:rFonts w:ascii="Arial" w:hAnsi="Arial"/>
          <w:sz w:val="22"/>
          <w:szCs w:val="22"/>
        </w:rPr>
        <w:t>Potreben bi bil tudi večji poudarek in spodbude pridelavi namiznega grozdja, kjer samooskrbe praktično ni.</w:t>
      </w:r>
    </w:p>
    <w:p w14:paraId="77B0FECB" w14:textId="77777777" w:rsidR="00C25531" w:rsidRPr="002E7B9B" w:rsidRDefault="00C25531" w:rsidP="005B2A49">
      <w:pPr>
        <w:pStyle w:val="Odstavekseznama"/>
        <w:tabs>
          <w:tab w:val="left" w:pos="2160"/>
        </w:tabs>
        <w:spacing w:after="120" w:line="260" w:lineRule="atLeast"/>
        <w:ind w:left="357"/>
        <w:rPr>
          <w:szCs w:val="22"/>
        </w:rPr>
      </w:pPr>
    </w:p>
    <w:p w14:paraId="48C2897C" w14:textId="77777777" w:rsidR="00F679A2" w:rsidRPr="00271FF1" w:rsidRDefault="00F679A2" w:rsidP="00F679A2">
      <w:pPr>
        <w:pStyle w:val="Naslov2"/>
      </w:pPr>
      <w:bookmarkStart w:id="3155" w:name="_Toc86822596"/>
      <w:r w:rsidRPr="00271FF1">
        <w:t>Sektor oljkarstva</w:t>
      </w:r>
      <w:bookmarkEnd w:id="3155"/>
      <w:r w:rsidRPr="00271FF1">
        <w:t xml:space="preserve">  </w:t>
      </w:r>
    </w:p>
    <w:p w14:paraId="6A2137EE" w14:textId="77777777" w:rsidR="00F679A2" w:rsidRPr="005B2A49" w:rsidRDefault="00F679A2" w:rsidP="005B2A49">
      <w:pPr>
        <w:spacing w:after="120" w:line="260" w:lineRule="atLeast"/>
        <w:rPr>
          <w:rFonts w:eastAsia="Calibri"/>
          <w:szCs w:val="20"/>
        </w:rPr>
      </w:pPr>
      <w:r w:rsidRPr="005B2A49">
        <w:rPr>
          <w:rFonts w:eastAsia="Calibri"/>
          <w:szCs w:val="20"/>
        </w:rPr>
        <w:t>Oljkarstvo je v Sloveniji omejeno na Slovensko Istro in na del Goriških Brd ter Goriškega, kjer je to tradicionalna kmetijska panoga, pomembna tako za trajnostni razvoj tega območja kot tudi za ohranjanje značilne sredozemske krajine in kulturne dediščine. K skupni vrednosti kmetijske pridelave po letu 2007 oljčno olje skupaj prispeva med 0,2 % in 0,7 %, k vrednosti rastlinske pridelave pa med 0,3 % in 1,2 %.</w:t>
      </w:r>
    </w:p>
    <w:p w14:paraId="156C3734" w14:textId="442AD0C5" w:rsidR="00F679A2" w:rsidRPr="00B00FAD" w:rsidRDefault="00F679A2" w:rsidP="005B2A49">
      <w:pPr>
        <w:spacing w:after="120" w:line="260" w:lineRule="atLeast"/>
        <w:rPr>
          <w:rFonts w:eastAsia="Calibri"/>
          <w:szCs w:val="20"/>
        </w:rPr>
      </w:pPr>
      <w:r w:rsidRPr="005B2A49">
        <w:rPr>
          <w:rFonts w:eastAsia="Calibri"/>
          <w:szCs w:val="20"/>
        </w:rPr>
        <w:t xml:space="preserve">Oljčno olje ima vse večji pomen za zdravo prehranjevanje. Slovensko oljčno olje lahko ob primerni tehnologiji (ustrezna oskrba nasada, namakanje, ustrezne sorte in skrb za zdravstveno varstvo oljk) in ugodnih vremenskih razmerah, kot tudi ob pravočasnem obiranju in predelavi oljk ter skladiščenju oljčnega olja dosega visoko kakovost. Interes oljkarjev za proizvodnjo kakovostnega oljčnega olja se kaže v dolgoletni proizvodnji ekstra deviškega oljčnega olja z zaščiteno označbo porekla. Vendar pa je delež tržno usmerjenih oljkarjev majhen, saj se večina oljčnega olja proda na kmetiji in ne po evidentiranih tržnih poteh. </w:t>
      </w:r>
    </w:p>
    <w:p w14:paraId="738E81FB" w14:textId="77777777" w:rsidR="00F679A2" w:rsidRPr="00271FF1" w:rsidRDefault="00F679A2" w:rsidP="00F679A2">
      <w:pPr>
        <w:pStyle w:val="Naslov3"/>
        <w:rPr>
          <w:rFonts w:eastAsia="Calibri"/>
        </w:rPr>
      </w:pPr>
      <w:bookmarkStart w:id="3156" w:name="_Toc86822597"/>
      <w:r w:rsidRPr="00271FF1">
        <w:rPr>
          <w:rFonts w:eastAsia="Calibri"/>
        </w:rPr>
        <w:t>Stanje v sektorju in osnovni ekonomski kazalniki</w:t>
      </w:r>
      <w:bookmarkEnd w:id="3156"/>
    </w:p>
    <w:p w14:paraId="3D1D6DF3" w14:textId="77777777" w:rsidR="00F679A2" w:rsidRPr="005B2A49" w:rsidRDefault="00F679A2" w:rsidP="005B2A49">
      <w:pPr>
        <w:spacing w:after="120" w:line="260" w:lineRule="atLeast"/>
        <w:rPr>
          <w:rFonts w:eastAsia="Calibri"/>
          <w:szCs w:val="20"/>
        </w:rPr>
      </w:pPr>
      <w:r w:rsidRPr="005B2A49">
        <w:rPr>
          <w:rFonts w:eastAsia="Calibri"/>
          <w:szCs w:val="20"/>
        </w:rPr>
        <w:t>Skupna površina oljčnikov v Sloveniji sicer predstavlja le 0,3 % vseh kmetijskih zemljišč in znaša 2.356 ha (dejanska raba). Oljčnike ima 2.808 kmetijskih gospodarstev. Večina oljčnikov je v Slovenski Istri (96 %), ostala območja so Goriško, Goriška Brda, Vipava in Kras. Prav na teh območjih se kaže trend in potreba po postavitvah novih nasadov oljk. Z redno obnovo oz. novimi zasaditvami oljčnikov bi se lahko skupna površina le-teh povečala do 3.000 ha. Trend naraščanja površin je spodbuden (v zadnjih petih letih v povprečju 94 ha na leto, od 2014 do 2018</w:t>
      </w:r>
      <w:r w:rsidRPr="005B2A49" w:rsidDel="006A3187">
        <w:rPr>
          <w:rFonts w:eastAsia="Calibri"/>
          <w:szCs w:val="20"/>
        </w:rPr>
        <w:t xml:space="preserve"> </w:t>
      </w:r>
      <w:r w:rsidRPr="005B2A49">
        <w:rPr>
          <w:rFonts w:eastAsia="Calibri"/>
          <w:szCs w:val="20"/>
        </w:rPr>
        <w:t>za 378 ha). Ponovna rast površin oljčnikov je zlasti visoka po letu 2012.</w:t>
      </w:r>
    </w:p>
    <w:p w14:paraId="2D0FCF2E" w14:textId="3A77567E" w:rsidR="00F679A2" w:rsidRPr="001261F1" w:rsidRDefault="00F679A2" w:rsidP="00F679A2">
      <w:pPr>
        <w:pStyle w:val="SCSlika0"/>
      </w:pPr>
      <w:bookmarkStart w:id="3157" w:name="_Toc86822743"/>
      <w:r w:rsidRPr="001261F1">
        <w:t xml:space="preserve">Slika </w:t>
      </w:r>
      <w:r>
        <w:rPr>
          <w:noProof/>
        </w:rPr>
        <w:fldChar w:fldCharType="begin"/>
      </w:r>
      <w:r>
        <w:rPr>
          <w:noProof/>
        </w:rPr>
        <w:instrText xml:space="preserve"> SEQ Slika \* ARABIC </w:instrText>
      </w:r>
      <w:r>
        <w:rPr>
          <w:noProof/>
        </w:rPr>
        <w:fldChar w:fldCharType="separate"/>
      </w:r>
      <w:r w:rsidR="0088117A">
        <w:rPr>
          <w:noProof/>
        </w:rPr>
        <w:t>71</w:t>
      </w:r>
      <w:r>
        <w:rPr>
          <w:noProof/>
        </w:rPr>
        <w:fldChar w:fldCharType="end"/>
      </w:r>
      <w:r w:rsidRPr="001261F1">
        <w:t>: Površina oljčnikov in št. KMG</w:t>
      </w:r>
      <w:bookmarkEnd w:id="3157"/>
    </w:p>
    <w:p w14:paraId="528BF1A0"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09254E8F" wp14:editId="77438941">
            <wp:extent cx="5771072" cy="2222500"/>
            <wp:effectExtent l="0" t="0" r="1270" b="6350"/>
            <wp:docPr id="1631865347" name="Grafikon 1631865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DC15FC4" w14:textId="77777777" w:rsidR="00F679A2" w:rsidRPr="00306DB4" w:rsidRDefault="00F679A2" w:rsidP="00F679A2">
      <w:pPr>
        <w:spacing w:line="360" w:lineRule="auto"/>
        <w:rPr>
          <w:rFonts w:eastAsia="Arial"/>
          <w:szCs w:val="20"/>
        </w:rPr>
      </w:pPr>
      <w:r w:rsidRPr="005718B1">
        <w:rPr>
          <w:sz w:val="16"/>
          <w:szCs w:val="16"/>
        </w:rPr>
        <w:t>Vir: MKGP</w:t>
      </w:r>
      <w:r>
        <w:rPr>
          <w:sz w:val="16"/>
          <w:szCs w:val="16"/>
        </w:rPr>
        <w:t>-2020, SURS-2020</w:t>
      </w:r>
    </w:p>
    <w:p w14:paraId="5E83B778" w14:textId="77777777" w:rsidR="00F679A2" w:rsidRPr="005B2A49" w:rsidRDefault="00F679A2" w:rsidP="005B2A49">
      <w:pPr>
        <w:spacing w:after="120" w:line="260" w:lineRule="atLeast"/>
        <w:rPr>
          <w:rFonts w:eastAsia="Calibri"/>
          <w:szCs w:val="20"/>
        </w:rPr>
      </w:pPr>
      <w:r w:rsidRPr="005B2A49">
        <w:rPr>
          <w:rFonts w:eastAsia="Calibri"/>
          <w:szCs w:val="20"/>
        </w:rPr>
        <w:t>Za slovensko oljkarstvo so značilna majhna kmetijska gospodarstva (75 % kmetijskih gospodarstev ima manj kot 0,3 ha oljčnikov) in razdrobljenost oljčnikov (42 % je manjših od 0,1 ha, 82 % manj kot 0,3 ha oziroma le 2 % oljčnikov je velikih nad 1 ha). Ta majhnost kmetijskih gospodarstev in razdrobljenost ter težje pridobivanje zemljišč v najem iz Sklada kmetijskih zemljišč in gozdov Republike Slovenije predstavljajo omejujoče faktorje za razvoj oljkarstva.</w:t>
      </w:r>
    </w:p>
    <w:p w14:paraId="7E226B8E"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Zaradi neugodnih zemljiških razmer, velikega deleža nasadov na pobočjih in zaradi prilagajanja posebnim podnebnim razmeram (pridelava oljk v Sloveniji je na najbolj severnih pridelovalnih območjih za oljko, zaradi česar so pozebe pogostejše), je tehnologija pridelave oljk v Sloveniji zahtevna. Stroški naložb so na takšni zemljiški strukturi višji (terase so na cca. 50 % površine oljčnikov oziroma 720 ha). 86,5% oljčnikov se nahaja v OMD (gorsko območje). </w:t>
      </w:r>
    </w:p>
    <w:p w14:paraId="0985152F"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podatkih MKGP Slovenija letno pridela od 1.000 do 2.200 ton oljk, iz katerih proizvede od 170 do 350 ton oljčnega olja, vendar ti podatki zaradi slabega vpisa oljkarjev v RKG in slabega poročanja količine oljk in oljčnega olja v RKG niso realni. Po oceni stroke znaša pridelek oljk od 4.000 do 6.000 ton in proizvodnja oljčnega olja od 300 do 900 ton. Slovenija je tudi v okviru EU majhna proizvajalka oljčnega olja in v celotni proizvodnji EU znaša le 0,02 %. Pridelek oljk zaradi vremenskih razmer med leti zelo niha. Najbolj slaba letina zadnjih 10 let je bila leta 2014, ko je bil zaradi precej deževnega poletja ekstremen napad oljčne muhe, v nadaljnjih letih od 2015 do 2017 podpovprečna zaradi suše, medtem ko je bila letina 2018 nadpovprečna, v 2019 pa ponovno slaba. Skladno s tem je bil manjši tudi hektarski pridelek oljk, ki je ob normalni letini 2,5 ton/ha. Hektarski pridelek je odvisen tudi od starosti oljk, saj oljka stopi pozno v rodnost (v 10 – 12 letu), rodna pa je lahko več 100 let. V Registru živilskih obratov je registriranih 34 oljarn, kar je glede na količine oljčnega olja veliko. Po ocenah je vsaj še enkrat toliko malih oljarn, uporabljenih predvsem za stiskanje oljčnega olja za lastno uporabo. </w:t>
      </w:r>
    </w:p>
    <w:p w14:paraId="518A6372" w14:textId="756E66E6" w:rsidR="00F679A2" w:rsidRDefault="00F679A2" w:rsidP="00F679A2">
      <w:pPr>
        <w:pStyle w:val="SCSlika0"/>
      </w:pPr>
      <w:bookmarkStart w:id="3158" w:name="_Toc86822744"/>
      <w:r>
        <w:t xml:space="preserve">Slika </w:t>
      </w:r>
      <w:r>
        <w:rPr>
          <w:noProof/>
        </w:rPr>
        <w:fldChar w:fldCharType="begin"/>
      </w:r>
      <w:r>
        <w:rPr>
          <w:noProof/>
        </w:rPr>
        <w:instrText xml:space="preserve"> SEQ Slika \* ARABIC </w:instrText>
      </w:r>
      <w:r>
        <w:rPr>
          <w:noProof/>
        </w:rPr>
        <w:fldChar w:fldCharType="separate"/>
      </w:r>
      <w:r w:rsidR="0088117A">
        <w:rPr>
          <w:noProof/>
        </w:rPr>
        <w:t>72</w:t>
      </w:r>
      <w:r>
        <w:rPr>
          <w:noProof/>
        </w:rPr>
        <w:fldChar w:fldCharType="end"/>
      </w:r>
      <w:r>
        <w:t xml:space="preserve">: </w:t>
      </w:r>
      <w:r w:rsidRPr="00177AA3">
        <w:t>Pridelek oljk</w:t>
      </w:r>
      <w:bookmarkEnd w:id="3158"/>
    </w:p>
    <w:p w14:paraId="4515EF2B" w14:textId="77777777" w:rsidR="00F679A2" w:rsidRPr="003B2B91" w:rsidRDefault="00F679A2" w:rsidP="00F679A2">
      <w:pPr>
        <w:autoSpaceDE w:val="0"/>
        <w:autoSpaceDN w:val="0"/>
        <w:adjustRightInd w:val="0"/>
        <w:spacing w:line="360" w:lineRule="auto"/>
        <w:rPr>
          <w:szCs w:val="20"/>
        </w:rPr>
      </w:pPr>
      <w:r w:rsidRPr="003B2B91">
        <w:rPr>
          <w:noProof/>
          <w:szCs w:val="20"/>
          <w:lang w:eastAsia="sl-SI"/>
        </w:rPr>
        <w:drawing>
          <wp:inline distT="0" distB="0" distL="0" distR="0" wp14:anchorId="74F5837D" wp14:editId="09C23C70">
            <wp:extent cx="4314352" cy="2202643"/>
            <wp:effectExtent l="0" t="0" r="10160" b="7620"/>
            <wp:docPr id="1631865348" name="Grafikon 1631865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5852DE4" w14:textId="77777777" w:rsidR="00F679A2" w:rsidRPr="005718B1" w:rsidRDefault="00F679A2" w:rsidP="00F679A2">
      <w:pPr>
        <w:spacing w:line="360" w:lineRule="auto"/>
        <w:rPr>
          <w:sz w:val="16"/>
          <w:szCs w:val="16"/>
        </w:rPr>
      </w:pPr>
      <w:r w:rsidRPr="005718B1">
        <w:rPr>
          <w:sz w:val="16"/>
          <w:szCs w:val="16"/>
        </w:rPr>
        <w:t>Vir: MKGP</w:t>
      </w:r>
      <w:r>
        <w:rPr>
          <w:sz w:val="16"/>
          <w:szCs w:val="16"/>
        </w:rPr>
        <w:t>-2020</w:t>
      </w:r>
      <w:r w:rsidRPr="005718B1">
        <w:rPr>
          <w:sz w:val="16"/>
          <w:szCs w:val="16"/>
        </w:rPr>
        <w:t>, SURS</w:t>
      </w:r>
      <w:r>
        <w:rPr>
          <w:sz w:val="16"/>
          <w:szCs w:val="16"/>
        </w:rPr>
        <w:t>-2020</w:t>
      </w:r>
    </w:p>
    <w:p w14:paraId="113E8BE7" w14:textId="77777777" w:rsidR="00F679A2" w:rsidRDefault="00F679A2" w:rsidP="00F679A2">
      <w:pPr>
        <w:pStyle w:val="Napis"/>
      </w:pPr>
    </w:p>
    <w:p w14:paraId="2789CB00" w14:textId="41BE193E" w:rsidR="00F679A2" w:rsidRDefault="00F679A2" w:rsidP="00F679A2">
      <w:pPr>
        <w:pStyle w:val="SCSlika0"/>
      </w:pPr>
      <w:bookmarkStart w:id="3159" w:name="_Toc86822745"/>
      <w:r>
        <w:t xml:space="preserve">Slika </w:t>
      </w:r>
      <w:r>
        <w:rPr>
          <w:noProof/>
        </w:rPr>
        <w:fldChar w:fldCharType="begin"/>
      </w:r>
      <w:r>
        <w:rPr>
          <w:noProof/>
        </w:rPr>
        <w:instrText xml:space="preserve"> SEQ Slika \* ARABIC </w:instrText>
      </w:r>
      <w:r>
        <w:rPr>
          <w:noProof/>
        </w:rPr>
        <w:fldChar w:fldCharType="separate"/>
      </w:r>
      <w:r w:rsidR="0088117A">
        <w:rPr>
          <w:noProof/>
        </w:rPr>
        <w:t>73</w:t>
      </w:r>
      <w:r>
        <w:rPr>
          <w:noProof/>
        </w:rPr>
        <w:fldChar w:fldCharType="end"/>
      </w:r>
      <w:r>
        <w:t xml:space="preserve">: </w:t>
      </w:r>
      <w:r w:rsidRPr="00177AA3">
        <w:t>Proizvodnja oljčnega olja</w:t>
      </w:r>
      <w:bookmarkEnd w:id="3159"/>
    </w:p>
    <w:p w14:paraId="6C3D8DAC" w14:textId="77777777" w:rsidR="00F679A2" w:rsidRPr="003B2B91" w:rsidRDefault="00F679A2" w:rsidP="00F679A2">
      <w:pPr>
        <w:autoSpaceDE w:val="0"/>
        <w:autoSpaceDN w:val="0"/>
        <w:adjustRightInd w:val="0"/>
        <w:spacing w:line="360" w:lineRule="auto"/>
        <w:rPr>
          <w:szCs w:val="20"/>
        </w:rPr>
      </w:pPr>
      <w:r w:rsidRPr="003B2B91">
        <w:rPr>
          <w:noProof/>
          <w:szCs w:val="20"/>
          <w:lang w:eastAsia="sl-SI"/>
        </w:rPr>
        <w:drawing>
          <wp:inline distT="0" distB="0" distL="0" distR="0" wp14:anchorId="7B95490F" wp14:editId="2920C361">
            <wp:extent cx="4319404" cy="2344098"/>
            <wp:effectExtent l="0" t="0" r="5080" b="18415"/>
            <wp:docPr id="1631865349" name="Grafikon 1631865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070F50D" w14:textId="77777777" w:rsidR="00F679A2" w:rsidRPr="003B2B91" w:rsidRDefault="00F679A2" w:rsidP="00F679A2">
      <w:pPr>
        <w:spacing w:line="360" w:lineRule="auto"/>
        <w:rPr>
          <w:szCs w:val="20"/>
        </w:rPr>
      </w:pPr>
      <w:r w:rsidRPr="005718B1">
        <w:rPr>
          <w:sz w:val="16"/>
          <w:szCs w:val="16"/>
        </w:rPr>
        <w:t>Vir: MKGP</w:t>
      </w:r>
      <w:r>
        <w:rPr>
          <w:sz w:val="16"/>
          <w:szCs w:val="16"/>
        </w:rPr>
        <w:t>-2020</w:t>
      </w:r>
    </w:p>
    <w:p w14:paraId="5875A70C" w14:textId="77777777" w:rsidR="00F679A2" w:rsidRPr="005B2A49" w:rsidRDefault="00F679A2" w:rsidP="005B2A49">
      <w:pPr>
        <w:spacing w:after="120" w:line="260" w:lineRule="atLeast"/>
        <w:rPr>
          <w:rFonts w:eastAsia="Calibri"/>
          <w:szCs w:val="20"/>
        </w:rPr>
      </w:pPr>
      <w:r w:rsidRPr="005B2A49">
        <w:rPr>
          <w:rFonts w:eastAsia="Calibri"/>
          <w:szCs w:val="20"/>
        </w:rPr>
        <w:t>Ekološka pridelava se povečuje, v letu 2010 je bilo v ekološko pridelavo vključenih 11 % oljčnikov, medtem ko je bila v letu 2019 takšna pridelava pri 196 KMG-jih na 278 ha oljčnikih ali 20 % oljčnikov.</w:t>
      </w:r>
    </w:p>
    <w:p w14:paraId="34966175" w14:textId="2B20811B" w:rsidR="00F679A2" w:rsidRDefault="00F679A2" w:rsidP="00F679A2">
      <w:pPr>
        <w:pStyle w:val="SCSlika0"/>
      </w:pPr>
      <w:bookmarkStart w:id="3160" w:name="_Toc86822746"/>
      <w:r>
        <w:t xml:space="preserve">Slika </w:t>
      </w:r>
      <w:r>
        <w:rPr>
          <w:noProof/>
        </w:rPr>
        <w:fldChar w:fldCharType="begin"/>
      </w:r>
      <w:r>
        <w:rPr>
          <w:noProof/>
        </w:rPr>
        <w:instrText xml:space="preserve"> SEQ Slika \* ARABIC </w:instrText>
      </w:r>
      <w:r>
        <w:rPr>
          <w:noProof/>
        </w:rPr>
        <w:fldChar w:fldCharType="separate"/>
      </w:r>
      <w:r w:rsidR="0088117A">
        <w:rPr>
          <w:noProof/>
        </w:rPr>
        <w:t>74</w:t>
      </w:r>
      <w:r>
        <w:rPr>
          <w:noProof/>
        </w:rPr>
        <w:fldChar w:fldCharType="end"/>
      </w:r>
      <w:r>
        <w:t xml:space="preserve">: </w:t>
      </w:r>
      <w:r w:rsidRPr="00177AA3">
        <w:t>Površina oljčnikov z ekološko pridelavo (ha)</w:t>
      </w:r>
      <w:bookmarkEnd w:id="3160"/>
    </w:p>
    <w:p w14:paraId="0825A724" w14:textId="77777777" w:rsidR="00F679A2" w:rsidRDefault="00F679A2" w:rsidP="00F679A2">
      <w:pPr>
        <w:autoSpaceDE w:val="0"/>
        <w:autoSpaceDN w:val="0"/>
        <w:adjustRightInd w:val="0"/>
        <w:spacing w:line="360" w:lineRule="auto"/>
        <w:rPr>
          <w:szCs w:val="20"/>
        </w:rPr>
      </w:pPr>
      <w:r w:rsidRPr="003B2B91">
        <w:rPr>
          <w:noProof/>
          <w:szCs w:val="20"/>
          <w:lang w:eastAsia="sl-SI"/>
        </w:rPr>
        <w:drawing>
          <wp:inline distT="0" distB="0" distL="0" distR="0" wp14:anchorId="68F42EB0" wp14:editId="7AAFF697">
            <wp:extent cx="4883848" cy="2637489"/>
            <wp:effectExtent l="0" t="0" r="12065" b="10795"/>
            <wp:docPr id="1631865350" name="Grafikon 1631865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789B731" w14:textId="77777777" w:rsidR="00F679A2" w:rsidRPr="005718B1" w:rsidRDefault="00F679A2" w:rsidP="00F679A2">
      <w:pPr>
        <w:autoSpaceDE w:val="0"/>
        <w:autoSpaceDN w:val="0"/>
        <w:adjustRightInd w:val="0"/>
        <w:spacing w:line="360" w:lineRule="auto"/>
        <w:rPr>
          <w:sz w:val="16"/>
          <w:szCs w:val="16"/>
        </w:rPr>
      </w:pPr>
      <w:r w:rsidRPr="005718B1">
        <w:rPr>
          <w:sz w:val="16"/>
          <w:szCs w:val="16"/>
        </w:rPr>
        <w:t xml:space="preserve">Vir: </w:t>
      </w:r>
      <w:r>
        <w:rPr>
          <w:sz w:val="16"/>
          <w:szCs w:val="16"/>
        </w:rPr>
        <w:t>MKGP-2020</w:t>
      </w:r>
    </w:p>
    <w:p w14:paraId="6945A598" w14:textId="77777777" w:rsidR="00F679A2" w:rsidRPr="005B2A49" w:rsidRDefault="00F679A2" w:rsidP="005B2A49">
      <w:pPr>
        <w:spacing w:after="120" w:line="260" w:lineRule="atLeast"/>
        <w:rPr>
          <w:rFonts w:eastAsia="Calibri"/>
          <w:szCs w:val="20"/>
        </w:rPr>
      </w:pPr>
      <w:r w:rsidRPr="005B2A49">
        <w:rPr>
          <w:rFonts w:eastAsia="Calibri"/>
          <w:szCs w:val="20"/>
        </w:rPr>
        <w:t>Predelava oljk v namizne oljke je omejena, vendar perspektivna dejavnost. Prijava pridelka v RKG kaže rahlo rast proizvodnje, ki v povprečju zadnjih 5 let znaša 6 ton.</w:t>
      </w:r>
    </w:p>
    <w:p w14:paraId="2FEEAD68" w14:textId="77777777" w:rsidR="00F679A2" w:rsidRPr="005B2A49" w:rsidRDefault="00F679A2" w:rsidP="005B2A49">
      <w:pPr>
        <w:spacing w:after="120" w:line="260" w:lineRule="atLeast"/>
        <w:rPr>
          <w:rFonts w:eastAsia="Calibri"/>
          <w:szCs w:val="20"/>
        </w:rPr>
      </w:pPr>
      <w:r w:rsidRPr="005B2A49">
        <w:rPr>
          <w:rFonts w:eastAsia="Calibri"/>
          <w:szCs w:val="20"/>
        </w:rPr>
        <w:t>Stopnja samooskrbe z oljčnim oljem je deficitarna in je odvisna predvsem od letne proizvodnje slovenskega oljčnega olja, medtem ko se poraba oljčnega olja povečuje. Stopnja samooskrbe se je v obdobju 2010–2019 gibala od 10% v letu 2014 do 32% v letu 2018, v povprečju pa 20%. Ocenjena poraba (proizvodnja + uvoz - izvoz) za sezono 2019 znaša 2.291 ton oljčnega olja, kar znaša 1,1 litra na prebivalca. Poraba oljčnega olja v zadnjih 20 letih sicer raste, a je v primerjavi z velikimi proizvajalkami oljčnega olja (Grčija 12 l, Španija 10 l, Italija 9 l) nizka. Slovensko oljčno olje se večinoma proda v Sloveniji. Potrošniki so pri izbiri oljčnega olja pozorni predvsem na kakovost, okus, državo porekla, označbe, proizvajalca. Zato je v Sloveniji perspektivna proizvodnja visoko kakovostnega oljčnega olja (iz shem kakovosti ZOP).</w:t>
      </w:r>
    </w:p>
    <w:p w14:paraId="727F4BEA" w14:textId="77777777" w:rsidR="00F679A2" w:rsidRPr="005B2A49" w:rsidRDefault="00F679A2" w:rsidP="005B2A49">
      <w:pPr>
        <w:spacing w:after="120" w:line="260" w:lineRule="atLeast"/>
        <w:rPr>
          <w:rFonts w:eastAsia="Calibri"/>
          <w:szCs w:val="20"/>
        </w:rPr>
      </w:pPr>
      <w:r w:rsidRPr="005B2A49">
        <w:rPr>
          <w:rFonts w:eastAsia="Calibri"/>
          <w:szCs w:val="20"/>
        </w:rPr>
        <w:t xml:space="preserve">Slovensko oljčno olje dosega visoke cene, 10 EUR/l pri pridelovalcih, olje vrhunske kakovosti = ZOP pa od 18 do 19 EUR/l oziroma precej več (odvisno tudi velikosti pakiranja). Ker na trg prihaja vse več kakovostnega, a cenejšega oljčnega olja iz tujine, obstaja nevarnost nekonkurenčnosti slovenskega olja. V trgovinah namreč prevaladuje oljčno olje neslovenskega porekla, slovensko oljčno olje pa je predvsem visoke kakovosti (ZOP), katerega cena je precej višja od tujega. Veliko tega oljčnega olja ZOP se proda v turizmu kot butični proizvod. Glede na majhno površino oljčnikov na kmetijsko gospodarstvo je večina slovenskih oljkarjev netržnih. Največ oljčnega olja se še vedno proda na kmetijah pri oljkarjih. </w:t>
      </w:r>
    </w:p>
    <w:p w14:paraId="189047BF" w14:textId="77777777" w:rsidR="00F679A2" w:rsidRPr="005B2A49" w:rsidRDefault="00F679A2" w:rsidP="005B2A49">
      <w:pPr>
        <w:spacing w:after="120" w:line="260" w:lineRule="atLeast"/>
        <w:rPr>
          <w:rFonts w:eastAsia="Calibri"/>
          <w:szCs w:val="20"/>
        </w:rPr>
      </w:pPr>
      <w:r w:rsidRPr="005B2A49">
        <w:rPr>
          <w:rFonts w:eastAsia="Calibri"/>
          <w:szCs w:val="20"/>
        </w:rPr>
        <w:t>Pri uvozu oljčnega olja beležimo hitro rast. Leta 2000 je uvoz znašal 714 ton, s postopno rastjo je v letu 2013 presegel 1.900 ton in se do leta 2019 giblje v tem obsegu (določen delež predstavlja uvoz zaradi izvoza). Izvoz v zadnjih desetih letih znaša v povprečju 43 ton letno (vendar gre v večini primerov za izvoz po uvozu), izvoz slovenskega oljčnega olja pa je količinsko zanemarljiv.</w:t>
      </w:r>
    </w:p>
    <w:p w14:paraId="721D280D" w14:textId="77777777" w:rsidR="00F679A2" w:rsidRPr="005B2A49" w:rsidRDefault="00F679A2" w:rsidP="005B2A49">
      <w:pPr>
        <w:spacing w:after="120" w:line="260" w:lineRule="atLeast"/>
        <w:rPr>
          <w:rFonts w:eastAsia="Calibri"/>
          <w:szCs w:val="20"/>
        </w:rPr>
      </w:pPr>
      <w:r w:rsidRPr="005B2A49">
        <w:rPr>
          <w:rFonts w:eastAsia="Calibri"/>
          <w:szCs w:val="20"/>
        </w:rPr>
        <w:t>Oljka kot tipična sredozemska kultura je za slovensko Primorje nepogrešljiva. Je del tradicionalne krajine in pomembna za trajnostno kmetijstvo. Zato urejeni oljčniki in samostojna stara drevesa oljk, vključno s starimi torklami za stiskanje oljčnega olja, predstavljajo bogato naravno in kulturno bogastvo Primorske. Oljčniki so območja s posebno ekološko vrednostjo, tudi zaradi malih oljkarjev, ki niso tržno usmerjeni, prispevajo pa k mozaični krajini in biotski raznovrstnosti ter razvoju turizma. Pomembno je spodbujanje trajnostnega razvoja z ozaveščanjem pridelovalcev o naravi prijaznih tehnologijah pridelave.</w:t>
      </w:r>
    </w:p>
    <w:p w14:paraId="6396675E" w14:textId="77777777" w:rsidR="00F679A2" w:rsidRPr="005B2A49" w:rsidRDefault="00F679A2" w:rsidP="005B2A49">
      <w:pPr>
        <w:spacing w:after="120" w:line="260" w:lineRule="atLeast"/>
        <w:rPr>
          <w:rFonts w:eastAsia="Calibri"/>
          <w:szCs w:val="20"/>
        </w:rPr>
      </w:pPr>
      <w:r w:rsidRPr="005B2A49">
        <w:rPr>
          <w:rFonts w:eastAsia="Calibri"/>
          <w:szCs w:val="20"/>
        </w:rPr>
        <w:t>Oljka je drevo, ki pozno vstopi v rodnost, rodna pa je lahko tudi več sto let. Zato je pomembno ohranjanje starih oljk in oljčnikov. Tudi z vidika porabe vode je oljka kot zimzelena rastlina z globokimi koreninami prilagojena na manjšo porabo vode, čeprav pogostejša sušna obdobja tudi pri oljki vplivajo na slabši pridelek. Podnebne spremembe, kot so daljša sušna obdobja, večje število ekstremnih pojavov, kot je zmrzal ali toča, neugodno vplivajo na pridelavo oljk in tudi na kakovost oljčnega olja. Zato je tudi v oljkarstvu potrebna prilagoditev tehnologije pridelave oljk, vključno s pridelovanjem primernih sort in varstva pred boleznimi in škodljivci. Ena od možnosti prilagoditve tehnologije temu pojavu je namakanje, saj so  ekstremna sušna obdobja na območjih pridelave oljk vedno bolj pogosta. Število namakalnih sistemov v oljčnikih se sicer povečuje, a je njihov delež še vedno zanemarljiv: skupaj 26 ha v 87 oljčnikih. Težave so tudi pri pridobivanju dovoljenj za postavitev namakalnih sistemov zaradi omejenost vodnih virov na Primorskem.</w:t>
      </w:r>
    </w:p>
    <w:p w14:paraId="1C0869AD"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Zaradi večjega pojavljanja toče se tudi v oljkarstvu pojavlja potreba po mrežah proti toči. Svetuje se saditev lokalnih sort (preizkušanje sort in primernih podlag, zagotovitev sadilnega materiala), prilagojenih za razmere na območjih pridelave oljk v Sloveniji. Pomembna je učinkovita opazovalna napovedovalna dejavnost službe za varstvo rastlin za potrebe oljkarstva. </w:t>
      </w:r>
    </w:p>
    <w:p w14:paraId="09CAD43D" w14:textId="77777777" w:rsidR="00F679A2" w:rsidRPr="005B2A49" w:rsidRDefault="00F679A2" w:rsidP="005B2A49">
      <w:pPr>
        <w:spacing w:after="120" w:line="260" w:lineRule="atLeast"/>
        <w:rPr>
          <w:rFonts w:eastAsia="Calibri"/>
          <w:szCs w:val="20"/>
        </w:rPr>
      </w:pPr>
      <w:r w:rsidRPr="005B2A49">
        <w:rPr>
          <w:rFonts w:eastAsia="Calibri"/>
          <w:szCs w:val="20"/>
        </w:rPr>
        <w:t>Starostna struktura oljkarjev je glede na pogoje statusa 'mladi kmet' neugodna. Največji delež predstavljajo oljkarji, stari od 41 do 64 let (1397 kmetijskih gospodarstev ali 47 %), skoraj toliko je starejših od 64 let (1321 kmetijskih gospodarstev ali 46% ), le 230 kmetijskih gospodarstev ali 7% predstavlja oljkarje, mlajše od 41 let.</w:t>
      </w:r>
    </w:p>
    <w:p w14:paraId="453CD917" w14:textId="77777777" w:rsidR="00F679A2" w:rsidRPr="005B2A49" w:rsidRDefault="00F679A2" w:rsidP="005B2A49">
      <w:pPr>
        <w:spacing w:after="120" w:line="260" w:lineRule="atLeast"/>
        <w:rPr>
          <w:rFonts w:eastAsia="Calibri"/>
          <w:szCs w:val="20"/>
        </w:rPr>
      </w:pPr>
      <w:r w:rsidRPr="005B2A49">
        <w:rPr>
          <w:rFonts w:eastAsia="Calibri"/>
          <w:szCs w:val="20"/>
        </w:rPr>
        <w:t>Za podeželje na Primorskem je oljkarstvo pomembno tudi zaradi ohranjanja sredozemske kulturne krajine in tradicije oljkarstva v povezavi s turizmom in gastronomijo (oljčni turizem). Oljkarji uvajajo nove produkte oljk (poleg vlaganja oljk tudi namazi, oljčno olje z dodatki, ipd.). Predelava oljk daje možnost uporabe stranskih proizvodov oljk (oljčne tropine, rastlinska voda, koščice, listi). Zaradi neugodne starostne strukture oljkarjev obstaja nevarnost opuščanje oljkarstva, posledično pa negativni vpliv na sredozemsko kulturno krajino (zaraščanje) in na trajnostni razvoj ter na socialno-ekonomski položaj v regiji.</w:t>
      </w:r>
    </w:p>
    <w:p w14:paraId="4A611249" w14:textId="77777777" w:rsidR="00F679A2" w:rsidRPr="005B2A49" w:rsidRDefault="00F679A2" w:rsidP="005B2A49">
      <w:pPr>
        <w:spacing w:after="120" w:line="260" w:lineRule="atLeast"/>
        <w:rPr>
          <w:rFonts w:eastAsia="Calibri"/>
          <w:szCs w:val="20"/>
        </w:rPr>
      </w:pPr>
      <w:r w:rsidRPr="005B2A49">
        <w:rPr>
          <w:rFonts w:eastAsia="Calibri"/>
          <w:szCs w:val="20"/>
        </w:rPr>
        <w:t>V programskem obdobju SKP 2014–2020 lahko oljkarji na podlagi plačilnih pravic iz sheme neposrednih plačil pridobijo osnovno plačilo in plačilo za zeleno komponento. V letu 2019 je plačilne pravice za oljčnike prejelo 864 KMG v skupni vrednosti cca. 81.000 EUR. Oljkarji niso uspešni pri črpanju podpor iz PRP, zlasti pri podporah za naložbe v kmetijska gospodarstva, saj  je za slovensko oljkarstvo značilna razdrobljena in majhna posestna struktura, zato malo kmetijsko gospodarstvo težko dosega minimum za podporo iz razpisa. Del konvencionalne pridelave se je z uvedbo podpor za sonaravno kmetijstvo preusmeril v okolju prijaznejši način pridelave.</w:t>
      </w:r>
    </w:p>
    <w:p w14:paraId="09074693" w14:textId="77777777" w:rsidR="00F679A2" w:rsidRPr="005B2A49" w:rsidRDefault="00F679A2" w:rsidP="005B2A49">
      <w:pPr>
        <w:spacing w:after="120" w:line="260" w:lineRule="atLeast"/>
        <w:rPr>
          <w:rFonts w:eastAsia="Calibri"/>
          <w:szCs w:val="20"/>
        </w:rPr>
      </w:pPr>
      <w:r w:rsidRPr="005B2A49">
        <w:rPr>
          <w:rFonts w:eastAsia="Calibri"/>
          <w:szCs w:val="20"/>
        </w:rPr>
        <w:t>Oljkarji so organizirani na ravni društev, zveze društev ter dveh zadrug. V programskem obdobju PRP 2007 – 2013 so bili oljkarji z ZOP EDOOSI združeni v skupino proizvajalcev in prejemali podporo iz ukrepov podpore za skupine proizvajalcev (133, 134, 142), vezane na ZOP. V PRP 2014 – 2020 lahko oljkarji koristijo ukrep M3 za nove skupine proizvajalcev oz. nove člane v 'starih' skupinah proizvajalcev in ukrep M9 za priznavanje skupin proizvajalcev za namen trženja. Določene skupine oljkarjev so zainteresirane za povezovanje v organizacije proizvajalcev, vendar trenutno ni priznanih skupin proizvajalcev oziroma organizaciji proizvajalcev.</w:t>
      </w:r>
    </w:p>
    <w:p w14:paraId="772B36E3" w14:textId="77777777" w:rsidR="00F679A2" w:rsidRPr="005B2A49" w:rsidRDefault="00F679A2" w:rsidP="005B2A49">
      <w:pPr>
        <w:spacing w:after="120" w:line="260" w:lineRule="atLeast"/>
        <w:rPr>
          <w:rFonts w:eastAsia="Calibri"/>
          <w:szCs w:val="20"/>
        </w:rPr>
      </w:pPr>
      <w:r w:rsidRPr="005B2A49">
        <w:rPr>
          <w:rFonts w:eastAsia="Calibri"/>
          <w:szCs w:val="20"/>
        </w:rPr>
        <w:t>Za tehnološki napredek in izmenjavo znanj ima pomembno vlogo javna služba na področju oljkarstva, ki izvaja strokovne naloge s področja oljkarstva (selekcija oljk, introdukcija oljk, zagotavljanje matičnega sadilnega materiala oljke, tehnologija pridelave oljk, ugotavljanje vrednosti oljk za predelavo) in s tem prispeva k uresničevanju strateških usmeritev razvoja oljkarstva. V prenos znanja so vključene tudi javna služba kmetijskega svetovanja (1/2 svetovalca, KGZ NG) in služba za zdravstveno varstvo rastlin (KGZ NG).</w:t>
      </w:r>
    </w:p>
    <w:p w14:paraId="4FE5993A" w14:textId="07F2B9F5" w:rsidR="00F679A2" w:rsidRDefault="00F679A2" w:rsidP="005B2A49">
      <w:pPr>
        <w:spacing w:after="120" w:line="260" w:lineRule="atLeast"/>
        <w:rPr>
          <w:rFonts w:eastAsia="Calibri"/>
          <w:szCs w:val="20"/>
        </w:rPr>
      </w:pPr>
      <w:r w:rsidRPr="005B2A49">
        <w:rPr>
          <w:rFonts w:eastAsia="Calibri"/>
          <w:szCs w:val="20"/>
        </w:rPr>
        <w:t xml:space="preserve">Ministrstvo je v zadnjem obdobju financiralo tudi CRP projekte na področju oljkarstva za proučevanje namakanja oljk in uporabe oljčnih tropin za različne namene (gnojenje, prehranska dopolnila, kurjava). </w:t>
      </w:r>
    </w:p>
    <w:p w14:paraId="05D490F3" w14:textId="77777777" w:rsidR="00C25531" w:rsidRPr="005B2A49" w:rsidRDefault="00C25531" w:rsidP="005B2A49">
      <w:pPr>
        <w:spacing w:after="120" w:line="260" w:lineRule="atLeast"/>
        <w:rPr>
          <w:rFonts w:eastAsia="Calibri"/>
          <w:szCs w:val="20"/>
        </w:rPr>
      </w:pPr>
    </w:p>
    <w:p w14:paraId="36341C2A" w14:textId="77777777" w:rsidR="00F679A2" w:rsidRPr="001261F1" w:rsidRDefault="00F679A2" w:rsidP="00F679A2">
      <w:pPr>
        <w:pStyle w:val="Naslov3"/>
      </w:pPr>
      <w:bookmarkStart w:id="3161" w:name="_Toc86822598"/>
      <w:r w:rsidRPr="001261F1">
        <w:t>Ključne ugotovitve</w:t>
      </w:r>
      <w:bookmarkEnd w:id="3161"/>
    </w:p>
    <w:p w14:paraId="082945C9" w14:textId="77777777" w:rsidR="00F679A2" w:rsidRPr="003B2B91" w:rsidRDefault="00F679A2" w:rsidP="005B2A49">
      <w:pPr>
        <w:numPr>
          <w:ilvl w:val="0"/>
          <w:numId w:val="191"/>
        </w:numPr>
        <w:spacing w:after="120" w:line="260" w:lineRule="atLeast"/>
        <w:ind w:left="357" w:hanging="357"/>
        <w:rPr>
          <w:szCs w:val="20"/>
        </w:rPr>
      </w:pPr>
      <w:r w:rsidRPr="003B2B91">
        <w:rPr>
          <w:szCs w:val="20"/>
        </w:rPr>
        <w:t xml:space="preserve">Oljkarstvo ima v Sloveniji velik potencial, tako z vidika možnosti povečevanja površin oljčnikov, ohranjanja kulturne krajine, povezovanja s turizmom in povečevanja porabe oljčnega olja. </w:t>
      </w:r>
    </w:p>
    <w:p w14:paraId="3266F149" w14:textId="77777777" w:rsidR="00F679A2" w:rsidRPr="003B2B91" w:rsidRDefault="00F679A2" w:rsidP="005B2A49">
      <w:pPr>
        <w:numPr>
          <w:ilvl w:val="0"/>
          <w:numId w:val="191"/>
        </w:numPr>
        <w:spacing w:after="120" w:line="260" w:lineRule="atLeast"/>
        <w:ind w:left="357" w:hanging="357"/>
        <w:rPr>
          <w:szCs w:val="20"/>
        </w:rPr>
      </w:pPr>
      <w:r w:rsidRPr="003B2B91">
        <w:rPr>
          <w:szCs w:val="20"/>
        </w:rPr>
        <w:t xml:space="preserve">Pridelava oljk in s tem proizvodnja oljčnega olja v zadnjih letih precej niha, prevladujejo slabe letine, predvsem zaradi podnebnih sprememb (suša, ekstremni vremenski pojavi), izmenične rodnosti, slaba organiziranost za skupno trženje, značilni so razdrobljenost, majhnost oljčnikov, hriboviti relief in težave pri pridobivanju zemljišč v najem iz Sklada kmetijskih zemljišč in gozdov </w:t>
      </w:r>
      <w:r w:rsidRPr="00612A31">
        <w:rPr>
          <w:szCs w:val="20"/>
        </w:rPr>
        <w:t xml:space="preserve">Republike Slovenije </w:t>
      </w:r>
      <w:r w:rsidRPr="003B2B91">
        <w:rPr>
          <w:szCs w:val="20"/>
        </w:rPr>
        <w:t>ter pojavljanje bolezni in škodljivcev. Zaradi vsega naštetega je pridelava oljčnega olja nekonkurenčna, zato je v prihodnje potrebno okrepiti investicije v postavitev novih nasadov (izbor primernih sort in leg), izgradnjo namakalnih sistemov in spodbujati pridelovalce k povezovanju.</w:t>
      </w:r>
    </w:p>
    <w:p w14:paraId="32433904" w14:textId="77777777" w:rsidR="00F679A2" w:rsidRPr="003B2B91" w:rsidRDefault="00F679A2" w:rsidP="005B2A49">
      <w:pPr>
        <w:numPr>
          <w:ilvl w:val="0"/>
          <w:numId w:val="191"/>
        </w:numPr>
        <w:spacing w:after="120" w:line="260" w:lineRule="atLeast"/>
        <w:ind w:left="357" w:hanging="357"/>
        <w:rPr>
          <w:szCs w:val="20"/>
        </w:rPr>
      </w:pPr>
      <w:r w:rsidRPr="003B2B91">
        <w:rPr>
          <w:szCs w:val="20"/>
        </w:rPr>
        <w:t>V Sloveniji proizvajamo visoko kakovostno oljčno olje.</w:t>
      </w:r>
      <w:r w:rsidRPr="003B2B91">
        <w:rPr>
          <w:rFonts w:eastAsia="Arial"/>
          <w:szCs w:val="20"/>
        </w:rPr>
        <w:t xml:space="preserve"> Delež tržno usmerjenih oljkarjev je majhen, saj se večina oljčnega olja proda na kmetiji in ne po evidentiranih tržnih poteh. Za povečanje tržno usmerjenih oljkarjev je potrebno graditi na promociji slovenskega oljkarstva in oljčnega olja ter okrepiti povezovanje oljkarjev za boljši položaj in konkurenčnost na trgu, okrepiti naložbe in nameniti sredstva za </w:t>
      </w:r>
      <w:r w:rsidRPr="003B2B91">
        <w:rPr>
          <w:szCs w:val="20"/>
        </w:rPr>
        <w:t>ugotavljanje skladnosti oljčnega olja</w:t>
      </w:r>
      <w:r w:rsidRPr="003B2B91">
        <w:rPr>
          <w:rFonts w:eastAsia="Arial"/>
          <w:szCs w:val="20"/>
        </w:rPr>
        <w:t>.</w:t>
      </w:r>
    </w:p>
    <w:p w14:paraId="57EF0A78" w14:textId="5C1CE2B6" w:rsidR="00F679A2" w:rsidRDefault="00F679A2" w:rsidP="005B2A49">
      <w:pPr>
        <w:numPr>
          <w:ilvl w:val="0"/>
          <w:numId w:val="191"/>
        </w:numPr>
        <w:spacing w:after="120" w:line="260" w:lineRule="atLeast"/>
        <w:ind w:left="357" w:hanging="357"/>
        <w:rPr>
          <w:szCs w:val="20"/>
        </w:rPr>
      </w:pPr>
      <w:r w:rsidRPr="003B2B91">
        <w:rPr>
          <w:szCs w:val="20"/>
        </w:rPr>
        <w:t>Ne glede na to, da so za Slovenijo značilni manjši oljkarji, ki svoje olje tržijo predvsem na domu, imajo pomembno vlogo z vidika izboljševanja dohodkovnega položaja kmetijskih pridelovalcev, obdelanosti kmetijskih zemljišč in ohranjanja kulturne krajine</w:t>
      </w:r>
      <w:r>
        <w:rPr>
          <w:szCs w:val="20"/>
        </w:rPr>
        <w:t>.</w:t>
      </w:r>
    </w:p>
    <w:p w14:paraId="5B32396E" w14:textId="77777777" w:rsidR="00C25531" w:rsidRPr="003C4801" w:rsidRDefault="00C25531" w:rsidP="005B2A49">
      <w:pPr>
        <w:spacing w:after="120" w:line="260" w:lineRule="atLeast"/>
        <w:ind w:left="357"/>
        <w:rPr>
          <w:szCs w:val="20"/>
        </w:rPr>
      </w:pPr>
    </w:p>
    <w:p w14:paraId="08718A65" w14:textId="77777777" w:rsidR="00F679A2" w:rsidRPr="001261F1" w:rsidRDefault="00701492" w:rsidP="00F679A2">
      <w:pPr>
        <w:pStyle w:val="Naslov2"/>
      </w:pPr>
      <w:hyperlink r:id="rId107" w:history="1">
        <w:bookmarkStart w:id="3162" w:name="_Toc86822599"/>
        <w:r w:rsidR="00F679A2" w:rsidRPr="001261F1">
          <w:t>Hmeljarstvo</w:t>
        </w:r>
        <w:bookmarkEnd w:id="3162"/>
      </w:hyperlink>
    </w:p>
    <w:p w14:paraId="06D6EE48" w14:textId="77777777" w:rsidR="00F679A2" w:rsidRPr="005B2A49" w:rsidRDefault="00F679A2" w:rsidP="005B2A49">
      <w:pPr>
        <w:spacing w:after="120" w:line="260" w:lineRule="atLeast"/>
        <w:rPr>
          <w:rFonts w:eastAsia="Calibri"/>
          <w:szCs w:val="20"/>
        </w:rPr>
      </w:pPr>
      <w:r w:rsidRPr="005B2A49">
        <w:rPr>
          <w:rFonts w:eastAsia="Calibri"/>
          <w:szCs w:val="20"/>
        </w:rPr>
        <w:t>Hmeljarstvo</w:t>
      </w:r>
      <w:r w:rsidRPr="005B2A49" w:rsidDel="00B907D9">
        <w:rPr>
          <w:rFonts w:eastAsia="Calibri"/>
          <w:szCs w:val="20"/>
        </w:rPr>
        <w:t xml:space="preserve"> ima</w:t>
      </w:r>
      <w:r w:rsidRPr="005B2A49">
        <w:rPr>
          <w:rFonts w:eastAsia="Calibri"/>
          <w:szCs w:val="20"/>
        </w:rPr>
        <w:t xml:space="preserve"> v Sloveniji</w:t>
      </w:r>
      <w:r w:rsidRPr="005B2A49" w:rsidDel="00703221">
        <w:rPr>
          <w:rFonts w:eastAsia="Calibri"/>
          <w:szCs w:val="20"/>
        </w:rPr>
        <w:t xml:space="preserve"> </w:t>
      </w:r>
      <w:r w:rsidRPr="005B2A49">
        <w:rPr>
          <w:rFonts w:eastAsia="Calibri"/>
          <w:szCs w:val="20"/>
        </w:rPr>
        <w:t>dolgoletno</w:t>
      </w:r>
      <w:r w:rsidRPr="005B2A49" w:rsidDel="00B907D9">
        <w:rPr>
          <w:rFonts w:eastAsia="Calibri"/>
          <w:szCs w:val="20"/>
        </w:rPr>
        <w:t xml:space="preserve"> tradicijo in </w:t>
      </w:r>
      <w:r w:rsidRPr="005B2A49">
        <w:rPr>
          <w:rFonts w:eastAsia="Calibri"/>
          <w:szCs w:val="20"/>
        </w:rPr>
        <w:t xml:space="preserve">je ena od najbolj prepoznavnih pokrajinskih značilnosti in dejavnosti v Spodnji Savinjski dolini. Pridelava hmelja je omejena na območje Ptujskega polja, Koroške in Dravske doline. Specifična kombinacija predalpske klime in tal, kot naše naravne danosti, omogoča proizvodnjo aromatskih sort s svetovnim slovesom. </w:t>
      </w:r>
    </w:p>
    <w:p w14:paraId="7E7FEC5C"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letu 2007 predstavlja hmelj od 0,4 % do 2,6 % vrednosti kmetijske proizvodnje, v vrednosti rastlinske pridelave pa ta delež predstavlja od 0,7 % do 5,2 %.  </w:t>
      </w:r>
    </w:p>
    <w:p w14:paraId="0C9B8C12" w14:textId="64B05861" w:rsidR="00F679A2" w:rsidRDefault="00F679A2" w:rsidP="005B2A49">
      <w:pPr>
        <w:spacing w:after="120" w:line="260" w:lineRule="atLeast"/>
        <w:rPr>
          <w:rFonts w:eastAsia="Calibri"/>
          <w:szCs w:val="20"/>
        </w:rPr>
      </w:pPr>
      <w:r w:rsidRPr="005B2A49">
        <w:rPr>
          <w:rFonts w:eastAsia="Calibri"/>
          <w:szCs w:val="20"/>
        </w:rPr>
        <w:t xml:space="preserve">Strateški cilji Slovenije na področju hmeljarstva so: dosegati 3 % svetovni delež pridelave hmelja in stabilizirati proizvodnjo v smislu količinsko in kakovostno trajne ponudbe za trg, razviti nove sorte, ki bodo prilagojene na nove podnebne spremembe ter preprečevati širjenje karantenskih bolezni in škodljivcev. </w:t>
      </w:r>
    </w:p>
    <w:p w14:paraId="5C3B7946" w14:textId="77777777" w:rsidR="00C25531" w:rsidRPr="005B2A49" w:rsidRDefault="00C25531" w:rsidP="005B2A49">
      <w:pPr>
        <w:spacing w:after="120" w:line="260" w:lineRule="atLeast"/>
        <w:rPr>
          <w:rFonts w:eastAsia="Calibri"/>
          <w:szCs w:val="20"/>
        </w:rPr>
      </w:pPr>
    </w:p>
    <w:p w14:paraId="465951C0" w14:textId="77777777" w:rsidR="00F679A2" w:rsidRPr="001261F1" w:rsidRDefault="00F679A2" w:rsidP="00F679A2">
      <w:pPr>
        <w:pStyle w:val="Naslov3"/>
      </w:pPr>
      <w:bookmarkStart w:id="3163" w:name="_Toc86822600"/>
      <w:r w:rsidRPr="001261F1">
        <w:t>Stanje in osnovni ekonomski kazalniki</w:t>
      </w:r>
      <w:bookmarkEnd w:id="3163"/>
    </w:p>
    <w:p w14:paraId="6BA209F7" w14:textId="77777777" w:rsidR="00F679A2" w:rsidRPr="005B2A49" w:rsidRDefault="00F679A2" w:rsidP="005B2A49">
      <w:pPr>
        <w:spacing w:after="120" w:line="260" w:lineRule="atLeast"/>
        <w:rPr>
          <w:rFonts w:eastAsia="Calibri"/>
          <w:szCs w:val="20"/>
        </w:rPr>
      </w:pPr>
      <w:r w:rsidRPr="005B2A49">
        <w:rPr>
          <w:rFonts w:eastAsia="Calibri"/>
          <w:szCs w:val="20"/>
        </w:rPr>
        <w:t>Hmelj v Sloveniji zaseda okoli 1% njivskih površin. Od leta 2013 beležimo ponovno rast površin pod hmeljem. Leta 2013 se je hmelj prideloval na 1.166 ha, leta 2018 pa že na 1.667 ha. Vse do leta 2018 so se površine pod hmeljem povečevale, kar lahko pripišemo ugodni tržni situaciji. V letu 2019 so se  površine pod hmeljem zmanjšale na 1.616 ha, vendar niso padle pod dolgoletno poprečje.</w:t>
      </w:r>
    </w:p>
    <w:p w14:paraId="4265330E" w14:textId="0EFD9ADB" w:rsidR="00F679A2" w:rsidRDefault="00F679A2" w:rsidP="00F679A2">
      <w:pPr>
        <w:pStyle w:val="SCSlika0"/>
      </w:pPr>
      <w:bookmarkStart w:id="3164" w:name="_Toc86822747"/>
      <w:r>
        <w:t xml:space="preserve">Slika </w:t>
      </w:r>
      <w:r>
        <w:rPr>
          <w:noProof/>
        </w:rPr>
        <w:fldChar w:fldCharType="begin"/>
      </w:r>
      <w:r>
        <w:rPr>
          <w:noProof/>
        </w:rPr>
        <w:instrText xml:space="preserve"> SEQ Slika \* ARABIC </w:instrText>
      </w:r>
      <w:r>
        <w:rPr>
          <w:noProof/>
        </w:rPr>
        <w:fldChar w:fldCharType="separate"/>
      </w:r>
      <w:r w:rsidR="0088117A">
        <w:rPr>
          <w:noProof/>
        </w:rPr>
        <w:t>75</w:t>
      </w:r>
      <w:r>
        <w:rPr>
          <w:noProof/>
        </w:rPr>
        <w:fldChar w:fldCharType="end"/>
      </w:r>
      <w:r>
        <w:t xml:space="preserve">: </w:t>
      </w:r>
      <w:r w:rsidRPr="00177AA3">
        <w:t>Površina in pridelek hmelja (2007–2019)</w:t>
      </w:r>
      <w:bookmarkEnd w:id="3164"/>
    </w:p>
    <w:p w14:paraId="3F647056"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4B940B32" wp14:editId="097E5F40">
            <wp:extent cx="5629275" cy="2218690"/>
            <wp:effectExtent l="0" t="0" r="9525" b="0"/>
            <wp:docPr id="1631865351" name="Slika 16318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9275" cy="2218690"/>
                    </a:xfrm>
                    <a:prstGeom prst="rect">
                      <a:avLst/>
                    </a:prstGeom>
                    <a:noFill/>
                    <a:ln>
                      <a:noFill/>
                    </a:ln>
                  </pic:spPr>
                </pic:pic>
              </a:graphicData>
            </a:graphic>
          </wp:inline>
        </w:drawing>
      </w:r>
    </w:p>
    <w:p w14:paraId="0B365B54" w14:textId="77777777" w:rsidR="00F679A2" w:rsidRPr="003B2B91" w:rsidRDefault="00F679A2" w:rsidP="00F679A2">
      <w:pPr>
        <w:spacing w:line="360" w:lineRule="auto"/>
        <w:rPr>
          <w:bCs/>
          <w:szCs w:val="20"/>
        </w:rPr>
      </w:pPr>
      <w:r w:rsidRPr="005718B1">
        <w:rPr>
          <w:rFonts w:eastAsia="Calibri"/>
          <w:sz w:val="16"/>
          <w:szCs w:val="16"/>
        </w:rPr>
        <w:t xml:space="preserve">Vir: </w:t>
      </w:r>
      <w:r>
        <w:rPr>
          <w:rFonts w:eastAsia="Calibri"/>
          <w:sz w:val="16"/>
          <w:szCs w:val="16"/>
        </w:rPr>
        <w:t>SURS (</w:t>
      </w:r>
      <w:r w:rsidRPr="005718B1">
        <w:rPr>
          <w:rFonts w:eastAsia="Calibri"/>
          <w:sz w:val="16"/>
          <w:szCs w:val="16"/>
        </w:rPr>
        <w:t>ZP-2019</w:t>
      </w:r>
      <w:r>
        <w:rPr>
          <w:rFonts w:eastAsia="Calibri"/>
          <w:sz w:val="16"/>
          <w:szCs w:val="16"/>
        </w:rPr>
        <w:t>)</w:t>
      </w:r>
    </w:p>
    <w:p w14:paraId="3F5A4EF4" w14:textId="77777777" w:rsidR="00F679A2" w:rsidRPr="005B2A49" w:rsidRDefault="00F679A2" w:rsidP="005B2A49">
      <w:pPr>
        <w:spacing w:after="120" w:line="260" w:lineRule="atLeast"/>
        <w:rPr>
          <w:rFonts w:eastAsia="Calibri"/>
          <w:szCs w:val="20"/>
        </w:rPr>
      </w:pPr>
      <w:r w:rsidRPr="005B2A49">
        <w:rPr>
          <w:rFonts w:eastAsia="Calibri"/>
          <w:szCs w:val="20"/>
        </w:rPr>
        <w:t>Glede na leto 2010 se je površina hmeljišč v starosti od 1-7 let v letu 2018 praktično podvojila. V letu 2018 in tudi še v letu 2019 površina nasadov v starosti od 1-7 let predstavlja več kot 50% vseh hmeljišč.</w:t>
      </w:r>
    </w:p>
    <w:p w14:paraId="0693AB47" w14:textId="77777777" w:rsidR="00F679A2" w:rsidRPr="005B2A49" w:rsidRDefault="00F679A2" w:rsidP="005B2A49">
      <w:pPr>
        <w:spacing w:after="120" w:line="260" w:lineRule="atLeast"/>
        <w:rPr>
          <w:rFonts w:eastAsia="Calibri"/>
          <w:szCs w:val="20"/>
        </w:rPr>
      </w:pPr>
      <w:r w:rsidRPr="005B2A49">
        <w:rPr>
          <w:rFonts w:eastAsia="Calibri"/>
          <w:szCs w:val="20"/>
        </w:rPr>
        <w:t>Zadnjih pet let je proizvodnja hmelja v Sloveniji naraščala, razen v letu 2019, ko se je proizvodnja hmelja zmanjšala na 2.572 ton. V letu 2015 je bilo v ekološko pridelavo hmelja vključenih 24,1 ha. V zadnjih dveh letih se ekološki hmelj prideluje le na 1,1 ha.</w:t>
      </w:r>
    </w:p>
    <w:p w14:paraId="6A1E84F4"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Pridelava hmelja v Sloveniji obsega približno do 2 – 3 % svetovne pridelave hmelja, kar Slovenijo uvršča na 4. mesto v Evropi (za Nemčijo, Češko, in Poljsko) oz. 6. mesto med vsemi 20 državami na svetu, ki pridelujejo hmelj. </w:t>
      </w:r>
    </w:p>
    <w:p w14:paraId="2FDF6D64" w14:textId="77777777" w:rsidR="00F679A2" w:rsidRPr="005B2A49" w:rsidRDefault="00F679A2" w:rsidP="005B2A49">
      <w:pPr>
        <w:spacing w:after="120" w:line="260" w:lineRule="atLeast"/>
        <w:rPr>
          <w:rFonts w:eastAsia="Calibri"/>
          <w:szCs w:val="20"/>
        </w:rPr>
      </w:pPr>
      <w:r w:rsidRPr="005B2A49">
        <w:rPr>
          <w:rFonts w:eastAsia="Calibri"/>
          <w:szCs w:val="20"/>
        </w:rPr>
        <w:t>S pomočjo kontinuiranega procesa žlahtnjenja hmelja je bilo v Sloveniji v zadnjih 65 letih vzgojenih 20 sort hmelja, ki pokrivajo 98 % slovenskih hmeljišč, dodatna dva odstotka površine pa pokrivajo tuje sorte in sorte v preizkušanju. Izbor sort se je namreč samo od leta 2010 do 2019 povečal za 10 novih sort hmelja. V primerjavi z ostalimi kmetijskimi rastlinami je za hmeljarstvo namreč značilno, da je večina hmeljnih nasadov posajenih s slovenskimi sortami hmelja. Kljub novim trendom v pivovarski industriji je edina sorta, ki se je od samega začetka uvajanja hmelja na Slovenskem pa vse do danes obdržala, sorta hmelja Savinjski golding, ki je zaradi svoje prepoznavne fine hmeljske arome razširila sloves slovenskega hmelja širom po svetu. V Sloveniji se največ pridelujejo sorte hmelja kot so Celeia, Aurora in Savinjski Golding. Sorti hmelja Aurora so se površine zmanjšale v letu 2019, glede na leto 2010, povečale pa so se površine sorte hmelja Celeia, površine pod sorto Savinjski Golding pa ostaja v vseh teh letih na približno enaki ravni. Še vedno prevladujejo aromatične sorte hmelja.</w:t>
      </w:r>
    </w:p>
    <w:p w14:paraId="29746C9F"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hmeljarstvu obstaja dolgoletni trend zmanjševanja števila pridelovalcev, ki pa postajajo vse večji in bolj specializirani, saj se pri pridelavi sledi vse strožjim standardom kakovosti, ki jo zahtevajo kupci. Število pridelovalcev hmeljarjev je od leta 1992, ko jih je bilo, po podatkih Inštituta za hmeljarstvo in pivovarstvo Slovenije (IHPS) največ (495), padalo vse do leta 2014, ko jih je bilo le še 110. Potem se je število spet nekoliko povečalo, v letu 2019 je bilo 119 pridelovalcev hmelja. </w:t>
      </w:r>
    </w:p>
    <w:p w14:paraId="7277DAB0"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tržnih ocenah potreb po hmelju zaznavamo prekomerne zaloge pri pivovarnah, ker realizacija proizvodnje ne dosega optimističnih načrtov iz preteklih let. Osemletno širjenje hmeljišč in signali pivovarske potrošnje hmelja v letu 2020 nakazujejo prelomno obdobje donosnosti hmeljarstva in spominjajo vse bolj na obdobje po letu 2008, ko je ponudba hmelja močno presegla povpraševanje po hmelju in hmeljnih proizvodih. Takrat so le pravočasno sklenjene pogodbe o prodaji hmelja omogočale stabilen dohodek in donosnost pridelave. </w:t>
      </w:r>
    </w:p>
    <w:p w14:paraId="7B0D845A" w14:textId="77777777" w:rsidR="00F679A2" w:rsidRPr="005B2A49" w:rsidRDefault="00F679A2" w:rsidP="005B2A49">
      <w:pPr>
        <w:spacing w:after="120" w:line="260" w:lineRule="atLeast"/>
        <w:rPr>
          <w:rFonts w:eastAsia="Calibri"/>
          <w:szCs w:val="20"/>
        </w:rPr>
      </w:pPr>
      <w:r w:rsidRPr="005B2A49">
        <w:rPr>
          <w:rFonts w:eastAsia="Calibri"/>
          <w:szCs w:val="20"/>
        </w:rPr>
        <w:t xml:space="preserve">Trenutno v Sloveniji deluje eno veliko pivovarsko podjetje Pivovarno Laško Union d.o.o., ki združuje Pivovarno Laško in Pivovarno Union. Poleg njiju pa je konec leta 2019 prisotnih še okoli 105 malih pivovarn, katerih tržni delež trenutno predstavlja okoli 1% proizvedenega piva (od 1,4 mio hl piva) v Sloveniji. </w:t>
      </w:r>
    </w:p>
    <w:p w14:paraId="509B589F" w14:textId="77777777" w:rsidR="00F679A2" w:rsidRPr="005B2A49" w:rsidRDefault="00F679A2" w:rsidP="005B2A49">
      <w:pPr>
        <w:spacing w:after="120" w:line="260" w:lineRule="atLeast"/>
        <w:rPr>
          <w:rFonts w:eastAsia="Calibri"/>
          <w:szCs w:val="20"/>
        </w:rPr>
      </w:pPr>
      <w:r w:rsidRPr="005B2A49">
        <w:rPr>
          <w:rFonts w:eastAsia="Calibri"/>
          <w:szCs w:val="20"/>
        </w:rPr>
        <w:t xml:space="preserve">Hmeljarstvo v Sloveniji je tradicionalno izvozno usmerjeno. 99 % pridelka hmelja se izvozi v različne evropske države in sicer največ v Nemčijo, Belgijo, Veliko Britanijo in Vietnam, pa tudi tretje države kot so Kitajska, Ukrajina, Rusija, ZDA in Japonska. 1 % pridelave pa se porabi doma za farmacijo, kozmetiko, čaje ter ostalo. </w:t>
      </w:r>
    </w:p>
    <w:p w14:paraId="72A3A333" w14:textId="77777777" w:rsidR="00F679A2" w:rsidRPr="005B2A49" w:rsidRDefault="00F679A2" w:rsidP="005B2A49">
      <w:pPr>
        <w:spacing w:after="120" w:line="260" w:lineRule="atLeast"/>
        <w:rPr>
          <w:rFonts w:eastAsia="Calibri"/>
          <w:szCs w:val="20"/>
        </w:rPr>
      </w:pPr>
      <w:r w:rsidRPr="005B2A49">
        <w:rPr>
          <w:rFonts w:eastAsia="Calibri"/>
          <w:szCs w:val="20"/>
        </w:rPr>
        <w:t>Hmeljarski sektor ima visok delež zavarovanih hmeljišč pred naravnimi nesrečami.</w:t>
      </w:r>
    </w:p>
    <w:p w14:paraId="0AB8DAC2" w14:textId="77777777" w:rsidR="00F679A2" w:rsidRPr="005B2A49" w:rsidRDefault="00F679A2" w:rsidP="005B2A49">
      <w:pPr>
        <w:spacing w:after="120" w:line="260" w:lineRule="atLeast"/>
        <w:rPr>
          <w:rFonts w:eastAsia="Calibri"/>
          <w:szCs w:val="20"/>
        </w:rPr>
      </w:pPr>
      <w:r w:rsidRPr="005B2A49">
        <w:rPr>
          <w:rFonts w:eastAsia="Calibri"/>
          <w:szCs w:val="20"/>
        </w:rPr>
        <w:t>Odkupne cene hmelja v Sloveniji so praktično v celoti odvisne od razmer na svetovnem trgu. Trend povečevanja odkupnih cen hmelja je opazen od leta 2011 dalje. Odkupne cene hmelja so v zadnjih letih narasle, v letih med 2010 in 2019 iz 3,38 na 7,54 EUR/kg. Tržna cena hmelja se sicer oblikuje glede na globalne tržne razmere oz. povpraševanje pivovarn – specifično pa še glede na sorto, provenienco, parametre pivovarske kakovosti kot npr. vsebnosti alfa-kislin in oceno bonitete kupcev.</w:t>
      </w:r>
    </w:p>
    <w:p w14:paraId="70AD086F" w14:textId="77777777" w:rsidR="00F679A2" w:rsidRPr="005B2A49" w:rsidRDefault="00F679A2" w:rsidP="005B2A49">
      <w:pPr>
        <w:spacing w:after="120" w:line="260" w:lineRule="atLeast"/>
        <w:rPr>
          <w:rFonts w:eastAsia="Calibri"/>
          <w:szCs w:val="20"/>
        </w:rPr>
      </w:pPr>
      <w:r w:rsidRPr="005B2A49">
        <w:rPr>
          <w:rFonts w:eastAsia="Calibri"/>
          <w:szCs w:val="20"/>
        </w:rPr>
        <w:t xml:space="preserve">Modelna kalkulacija neposrednih oz. variabilnih modelnih stroškov pridelave hmelja je po podatkih IHPS v letu 2019 znašala pri povprečno pričakovanem pridelku 1.800 kg/ha (ocenjen prag konkurenčnosti pridelave) 4,18 EUR/kg hmelja. Ta podatek lahko predstavlja izhodišče za kratkoročno določanje prodajne cene hmelja, saj nižja dosežena cena predstavlja pridelavo s kratkoročnim negativnim finančnim rezultatom. Modelni stroški pridelave hmelja so odvisni od sorte hmelja in hektarskega pridelka. Modelno izračunana lastna cena hmelja, oz. skupni stroški pridelave v Sloveniji  za leto 2019  znašajo 5,74 EUR/kg. </w:t>
      </w:r>
    </w:p>
    <w:p w14:paraId="392980DD" w14:textId="77777777" w:rsidR="00F679A2" w:rsidRPr="005B2A49" w:rsidRDefault="00F679A2" w:rsidP="005B2A49">
      <w:pPr>
        <w:spacing w:after="120" w:line="260" w:lineRule="atLeast"/>
        <w:rPr>
          <w:rFonts w:eastAsia="Calibri"/>
          <w:szCs w:val="20"/>
        </w:rPr>
      </w:pPr>
      <w:r w:rsidRPr="005B2A49">
        <w:rPr>
          <w:rFonts w:eastAsia="Calibri"/>
          <w:szCs w:val="20"/>
        </w:rPr>
        <w:t>Hmeljarji v okviru SKP 2014 – 2020 prejmejo na leto okoli 1,8 mio EUR neposrednih plačil, kar je povprečno okoli 12.500 EUR neposrednih plačil na hmeljarsko kmetijsko gospodarstvo, medtem ko je povprečen skupni znesek neposrednih plačil na kmetijsko gospodarstvo okoli 2.450 EUR. V velikostnem razponu od 10 do 50 ha je največ neposrednih plačil. Sektor hmeljarstva ima najvišjo vrednost plačilnih pravic glede na ostale sektorje in sicer povprečna vrednost plačilnih pravic je 209 EUR. 109 KMG ima nadpovprečno vrednost plačilnih pravic.</w:t>
      </w:r>
    </w:p>
    <w:p w14:paraId="08415F8D" w14:textId="77777777" w:rsidR="00F679A2" w:rsidRPr="005B2A49" w:rsidRDefault="00F679A2" w:rsidP="005B2A49">
      <w:pPr>
        <w:spacing w:after="120" w:line="260" w:lineRule="atLeast"/>
        <w:rPr>
          <w:rFonts w:eastAsia="Calibri"/>
          <w:szCs w:val="20"/>
        </w:rPr>
      </w:pPr>
      <w:r w:rsidRPr="005B2A49">
        <w:rPr>
          <w:rFonts w:eastAsia="Calibri"/>
          <w:szCs w:val="20"/>
        </w:rPr>
        <w:t>V okviru Programa razvoja podeželja 2014 – 2020 je bilo iz ukrepa M04.1 Naložbe v osnovna sredstva odobrenih 40 vlog, kar predstavlja 2,9 % odobrenih vlog v hmeljarstvu. Do 31. 12. 2019 je bilo izplačanih 32 vlog v skupni vrednosti 2 mio EUR. Kmetijska gospodarstva, ki so kandidirala na podukrepu M04.1 so imela v povprečju 23,3 ha hmeljišč ter 7,5 ha hmeljišč v premeni. V podukrep M04.2 Podpora za naložbe v predelavo in/ali razvoj kmetijskih proizvodov je bila odobrena in izplačana edina prispela vloga v skupni višini 135.550 EUR.  Na podukrep M06.1 Pomoč za zagon dejavnosti za mlade kmete se je javilo 8 mladih prevzemnikov, katerim so bile odobrene vloge in jim je bilo izplačanih 247.020 EUR. Na podukrepu M06.3 Pomoč za zagon dejavnosti, namenjena razvoju majhnih kmetij, je bila odobrena ena vloga v višini 5.000 EUR. Na podukrepu M10.1 Plačilo kmetijsko okoljskih podnebnih obveznosti je bilo za operacijo Hmeljarstvo izplačanih 535.705 EUR, na 651 ha.</w:t>
      </w:r>
    </w:p>
    <w:p w14:paraId="4EFB5FB7" w14:textId="77777777" w:rsidR="00F679A2" w:rsidRPr="005B2A49" w:rsidRDefault="00F679A2" w:rsidP="005B2A49">
      <w:pPr>
        <w:spacing w:after="120" w:line="260" w:lineRule="atLeast"/>
        <w:rPr>
          <w:rFonts w:eastAsia="Calibri"/>
          <w:szCs w:val="20"/>
        </w:rPr>
      </w:pPr>
      <w:r w:rsidRPr="005B2A49">
        <w:rPr>
          <w:rFonts w:eastAsia="Calibri"/>
          <w:szCs w:val="20"/>
        </w:rPr>
        <w:t xml:space="preserve">Od leta 2006 so tudi pridelovalci hmelja upravičeni do regresiranja zavarovanja, ki je bilo leta 2019 50-odstotno, uveljavljajo pa lahko tudi pravico do vračila dela trošarine za gorivo, porabljeno v kmetijstvu (70 % trošarine). </w:t>
      </w:r>
    </w:p>
    <w:p w14:paraId="1C93D1DD" w14:textId="77777777" w:rsidR="00F679A2" w:rsidRPr="005B2A49" w:rsidRDefault="00F679A2" w:rsidP="005B2A49">
      <w:pPr>
        <w:spacing w:after="120" w:line="260" w:lineRule="atLeast"/>
        <w:rPr>
          <w:rFonts w:eastAsia="Calibri"/>
          <w:szCs w:val="20"/>
        </w:rPr>
      </w:pPr>
      <w:r w:rsidRPr="005B2A49">
        <w:rPr>
          <w:rFonts w:eastAsia="Calibri"/>
          <w:szCs w:val="20"/>
        </w:rPr>
        <w:t>Hmeljarje združuje visoka profesionalnost in organiziranost. V organizacijo Združenje hmeljarjev Slovenije so vključeni vsi pridelovalci hmelja. K temu je pripomogel IHPS, danes javni zavod, ki so ga hmeljarji sami ustanovili pred 65 leti. Poleg tega je od leta 2017 Štajerski hmelj zaščitena geografska označba slovenskega hmelja v Evropski uniji. Dobra podlaga taki zaščiti je sistem certificiranja v hmeljarstvu, uveden že leta 1921, ki omogoča sledljivost hmelja, pridelanega v Sloveniji, po sortah do vsakega pridelovalca, z vso vključeno uporabljeno tehnologijo pridelave.</w:t>
      </w:r>
    </w:p>
    <w:p w14:paraId="6DE6D1B7" w14:textId="77777777" w:rsidR="00F679A2" w:rsidRPr="005B2A49" w:rsidRDefault="00F679A2" w:rsidP="005B2A49">
      <w:pPr>
        <w:spacing w:after="120" w:line="260" w:lineRule="atLeast"/>
        <w:rPr>
          <w:rFonts w:eastAsia="Calibri"/>
          <w:szCs w:val="20"/>
        </w:rPr>
      </w:pPr>
      <w:r w:rsidRPr="005B2A49">
        <w:rPr>
          <w:rFonts w:eastAsia="Calibri"/>
          <w:szCs w:val="20"/>
        </w:rPr>
        <w:t>Ministrstvo za kmetijstvo, gozdarstvo in prehrano se zaveda pomena lastnega žlahtniteljskega programa, zato finančno podpira razvoj novih sort hmelja. V Sloveniji je od leta 2010 vzpostavljena Javna služba v hmeljarstvu, ki jo izvaja IHPS, v okviru katere se izvajajo strokovne naloge, kot so žlahtnjenje hmelja, ocena letnika hmelja, tehnologija pridelave in predelave hmelja ter introdukcija novih in tujih sort hmelja. Ohranjanje rastlinskih genskih virov v hmeljarstvu poteka v okviru javne službe nalog rastlinske genske banke.</w:t>
      </w:r>
    </w:p>
    <w:p w14:paraId="4B084FCB"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letih 2010 in 2020 so bili na področju hmeljarstva podprti Ciljni raziskovalni programi (CRP) z naslovom Biofumigacija kot alternativa kemičnemu zatiranju talnih škodljivih organizmov, Uporaba hmelja kot alternativne funkcionalne sestavine v prehrani živali, Razvoj tehnologij za preprečevanje novih viroidnih obolenj hmelja, Zagotavljanje konkurenčnosti slovenskega hmeljarstva z izborom dišavnih sort hmelja ter Uporaba hmeljnih pripravkov za ekološko zatiranje varoje (Varroa destructor). </w:t>
      </w:r>
    </w:p>
    <w:p w14:paraId="18E9F165" w14:textId="77777777" w:rsidR="00F679A2" w:rsidRPr="005B2A49" w:rsidRDefault="00F679A2" w:rsidP="005B2A49">
      <w:pPr>
        <w:spacing w:after="120" w:line="260" w:lineRule="atLeast"/>
        <w:rPr>
          <w:rFonts w:eastAsia="Calibri"/>
          <w:szCs w:val="20"/>
        </w:rPr>
      </w:pPr>
      <w:r w:rsidRPr="005B2A49">
        <w:rPr>
          <w:rFonts w:eastAsia="Calibri"/>
          <w:szCs w:val="20"/>
        </w:rPr>
        <w:t>Pilotni projekt z naslovom Dvig konkurenčnosti slovenskega hmeljarstva z vpeljavo tržno zanimivih in odpornih sort hmelja poteka v obdobju 2019 – 2022.</w:t>
      </w:r>
    </w:p>
    <w:p w14:paraId="61DE7094" w14:textId="77777777" w:rsidR="00F679A2" w:rsidRPr="00177AA3" w:rsidRDefault="00F679A2" w:rsidP="00F679A2"/>
    <w:p w14:paraId="2D91C325" w14:textId="77777777" w:rsidR="00F679A2" w:rsidRDefault="00F679A2" w:rsidP="00F679A2">
      <w:pPr>
        <w:pStyle w:val="Naslov3"/>
      </w:pPr>
      <w:bookmarkStart w:id="3165" w:name="_Toc86822601"/>
      <w:r w:rsidRPr="001261F1">
        <w:t>Ključne ugotovitve</w:t>
      </w:r>
      <w:bookmarkEnd w:id="3165"/>
    </w:p>
    <w:p w14:paraId="4BF83310" w14:textId="77777777" w:rsidR="00F679A2" w:rsidRPr="001261F1" w:rsidRDefault="00F679A2" w:rsidP="00F679A2"/>
    <w:p w14:paraId="0BCBD7BD" w14:textId="77777777" w:rsidR="00F679A2" w:rsidRPr="001261F1" w:rsidRDefault="00F679A2" w:rsidP="005B2A49">
      <w:pPr>
        <w:pStyle w:val="Odstavekseznama"/>
        <w:numPr>
          <w:ilvl w:val="0"/>
          <w:numId w:val="192"/>
        </w:numPr>
        <w:spacing w:before="0" w:line="260" w:lineRule="atLeast"/>
        <w:ind w:left="357" w:hanging="357"/>
        <w:rPr>
          <w:rFonts w:ascii="Arial" w:hAnsi="Arial"/>
          <w:sz w:val="22"/>
          <w:szCs w:val="22"/>
        </w:rPr>
      </w:pPr>
      <w:r w:rsidRPr="001261F1">
        <w:rPr>
          <w:rFonts w:ascii="Arial" w:hAnsi="Arial"/>
          <w:sz w:val="22"/>
          <w:szCs w:val="22"/>
        </w:rPr>
        <w:t>Za izboljšanje starostne in sortne strukture hmeljišč bi bilo potrebno v naslednjih treh letih, od leta 2019 do 2021 obnoviti približno 159 ha hmeljišč na leto.</w:t>
      </w:r>
    </w:p>
    <w:p w14:paraId="262028DB" w14:textId="77777777" w:rsidR="00F679A2" w:rsidRPr="001261F1" w:rsidRDefault="00F679A2" w:rsidP="005B2A49">
      <w:pPr>
        <w:pStyle w:val="Odstavekseznama"/>
        <w:numPr>
          <w:ilvl w:val="0"/>
          <w:numId w:val="192"/>
        </w:numPr>
        <w:spacing w:before="0" w:line="260" w:lineRule="atLeast"/>
        <w:ind w:left="357" w:hanging="357"/>
        <w:rPr>
          <w:rFonts w:ascii="Arial" w:hAnsi="Arial"/>
          <w:sz w:val="22"/>
          <w:szCs w:val="22"/>
        </w:rPr>
      </w:pPr>
      <w:r w:rsidRPr="001261F1">
        <w:rPr>
          <w:rFonts w:ascii="Arial" w:hAnsi="Arial"/>
          <w:bCs/>
          <w:iCs/>
          <w:kern w:val="24"/>
          <w:sz w:val="22"/>
          <w:szCs w:val="22"/>
        </w:rPr>
        <w:t xml:space="preserve">Za izkoreninjenje hude viroidne zakrnelosti hmelja je poleg izvajanja fitosanitarnih ukrepov potrebno sajenje tolerantnih sort, ki so požlahtnjene v Sloveniji in prilagojene na </w:t>
      </w:r>
      <w:r w:rsidRPr="001261F1">
        <w:rPr>
          <w:rFonts w:ascii="Arial" w:hAnsi="Arial"/>
          <w:sz w:val="22"/>
          <w:szCs w:val="22"/>
        </w:rPr>
        <w:t>sušo ter bolezni in škodljivce.</w:t>
      </w:r>
    </w:p>
    <w:p w14:paraId="3ACC2011" w14:textId="77777777" w:rsidR="00F679A2" w:rsidRPr="001261F1" w:rsidRDefault="00F679A2" w:rsidP="005B2A49">
      <w:pPr>
        <w:pStyle w:val="Odstavekseznama"/>
        <w:numPr>
          <w:ilvl w:val="0"/>
          <w:numId w:val="192"/>
        </w:numPr>
        <w:spacing w:before="0" w:line="260" w:lineRule="atLeast"/>
        <w:ind w:left="357" w:hanging="357"/>
        <w:rPr>
          <w:rFonts w:ascii="Arial" w:hAnsi="Arial"/>
          <w:sz w:val="22"/>
          <w:szCs w:val="22"/>
        </w:rPr>
      </w:pPr>
      <w:r w:rsidRPr="001261F1">
        <w:rPr>
          <w:rFonts w:ascii="Arial" w:hAnsi="Arial"/>
          <w:sz w:val="22"/>
          <w:szCs w:val="22"/>
        </w:rPr>
        <w:t>Podnebne spremembe imajo zadnja leta pomemben vpliv na panogo zato bo potrebno povečati namakanje na hmeljnih površinah in vpeljati nove odporne sorte.</w:t>
      </w:r>
    </w:p>
    <w:p w14:paraId="43F70318" w14:textId="77777777" w:rsidR="00F679A2" w:rsidRPr="001261F1" w:rsidRDefault="00F679A2" w:rsidP="005B2A49">
      <w:pPr>
        <w:pStyle w:val="Odstavekseznama"/>
        <w:numPr>
          <w:ilvl w:val="0"/>
          <w:numId w:val="192"/>
        </w:numPr>
        <w:spacing w:before="0" w:line="260" w:lineRule="atLeast"/>
        <w:ind w:left="357" w:hanging="357"/>
        <w:rPr>
          <w:rFonts w:ascii="Arial" w:hAnsi="Arial"/>
          <w:sz w:val="22"/>
          <w:szCs w:val="22"/>
        </w:rPr>
      </w:pPr>
      <w:r w:rsidRPr="001261F1">
        <w:rPr>
          <w:rFonts w:ascii="Arial" w:hAnsi="Arial"/>
          <w:sz w:val="22"/>
          <w:szCs w:val="22"/>
        </w:rPr>
        <w:t>Za izboljšanje konkurenčnosti v pridelavi in trženju hmelja je potrebno spodbujati povezovanje ter zagotoviti sredstva za kolektivne naložbe v skladišča in sušilnice.</w:t>
      </w:r>
    </w:p>
    <w:p w14:paraId="763E7E2A" w14:textId="77777777" w:rsidR="00F679A2" w:rsidRPr="001261F1" w:rsidRDefault="00F679A2" w:rsidP="005B2A49">
      <w:pPr>
        <w:numPr>
          <w:ilvl w:val="0"/>
          <w:numId w:val="192"/>
        </w:numPr>
        <w:spacing w:before="0" w:line="260" w:lineRule="atLeast"/>
        <w:ind w:left="357" w:hanging="357"/>
        <w:rPr>
          <w:szCs w:val="22"/>
        </w:rPr>
      </w:pPr>
      <w:r w:rsidRPr="001261F1">
        <w:rPr>
          <w:szCs w:val="22"/>
        </w:rPr>
        <w:t>Slovenski hmelj, z geografsko označbo »Štajerski hmelj«, še ni dosegel optimalne stopnje prepoznavnosti na svetovnem trgu, zato je potrebno pristopiti k promocijskim aktivnostim.</w:t>
      </w:r>
    </w:p>
    <w:p w14:paraId="567B1847" w14:textId="77777777" w:rsidR="00F679A2" w:rsidRPr="00177AA3" w:rsidRDefault="00F679A2" w:rsidP="00F679A2"/>
    <w:p w14:paraId="4B5F41EB" w14:textId="77777777" w:rsidR="00F679A2" w:rsidRPr="001261F1" w:rsidRDefault="00F679A2" w:rsidP="00F679A2">
      <w:pPr>
        <w:pStyle w:val="Naslov2"/>
      </w:pPr>
      <w:bookmarkStart w:id="3166" w:name="_Toc86822602"/>
      <w:r w:rsidRPr="001261F1">
        <w:t>Semenarstvo</w:t>
      </w:r>
      <w:bookmarkEnd w:id="3166"/>
    </w:p>
    <w:p w14:paraId="2070C451" w14:textId="77777777" w:rsidR="00F679A2" w:rsidRPr="005B2A49" w:rsidRDefault="00F679A2" w:rsidP="005B2A49">
      <w:pPr>
        <w:spacing w:after="120" w:line="260" w:lineRule="atLeast"/>
        <w:rPr>
          <w:rFonts w:eastAsia="Calibri"/>
          <w:szCs w:val="20"/>
        </w:rPr>
      </w:pPr>
      <w:r w:rsidRPr="005B2A49">
        <w:rPr>
          <w:rFonts w:eastAsia="Calibri"/>
          <w:szCs w:val="20"/>
        </w:rPr>
        <w:t>Semenarstvo je kmetijska panoga, ki je temelj za uspešno in gospodarno tržno pridelavo hrane in krme. Obseg domačega semenarstva je pomemben za prehransko varnost, zlasti v času kriz, vpliva pa tudi na delež samooskrbe s semenom zlasti lokalnih sort in s tem na ohranjanje biotske raznovrstnosti v kmetijski pridelavi.</w:t>
      </w:r>
    </w:p>
    <w:p w14:paraId="21281924" w14:textId="77777777" w:rsidR="00F679A2" w:rsidRDefault="00F679A2" w:rsidP="00F679A2">
      <w:pPr>
        <w:rPr>
          <w:highlight w:val="green"/>
        </w:rPr>
      </w:pPr>
    </w:p>
    <w:p w14:paraId="1A593905" w14:textId="77777777" w:rsidR="00F679A2" w:rsidRPr="001261F1" w:rsidRDefault="00F679A2" w:rsidP="00F679A2">
      <w:pPr>
        <w:pStyle w:val="Naslov3"/>
      </w:pPr>
      <w:bookmarkStart w:id="3167" w:name="_Toc86822603"/>
      <w:r w:rsidRPr="001261F1">
        <w:t>Stanje v sektorju in osnovni ekonomski kazalniki</w:t>
      </w:r>
      <w:bookmarkEnd w:id="3167"/>
    </w:p>
    <w:p w14:paraId="078270A4" w14:textId="77777777" w:rsidR="00F679A2" w:rsidRPr="005B2A49" w:rsidDel="009E2FC3" w:rsidRDefault="00F679A2" w:rsidP="005B2A49">
      <w:pPr>
        <w:spacing w:after="120" w:line="260" w:lineRule="atLeast"/>
        <w:rPr>
          <w:rFonts w:eastAsia="Calibri"/>
          <w:szCs w:val="20"/>
        </w:rPr>
      </w:pPr>
      <w:r w:rsidRPr="005B2A49">
        <w:rPr>
          <w:rFonts w:eastAsia="Calibri"/>
          <w:szCs w:val="20"/>
        </w:rPr>
        <w:t xml:space="preserve">Semenarstvo pri nas stagnira že nekaj desetletij. Eden izmed glavnih vzrokov je zelo omejen program žlahtnjenja, zato imamo malo novih lokalnih sort, katerih seme bi lahko pridelovali, obseg pridelave semena tujih sort pa je omejen in je odvisen od dostopnosti najvišjih kategorij, ki se lahko naprej razmnožujejo. Od leta 2004 je bilo slovensko semenarstvo v razmerah prostega trga EU tudi vse manj konkurenčno, kar se odraža v občutnem zmanjševanju površin namenjenih semenski pridelavi. </w:t>
      </w:r>
    </w:p>
    <w:p w14:paraId="3227FE8C" w14:textId="77777777" w:rsidR="00F679A2" w:rsidRPr="005B2A49" w:rsidRDefault="00F679A2" w:rsidP="005B2A49">
      <w:pPr>
        <w:spacing w:after="120" w:line="260" w:lineRule="atLeast"/>
        <w:rPr>
          <w:rFonts w:eastAsia="Calibri"/>
          <w:szCs w:val="20"/>
        </w:rPr>
      </w:pPr>
      <w:r w:rsidRPr="005B2A49">
        <w:rPr>
          <w:rFonts w:eastAsia="Calibri"/>
          <w:szCs w:val="20"/>
        </w:rPr>
        <w:t>Pridelava uradno potrjenega semena je v Sloveniji upadla za več kot 50 %, iz 2.500 ha v letu 2000 na 1.410 ha v letu 2019. Najnižja je bila v letu 2017 (1084 ha).</w:t>
      </w:r>
    </w:p>
    <w:p w14:paraId="435D18D3" w14:textId="6EE16DDF" w:rsidR="00F679A2" w:rsidRDefault="00F679A2" w:rsidP="00F679A2">
      <w:pPr>
        <w:pStyle w:val="SCPreglednica"/>
      </w:pPr>
      <w:bookmarkStart w:id="3168" w:name="_Toc86822659"/>
      <w:r>
        <w:t xml:space="preserve">Tabela </w:t>
      </w:r>
      <w:r>
        <w:rPr>
          <w:noProof/>
        </w:rPr>
        <w:fldChar w:fldCharType="begin"/>
      </w:r>
      <w:r>
        <w:rPr>
          <w:noProof/>
        </w:rPr>
        <w:instrText xml:space="preserve"> SEQ Tabela \* ARABIC </w:instrText>
      </w:r>
      <w:r>
        <w:rPr>
          <w:noProof/>
        </w:rPr>
        <w:fldChar w:fldCharType="separate"/>
      </w:r>
      <w:r w:rsidR="0088117A">
        <w:rPr>
          <w:noProof/>
        </w:rPr>
        <w:t>21</w:t>
      </w:r>
      <w:r>
        <w:rPr>
          <w:noProof/>
        </w:rPr>
        <w:fldChar w:fldCharType="end"/>
      </w:r>
      <w:r>
        <w:t xml:space="preserve">: </w:t>
      </w:r>
      <w:r w:rsidRPr="0040635C">
        <w:t>Potrjene površine semenskih posevkov (v ha) od leta 2014 do 2019 po skupinah rastlin v primerjavi s povprečnimi površinami v obdobju 2000–2004 in 2009–2013</w:t>
      </w:r>
      <w:bookmarkEnd w:id="3168"/>
    </w:p>
    <w:tbl>
      <w:tblPr>
        <w:tblStyle w:val="Tabelamrea"/>
        <w:tblW w:w="0" w:type="auto"/>
        <w:tblInd w:w="108" w:type="dxa"/>
        <w:tblLook w:val="04A0" w:firstRow="1" w:lastRow="0" w:firstColumn="1" w:lastColumn="0" w:noHBand="0" w:noVBand="1"/>
      </w:tblPr>
      <w:tblGrid>
        <w:gridCol w:w="2515"/>
        <w:gridCol w:w="1090"/>
        <w:gridCol w:w="765"/>
        <w:gridCol w:w="764"/>
        <w:gridCol w:w="764"/>
        <w:gridCol w:w="764"/>
        <w:gridCol w:w="764"/>
        <w:gridCol w:w="764"/>
        <w:gridCol w:w="764"/>
      </w:tblGrid>
      <w:tr w:rsidR="00F679A2" w:rsidRPr="003B2B91" w14:paraId="6A3BFBFD" w14:textId="77777777" w:rsidTr="00726070">
        <w:trPr>
          <w:trHeight w:val="300"/>
        </w:trPr>
        <w:tc>
          <w:tcPr>
            <w:tcW w:w="2515" w:type="dxa"/>
            <w:shd w:val="clear" w:color="auto" w:fill="C6D9F1" w:themeFill="text2" w:themeFillTint="33"/>
            <w:noWrap/>
            <w:hideMark/>
          </w:tcPr>
          <w:p w14:paraId="658E39EE" w14:textId="77777777" w:rsidR="00F679A2" w:rsidRPr="003B2B91" w:rsidRDefault="00F679A2" w:rsidP="00B97309">
            <w:pPr>
              <w:spacing w:line="360" w:lineRule="auto"/>
            </w:pPr>
            <w:r w:rsidRPr="003B2B91">
              <w:t> </w:t>
            </w:r>
          </w:p>
        </w:tc>
        <w:tc>
          <w:tcPr>
            <w:tcW w:w="1090" w:type="dxa"/>
            <w:shd w:val="clear" w:color="auto" w:fill="C6D9F1" w:themeFill="text2" w:themeFillTint="33"/>
            <w:noWrap/>
            <w:vAlign w:val="center"/>
            <w:hideMark/>
          </w:tcPr>
          <w:p w14:paraId="1C515327" w14:textId="77777777" w:rsidR="00F679A2" w:rsidRPr="003B2B91" w:rsidRDefault="00F679A2" w:rsidP="00726070">
            <w:pPr>
              <w:spacing w:line="360" w:lineRule="auto"/>
              <w:jc w:val="right"/>
              <w:rPr>
                <w:b/>
                <w:bCs/>
              </w:rPr>
            </w:pPr>
            <w:r w:rsidRPr="003B2B91">
              <w:rPr>
                <w:b/>
                <w:bCs/>
              </w:rPr>
              <w:t>2000-2004</w:t>
            </w:r>
          </w:p>
        </w:tc>
        <w:tc>
          <w:tcPr>
            <w:tcW w:w="765" w:type="dxa"/>
            <w:shd w:val="clear" w:color="auto" w:fill="C6D9F1" w:themeFill="text2" w:themeFillTint="33"/>
            <w:noWrap/>
            <w:vAlign w:val="center"/>
            <w:hideMark/>
          </w:tcPr>
          <w:p w14:paraId="76EFC406" w14:textId="77777777" w:rsidR="00F679A2" w:rsidRPr="003B2B91" w:rsidRDefault="00F679A2" w:rsidP="00726070">
            <w:pPr>
              <w:spacing w:line="360" w:lineRule="auto"/>
              <w:jc w:val="right"/>
              <w:rPr>
                <w:b/>
                <w:bCs/>
              </w:rPr>
            </w:pPr>
            <w:r w:rsidRPr="003B2B91">
              <w:rPr>
                <w:b/>
                <w:bCs/>
              </w:rPr>
              <w:t>2009-2013</w:t>
            </w:r>
          </w:p>
        </w:tc>
        <w:tc>
          <w:tcPr>
            <w:tcW w:w="764" w:type="dxa"/>
            <w:shd w:val="clear" w:color="auto" w:fill="C6D9F1" w:themeFill="text2" w:themeFillTint="33"/>
            <w:noWrap/>
            <w:vAlign w:val="center"/>
            <w:hideMark/>
          </w:tcPr>
          <w:p w14:paraId="6740179C" w14:textId="77777777" w:rsidR="00F679A2" w:rsidRPr="003B2B91" w:rsidRDefault="00F679A2" w:rsidP="00726070">
            <w:pPr>
              <w:spacing w:line="360" w:lineRule="auto"/>
              <w:jc w:val="right"/>
              <w:rPr>
                <w:b/>
                <w:bCs/>
              </w:rPr>
            </w:pPr>
            <w:r w:rsidRPr="003B2B91">
              <w:rPr>
                <w:b/>
                <w:bCs/>
              </w:rPr>
              <w:t>2014</w:t>
            </w:r>
          </w:p>
        </w:tc>
        <w:tc>
          <w:tcPr>
            <w:tcW w:w="764" w:type="dxa"/>
            <w:shd w:val="clear" w:color="auto" w:fill="C6D9F1" w:themeFill="text2" w:themeFillTint="33"/>
            <w:noWrap/>
            <w:vAlign w:val="center"/>
            <w:hideMark/>
          </w:tcPr>
          <w:p w14:paraId="20D69836" w14:textId="77777777" w:rsidR="00F679A2" w:rsidRPr="003B2B91" w:rsidRDefault="00F679A2" w:rsidP="00726070">
            <w:pPr>
              <w:spacing w:line="360" w:lineRule="auto"/>
              <w:jc w:val="right"/>
              <w:rPr>
                <w:b/>
                <w:bCs/>
              </w:rPr>
            </w:pPr>
            <w:r w:rsidRPr="003B2B91">
              <w:rPr>
                <w:b/>
                <w:bCs/>
              </w:rPr>
              <w:t>2015</w:t>
            </w:r>
          </w:p>
        </w:tc>
        <w:tc>
          <w:tcPr>
            <w:tcW w:w="764" w:type="dxa"/>
            <w:shd w:val="clear" w:color="auto" w:fill="C6D9F1" w:themeFill="text2" w:themeFillTint="33"/>
            <w:noWrap/>
            <w:vAlign w:val="center"/>
            <w:hideMark/>
          </w:tcPr>
          <w:p w14:paraId="639A0F9B" w14:textId="77777777" w:rsidR="00F679A2" w:rsidRPr="003B2B91" w:rsidRDefault="00F679A2" w:rsidP="00726070">
            <w:pPr>
              <w:spacing w:line="360" w:lineRule="auto"/>
              <w:jc w:val="right"/>
              <w:rPr>
                <w:b/>
                <w:bCs/>
              </w:rPr>
            </w:pPr>
            <w:r w:rsidRPr="003B2B91">
              <w:rPr>
                <w:b/>
                <w:bCs/>
              </w:rPr>
              <w:t>2016</w:t>
            </w:r>
          </w:p>
        </w:tc>
        <w:tc>
          <w:tcPr>
            <w:tcW w:w="764" w:type="dxa"/>
            <w:shd w:val="clear" w:color="auto" w:fill="C6D9F1" w:themeFill="text2" w:themeFillTint="33"/>
            <w:noWrap/>
            <w:vAlign w:val="center"/>
            <w:hideMark/>
          </w:tcPr>
          <w:p w14:paraId="28558BCC" w14:textId="77777777" w:rsidR="00F679A2" w:rsidRPr="003B2B91" w:rsidRDefault="00F679A2" w:rsidP="00726070">
            <w:pPr>
              <w:spacing w:line="360" w:lineRule="auto"/>
              <w:jc w:val="right"/>
              <w:rPr>
                <w:b/>
                <w:bCs/>
              </w:rPr>
            </w:pPr>
            <w:r w:rsidRPr="003B2B91">
              <w:rPr>
                <w:b/>
                <w:bCs/>
              </w:rPr>
              <w:t>2017</w:t>
            </w:r>
          </w:p>
        </w:tc>
        <w:tc>
          <w:tcPr>
            <w:tcW w:w="764" w:type="dxa"/>
            <w:shd w:val="clear" w:color="auto" w:fill="C6D9F1" w:themeFill="text2" w:themeFillTint="33"/>
            <w:noWrap/>
            <w:vAlign w:val="center"/>
            <w:hideMark/>
          </w:tcPr>
          <w:p w14:paraId="74E0C675" w14:textId="77777777" w:rsidR="00F679A2" w:rsidRPr="003B2B91" w:rsidRDefault="00F679A2" w:rsidP="00726070">
            <w:pPr>
              <w:spacing w:line="360" w:lineRule="auto"/>
              <w:jc w:val="right"/>
              <w:rPr>
                <w:b/>
                <w:bCs/>
              </w:rPr>
            </w:pPr>
            <w:r w:rsidRPr="003B2B91">
              <w:rPr>
                <w:b/>
                <w:bCs/>
              </w:rPr>
              <w:t>2018</w:t>
            </w:r>
          </w:p>
        </w:tc>
        <w:tc>
          <w:tcPr>
            <w:tcW w:w="764" w:type="dxa"/>
            <w:shd w:val="clear" w:color="auto" w:fill="C6D9F1" w:themeFill="text2" w:themeFillTint="33"/>
            <w:noWrap/>
            <w:vAlign w:val="center"/>
            <w:hideMark/>
          </w:tcPr>
          <w:p w14:paraId="6E2A5CEE" w14:textId="77777777" w:rsidR="00F679A2" w:rsidRPr="003B2B91" w:rsidRDefault="00F679A2" w:rsidP="00726070">
            <w:pPr>
              <w:spacing w:line="360" w:lineRule="auto"/>
              <w:jc w:val="right"/>
              <w:rPr>
                <w:b/>
                <w:bCs/>
              </w:rPr>
            </w:pPr>
            <w:r w:rsidRPr="003B2B91">
              <w:rPr>
                <w:b/>
                <w:bCs/>
              </w:rPr>
              <w:t>2019</w:t>
            </w:r>
          </w:p>
        </w:tc>
      </w:tr>
      <w:tr w:rsidR="00F679A2" w:rsidRPr="003B2B91" w14:paraId="0F44BB03" w14:textId="77777777" w:rsidTr="00726070">
        <w:trPr>
          <w:trHeight w:val="315"/>
        </w:trPr>
        <w:tc>
          <w:tcPr>
            <w:tcW w:w="2515" w:type="dxa"/>
            <w:noWrap/>
            <w:hideMark/>
          </w:tcPr>
          <w:p w14:paraId="1A3EF78C" w14:textId="77777777" w:rsidR="00F679A2" w:rsidRPr="003B2B91" w:rsidRDefault="00F679A2" w:rsidP="00726070">
            <w:pPr>
              <w:spacing w:line="360" w:lineRule="auto"/>
              <w:jc w:val="left"/>
              <w:rPr>
                <w:b/>
                <w:bCs/>
              </w:rPr>
            </w:pPr>
            <w:r w:rsidRPr="003B2B91">
              <w:rPr>
                <w:b/>
                <w:bCs/>
              </w:rPr>
              <w:t>ŽITA (brez koruze)</w:t>
            </w:r>
          </w:p>
        </w:tc>
        <w:tc>
          <w:tcPr>
            <w:tcW w:w="1090" w:type="dxa"/>
            <w:noWrap/>
            <w:vAlign w:val="center"/>
            <w:hideMark/>
          </w:tcPr>
          <w:p w14:paraId="7CAB7924" w14:textId="77777777" w:rsidR="00F679A2" w:rsidRPr="003B2B91" w:rsidRDefault="00F679A2" w:rsidP="00726070">
            <w:pPr>
              <w:spacing w:line="360" w:lineRule="auto"/>
              <w:jc w:val="right"/>
            </w:pPr>
            <w:r w:rsidRPr="003B2B91">
              <w:t>2065</w:t>
            </w:r>
          </w:p>
        </w:tc>
        <w:tc>
          <w:tcPr>
            <w:tcW w:w="765" w:type="dxa"/>
            <w:noWrap/>
            <w:vAlign w:val="center"/>
            <w:hideMark/>
          </w:tcPr>
          <w:p w14:paraId="59535EA0" w14:textId="77777777" w:rsidR="00F679A2" w:rsidRPr="003B2B91" w:rsidRDefault="00F679A2" w:rsidP="00726070">
            <w:pPr>
              <w:spacing w:line="360" w:lineRule="auto"/>
              <w:jc w:val="right"/>
            </w:pPr>
            <w:r w:rsidRPr="003B2B91">
              <w:t>1371</w:t>
            </w:r>
          </w:p>
        </w:tc>
        <w:tc>
          <w:tcPr>
            <w:tcW w:w="764" w:type="dxa"/>
            <w:noWrap/>
            <w:vAlign w:val="center"/>
            <w:hideMark/>
          </w:tcPr>
          <w:p w14:paraId="6E620666" w14:textId="77777777" w:rsidR="00F679A2" w:rsidRPr="003B2B91" w:rsidRDefault="00F679A2" w:rsidP="00726070">
            <w:pPr>
              <w:spacing w:line="360" w:lineRule="auto"/>
              <w:jc w:val="right"/>
            </w:pPr>
            <w:r w:rsidRPr="003B2B91">
              <w:t>1109</w:t>
            </w:r>
          </w:p>
        </w:tc>
        <w:tc>
          <w:tcPr>
            <w:tcW w:w="764" w:type="dxa"/>
            <w:noWrap/>
            <w:vAlign w:val="center"/>
            <w:hideMark/>
          </w:tcPr>
          <w:p w14:paraId="419C74EF" w14:textId="77777777" w:rsidR="00F679A2" w:rsidRPr="003B2B91" w:rsidRDefault="00F679A2" w:rsidP="00726070">
            <w:pPr>
              <w:spacing w:line="360" w:lineRule="auto"/>
              <w:jc w:val="right"/>
            </w:pPr>
            <w:r w:rsidRPr="003B2B91">
              <w:t>1027</w:t>
            </w:r>
          </w:p>
        </w:tc>
        <w:tc>
          <w:tcPr>
            <w:tcW w:w="764" w:type="dxa"/>
            <w:noWrap/>
            <w:vAlign w:val="center"/>
            <w:hideMark/>
          </w:tcPr>
          <w:p w14:paraId="2A3ED4A9" w14:textId="77777777" w:rsidR="00F679A2" w:rsidRPr="003B2B91" w:rsidRDefault="00F679A2" w:rsidP="00726070">
            <w:pPr>
              <w:spacing w:line="360" w:lineRule="auto"/>
              <w:jc w:val="right"/>
            </w:pPr>
            <w:r w:rsidRPr="003B2B91">
              <w:t>938</w:t>
            </w:r>
          </w:p>
        </w:tc>
        <w:tc>
          <w:tcPr>
            <w:tcW w:w="764" w:type="dxa"/>
            <w:noWrap/>
            <w:vAlign w:val="center"/>
            <w:hideMark/>
          </w:tcPr>
          <w:p w14:paraId="47711715" w14:textId="77777777" w:rsidR="00F679A2" w:rsidRPr="003B2B91" w:rsidRDefault="00F679A2" w:rsidP="00726070">
            <w:pPr>
              <w:spacing w:line="360" w:lineRule="auto"/>
              <w:jc w:val="right"/>
            </w:pPr>
            <w:r w:rsidRPr="003B2B91">
              <w:t>771</w:t>
            </w:r>
          </w:p>
        </w:tc>
        <w:tc>
          <w:tcPr>
            <w:tcW w:w="764" w:type="dxa"/>
            <w:noWrap/>
            <w:vAlign w:val="center"/>
            <w:hideMark/>
          </w:tcPr>
          <w:p w14:paraId="588F699A" w14:textId="77777777" w:rsidR="00F679A2" w:rsidRPr="003B2B91" w:rsidRDefault="00F679A2" w:rsidP="00726070">
            <w:pPr>
              <w:spacing w:line="360" w:lineRule="auto"/>
              <w:jc w:val="right"/>
            </w:pPr>
            <w:r w:rsidRPr="003B2B91">
              <w:t>866</w:t>
            </w:r>
          </w:p>
        </w:tc>
        <w:tc>
          <w:tcPr>
            <w:tcW w:w="764" w:type="dxa"/>
            <w:noWrap/>
            <w:vAlign w:val="center"/>
            <w:hideMark/>
          </w:tcPr>
          <w:p w14:paraId="10D32525" w14:textId="77777777" w:rsidR="00F679A2" w:rsidRPr="003B2B91" w:rsidRDefault="00F679A2" w:rsidP="00726070">
            <w:pPr>
              <w:spacing w:line="360" w:lineRule="auto"/>
              <w:jc w:val="right"/>
            </w:pPr>
            <w:r w:rsidRPr="003B2B91">
              <w:t>905</w:t>
            </w:r>
          </w:p>
        </w:tc>
      </w:tr>
      <w:tr w:rsidR="00F679A2" w:rsidRPr="003B2B91" w14:paraId="6D02F821" w14:textId="77777777" w:rsidTr="00726070">
        <w:trPr>
          <w:trHeight w:val="300"/>
        </w:trPr>
        <w:tc>
          <w:tcPr>
            <w:tcW w:w="2515" w:type="dxa"/>
            <w:noWrap/>
            <w:hideMark/>
          </w:tcPr>
          <w:p w14:paraId="5AC708E7" w14:textId="77777777" w:rsidR="00F679A2" w:rsidRPr="003B2B91" w:rsidRDefault="00F679A2" w:rsidP="00726070">
            <w:pPr>
              <w:spacing w:line="360" w:lineRule="auto"/>
              <w:jc w:val="left"/>
              <w:rPr>
                <w:b/>
                <w:bCs/>
              </w:rPr>
            </w:pPr>
            <w:r w:rsidRPr="003B2B91">
              <w:rPr>
                <w:b/>
                <w:bCs/>
              </w:rPr>
              <w:t>KORUZA</w:t>
            </w:r>
          </w:p>
        </w:tc>
        <w:tc>
          <w:tcPr>
            <w:tcW w:w="1090" w:type="dxa"/>
            <w:noWrap/>
            <w:vAlign w:val="center"/>
            <w:hideMark/>
          </w:tcPr>
          <w:p w14:paraId="20AD6335" w14:textId="77777777" w:rsidR="00F679A2" w:rsidRPr="003B2B91" w:rsidRDefault="00F679A2" w:rsidP="00726070">
            <w:pPr>
              <w:spacing w:line="360" w:lineRule="auto"/>
              <w:jc w:val="right"/>
            </w:pPr>
            <w:r w:rsidRPr="003B2B91">
              <w:t>198</w:t>
            </w:r>
          </w:p>
        </w:tc>
        <w:tc>
          <w:tcPr>
            <w:tcW w:w="765" w:type="dxa"/>
            <w:noWrap/>
            <w:vAlign w:val="center"/>
            <w:hideMark/>
          </w:tcPr>
          <w:p w14:paraId="36C3A133" w14:textId="77777777" w:rsidR="00F679A2" w:rsidRPr="003B2B91" w:rsidRDefault="00F679A2" w:rsidP="00726070">
            <w:pPr>
              <w:spacing w:line="360" w:lineRule="auto"/>
              <w:jc w:val="right"/>
            </w:pPr>
            <w:r w:rsidRPr="003B2B91">
              <w:t>34</w:t>
            </w:r>
          </w:p>
        </w:tc>
        <w:tc>
          <w:tcPr>
            <w:tcW w:w="764" w:type="dxa"/>
            <w:noWrap/>
            <w:vAlign w:val="center"/>
            <w:hideMark/>
          </w:tcPr>
          <w:p w14:paraId="0A0BFD2B" w14:textId="77777777" w:rsidR="00F679A2" w:rsidRPr="003B2B91" w:rsidRDefault="00F679A2" w:rsidP="00726070">
            <w:pPr>
              <w:spacing w:line="360" w:lineRule="auto"/>
              <w:jc w:val="right"/>
            </w:pPr>
            <w:r w:rsidRPr="003B2B91">
              <w:t>23</w:t>
            </w:r>
          </w:p>
        </w:tc>
        <w:tc>
          <w:tcPr>
            <w:tcW w:w="764" w:type="dxa"/>
            <w:noWrap/>
            <w:vAlign w:val="center"/>
            <w:hideMark/>
          </w:tcPr>
          <w:p w14:paraId="08FC13B8" w14:textId="77777777" w:rsidR="00F679A2" w:rsidRPr="003B2B91" w:rsidRDefault="00F679A2" w:rsidP="00726070">
            <w:pPr>
              <w:spacing w:line="360" w:lineRule="auto"/>
              <w:jc w:val="right"/>
            </w:pPr>
            <w:r w:rsidRPr="003B2B91">
              <w:t>9</w:t>
            </w:r>
          </w:p>
        </w:tc>
        <w:tc>
          <w:tcPr>
            <w:tcW w:w="764" w:type="dxa"/>
            <w:noWrap/>
            <w:vAlign w:val="center"/>
            <w:hideMark/>
          </w:tcPr>
          <w:p w14:paraId="498D3D0E" w14:textId="77777777" w:rsidR="00F679A2" w:rsidRPr="003B2B91" w:rsidRDefault="00F679A2" w:rsidP="00726070">
            <w:pPr>
              <w:spacing w:line="360" w:lineRule="auto"/>
              <w:jc w:val="right"/>
            </w:pPr>
            <w:r w:rsidRPr="003B2B91">
              <w:t>21</w:t>
            </w:r>
          </w:p>
        </w:tc>
        <w:tc>
          <w:tcPr>
            <w:tcW w:w="764" w:type="dxa"/>
            <w:noWrap/>
            <w:vAlign w:val="center"/>
            <w:hideMark/>
          </w:tcPr>
          <w:p w14:paraId="4A6C194D" w14:textId="77777777" w:rsidR="00F679A2" w:rsidRPr="003B2B91" w:rsidRDefault="00F679A2" w:rsidP="00726070">
            <w:pPr>
              <w:spacing w:line="360" w:lineRule="auto"/>
              <w:jc w:val="right"/>
            </w:pPr>
            <w:r w:rsidRPr="003B2B91">
              <w:t>17</w:t>
            </w:r>
          </w:p>
        </w:tc>
        <w:tc>
          <w:tcPr>
            <w:tcW w:w="764" w:type="dxa"/>
            <w:noWrap/>
            <w:vAlign w:val="center"/>
            <w:hideMark/>
          </w:tcPr>
          <w:p w14:paraId="3013894C" w14:textId="77777777" w:rsidR="00F679A2" w:rsidRPr="003B2B91" w:rsidRDefault="00F679A2" w:rsidP="00726070">
            <w:pPr>
              <w:spacing w:line="360" w:lineRule="auto"/>
              <w:jc w:val="right"/>
            </w:pPr>
            <w:r w:rsidRPr="003B2B91">
              <w:t>15</w:t>
            </w:r>
          </w:p>
        </w:tc>
        <w:tc>
          <w:tcPr>
            <w:tcW w:w="764" w:type="dxa"/>
            <w:noWrap/>
            <w:vAlign w:val="center"/>
            <w:hideMark/>
          </w:tcPr>
          <w:p w14:paraId="7886F8C8" w14:textId="77777777" w:rsidR="00F679A2" w:rsidRPr="003B2B91" w:rsidRDefault="00F679A2" w:rsidP="00726070">
            <w:pPr>
              <w:spacing w:line="360" w:lineRule="auto"/>
              <w:jc w:val="right"/>
            </w:pPr>
            <w:r w:rsidRPr="003B2B91">
              <w:t>19</w:t>
            </w:r>
          </w:p>
        </w:tc>
      </w:tr>
      <w:tr w:rsidR="00F679A2" w:rsidRPr="003B2B91" w14:paraId="03CFAE0F" w14:textId="77777777" w:rsidTr="00726070">
        <w:trPr>
          <w:trHeight w:val="300"/>
        </w:trPr>
        <w:tc>
          <w:tcPr>
            <w:tcW w:w="2515" w:type="dxa"/>
            <w:noWrap/>
            <w:hideMark/>
          </w:tcPr>
          <w:p w14:paraId="25F60459" w14:textId="77777777" w:rsidR="00F679A2" w:rsidRPr="003B2B91" w:rsidRDefault="00F679A2" w:rsidP="00726070">
            <w:pPr>
              <w:spacing w:line="360" w:lineRule="auto"/>
              <w:jc w:val="left"/>
              <w:rPr>
                <w:b/>
                <w:bCs/>
              </w:rPr>
            </w:pPr>
            <w:r w:rsidRPr="003B2B91">
              <w:rPr>
                <w:b/>
                <w:bCs/>
              </w:rPr>
              <w:t>KRMNE RASTLINE</w:t>
            </w:r>
          </w:p>
        </w:tc>
        <w:tc>
          <w:tcPr>
            <w:tcW w:w="1090" w:type="dxa"/>
            <w:noWrap/>
            <w:vAlign w:val="center"/>
            <w:hideMark/>
          </w:tcPr>
          <w:p w14:paraId="6A1195A2" w14:textId="77777777" w:rsidR="00F679A2" w:rsidRPr="003B2B91" w:rsidRDefault="00F679A2" w:rsidP="00726070">
            <w:pPr>
              <w:spacing w:line="360" w:lineRule="auto"/>
              <w:jc w:val="right"/>
            </w:pPr>
            <w:r w:rsidRPr="003B2B91">
              <w:t>205</w:t>
            </w:r>
          </w:p>
        </w:tc>
        <w:tc>
          <w:tcPr>
            <w:tcW w:w="765" w:type="dxa"/>
            <w:noWrap/>
            <w:vAlign w:val="center"/>
            <w:hideMark/>
          </w:tcPr>
          <w:p w14:paraId="3FA656BF" w14:textId="77777777" w:rsidR="00F679A2" w:rsidRPr="003B2B91" w:rsidRDefault="00F679A2" w:rsidP="00726070">
            <w:pPr>
              <w:spacing w:line="360" w:lineRule="auto"/>
              <w:jc w:val="right"/>
            </w:pPr>
            <w:r w:rsidRPr="003B2B91">
              <w:t>106</w:t>
            </w:r>
          </w:p>
        </w:tc>
        <w:tc>
          <w:tcPr>
            <w:tcW w:w="764" w:type="dxa"/>
            <w:noWrap/>
            <w:vAlign w:val="center"/>
            <w:hideMark/>
          </w:tcPr>
          <w:p w14:paraId="6B5AB0A1" w14:textId="77777777" w:rsidR="00F679A2" w:rsidRPr="003B2B91" w:rsidRDefault="00F679A2" w:rsidP="00726070">
            <w:pPr>
              <w:spacing w:line="360" w:lineRule="auto"/>
              <w:jc w:val="right"/>
            </w:pPr>
            <w:r w:rsidRPr="003B2B91">
              <w:t>90</w:t>
            </w:r>
          </w:p>
        </w:tc>
        <w:tc>
          <w:tcPr>
            <w:tcW w:w="764" w:type="dxa"/>
            <w:noWrap/>
            <w:vAlign w:val="center"/>
            <w:hideMark/>
          </w:tcPr>
          <w:p w14:paraId="11370920" w14:textId="77777777" w:rsidR="00F679A2" w:rsidRPr="003B2B91" w:rsidRDefault="00F679A2" w:rsidP="00726070">
            <w:pPr>
              <w:spacing w:line="360" w:lineRule="auto"/>
              <w:jc w:val="right"/>
            </w:pPr>
            <w:r w:rsidRPr="003B2B91">
              <w:t>92</w:t>
            </w:r>
          </w:p>
        </w:tc>
        <w:tc>
          <w:tcPr>
            <w:tcW w:w="764" w:type="dxa"/>
            <w:noWrap/>
            <w:vAlign w:val="center"/>
            <w:hideMark/>
          </w:tcPr>
          <w:p w14:paraId="0765D530" w14:textId="77777777" w:rsidR="00F679A2" w:rsidRPr="003B2B91" w:rsidRDefault="00F679A2" w:rsidP="00726070">
            <w:pPr>
              <w:spacing w:line="360" w:lineRule="auto"/>
              <w:jc w:val="right"/>
            </w:pPr>
            <w:r w:rsidRPr="003B2B91">
              <w:t>131</w:t>
            </w:r>
          </w:p>
        </w:tc>
        <w:tc>
          <w:tcPr>
            <w:tcW w:w="764" w:type="dxa"/>
            <w:noWrap/>
            <w:vAlign w:val="center"/>
            <w:hideMark/>
          </w:tcPr>
          <w:p w14:paraId="68B04DA1" w14:textId="77777777" w:rsidR="00F679A2" w:rsidRPr="003B2B91" w:rsidRDefault="00F679A2" w:rsidP="00726070">
            <w:pPr>
              <w:spacing w:line="360" w:lineRule="auto"/>
              <w:jc w:val="right"/>
            </w:pPr>
            <w:r w:rsidRPr="003B2B91">
              <w:t>80</w:t>
            </w:r>
          </w:p>
        </w:tc>
        <w:tc>
          <w:tcPr>
            <w:tcW w:w="764" w:type="dxa"/>
            <w:noWrap/>
            <w:vAlign w:val="center"/>
            <w:hideMark/>
          </w:tcPr>
          <w:p w14:paraId="4E9F065C" w14:textId="77777777" w:rsidR="00F679A2" w:rsidRPr="003B2B91" w:rsidRDefault="00F679A2" w:rsidP="00726070">
            <w:pPr>
              <w:spacing w:line="360" w:lineRule="auto"/>
              <w:jc w:val="right"/>
            </w:pPr>
            <w:r w:rsidRPr="003B2B91">
              <w:t>85</w:t>
            </w:r>
          </w:p>
        </w:tc>
        <w:tc>
          <w:tcPr>
            <w:tcW w:w="764" w:type="dxa"/>
            <w:noWrap/>
            <w:vAlign w:val="center"/>
            <w:hideMark/>
          </w:tcPr>
          <w:p w14:paraId="45C3CE57" w14:textId="77777777" w:rsidR="00F679A2" w:rsidRPr="003B2B91" w:rsidRDefault="00F679A2" w:rsidP="00726070">
            <w:pPr>
              <w:spacing w:line="360" w:lineRule="auto"/>
              <w:jc w:val="right"/>
            </w:pPr>
            <w:r w:rsidRPr="003B2B91">
              <w:t>171</w:t>
            </w:r>
          </w:p>
        </w:tc>
      </w:tr>
      <w:tr w:rsidR="00F679A2" w:rsidRPr="003B2B91" w14:paraId="2DAA8C08" w14:textId="77777777" w:rsidTr="00726070">
        <w:trPr>
          <w:trHeight w:val="300"/>
        </w:trPr>
        <w:tc>
          <w:tcPr>
            <w:tcW w:w="2515" w:type="dxa"/>
            <w:noWrap/>
            <w:hideMark/>
          </w:tcPr>
          <w:p w14:paraId="51552FBE" w14:textId="77777777" w:rsidR="00F679A2" w:rsidRPr="003B2B91" w:rsidRDefault="00F679A2" w:rsidP="00726070">
            <w:pPr>
              <w:spacing w:line="360" w:lineRule="auto"/>
              <w:jc w:val="left"/>
              <w:rPr>
                <w:b/>
                <w:bCs/>
              </w:rPr>
            </w:pPr>
            <w:r w:rsidRPr="003B2B91">
              <w:rPr>
                <w:b/>
                <w:bCs/>
              </w:rPr>
              <w:t>OLJNICE IN PREDIVNICE</w:t>
            </w:r>
          </w:p>
        </w:tc>
        <w:tc>
          <w:tcPr>
            <w:tcW w:w="1090" w:type="dxa"/>
            <w:noWrap/>
            <w:vAlign w:val="center"/>
            <w:hideMark/>
          </w:tcPr>
          <w:p w14:paraId="4C157200" w14:textId="77777777" w:rsidR="00F679A2" w:rsidRPr="003B2B91" w:rsidRDefault="00F679A2" w:rsidP="00726070">
            <w:pPr>
              <w:spacing w:line="360" w:lineRule="auto"/>
              <w:jc w:val="right"/>
            </w:pPr>
            <w:r w:rsidRPr="003B2B91">
              <w:t>128</w:t>
            </w:r>
          </w:p>
        </w:tc>
        <w:tc>
          <w:tcPr>
            <w:tcW w:w="765" w:type="dxa"/>
            <w:noWrap/>
            <w:vAlign w:val="center"/>
            <w:hideMark/>
          </w:tcPr>
          <w:p w14:paraId="6DC34C01" w14:textId="77777777" w:rsidR="00F679A2" w:rsidRPr="003B2B91" w:rsidRDefault="00F679A2" w:rsidP="00726070">
            <w:pPr>
              <w:spacing w:line="360" w:lineRule="auto"/>
              <w:jc w:val="right"/>
            </w:pPr>
            <w:r w:rsidRPr="003B2B91">
              <w:t>54</w:t>
            </w:r>
          </w:p>
        </w:tc>
        <w:tc>
          <w:tcPr>
            <w:tcW w:w="764" w:type="dxa"/>
            <w:noWrap/>
            <w:vAlign w:val="center"/>
            <w:hideMark/>
          </w:tcPr>
          <w:p w14:paraId="7847B2AD" w14:textId="77777777" w:rsidR="00F679A2" w:rsidRPr="003B2B91" w:rsidRDefault="00F679A2" w:rsidP="00726070">
            <w:pPr>
              <w:spacing w:line="360" w:lineRule="auto"/>
              <w:jc w:val="right"/>
            </w:pPr>
            <w:r w:rsidRPr="003B2B91">
              <w:t>134</w:t>
            </w:r>
          </w:p>
        </w:tc>
        <w:tc>
          <w:tcPr>
            <w:tcW w:w="764" w:type="dxa"/>
            <w:noWrap/>
            <w:vAlign w:val="center"/>
            <w:hideMark/>
          </w:tcPr>
          <w:p w14:paraId="719EA1D6" w14:textId="77777777" w:rsidR="00F679A2" w:rsidRPr="003B2B91" w:rsidRDefault="00F679A2" w:rsidP="00726070">
            <w:pPr>
              <w:spacing w:line="360" w:lineRule="auto"/>
              <w:jc w:val="right"/>
            </w:pPr>
            <w:r w:rsidRPr="003B2B91">
              <w:t>135</w:t>
            </w:r>
          </w:p>
        </w:tc>
        <w:tc>
          <w:tcPr>
            <w:tcW w:w="764" w:type="dxa"/>
            <w:noWrap/>
            <w:vAlign w:val="center"/>
            <w:hideMark/>
          </w:tcPr>
          <w:p w14:paraId="6DB38CD8" w14:textId="77777777" w:rsidR="00F679A2" w:rsidRPr="003B2B91" w:rsidRDefault="00F679A2" w:rsidP="00726070">
            <w:pPr>
              <w:spacing w:line="360" w:lineRule="auto"/>
              <w:jc w:val="right"/>
            </w:pPr>
            <w:r w:rsidRPr="003B2B91">
              <w:t>211</w:t>
            </w:r>
          </w:p>
        </w:tc>
        <w:tc>
          <w:tcPr>
            <w:tcW w:w="764" w:type="dxa"/>
            <w:noWrap/>
            <w:vAlign w:val="center"/>
            <w:hideMark/>
          </w:tcPr>
          <w:p w14:paraId="1C2F2F49" w14:textId="77777777" w:rsidR="00F679A2" w:rsidRPr="003B2B91" w:rsidRDefault="00F679A2" w:rsidP="00726070">
            <w:pPr>
              <w:spacing w:line="360" w:lineRule="auto"/>
              <w:jc w:val="right"/>
            </w:pPr>
            <w:r w:rsidRPr="003B2B91">
              <w:t>181</w:t>
            </w:r>
          </w:p>
        </w:tc>
        <w:tc>
          <w:tcPr>
            <w:tcW w:w="764" w:type="dxa"/>
            <w:noWrap/>
            <w:vAlign w:val="center"/>
            <w:hideMark/>
          </w:tcPr>
          <w:p w14:paraId="5935BDE3" w14:textId="77777777" w:rsidR="00F679A2" w:rsidRPr="003B2B91" w:rsidRDefault="00F679A2" w:rsidP="00726070">
            <w:pPr>
              <w:spacing w:line="360" w:lineRule="auto"/>
              <w:jc w:val="right"/>
            </w:pPr>
            <w:r w:rsidRPr="003B2B91">
              <w:t>203</w:t>
            </w:r>
          </w:p>
        </w:tc>
        <w:tc>
          <w:tcPr>
            <w:tcW w:w="764" w:type="dxa"/>
            <w:noWrap/>
            <w:vAlign w:val="center"/>
            <w:hideMark/>
          </w:tcPr>
          <w:p w14:paraId="7DC29A68" w14:textId="77777777" w:rsidR="00F679A2" w:rsidRPr="003B2B91" w:rsidRDefault="00F679A2" w:rsidP="00726070">
            <w:pPr>
              <w:spacing w:line="360" w:lineRule="auto"/>
              <w:jc w:val="right"/>
            </w:pPr>
            <w:r w:rsidRPr="003B2B91">
              <w:t>283</w:t>
            </w:r>
          </w:p>
        </w:tc>
      </w:tr>
      <w:tr w:rsidR="00F679A2" w:rsidRPr="003B2B91" w14:paraId="23428A54" w14:textId="77777777" w:rsidTr="00726070">
        <w:trPr>
          <w:trHeight w:val="300"/>
        </w:trPr>
        <w:tc>
          <w:tcPr>
            <w:tcW w:w="2515" w:type="dxa"/>
            <w:noWrap/>
            <w:hideMark/>
          </w:tcPr>
          <w:p w14:paraId="02CAD950" w14:textId="77777777" w:rsidR="00F679A2" w:rsidRPr="003B2B91" w:rsidRDefault="00F679A2" w:rsidP="00726070">
            <w:pPr>
              <w:spacing w:line="360" w:lineRule="auto"/>
              <w:jc w:val="left"/>
              <w:rPr>
                <w:b/>
                <w:bCs/>
              </w:rPr>
            </w:pPr>
            <w:r w:rsidRPr="003B2B91">
              <w:rPr>
                <w:b/>
                <w:bCs/>
              </w:rPr>
              <w:t xml:space="preserve">KROMPIR </w:t>
            </w:r>
          </w:p>
        </w:tc>
        <w:tc>
          <w:tcPr>
            <w:tcW w:w="1090" w:type="dxa"/>
            <w:noWrap/>
            <w:vAlign w:val="center"/>
            <w:hideMark/>
          </w:tcPr>
          <w:p w14:paraId="3AFF93B3" w14:textId="77777777" w:rsidR="00F679A2" w:rsidRPr="003B2B91" w:rsidRDefault="00F679A2" w:rsidP="00726070">
            <w:pPr>
              <w:spacing w:line="360" w:lineRule="auto"/>
              <w:jc w:val="right"/>
            </w:pPr>
            <w:r w:rsidRPr="003B2B91">
              <w:t>85</w:t>
            </w:r>
          </w:p>
        </w:tc>
        <w:tc>
          <w:tcPr>
            <w:tcW w:w="765" w:type="dxa"/>
            <w:noWrap/>
            <w:vAlign w:val="center"/>
            <w:hideMark/>
          </w:tcPr>
          <w:p w14:paraId="79D2185C" w14:textId="77777777" w:rsidR="00F679A2" w:rsidRPr="003B2B91" w:rsidRDefault="00F679A2" w:rsidP="00726070">
            <w:pPr>
              <w:spacing w:line="360" w:lineRule="auto"/>
              <w:jc w:val="right"/>
            </w:pPr>
            <w:r w:rsidRPr="003B2B91">
              <w:t>41</w:t>
            </w:r>
          </w:p>
        </w:tc>
        <w:tc>
          <w:tcPr>
            <w:tcW w:w="764" w:type="dxa"/>
            <w:noWrap/>
            <w:vAlign w:val="center"/>
            <w:hideMark/>
          </w:tcPr>
          <w:p w14:paraId="0BFD8C91" w14:textId="77777777" w:rsidR="00F679A2" w:rsidRPr="003B2B91" w:rsidRDefault="00F679A2" w:rsidP="00726070">
            <w:pPr>
              <w:spacing w:line="360" w:lineRule="auto"/>
              <w:jc w:val="right"/>
            </w:pPr>
            <w:r w:rsidRPr="003B2B91">
              <w:t>29</w:t>
            </w:r>
          </w:p>
        </w:tc>
        <w:tc>
          <w:tcPr>
            <w:tcW w:w="764" w:type="dxa"/>
            <w:noWrap/>
            <w:vAlign w:val="center"/>
            <w:hideMark/>
          </w:tcPr>
          <w:p w14:paraId="190655FE" w14:textId="77777777" w:rsidR="00F679A2" w:rsidRPr="003B2B91" w:rsidRDefault="00F679A2" w:rsidP="00726070">
            <w:pPr>
              <w:spacing w:line="360" w:lineRule="auto"/>
              <w:jc w:val="right"/>
            </w:pPr>
            <w:r w:rsidRPr="003B2B91">
              <w:t>30</w:t>
            </w:r>
          </w:p>
        </w:tc>
        <w:tc>
          <w:tcPr>
            <w:tcW w:w="764" w:type="dxa"/>
            <w:noWrap/>
            <w:vAlign w:val="center"/>
            <w:hideMark/>
          </w:tcPr>
          <w:p w14:paraId="231DB769" w14:textId="77777777" w:rsidR="00F679A2" w:rsidRPr="003B2B91" w:rsidRDefault="00F679A2" w:rsidP="00726070">
            <w:pPr>
              <w:spacing w:line="360" w:lineRule="auto"/>
              <w:jc w:val="right"/>
            </w:pPr>
            <w:r w:rsidRPr="003B2B91">
              <w:t>30</w:t>
            </w:r>
          </w:p>
        </w:tc>
        <w:tc>
          <w:tcPr>
            <w:tcW w:w="764" w:type="dxa"/>
            <w:noWrap/>
            <w:vAlign w:val="center"/>
            <w:hideMark/>
          </w:tcPr>
          <w:p w14:paraId="4611EB38" w14:textId="77777777" w:rsidR="00F679A2" w:rsidRPr="003B2B91" w:rsidRDefault="00F679A2" w:rsidP="00726070">
            <w:pPr>
              <w:spacing w:line="360" w:lineRule="auto"/>
              <w:jc w:val="right"/>
            </w:pPr>
            <w:r w:rsidRPr="003B2B91">
              <w:t>30</w:t>
            </w:r>
          </w:p>
        </w:tc>
        <w:tc>
          <w:tcPr>
            <w:tcW w:w="764" w:type="dxa"/>
            <w:noWrap/>
            <w:vAlign w:val="center"/>
            <w:hideMark/>
          </w:tcPr>
          <w:p w14:paraId="3879A666" w14:textId="77777777" w:rsidR="00F679A2" w:rsidRPr="003B2B91" w:rsidRDefault="00F679A2" w:rsidP="00726070">
            <w:pPr>
              <w:spacing w:line="360" w:lineRule="auto"/>
              <w:jc w:val="right"/>
            </w:pPr>
            <w:r w:rsidRPr="003B2B91">
              <w:t>31</w:t>
            </w:r>
          </w:p>
        </w:tc>
        <w:tc>
          <w:tcPr>
            <w:tcW w:w="764" w:type="dxa"/>
            <w:noWrap/>
            <w:vAlign w:val="center"/>
            <w:hideMark/>
          </w:tcPr>
          <w:p w14:paraId="2DF175D7" w14:textId="77777777" w:rsidR="00F679A2" w:rsidRPr="003B2B91" w:rsidRDefault="00F679A2" w:rsidP="00726070">
            <w:pPr>
              <w:spacing w:line="360" w:lineRule="auto"/>
              <w:jc w:val="right"/>
            </w:pPr>
            <w:r w:rsidRPr="003B2B91">
              <w:t>27</w:t>
            </w:r>
          </w:p>
        </w:tc>
      </w:tr>
      <w:tr w:rsidR="00F679A2" w:rsidRPr="003B2B91" w14:paraId="21210A8B" w14:textId="77777777" w:rsidTr="00726070">
        <w:trPr>
          <w:trHeight w:val="300"/>
        </w:trPr>
        <w:tc>
          <w:tcPr>
            <w:tcW w:w="2515" w:type="dxa"/>
            <w:noWrap/>
            <w:hideMark/>
          </w:tcPr>
          <w:p w14:paraId="4AC18E75" w14:textId="77777777" w:rsidR="00F679A2" w:rsidRPr="003B2B91" w:rsidRDefault="00F679A2" w:rsidP="00726070">
            <w:pPr>
              <w:spacing w:line="360" w:lineRule="auto"/>
              <w:jc w:val="left"/>
              <w:rPr>
                <w:b/>
                <w:bCs/>
              </w:rPr>
            </w:pPr>
            <w:r w:rsidRPr="003B2B91">
              <w:rPr>
                <w:b/>
                <w:bCs/>
              </w:rPr>
              <w:t>ZELENJADNICE</w:t>
            </w:r>
          </w:p>
        </w:tc>
        <w:tc>
          <w:tcPr>
            <w:tcW w:w="1090" w:type="dxa"/>
            <w:noWrap/>
            <w:vAlign w:val="center"/>
            <w:hideMark/>
          </w:tcPr>
          <w:p w14:paraId="7E830574" w14:textId="77777777" w:rsidR="00F679A2" w:rsidRPr="003B2B91" w:rsidRDefault="00F679A2" w:rsidP="00726070">
            <w:pPr>
              <w:spacing w:line="360" w:lineRule="auto"/>
              <w:jc w:val="right"/>
            </w:pPr>
            <w:r w:rsidRPr="003B2B91">
              <w:t>22</w:t>
            </w:r>
          </w:p>
        </w:tc>
        <w:tc>
          <w:tcPr>
            <w:tcW w:w="765" w:type="dxa"/>
            <w:noWrap/>
            <w:vAlign w:val="center"/>
            <w:hideMark/>
          </w:tcPr>
          <w:p w14:paraId="03752303" w14:textId="77777777" w:rsidR="00F679A2" w:rsidRPr="003B2B91" w:rsidRDefault="00F679A2" w:rsidP="00726070">
            <w:pPr>
              <w:spacing w:line="360" w:lineRule="auto"/>
              <w:jc w:val="right"/>
            </w:pPr>
            <w:r w:rsidRPr="003B2B91">
              <w:t>6</w:t>
            </w:r>
          </w:p>
        </w:tc>
        <w:tc>
          <w:tcPr>
            <w:tcW w:w="764" w:type="dxa"/>
            <w:noWrap/>
            <w:vAlign w:val="center"/>
            <w:hideMark/>
          </w:tcPr>
          <w:p w14:paraId="3FCCE4E9" w14:textId="77777777" w:rsidR="00F679A2" w:rsidRPr="003B2B91" w:rsidRDefault="00F679A2" w:rsidP="00726070">
            <w:pPr>
              <w:spacing w:line="360" w:lineRule="auto"/>
              <w:jc w:val="right"/>
            </w:pPr>
            <w:r w:rsidRPr="003B2B91">
              <w:t>2</w:t>
            </w:r>
          </w:p>
        </w:tc>
        <w:tc>
          <w:tcPr>
            <w:tcW w:w="764" w:type="dxa"/>
            <w:noWrap/>
            <w:vAlign w:val="center"/>
            <w:hideMark/>
          </w:tcPr>
          <w:p w14:paraId="327688AD" w14:textId="77777777" w:rsidR="00F679A2" w:rsidRPr="003B2B91" w:rsidRDefault="00F679A2" w:rsidP="00726070">
            <w:pPr>
              <w:spacing w:line="360" w:lineRule="auto"/>
              <w:jc w:val="right"/>
            </w:pPr>
            <w:r w:rsidRPr="003B2B91">
              <w:t>4</w:t>
            </w:r>
          </w:p>
        </w:tc>
        <w:tc>
          <w:tcPr>
            <w:tcW w:w="764" w:type="dxa"/>
            <w:noWrap/>
            <w:vAlign w:val="center"/>
            <w:hideMark/>
          </w:tcPr>
          <w:p w14:paraId="08661A03" w14:textId="77777777" w:rsidR="00F679A2" w:rsidRPr="003B2B91" w:rsidRDefault="00F679A2" w:rsidP="00726070">
            <w:pPr>
              <w:spacing w:line="360" w:lineRule="auto"/>
              <w:jc w:val="right"/>
            </w:pPr>
            <w:r w:rsidRPr="003B2B91">
              <w:t>9</w:t>
            </w:r>
          </w:p>
        </w:tc>
        <w:tc>
          <w:tcPr>
            <w:tcW w:w="764" w:type="dxa"/>
            <w:noWrap/>
            <w:vAlign w:val="center"/>
            <w:hideMark/>
          </w:tcPr>
          <w:p w14:paraId="50008B4D" w14:textId="77777777" w:rsidR="00F679A2" w:rsidRPr="003B2B91" w:rsidRDefault="00F679A2" w:rsidP="00726070">
            <w:pPr>
              <w:spacing w:line="360" w:lineRule="auto"/>
              <w:jc w:val="right"/>
            </w:pPr>
            <w:r w:rsidRPr="003B2B91">
              <w:t>4</w:t>
            </w:r>
          </w:p>
        </w:tc>
        <w:tc>
          <w:tcPr>
            <w:tcW w:w="764" w:type="dxa"/>
            <w:noWrap/>
            <w:vAlign w:val="center"/>
            <w:hideMark/>
          </w:tcPr>
          <w:p w14:paraId="3FECFB3D" w14:textId="77777777" w:rsidR="00F679A2" w:rsidRPr="003B2B91" w:rsidRDefault="00F679A2" w:rsidP="00726070">
            <w:pPr>
              <w:spacing w:line="360" w:lineRule="auto"/>
              <w:jc w:val="right"/>
            </w:pPr>
            <w:r w:rsidRPr="003B2B91">
              <w:t>5</w:t>
            </w:r>
          </w:p>
        </w:tc>
        <w:tc>
          <w:tcPr>
            <w:tcW w:w="764" w:type="dxa"/>
            <w:noWrap/>
            <w:vAlign w:val="center"/>
            <w:hideMark/>
          </w:tcPr>
          <w:p w14:paraId="016F2D14" w14:textId="77777777" w:rsidR="00F679A2" w:rsidRPr="003B2B91" w:rsidRDefault="00F679A2" w:rsidP="00726070">
            <w:pPr>
              <w:spacing w:line="360" w:lineRule="auto"/>
              <w:jc w:val="right"/>
            </w:pPr>
            <w:r w:rsidRPr="003B2B91">
              <w:t>4</w:t>
            </w:r>
          </w:p>
        </w:tc>
      </w:tr>
      <w:tr w:rsidR="00F679A2" w:rsidRPr="003B2B91" w14:paraId="071A4F90" w14:textId="77777777" w:rsidTr="00726070">
        <w:trPr>
          <w:trHeight w:val="315"/>
        </w:trPr>
        <w:tc>
          <w:tcPr>
            <w:tcW w:w="2515" w:type="dxa"/>
            <w:shd w:val="clear" w:color="auto" w:fill="C6D9F1" w:themeFill="text2" w:themeFillTint="33"/>
            <w:noWrap/>
            <w:hideMark/>
          </w:tcPr>
          <w:p w14:paraId="0B9E4BC5" w14:textId="77777777" w:rsidR="00F679A2" w:rsidRPr="003B2B91" w:rsidRDefault="00F679A2" w:rsidP="00B97309">
            <w:pPr>
              <w:spacing w:line="360" w:lineRule="auto"/>
              <w:rPr>
                <w:b/>
                <w:bCs/>
              </w:rPr>
            </w:pPr>
            <w:r w:rsidRPr="003B2B91">
              <w:rPr>
                <w:b/>
                <w:bCs/>
              </w:rPr>
              <w:t>Skupaj (ha)</w:t>
            </w:r>
          </w:p>
        </w:tc>
        <w:tc>
          <w:tcPr>
            <w:tcW w:w="1090" w:type="dxa"/>
            <w:shd w:val="clear" w:color="auto" w:fill="C6D9F1" w:themeFill="text2" w:themeFillTint="33"/>
            <w:noWrap/>
            <w:vAlign w:val="center"/>
            <w:hideMark/>
          </w:tcPr>
          <w:p w14:paraId="52CD784E" w14:textId="77777777" w:rsidR="00F679A2" w:rsidRPr="003B2B91" w:rsidRDefault="00F679A2" w:rsidP="00726070">
            <w:pPr>
              <w:spacing w:line="360" w:lineRule="auto"/>
              <w:jc w:val="right"/>
            </w:pPr>
            <w:r w:rsidRPr="003B2B91">
              <w:t>2540</w:t>
            </w:r>
          </w:p>
        </w:tc>
        <w:tc>
          <w:tcPr>
            <w:tcW w:w="765" w:type="dxa"/>
            <w:shd w:val="clear" w:color="auto" w:fill="C6D9F1" w:themeFill="text2" w:themeFillTint="33"/>
            <w:noWrap/>
            <w:vAlign w:val="center"/>
            <w:hideMark/>
          </w:tcPr>
          <w:p w14:paraId="2F8D1F37" w14:textId="77777777" w:rsidR="00F679A2" w:rsidRPr="003B2B91" w:rsidRDefault="00F679A2" w:rsidP="00726070">
            <w:pPr>
              <w:spacing w:line="360" w:lineRule="auto"/>
              <w:jc w:val="right"/>
            </w:pPr>
            <w:r w:rsidRPr="003B2B91">
              <w:t>1613</w:t>
            </w:r>
          </w:p>
        </w:tc>
        <w:tc>
          <w:tcPr>
            <w:tcW w:w="764" w:type="dxa"/>
            <w:shd w:val="clear" w:color="auto" w:fill="C6D9F1" w:themeFill="text2" w:themeFillTint="33"/>
            <w:noWrap/>
            <w:vAlign w:val="center"/>
            <w:hideMark/>
          </w:tcPr>
          <w:p w14:paraId="53F35F17" w14:textId="77777777" w:rsidR="00F679A2" w:rsidRPr="003B2B91" w:rsidRDefault="00F679A2" w:rsidP="00726070">
            <w:pPr>
              <w:spacing w:line="360" w:lineRule="auto"/>
              <w:jc w:val="right"/>
            </w:pPr>
            <w:r w:rsidRPr="003B2B91">
              <w:t>1386</w:t>
            </w:r>
          </w:p>
        </w:tc>
        <w:tc>
          <w:tcPr>
            <w:tcW w:w="764" w:type="dxa"/>
            <w:shd w:val="clear" w:color="auto" w:fill="C6D9F1" w:themeFill="text2" w:themeFillTint="33"/>
            <w:noWrap/>
            <w:vAlign w:val="center"/>
            <w:hideMark/>
          </w:tcPr>
          <w:p w14:paraId="3A93D497" w14:textId="77777777" w:rsidR="00F679A2" w:rsidRPr="003B2B91" w:rsidRDefault="00F679A2" w:rsidP="00726070">
            <w:pPr>
              <w:spacing w:line="360" w:lineRule="auto"/>
              <w:jc w:val="right"/>
            </w:pPr>
            <w:r w:rsidRPr="003B2B91">
              <w:t>1297</w:t>
            </w:r>
          </w:p>
        </w:tc>
        <w:tc>
          <w:tcPr>
            <w:tcW w:w="764" w:type="dxa"/>
            <w:shd w:val="clear" w:color="auto" w:fill="C6D9F1" w:themeFill="text2" w:themeFillTint="33"/>
            <w:noWrap/>
            <w:vAlign w:val="center"/>
            <w:hideMark/>
          </w:tcPr>
          <w:p w14:paraId="544F7986" w14:textId="77777777" w:rsidR="00F679A2" w:rsidRPr="003B2B91" w:rsidRDefault="00F679A2" w:rsidP="00726070">
            <w:pPr>
              <w:spacing w:line="360" w:lineRule="auto"/>
              <w:jc w:val="right"/>
            </w:pPr>
            <w:r w:rsidRPr="003B2B91">
              <w:t>1339</w:t>
            </w:r>
          </w:p>
        </w:tc>
        <w:tc>
          <w:tcPr>
            <w:tcW w:w="764" w:type="dxa"/>
            <w:shd w:val="clear" w:color="auto" w:fill="C6D9F1" w:themeFill="text2" w:themeFillTint="33"/>
            <w:noWrap/>
            <w:vAlign w:val="center"/>
            <w:hideMark/>
          </w:tcPr>
          <w:p w14:paraId="07F5ED43" w14:textId="77777777" w:rsidR="00F679A2" w:rsidRPr="003B2B91" w:rsidRDefault="00F679A2" w:rsidP="00726070">
            <w:pPr>
              <w:spacing w:line="360" w:lineRule="auto"/>
              <w:jc w:val="right"/>
            </w:pPr>
            <w:r w:rsidRPr="003B2B91">
              <w:t>1084</w:t>
            </w:r>
          </w:p>
        </w:tc>
        <w:tc>
          <w:tcPr>
            <w:tcW w:w="764" w:type="dxa"/>
            <w:shd w:val="clear" w:color="auto" w:fill="C6D9F1" w:themeFill="text2" w:themeFillTint="33"/>
            <w:noWrap/>
            <w:vAlign w:val="center"/>
            <w:hideMark/>
          </w:tcPr>
          <w:p w14:paraId="009BE62E" w14:textId="77777777" w:rsidR="00F679A2" w:rsidRPr="003B2B91" w:rsidRDefault="00F679A2" w:rsidP="00726070">
            <w:pPr>
              <w:spacing w:line="360" w:lineRule="auto"/>
              <w:jc w:val="right"/>
            </w:pPr>
            <w:r w:rsidRPr="003B2B91">
              <w:t>1205</w:t>
            </w:r>
          </w:p>
        </w:tc>
        <w:tc>
          <w:tcPr>
            <w:tcW w:w="764" w:type="dxa"/>
            <w:shd w:val="clear" w:color="auto" w:fill="C6D9F1" w:themeFill="text2" w:themeFillTint="33"/>
            <w:noWrap/>
            <w:vAlign w:val="center"/>
            <w:hideMark/>
          </w:tcPr>
          <w:p w14:paraId="77DA2715" w14:textId="77777777" w:rsidR="00F679A2" w:rsidRPr="003B2B91" w:rsidRDefault="00F679A2" w:rsidP="00726070">
            <w:pPr>
              <w:spacing w:line="360" w:lineRule="auto"/>
              <w:jc w:val="right"/>
            </w:pPr>
            <w:r w:rsidRPr="003B2B91">
              <w:t>1410</w:t>
            </w:r>
          </w:p>
        </w:tc>
      </w:tr>
    </w:tbl>
    <w:p w14:paraId="176AFACB" w14:textId="77777777" w:rsidR="00F679A2" w:rsidRDefault="00F679A2" w:rsidP="00F679A2">
      <w:pPr>
        <w:spacing w:line="360" w:lineRule="auto"/>
        <w:rPr>
          <w:sz w:val="16"/>
          <w:szCs w:val="16"/>
        </w:rPr>
      </w:pPr>
      <w:r w:rsidRPr="005718B1">
        <w:rPr>
          <w:sz w:val="16"/>
          <w:szCs w:val="16"/>
        </w:rPr>
        <w:t>Vir: UVHVVR</w:t>
      </w:r>
      <w:r>
        <w:rPr>
          <w:sz w:val="16"/>
          <w:szCs w:val="16"/>
        </w:rPr>
        <w:t>-2020</w:t>
      </w:r>
    </w:p>
    <w:p w14:paraId="7E23E90D" w14:textId="77777777" w:rsidR="00F679A2" w:rsidRDefault="00F679A2" w:rsidP="00F679A2">
      <w:pPr>
        <w:spacing w:line="360" w:lineRule="auto"/>
        <w:rPr>
          <w:szCs w:val="20"/>
        </w:rPr>
      </w:pPr>
    </w:p>
    <w:p w14:paraId="42B0977A" w14:textId="6F20C82A" w:rsidR="00F679A2" w:rsidRDefault="00F679A2" w:rsidP="00F679A2">
      <w:pPr>
        <w:pStyle w:val="SCSlika0"/>
      </w:pPr>
      <w:bookmarkStart w:id="3169" w:name="_Toc86822748"/>
      <w:r>
        <w:t xml:space="preserve">Slika </w:t>
      </w:r>
      <w:r>
        <w:rPr>
          <w:noProof/>
        </w:rPr>
        <w:fldChar w:fldCharType="begin"/>
      </w:r>
      <w:r>
        <w:rPr>
          <w:noProof/>
        </w:rPr>
        <w:instrText xml:space="preserve"> SEQ Slika \* ARABIC </w:instrText>
      </w:r>
      <w:r>
        <w:rPr>
          <w:noProof/>
        </w:rPr>
        <w:fldChar w:fldCharType="separate"/>
      </w:r>
      <w:r w:rsidR="0088117A">
        <w:rPr>
          <w:noProof/>
        </w:rPr>
        <w:t>76</w:t>
      </w:r>
      <w:r>
        <w:rPr>
          <w:noProof/>
        </w:rPr>
        <w:fldChar w:fldCharType="end"/>
      </w:r>
      <w:r>
        <w:t xml:space="preserve">: </w:t>
      </w:r>
      <w:r w:rsidRPr="0040635C">
        <w:t>Delež površin semenskih posevkov po skupinah rastlin od 2014–2019 v primerjavi z obdobjem 2009–2013</w:t>
      </w:r>
      <w:bookmarkEnd w:id="3169"/>
    </w:p>
    <w:p w14:paraId="0BAFF1A0" w14:textId="77777777" w:rsidR="00F679A2" w:rsidRPr="003B2B91" w:rsidRDefault="00F679A2" w:rsidP="00F679A2">
      <w:pPr>
        <w:keepNext/>
        <w:keepLines/>
        <w:spacing w:line="360" w:lineRule="auto"/>
        <w:rPr>
          <w:szCs w:val="20"/>
        </w:rPr>
      </w:pPr>
      <w:r w:rsidRPr="003B2B91">
        <w:rPr>
          <w:noProof/>
          <w:szCs w:val="20"/>
          <w:lang w:eastAsia="sl-SI"/>
        </w:rPr>
        <w:drawing>
          <wp:inline distT="0" distB="0" distL="0" distR="0" wp14:anchorId="5018C4CF" wp14:editId="614319A1">
            <wp:extent cx="5123019" cy="2552131"/>
            <wp:effectExtent l="0" t="0" r="1905" b="635"/>
            <wp:docPr id="1631865352" name="Slika 163186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34393" cy="2557797"/>
                    </a:xfrm>
                    <a:prstGeom prst="rect">
                      <a:avLst/>
                    </a:prstGeom>
                    <a:noFill/>
                  </pic:spPr>
                </pic:pic>
              </a:graphicData>
            </a:graphic>
          </wp:inline>
        </w:drawing>
      </w:r>
    </w:p>
    <w:p w14:paraId="77D5337B" w14:textId="77777777" w:rsidR="00F679A2" w:rsidRPr="003B2B91" w:rsidRDefault="00F679A2" w:rsidP="00F679A2">
      <w:pPr>
        <w:keepNext/>
        <w:keepLines/>
        <w:spacing w:line="360" w:lineRule="auto"/>
        <w:rPr>
          <w:szCs w:val="20"/>
        </w:rPr>
      </w:pPr>
      <w:r w:rsidRPr="00FF4B40">
        <w:rPr>
          <w:sz w:val="16"/>
          <w:szCs w:val="16"/>
        </w:rPr>
        <w:t>Vir: UVHVVR</w:t>
      </w:r>
      <w:r>
        <w:rPr>
          <w:sz w:val="16"/>
          <w:szCs w:val="16"/>
        </w:rPr>
        <w:t>-2020</w:t>
      </w:r>
    </w:p>
    <w:p w14:paraId="4924E3E7" w14:textId="77777777" w:rsidR="00F679A2" w:rsidRPr="005B2A49" w:rsidRDefault="00F679A2" w:rsidP="005B2A49">
      <w:pPr>
        <w:spacing w:after="120" w:line="260" w:lineRule="atLeast"/>
        <w:rPr>
          <w:rFonts w:eastAsia="Calibri"/>
          <w:szCs w:val="20"/>
        </w:rPr>
      </w:pPr>
      <w:r w:rsidRPr="005B2A49">
        <w:rPr>
          <w:rFonts w:eastAsia="Calibri"/>
          <w:szCs w:val="20"/>
        </w:rPr>
        <w:t>V Sloveniji se v največjem obsegu pridelujejo semena žit, čeprav se je njihov delež v celotni semenski pridelavi zmanjšal na okoli 60 %, pred letom 2014 pa je bil ta delež več kot 85 %. Med žiti se je najbolj zmanjšal obseg pridelave semena koruze (za 90 % glede na povprečno pridelavo obdobja 2000-2004) in pšenice (za več kot 50 % glede na pridelavo obdobja 2000-2004), čeprav ti dve kmetijski rastlini še vedno zasedata več kot polovico vseh njivskih površin v Sloveniji. Močno se je zmanjšala tudi pridelava semenskega krompirja, saj predstavlja trenutni obseg pridelave manj kot 30 % v primerjavi z obdobjem 2000-2004, ko je bilo 85 ha potrjenih površin s krompirjem.</w:t>
      </w:r>
    </w:p>
    <w:p w14:paraId="2747F640" w14:textId="77777777" w:rsidR="00F679A2" w:rsidRPr="005B2A49" w:rsidRDefault="00F679A2" w:rsidP="005B2A49">
      <w:pPr>
        <w:spacing w:after="120" w:line="260" w:lineRule="atLeast"/>
        <w:rPr>
          <w:rFonts w:eastAsia="Calibri"/>
          <w:szCs w:val="20"/>
        </w:rPr>
      </w:pPr>
      <w:r w:rsidRPr="005B2A49">
        <w:rPr>
          <w:rFonts w:eastAsia="Calibri"/>
          <w:szCs w:val="20"/>
        </w:rPr>
        <w:t>V letu 2019 smo beleži pozitivni trend v pridelavi uradno potrjenega semena pri pšenici, ječmenu, koruzi, soji, inkarnatki, ovsu, oljni repici ter konoplji. Zmanjšale</w:t>
      </w:r>
      <w:r w:rsidRPr="005B2A49" w:rsidDel="00AF7459">
        <w:rPr>
          <w:rFonts w:eastAsia="Calibri"/>
          <w:szCs w:val="20"/>
        </w:rPr>
        <w:t xml:space="preserve"> </w:t>
      </w:r>
      <w:r w:rsidRPr="005B2A49">
        <w:rPr>
          <w:rFonts w:eastAsia="Calibri"/>
          <w:szCs w:val="20"/>
        </w:rPr>
        <w:t xml:space="preserve">so se površine posejane z ajdo, ogrščico, tritikalo, ržjo, piro, deteljo in ljuljko. Za pridelavo semena žit je v zadnjem času značilna velika razdrobljenost v sortni strukturi. </w:t>
      </w:r>
    </w:p>
    <w:p w14:paraId="0EBECD38" w14:textId="354960FB" w:rsidR="00F679A2" w:rsidRDefault="00F679A2" w:rsidP="00F679A2">
      <w:pPr>
        <w:pStyle w:val="SCSlika0"/>
      </w:pPr>
      <w:bookmarkStart w:id="3170" w:name="_Toc86822749"/>
      <w:r>
        <w:t xml:space="preserve">Slika </w:t>
      </w:r>
      <w:r>
        <w:rPr>
          <w:noProof/>
        </w:rPr>
        <w:fldChar w:fldCharType="begin"/>
      </w:r>
      <w:r>
        <w:rPr>
          <w:noProof/>
        </w:rPr>
        <w:instrText xml:space="preserve"> SEQ Slika \* ARABIC </w:instrText>
      </w:r>
      <w:r>
        <w:rPr>
          <w:noProof/>
        </w:rPr>
        <w:fldChar w:fldCharType="separate"/>
      </w:r>
      <w:r w:rsidR="0088117A">
        <w:rPr>
          <w:noProof/>
        </w:rPr>
        <w:t>77</w:t>
      </w:r>
      <w:r>
        <w:rPr>
          <w:noProof/>
        </w:rPr>
        <w:fldChar w:fldCharType="end"/>
      </w:r>
      <w:r>
        <w:t xml:space="preserve">: </w:t>
      </w:r>
      <w:r w:rsidRPr="0040635C">
        <w:t>Obseg pridelave semena žit (2014–2019)</w:t>
      </w:r>
      <w:bookmarkEnd w:id="3170"/>
    </w:p>
    <w:p w14:paraId="48D39A43" w14:textId="77777777" w:rsidR="00F679A2" w:rsidRPr="003B2B91" w:rsidRDefault="00F679A2" w:rsidP="00F679A2">
      <w:pPr>
        <w:keepNext/>
        <w:keepLines/>
        <w:spacing w:line="360" w:lineRule="auto"/>
        <w:rPr>
          <w:szCs w:val="20"/>
        </w:rPr>
      </w:pPr>
      <w:r w:rsidRPr="003B2B91">
        <w:rPr>
          <w:noProof/>
          <w:szCs w:val="20"/>
          <w:lang w:eastAsia="sl-SI"/>
        </w:rPr>
        <w:drawing>
          <wp:inline distT="0" distB="0" distL="0" distR="0" wp14:anchorId="663B2CEC" wp14:editId="0737481C">
            <wp:extent cx="4358640" cy="2049780"/>
            <wp:effectExtent l="0" t="0" r="3810" b="7620"/>
            <wp:docPr id="1631865353" name="Grafikon 1631865353">
              <a:extLst xmlns:a="http://schemas.openxmlformats.org/drawingml/2006/main">
                <a:ext uri="{FF2B5EF4-FFF2-40B4-BE49-F238E27FC236}">
                  <a16:creationId xmlns:a16="http://schemas.microsoft.com/office/drawing/2014/main" id="{EDF2134F-289F-47F8-92F4-5410BFA36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8D1C9AA" w14:textId="77777777" w:rsidR="00F679A2" w:rsidRDefault="00F679A2" w:rsidP="00F679A2">
      <w:pPr>
        <w:keepNext/>
        <w:keepLines/>
        <w:spacing w:line="360" w:lineRule="auto"/>
        <w:rPr>
          <w:sz w:val="16"/>
          <w:szCs w:val="16"/>
        </w:rPr>
      </w:pPr>
      <w:r w:rsidRPr="005718B1">
        <w:rPr>
          <w:sz w:val="16"/>
          <w:szCs w:val="16"/>
        </w:rPr>
        <w:t>Vir: UVHVVR</w:t>
      </w:r>
      <w:r>
        <w:rPr>
          <w:sz w:val="16"/>
          <w:szCs w:val="16"/>
        </w:rPr>
        <w:t>-2020</w:t>
      </w:r>
    </w:p>
    <w:p w14:paraId="233269FB"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letu 2019 smo beležili pozitivni trend v pridelavi uradno potrjenega semena tudi pri krmnih rastlinah (več kot 2- krat glede na prejšnje leto). Semenski posevki krmnih rastlin so tako v letu 2019 predstavljali že 12,1 % celotne semenske pridelave. Povečala se je tudi pridelava semena oljnic in predivnic, za 29 % glede na leto 2018. V letu 2019 je bila na novo zasnovana semenska pridelava bele gorjušice na 55 ha površin. Površine namenjene pridelavi semenskega krompirja so se v letu 2019 zmanjšale na 27 ha, kar predstavlja komaj 1,9 % površin celotne semenske pridelave. Pridelava uradno potrjenega semena zelenjadnic že od leta 2000 drastično pada, v letu 2019 je bilo zelenjadnicam namenjenih le 3,9 ha oz. samo 0,3 % površin celotne semenske pridelave, od tega pa je bilo 1,2 ha površin namenjenih za sajenje oljnih buč. </w:t>
      </w:r>
    </w:p>
    <w:p w14:paraId="60189953" w14:textId="77777777" w:rsidR="00F679A2" w:rsidRPr="005B2A49" w:rsidRDefault="00F679A2" w:rsidP="005B2A49">
      <w:pPr>
        <w:spacing w:after="120" w:line="260" w:lineRule="atLeast"/>
        <w:rPr>
          <w:rFonts w:eastAsia="Calibri"/>
          <w:szCs w:val="20"/>
        </w:rPr>
      </w:pPr>
      <w:r w:rsidRPr="005B2A49">
        <w:rPr>
          <w:rFonts w:eastAsia="Calibri"/>
          <w:szCs w:val="20"/>
        </w:rPr>
        <w:t>Glede na posejane površine poljščin v Sloveniji in obseg uradno pridelanega domačega semena, pridelamo dovolj potrebnih količin za setev le semena konoplje, oljne ogrščice, repice ter soje. Pri žitih s pridelavo semena prosa pokrijemo 75 % potreb, medtem ko pridelano domače seme ječmena, ovsa, tritikale, ajde in pšenice ne zadošča niti za 50 % pokritje posejanih površin. Z domačo pridelavo semena koruze lahko posadimo le 2 % njiv namenjenih pridelavi te poljščine. S pridelava semenskega krompirja lahko pokrijemo le 9 % slovenskih potreb. Površine za pridelavo semena zelenjadnic se zadnjih šest let gibljejo okoli 4 ha, kar je za slovenske potrebe zelo malo.</w:t>
      </w:r>
    </w:p>
    <w:p w14:paraId="2ABEE882" w14:textId="262595A1" w:rsidR="00F679A2" w:rsidRDefault="00F679A2" w:rsidP="00F679A2">
      <w:pPr>
        <w:pStyle w:val="SCSlika0"/>
      </w:pPr>
      <w:bookmarkStart w:id="3171" w:name="_Toc86822750"/>
      <w:r>
        <w:t xml:space="preserve">Slika </w:t>
      </w:r>
      <w:r>
        <w:rPr>
          <w:noProof/>
        </w:rPr>
        <w:fldChar w:fldCharType="begin"/>
      </w:r>
      <w:r>
        <w:rPr>
          <w:noProof/>
        </w:rPr>
        <w:instrText xml:space="preserve"> SEQ Slika \* ARABIC </w:instrText>
      </w:r>
      <w:r>
        <w:rPr>
          <w:noProof/>
        </w:rPr>
        <w:fldChar w:fldCharType="separate"/>
      </w:r>
      <w:r w:rsidR="0088117A">
        <w:rPr>
          <w:noProof/>
        </w:rPr>
        <w:t>78</w:t>
      </w:r>
      <w:r>
        <w:rPr>
          <w:noProof/>
        </w:rPr>
        <w:fldChar w:fldCharType="end"/>
      </w:r>
      <w:r>
        <w:t xml:space="preserve">: </w:t>
      </w:r>
      <w:r w:rsidRPr="0040635C">
        <w:t>Potrjeni pridelki semena (v t)</w:t>
      </w:r>
      <w:bookmarkEnd w:id="3171"/>
    </w:p>
    <w:p w14:paraId="78EA9785"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6ED5FCA3" wp14:editId="2249E856">
            <wp:extent cx="5667555" cy="2260600"/>
            <wp:effectExtent l="0" t="0" r="9525" b="6350"/>
            <wp:docPr id="1631865354" name="Grafikon 1631865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AC3B06B" w14:textId="77777777" w:rsidR="00F679A2" w:rsidRDefault="00F679A2" w:rsidP="00F679A2">
      <w:pPr>
        <w:spacing w:line="360" w:lineRule="auto"/>
        <w:rPr>
          <w:sz w:val="16"/>
          <w:szCs w:val="16"/>
        </w:rPr>
      </w:pPr>
      <w:r w:rsidRPr="005718B1">
        <w:rPr>
          <w:sz w:val="16"/>
          <w:szCs w:val="16"/>
        </w:rPr>
        <w:t>Vir: MKGP</w:t>
      </w:r>
      <w:r>
        <w:rPr>
          <w:sz w:val="16"/>
          <w:szCs w:val="16"/>
        </w:rPr>
        <w:t>-2020</w:t>
      </w:r>
      <w:r w:rsidRPr="005718B1">
        <w:rPr>
          <w:sz w:val="16"/>
          <w:szCs w:val="16"/>
        </w:rPr>
        <w:t>, UVHVV</w:t>
      </w:r>
      <w:r>
        <w:rPr>
          <w:sz w:val="16"/>
          <w:szCs w:val="16"/>
        </w:rPr>
        <w:t>R-2020</w:t>
      </w:r>
      <w:r w:rsidRPr="005718B1">
        <w:rPr>
          <w:sz w:val="16"/>
          <w:szCs w:val="16"/>
        </w:rPr>
        <w:t>, ZP</w:t>
      </w:r>
      <w:r>
        <w:rPr>
          <w:sz w:val="16"/>
          <w:szCs w:val="16"/>
        </w:rPr>
        <w:t>-2019</w:t>
      </w:r>
    </w:p>
    <w:p w14:paraId="2053D051" w14:textId="65FA2E30" w:rsidR="00F679A2" w:rsidRDefault="00F679A2" w:rsidP="00F679A2">
      <w:pPr>
        <w:pStyle w:val="SCPreglednica"/>
      </w:pPr>
      <w:bookmarkStart w:id="3172" w:name="_Toc86822660"/>
      <w:r>
        <w:t xml:space="preserve">Tabela </w:t>
      </w:r>
      <w:r>
        <w:rPr>
          <w:noProof/>
        </w:rPr>
        <w:fldChar w:fldCharType="begin"/>
      </w:r>
      <w:r>
        <w:rPr>
          <w:noProof/>
        </w:rPr>
        <w:instrText xml:space="preserve"> SEQ Tabela \* ARABIC </w:instrText>
      </w:r>
      <w:r>
        <w:rPr>
          <w:noProof/>
        </w:rPr>
        <w:fldChar w:fldCharType="separate"/>
      </w:r>
      <w:r w:rsidR="0088117A">
        <w:rPr>
          <w:noProof/>
        </w:rPr>
        <w:t>22</w:t>
      </w:r>
      <w:r>
        <w:rPr>
          <w:noProof/>
        </w:rPr>
        <w:fldChar w:fldCharType="end"/>
      </w:r>
      <w:r>
        <w:t xml:space="preserve">: </w:t>
      </w:r>
      <w:r w:rsidRPr="0040635C">
        <w:t>Delež uradno pridelanega domačega semena v Sloveniji</w:t>
      </w:r>
      <w:bookmarkEnd w:id="3172"/>
    </w:p>
    <w:p w14:paraId="4A6B65ED" w14:textId="77777777" w:rsidR="00F679A2" w:rsidRPr="003B2B91" w:rsidRDefault="00F679A2" w:rsidP="00F679A2">
      <w:pPr>
        <w:spacing w:line="360" w:lineRule="auto"/>
        <w:rPr>
          <w:szCs w:val="20"/>
        </w:rPr>
      </w:pPr>
      <w:r w:rsidRPr="003B2B91">
        <w:rPr>
          <w:noProof/>
          <w:szCs w:val="20"/>
          <w:lang w:eastAsia="sl-SI"/>
        </w:rPr>
        <w:drawing>
          <wp:inline distT="0" distB="0" distL="0" distR="0" wp14:anchorId="0862ED1C" wp14:editId="562EF1AF">
            <wp:extent cx="4399830" cy="2769079"/>
            <wp:effectExtent l="0" t="0" r="1270" b="0"/>
            <wp:docPr id="1631865355" name="Slika 163186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09502" cy="2775166"/>
                    </a:xfrm>
                    <a:prstGeom prst="rect">
                      <a:avLst/>
                    </a:prstGeom>
                    <a:noFill/>
                    <a:ln>
                      <a:noFill/>
                    </a:ln>
                  </pic:spPr>
                </pic:pic>
              </a:graphicData>
            </a:graphic>
          </wp:inline>
        </w:drawing>
      </w:r>
    </w:p>
    <w:p w14:paraId="15321F46" w14:textId="77777777" w:rsidR="00F679A2" w:rsidRPr="003B2B91" w:rsidRDefault="00F679A2" w:rsidP="00F679A2">
      <w:pPr>
        <w:spacing w:line="360" w:lineRule="auto"/>
        <w:rPr>
          <w:szCs w:val="20"/>
        </w:rPr>
      </w:pPr>
      <w:r w:rsidRPr="00FF4B40">
        <w:rPr>
          <w:sz w:val="16"/>
          <w:szCs w:val="16"/>
        </w:rPr>
        <w:t>Vir: MKGP</w:t>
      </w:r>
      <w:r>
        <w:rPr>
          <w:sz w:val="16"/>
          <w:szCs w:val="16"/>
        </w:rPr>
        <w:t>-2020</w:t>
      </w:r>
      <w:r w:rsidRPr="00FF4B40">
        <w:rPr>
          <w:sz w:val="16"/>
          <w:szCs w:val="16"/>
        </w:rPr>
        <w:t>, UVHVVR</w:t>
      </w:r>
      <w:r>
        <w:rPr>
          <w:sz w:val="16"/>
          <w:szCs w:val="16"/>
        </w:rPr>
        <w:t>-2020</w:t>
      </w:r>
      <w:r w:rsidRPr="00FF4B40">
        <w:rPr>
          <w:sz w:val="16"/>
          <w:szCs w:val="16"/>
        </w:rPr>
        <w:t>, ZP</w:t>
      </w:r>
      <w:r>
        <w:rPr>
          <w:sz w:val="16"/>
          <w:szCs w:val="16"/>
        </w:rPr>
        <w:t>-2019</w:t>
      </w:r>
    </w:p>
    <w:p w14:paraId="3EE682AB" w14:textId="77777777" w:rsidR="00F679A2" w:rsidRPr="005B2A49" w:rsidRDefault="00F679A2" w:rsidP="005B2A49">
      <w:pPr>
        <w:spacing w:after="120" w:line="260" w:lineRule="atLeast"/>
        <w:rPr>
          <w:rFonts w:eastAsia="Calibri"/>
          <w:szCs w:val="20"/>
        </w:rPr>
      </w:pPr>
      <w:r w:rsidRPr="005B2A49">
        <w:rPr>
          <w:rFonts w:eastAsia="Calibri"/>
          <w:szCs w:val="20"/>
        </w:rPr>
        <w:t>Podatkov o ekonomskih kazalnikih v semenarstvu ni, ker semenarstvo v Sloveniji zajema zelo majhen delež celotne kmetijske proizvodnje. Za namen pridobitve podatkov o ekonomskih kazalcih semenske pridelave na primeru zelenjadnic (stroški in prihodki) je v načrtu izvedba CRP projekta. Rezultati bodo podali modelno oceno prihodkov pri pridelavi semena, ki jo potrebujemo za spodbujanje večjega zanimanja za pridelavo semena v Sloveniji.</w:t>
      </w:r>
    </w:p>
    <w:p w14:paraId="2C2FA37A" w14:textId="77777777" w:rsidR="00F679A2" w:rsidRPr="005B2A49" w:rsidRDefault="00F679A2" w:rsidP="005B2A49">
      <w:pPr>
        <w:spacing w:after="120" w:line="260" w:lineRule="atLeast"/>
        <w:rPr>
          <w:rFonts w:eastAsia="Calibri"/>
          <w:szCs w:val="20"/>
        </w:rPr>
      </w:pPr>
      <w:r w:rsidRPr="005B2A49">
        <w:rPr>
          <w:rFonts w:eastAsia="Calibri"/>
          <w:szCs w:val="20"/>
        </w:rPr>
        <w:t xml:space="preserve">Slovensko krajinsko in vrstno pestrost pogojujejo različne podnebne, talne, geografske in zgodovinske razmere. Spremembe v okolju, načinu izrabe prostora in v pridelovanju so povzročile zmanjševanje biotske raznovrstnosti, kar je očitno tako v naravnem okolju kot tudi v kmetijstvu, saj se je v preteklosti zmanjšalo pridelovanje lokalnih sort in populacij, zmanjšalo se je tudi število vrst kmetijskih rastlin v pridelavi. </w:t>
      </w:r>
    </w:p>
    <w:p w14:paraId="3A9F527E" w14:textId="77777777" w:rsidR="00F679A2" w:rsidRPr="005B2A49" w:rsidRDefault="00F679A2" w:rsidP="005B2A49">
      <w:pPr>
        <w:spacing w:after="120" w:line="260" w:lineRule="atLeast"/>
        <w:rPr>
          <w:rFonts w:eastAsia="Calibri"/>
          <w:szCs w:val="20"/>
        </w:rPr>
      </w:pPr>
      <w:r w:rsidRPr="005B2A49">
        <w:rPr>
          <w:rFonts w:eastAsia="Calibri"/>
          <w:szCs w:val="20"/>
        </w:rPr>
        <w:t xml:space="preserve">Slovenija je v preteklosti tradicionalno veljala za deželo z dobro razvitim semenarstvom, ki pa se je v zadnjih desetletjih pri marsikateri vrsti kmetijskih rastlin močno skrčilo, tudi zaradi omejenih žlahtniteljskih programov. </w:t>
      </w:r>
    </w:p>
    <w:p w14:paraId="0D2C7714" w14:textId="77777777" w:rsidR="00F679A2" w:rsidRPr="005B2A49" w:rsidRDefault="00F679A2" w:rsidP="005B2A49">
      <w:pPr>
        <w:spacing w:after="120" w:line="260" w:lineRule="atLeast"/>
        <w:rPr>
          <w:rFonts w:eastAsia="Calibri"/>
          <w:szCs w:val="20"/>
        </w:rPr>
      </w:pPr>
      <w:r w:rsidRPr="005B2A49">
        <w:rPr>
          <w:rFonts w:eastAsia="Calibri"/>
          <w:szCs w:val="20"/>
        </w:rPr>
        <w:t>Žlahtniteljski programi so se vnovič okrepili od leta 2014, ko je Ministrstvo za kmetijstvo, gozdarstvo in prehrano zagotovilo dodatna sredstva tudi za uvedbo ali nadaljevanje javnih programov žlahtnjenja (poleg že utečenega tovrstnega financiranja na področju hmeljarstva), in sicer žlahtnjenja krompirja, krmnih rastlin (izbranih vrst trav in metuljnic), zrnatih stročnic, ajde in zelja. Dolgoročni cilji in predvideni pozitivni učinki programov žlahtnjenja so primernost novih sort za potrebe slovenske rastlinske pridelave, odziv na podnebne spremembe in reševanje aktualnih težav pri rastlinski pridelavi, razvoj domačega semenarstva, zmanjšanje odvisnosti od tujine in večja dodana vrednost za pridelovalce semenskega materiala. Med cilji žlahtnjenja pa je tudi povečanje oziroma ohranjanje biotske raznovrstnosti z uporabo avtohtonih genskih virov v žlahtnjenju.</w:t>
      </w:r>
    </w:p>
    <w:p w14:paraId="7DE102CB" w14:textId="77777777" w:rsidR="00F679A2" w:rsidRPr="005B2A49" w:rsidRDefault="00F679A2" w:rsidP="005B2A49">
      <w:pPr>
        <w:spacing w:after="120" w:line="260" w:lineRule="atLeast"/>
        <w:rPr>
          <w:rFonts w:eastAsia="Calibri"/>
          <w:szCs w:val="20"/>
        </w:rPr>
      </w:pPr>
      <w:r w:rsidRPr="005B2A49">
        <w:rPr>
          <w:rFonts w:eastAsia="Calibri"/>
          <w:szCs w:val="20"/>
        </w:rPr>
        <w:t>Za spodbujanje večjega zanimanja pridelave semena v Sloveniji je potrebna modelna ocena prihodkov pri pridelavi semena in rajonizacija pridelave ter dobro organizirana veriga semenske pridelave. S povečanjem semenske pridelave na podeželju bi vplivali na dodatno zaposlovanje na podeželskem območju, saj bi prinesla dodano vrednost manjšim kmetovalcem.</w:t>
      </w:r>
    </w:p>
    <w:p w14:paraId="3C351F5B"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PRP-KOPOP podpore 2014-2020 za setev lokalnih sort sta od leta 2017 v program vključeni dve kmetijski gospodarstvi (2 KMG) na skupno 7 ha. </w:t>
      </w:r>
    </w:p>
    <w:p w14:paraId="5D00B867" w14:textId="77777777" w:rsidR="00F679A2" w:rsidRPr="005B2A49" w:rsidRDefault="00F679A2" w:rsidP="005B2A49">
      <w:pPr>
        <w:spacing w:after="120" w:line="260" w:lineRule="atLeast"/>
        <w:rPr>
          <w:rFonts w:eastAsia="Calibri"/>
          <w:szCs w:val="20"/>
        </w:rPr>
      </w:pPr>
      <w:r w:rsidRPr="005B2A49">
        <w:rPr>
          <w:rFonts w:eastAsia="Calibri"/>
          <w:szCs w:val="20"/>
        </w:rPr>
        <w:t>Pridelave semena v Sloveniji že nekaj časa stagnira, kar se odraža tudi v tehnološkem napredku njene pridelave. Z opuščanjem panoge se je izgubljalo tudi znanje in izkušnje. Za uspešno semenarstvo je zato nujno potrebno okrepiti strokovno znanje (npr. optimizirati postopke pridelave in dodelave posameznih vrst v naših agroekoloških razmerah in pri naših sortah). V načrtu je tudi izvedba CRP projekta, kateri rezultati bodo prispevali k povečanju znanja in k izmenjavi znanja na tem področju.</w:t>
      </w:r>
    </w:p>
    <w:p w14:paraId="0030A966" w14:textId="77777777" w:rsidR="00F679A2" w:rsidRPr="0040635C" w:rsidRDefault="00F679A2" w:rsidP="00F679A2">
      <w:pPr>
        <w:autoSpaceDE w:val="0"/>
        <w:autoSpaceDN w:val="0"/>
        <w:adjustRightInd w:val="0"/>
        <w:spacing w:before="200" w:line="360" w:lineRule="auto"/>
        <w:rPr>
          <w:szCs w:val="20"/>
        </w:rPr>
      </w:pPr>
    </w:p>
    <w:p w14:paraId="65DF56E3" w14:textId="77777777" w:rsidR="00F679A2" w:rsidRPr="001261F1" w:rsidRDefault="00F679A2" w:rsidP="00F679A2">
      <w:pPr>
        <w:pStyle w:val="Naslov3"/>
      </w:pPr>
      <w:bookmarkStart w:id="3173" w:name="_Toc86822604"/>
      <w:r w:rsidRPr="001261F1">
        <w:t>Ključne ugotovitve</w:t>
      </w:r>
      <w:bookmarkEnd w:id="3173"/>
    </w:p>
    <w:p w14:paraId="44154272" w14:textId="77777777" w:rsidR="00F679A2" w:rsidRDefault="00F679A2" w:rsidP="00F679A2"/>
    <w:p w14:paraId="7EA2DA90" w14:textId="77777777" w:rsidR="00F679A2" w:rsidRPr="003B2B91" w:rsidRDefault="00F679A2" w:rsidP="005B2A49">
      <w:pPr>
        <w:numPr>
          <w:ilvl w:val="0"/>
          <w:numId w:val="193"/>
        </w:numPr>
        <w:spacing w:after="120" w:line="260" w:lineRule="atLeast"/>
        <w:ind w:left="357" w:hanging="357"/>
        <w:rPr>
          <w:szCs w:val="20"/>
        </w:rPr>
      </w:pPr>
      <w:r w:rsidRPr="003B2B91">
        <w:rPr>
          <w:szCs w:val="20"/>
        </w:rPr>
        <w:t xml:space="preserve">Pridelava uradno potrjenega semena je upadla za več kot 50 %, iz 2.500 ha v letu 2000 na 1.410 ha v letu 2019. </w:t>
      </w:r>
    </w:p>
    <w:p w14:paraId="48A7CDA2" w14:textId="77777777" w:rsidR="00F679A2" w:rsidRDefault="00F679A2" w:rsidP="005B2A49">
      <w:pPr>
        <w:numPr>
          <w:ilvl w:val="0"/>
          <w:numId w:val="193"/>
        </w:numPr>
        <w:spacing w:after="120" w:line="260" w:lineRule="atLeast"/>
        <w:ind w:left="357" w:hanging="357"/>
        <w:rPr>
          <w:szCs w:val="20"/>
        </w:rPr>
      </w:pPr>
      <w:r w:rsidRPr="003B2B91">
        <w:rPr>
          <w:szCs w:val="20"/>
        </w:rPr>
        <w:t xml:space="preserve">Največ se pridelujejo semena žit, njihov delež v celotni semenski pridelavi je 60 %. </w:t>
      </w:r>
    </w:p>
    <w:p w14:paraId="68889B7D" w14:textId="77777777" w:rsidR="00F679A2" w:rsidRPr="003B2B91" w:rsidRDefault="00F679A2" w:rsidP="005B2A49">
      <w:pPr>
        <w:numPr>
          <w:ilvl w:val="0"/>
          <w:numId w:val="193"/>
        </w:numPr>
        <w:spacing w:after="120" w:line="260" w:lineRule="atLeast"/>
        <w:ind w:left="357" w:hanging="357"/>
        <w:rPr>
          <w:szCs w:val="20"/>
        </w:rPr>
      </w:pPr>
      <w:r>
        <w:rPr>
          <w:szCs w:val="20"/>
        </w:rPr>
        <w:t>V Sloveniji nimamo pridelave travniškega semenskega materiala.</w:t>
      </w:r>
    </w:p>
    <w:p w14:paraId="5BC1E9DE" w14:textId="77777777" w:rsidR="00F679A2" w:rsidRPr="003B2B91" w:rsidRDefault="00F679A2" w:rsidP="005B2A49">
      <w:pPr>
        <w:numPr>
          <w:ilvl w:val="0"/>
          <w:numId w:val="193"/>
        </w:numPr>
        <w:spacing w:after="120" w:line="260" w:lineRule="atLeast"/>
        <w:ind w:left="357" w:hanging="357"/>
        <w:rPr>
          <w:szCs w:val="20"/>
        </w:rPr>
      </w:pPr>
      <w:r w:rsidRPr="003B2B91">
        <w:rPr>
          <w:szCs w:val="20"/>
        </w:rPr>
        <w:t>Za slovenski trg pridelamo dovolj semena konoplje, oljne ogrščice, repice ter soje. Samooskrba domačega semena ječmena, ovsa, tritikale, ajde in pšenice ne zadošča niti za 50 % pokritje posejanih površin. Z domačo pridelavo semena koruze lahko posadimo le 2 % njiv namenjenih pridelavi te poljščine. S pridelava semenskega krompirja pokrijemo le 9 % potreb po tem semenu.</w:t>
      </w:r>
    </w:p>
    <w:p w14:paraId="3935D339" w14:textId="77777777" w:rsidR="00F679A2" w:rsidRPr="003B2B91" w:rsidRDefault="00F679A2" w:rsidP="005B2A49">
      <w:pPr>
        <w:numPr>
          <w:ilvl w:val="0"/>
          <w:numId w:val="193"/>
        </w:numPr>
        <w:spacing w:after="120" w:line="260" w:lineRule="atLeast"/>
        <w:ind w:left="357" w:hanging="357"/>
        <w:rPr>
          <w:szCs w:val="20"/>
        </w:rPr>
      </w:pPr>
      <w:r w:rsidRPr="003B2B91">
        <w:rPr>
          <w:szCs w:val="20"/>
        </w:rPr>
        <w:t xml:space="preserve">Pridelava semena v Sloveniji se zmanjšuje tudi zaradi pomanjkanja znanja in njegovega prenosa v prakso. </w:t>
      </w:r>
    </w:p>
    <w:p w14:paraId="60F508EC" w14:textId="5985E0D8" w:rsidR="00F679A2" w:rsidRDefault="00F679A2" w:rsidP="005B2A49">
      <w:pPr>
        <w:numPr>
          <w:ilvl w:val="0"/>
          <w:numId w:val="193"/>
        </w:numPr>
        <w:spacing w:after="120" w:line="260" w:lineRule="atLeast"/>
        <w:ind w:left="357" w:hanging="357"/>
        <w:rPr>
          <w:szCs w:val="20"/>
        </w:rPr>
      </w:pPr>
      <w:r w:rsidRPr="003B2B91">
        <w:rPr>
          <w:szCs w:val="20"/>
        </w:rPr>
        <w:t>V Sloveniji beležimo večjo uporabo lastnega pridelka za setev s čimer pridelovalci skušajo zniževali stroške kmetijske pridelave s tem pa zmanjšujejo hektarske donose kmetijskih rastlin in vplivajo negativno na pojav in širitev škodljivih organizmov.</w:t>
      </w:r>
    </w:p>
    <w:p w14:paraId="000FA20D" w14:textId="77777777" w:rsidR="00C25531" w:rsidRPr="00E65683" w:rsidRDefault="00C25531" w:rsidP="005B2A49">
      <w:pPr>
        <w:spacing w:after="120" w:line="260" w:lineRule="atLeast"/>
        <w:ind w:left="357"/>
        <w:rPr>
          <w:szCs w:val="20"/>
        </w:rPr>
      </w:pPr>
    </w:p>
    <w:p w14:paraId="3364300F" w14:textId="77777777" w:rsidR="00F679A2" w:rsidRPr="001261F1" w:rsidRDefault="00F679A2" w:rsidP="00F679A2">
      <w:pPr>
        <w:pStyle w:val="Naslov2"/>
      </w:pPr>
      <w:bookmarkStart w:id="3174" w:name="_Toc86822605"/>
      <w:r w:rsidRPr="001261F1">
        <w:t>Poljedelstvo</w:t>
      </w:r>
      <w:bookmarkEnd w:id="3174"/>
    </w:p>
    <w:p w14:paraId="25947FA0" w14:textId="77777777" w:rsidR="00F679A2" w:rsidRPr="005B2A49" w:rsidRDefault="00F679A2" w:rsidP="005B2A49">
      <w:pPr>
        <w:spacing w:after="120" w:line="260" w:lineRule="atLeast"/>
        <w:rPr>
          <w:rFonts w:eastAsia="Calibri"/>
          <w:szCs w:val="20"/>
        </w:rPr>
      </w:pPr>
      <w:r w:rsidRPr="005B2A49">
        <w:rPr>
          <w:rFonts w:eastAsia="Calibri"/>
          <w:szCs w:val="20"/>
        </w:rPr>
        <w:t xml:space="preserve">Za Slovenijo so značilne majhne in razdrobljene obdelovalne površine, kar neugodno vpliva na intenzivnost in produktivnost pridelave, daje pa videz velike pestrosti in ohranja optično podobo kulturne krajine. Tako stanje je morda ugodno s socialnega in naravovarstvenega vidika, izrazito neugodno pa s tržno ekonomskega. </w:t>
      </w:r>
    </w:p>
    <w:p w14:paraId="4CF0DE3D" w14:textId="525DD504" w:rsidR="00F679A2" w:rsidRDefault="00F679A2" w:rsidP="005B2A49">
      <w:pPr>
        <w:spacing w:after="120" w:line="260" w:lineRule="atLeast"/>
        <w:rPr>
          <w:rFonts w:eastAsia="Calibri"/>
          <w:szCs w:val="20"/>
        </w:rPr>
      </w:pPr>
      <w:r w:rsidRPr="005B2A49">
        <w:rPr>
          <w:rFonts w:eastAsia="Calibri"/>
          <w:szCs w:val="20"/>
        </w:rPr>
        <w:t>Na področju poljedelstva je zaznati vedno večjo potrebo po prilagoditvi tehnologije rastlinske pridelave novim razmeram s poudarkom na povečanju produktivnosti ter upravljanju in obvladovanju tveganj zaradi pojavljanja podnebnih sprememb.</w:t>
      </w:r>
    </w:p>
    <w:p w14:paraId="74C1DDCE" w14:textId="77777777" w:rsidR="00C25531" w:rsidRPr="005B2A49" w:rsidRDefault="00C25531" w:rsidP="005B2A49">
      <w:pPr>
        <w:spacing w:after="120" w:line="260" w:lineRule="atLeast"/>
        <w:rPr>
          <w:rFonts w:eastAsia="Calibri"/>
          <w:szCs w:val="20"/>
        </w:rPr>
      </w:pPr>
    </w:p>
    <w:p w14:paraId="4F8A9E14" w14:textId="77777777" w:rsidR="00F679A2" w:rsidRPr="001261F1" w:rsidRDefault="00F679A2" w:rsidP="00F679A2">
      <w:pPr>
        <w:pStyle w:val="Naslov3"/>
      </w:pPr>
      <w:bookmarkStart w:id="3175" w:name="_Toc86822606"/>
      <w:r w:rsidRPr="001261F1">
        <w:t>Stanje v sektorju in osnovni ekonomski kazalniki</w:t>
      </w:r>
      <w:bookmarkEnd w:id="3175"/>
    </w:p>
    <w:p w14:paraId="7908A382"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Pridelava žita je k skupni vrednosti kmetijske proizvodnje v letu 2019 prispevalo 6,1 %, kar je manj kot v letu prej in manj kot v povprečju zadnjih petih let (6,8 %). V vrednosti rastlinske pridelave je imelo 11,0 % delež, kar je manj kot v letu 2018 in tudi manj kot v zadnjih petih letih (12,4 %). Delež oljnic se je po letu 2007 gibal med 0,8 % in 1,5 % ter je v letu 2019 ostal na ravni leta prej ( 0,8 % skupne kmetijske vrednosti). Prispevek oljnic k vrednosti rastlinske pridelave se je povečal z 1,3 % na 1,4 %. Večji delež k vrednosti rastlinske pridelave je imel krompir, 3,4 % (leta 2018: 2,4 %). Pridelava krompirja je v letu 2019 k vrednosti kmetijstva prispevala 1,9 %, kar je 0,5 odstotne točke več kot v letu prej. </w:t>
      </w:r>
    </w:p>
    <w:p w14:paraId="5B75AF95" w14:textId="77777777" w:rsidR="00F679A2" w:rsidRPr="005B2A49" w:rsidRDefault="00F679A2" w:rsidP="005B2A49">
      <w:pPr>
        <w:spacing w:after="120" w:line="260" w:lineRule="atLeast"/>
        <w:rPr>
          <w:rFonts w:eastAsia="Calibri"/>
          <w:szCs w:val="20"/>
        </w:rPr>
      </w:pPr>
      <w:r w:rsidRPr="005B2A49">
        <w:rPr>
          <w:rFonts w:eastAsia="Calibri"/>
          <w:szCs w:val="20"/>
        </w:rPr>
        <w:t xml:space="preserve">Strukturne spremembe pri pridelavi žita se kažejo v znatno manjšem številu kmetijskih gospodarstev, ki se ukvarjajo s pridelavo žita in v večji povprečni površini žita na kmetijsko gospodarstvo. V Sloveniji se je v letu 2016 s pridelavo žita ukvarjalo dobrih 33 tisoč kmetijskih gospodarstev oziroma 7 % manj kot v letu 2013. </w:t>
      </w:r>
    </w:p>
    <w:p w14:paraId="4CDDBC9F"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Pridelovalna površina žita je v letu 2019 ostala skoraj na ravni iz leta 2018 in je s slabimi 99 tisoč hektarji malce pod ravnijo povprečja zadnjih petih let (2014–2018). V teh letih je bilo z žitom v povprečju zasejanih okoli 57 % njiv. </w:t>
      </w:r>
    </w:p>
    <w:p w14:paraId="719A0344" w14:textId="77777777" w:rsidR="00F679A2" w:rsidRPr="005B2A49" w:rsidRDefault="00F679A2" w:rsidP="005B2A49">
      <w:pPr>
        <w:spacing w:after="120" w:line="260" w:lineRule="atLeast"/>
        <w:rPr>
          <w:rFonts w:eastAsia="Calibri"/>
          <w:szCs w:val="20"/>
        </w:rPr>
      </w:pPr>
      <w:r w:rsidRPr="005B2A49">
        <w:rPr>
          <w:rFonts w:eastAsia="Calibri"/>
          <w:szCs w:val="20"/>
        </w:rPr>
        <w:t>Skupni pridelek žita se je leta 2019 povečal za 8 % in je bil za 5 % nad povprečjem pridelka v zadnjem petletnem obdobju. K dobremu pridelku žita so prispevali tako večji hektarski pridelki strnega žita, ki so bili v letu 2019 pomembno večji od skromnih v letu 2018, kot tudi letina koruze za zrnje 2019, ki je bila nekoliko slabša kot v letu prej (–2 %), vendar še vedno nadpovprečna (+5 %).</w:t>
      </w:r>
    </w:p>
    <w:p w14:paraId="3C7C29EF" w14:textId="324BBBB6" w:rsidR="00F679A2" w:rsidRDefault="00F679A2" w:rsidP="00F679A2">
      <w:pPr>
        <w:pStyle w:val="SCSlika0"/>
      </w:pPr>
      <w:bookmarkStart w:id="3176" w:name="_Toc86822751"/>
      <w:r>
        <w:t xml:space="preserve">Slika </w:t>
      </w:r>
      <w:r>
        <w:rPr>
          <w:noProof/>
        </w:rPr>
        <w:fldChar w:fldCharType="begin"/>
      </w:r>
      <w:r>
        <w:rPr>
          <w:noProof/>
        </w:rPr>
        <w:instrText xml:space="preserve"> SEQ Slika \* ARABIC </w:instrText>
      </w:r>
      <w:r>
        <w:rPr>
          <w:noProof/>
        </w:rPr>
        <w:fldChar w:fldCharType="separate"/>
      </w:r>
      <w:r w:rsidR="0088117A">
        <w:rPr>
          <w:noProof/>
        </w:rPr>
        <w:t>79</w:t>
      </w:r>
      <w:r>
        <w:rPr>
          <w:noProof/>
        </w:rPr>
        <w:fldChar w:fldCharType="end"/>
      </w:r>
      <w:r>
        <w:t xml:space="preserve">: </w:t>
      </w:r>
      <w:r w:rsidRPr="0040635C">
        <w:t>Površine in hektarski pridelki žita (2007–2019)</w:t>
      </w:r>
      <w:bookmarkEnd w:id="3176"/>
    </w:p>
    <w:p w14:paraId="026194C3" w14:textId="77777777" w:rsidR="00F679A2" w:rsidRPr="00D628DB" w:rsidRDefault="00F679A2" w:rsidP="00F679A2">
      <w:pPr>
        <w:keepNext/>
        <w:keepLines/>
        <w:spacing w:line="360" w:lineRule="auto"/>
        <w:rPr>
          <w:szCs w:val="20"/>
        </w:rPr>
      </w:pPr>
      <w:r w:rsidRPr="0063516C">
        <w:rPr>
          <w:noProof/>
          <w:szCs w:val="20"/>
          <w:lang w:eastAsia="sl-SI"/>
        </w:rPr>
        <w:drawing>
          <wp:inline distT="0" distB="0" distL="0" distR="0" wp14:anchorId="61FAAE59" wp14:editId="68FF7C1F">
            <wp:extent cx="5708376" cy="1761734"/>
            <wp:effectExtent l="0" t="0" r="6985" b="0"/>
            <wp:docPr id="1631865357" name="Slika 163186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7807" cy="1767731"/>
                    </a:xfrm>
                    <a:prstGeom prst="rect">
                      <a:avLst/>
                    </a:prstGeom>
                    <a:noFill/>
                    <a:ln>
                      <a:noFill/>
                    </a:ln>
                  </pic:spPr>
                </pic:pic>
              </a:graphicData>
            </a:graphic>
          </wp:inline>
        </w:drawing>
      </w:r>
    </w:p>
    <w:p w14:paraId="7494B5A2" w14:textId="77777777" w:rsidR="00F679A2" w:rsidRPr="005718B1" w:rsidRDefault="00F679A2" w:rsidP="00F679A2">
      <w:pPr>
        <w:keepNext/>
        <w:keepLines/>
        <w:spacing w:line="360" w:lineRule="auto"/>
        <w:rPr>
          <w:sz w:val="16"/>
          <w:szCs w:val="16"/>
        </w:rPr>
      </w:pPr>
      <w:r w:rsidRPr="005718B1">
        <w:rPr>
          <w:sz w:val="16"/>
          <w:szCs w:val="16"/>
        </w:rPr>
        <w:t>Vir:</w:t>
      </w:r>
      <w:r>
        <w:rPr>
          <w:sz w:val="16"/>
          <w:szCs w:val="16"/>
        </w:rPr>
        <w:t>SURS (ZP-2019)</w:t>
      </w:r>
    </w:p>
    <w:p w14:paraId="0808FBEC" w14:textId="77777777" w:rsidR="00F679A2" w:rsidRPr="005B2A49" w:rsidRDefault="00F679A2" w:rsidP="005B2A49">
      <w:pPr>
        <w:spacing w:after="120" w:line="260" w:lineRule="atLeast"/>
        <w:rPr>
          <w:rFonts w:eastAsia="Calibri"/>
          <w:szCs w:val="20"/>
        </w:rPr>
      </w:pPr>
      <w:r w:rsidRPr="005B2A49">
        <w:rPr>
          <w:rFonts w:eastAsia="Calibri"/>
          <w:szCs w:val="20"/>
        </w:rPr>
        <w:t>Pridelovalna površina oljnic se zadnja tri leta zmanjšuje, pri tem so bile smeri sprememb posameznih oljnic v letu 2019 dvosmerne. Najbolj se je zmanjšala pridelovalna površina soje (–18 %) in oljnih buč (–10 %), nekoliko manj je bilo tudi površin oljne ogrščice (–4 %), pomembno več je bilo le sončnic (+16 %) in drugih oljnic (+16 %).</w:t>
      </w:r>
    </w:p>
    <w:p w14:paraId="5BB53EB6" w14:textId="77777777" w:rsidR="00F679A2" w:rsidRPr="005B2A49" w:rsidRDefault="00F679A2" w:rsidP="005B2A49">
      <w:pPr>
        <w:spacing w:after="120" w:line="260" w:lineRule="atLeast"/>
        <w:rPr>
          <w:rFonts w:eastAsia="Calibri"/>
          <w:szCs w:val="20"/>
        </w:rPr>
      </w:pPr>
      <w:r w:rsidRPr="005B2A49">
        <w:rPr>
          <w:rFonts w:eastAsia="Calibri"/>
          <w:szCs w:val="20"/>
        </w:rPr>
        <w:t>V obdobju 2015–2019 je bilo med oljnicami na njivah v povprečju 43 % oljnih buč, 30 % oljne ogrščice in 20 % soje. Hektarski pridelek oljne ogrščice je bil v letu 2019 2,9 t/ha, kar je za 29 % več kot v letu prej in za 9 % nad povprečjem zadnjih pet let. Hektarski pridelek oljnih buč je bil v primerjavi z letom 2018 manjši za 20 % in za 10 % pod povprečjem 2014–2018.</w:t>
      </w:r>
    </w:p>
    <w:p w14:paraId="5333ABE0" w14:textId="77777777" w:rsidR="00F679A2" w:rsidRPr="005B2A49" w:rsidRDefault="00F679A2" w:rsidP="005B2A49">
      <w:pPr>
        <w:spacing w:after="120" w:line="260" w:lineRule="atLeast"/>
        <w:rPr>
          <w:rFonts w:eastAsia="Calibri"/>
          <w:szCs w:val="20"/>
        </w:rPr>
      </w:pPr>
      <w:r w:rsidRPr="005B2A49">
        <w:rPr>
          <w:rFonts w:eastAsia="Calibri"/>
          <w:szCs w:val="20"/>
        </w:rPr>
        <w:t>Od leta 2000 je opazen trend zmanjševanja deleža krompirja v setveni sestavi njiv. V letih 2018 in 2019 je bil krompir prisoten le na 1,6 % njiv, kar pomeni približno 2,8 tisoč hektarjev. V letu 2019 je bila letina krompirja s 23,6 t/ha za 9 % manjši kot v letu prej in za desetino pod povprečjem obdobja 2014–2018. Skupna pridelana količina krompirja je bila predvsem zaradi slabe letine za 10 % manjša kot v letu prej (leta 2019: 66 tisoč ton, leta 2018: 73 tisoč ton) in za 22 % pod povprečjem zadnjih petih let.</w:t>
      </w:r>
    </w:p>
    <w:p w14:paraId="00558F77" w14:textId="77777777" w:rsidR="00F679A2" w:rsidRPr="005B2A49" w:rsidRDefault="00F679A2" w:rsidP="005B2A49">
      <w:pPr>
        <w:spacing w:after="120" w:line="260" w:lineRule="atLeast"/>
        <w:rPr>
          <w:rFonts w:eastAsia="Calibri"/>
          <w:szCs w:val="20"/>
        </w:rPr>
      </w:pPr>
      <w:r w:rsidRPr="005B2A49">
        <w:rPr>
          <w:rFonts w:eastAsia="Calibri"/>
          <w:szCs w:val="20"/>
        </w:rPr>
        <w:t xml:space="preserve">Krmne rastline so bile v letu 2019 pospravljene s približno 64 tisoč hektarjev njiv, kar je za 2 % manj kot leto prej in malce več kot v povprečju zadnjih petih let (+1 %). Med krmnimi rastlinami na njivah s približno 99 % prevladuje zelena krma. Med zeleno krmo prevladujejo koruza za siliranje ter trave, travne, travno-deteljne in deteljno-travne mešanice (v nadaljevanju: trave in mešanice), manjši delež pa imajo čisti posevki detelj in lucerne. </w:t>
      </w:r>
    </w:p>
    <w:p w14:paraId="6D6D6899" w14:textId="77777777" w:rsidR="00F679A2" w:rsidRPr="005B2A49" w:rsidRDefault="00F679A2" w:rsidP="005B2A49">
      <w:pPr>
        <w:spacing w:after="120" w:line="260" w:lineRule="atLeast"/>
        <w:rPr>
          <w:rFonts w:eastAsia="Calibri"/>
          <w:szCs w:val="20"/>
        </w:rPr>
      </w:pPr>
      <w:r w:rsidRPr="005B2A49">
        <w:rPr>
          <w:rFonts w:eastAsia="Calibri"/>
          <w:szCs w:val="20"/>
        </w:rPr>
        <w:t>Pridelava žita je v Sloveniji manjša od domače porabe, ki je bila po letu 2007 med 0,8 do enega mio ton na leto. V zadnjih petih letih se je v povprečju 60 % žita porabilo za krmo, od tega je bilo največ koruze (63 %). Za prehrano se je v enakem obdobju v povprečju porabilo 29 % žita, v strukturi porabe za prehrano s 85 % prevladuje pšenica. Po analizah je bila v letu 2019 domača poraba žita 866 tisoč ton, kar je blizu ravni leta 2018 in povprečja zadnjih petih let. Poraba pšenice in koruze se je zmanjšala za približno 2 %, medtem ko se je ječmena porabilo za desetino več. Poraba žita za krmo je bila večja za slaba 2 % odstotka, poraba za prehrano pa se je za 3 % zmanjšala. Na večjo porabo žita za krmo je najbolj vplivala večja poraba ječmena, ki je zelo verjetno posledica večje razpoložljivosti ječmena na domačem trgu.</w:t>
      </w:r>
    </w:p>
    <w:p w14:paraId="1952A168" w14:textId="77777777" w:rsidR="00F679A2" w:rsidRPr="005B2A49" w:rsidRDefault="00F679A2" w:rsidP="005B2A49">
      <w:pPr>
        <w:spacing w:after="120" w:line="260" w:lineRule="atLeast"/>
        <w:rPr>
          <w:rFonts w:eastAsia="Calibri"/>
          <w:szCs w:val="20"/>
        </w:rPr>
      </w:pPr>
      <w:r w:rsidRPr="005B2A49">
        <w:rPr>
          <w:rFonts w:eastAsia="Calibri"/>
          <w:szCs w:val="20"/>
        </w:rPr>
        <w:t xml:space="preserve">Stopnja samooskrbe z žitom je bila leta 2019 74-odstotna, kar je za 5 odstotnih točk več kot leto prej in nekoliko nad povprečjem zadnjega petletnega obdobja (za 4 odstotne točke). Poraba pšenice za prehrano na prebivalca je bila leta 2019 s 73 kg za 5 % manjša kot v letu prej in za 4 % pod povprečjem zadnjega petletnega obdobja. </w:t>
      </w:r>
    </w:p>
    <w:p w14:paraId="1206E355" w14:textId="77777777" w:rsidR="00F679A2" w:rsidRPr="005B2A49" w:rsidRDefault="00F679A2" w:rsidP="005B2A49">
      <w:pPr>
        <w:spacing w:after="120" w:line="260" w:lineRule="atLeast"/>
        <w:rPr>
          <w:rFonts w:eastAsia="Calibri"/>
          <w:szCs w:val="20"/>
        </w:rPr>
      </w:pPr>
      <w:r w:rsidRPr="005B2A49">
        <w:rPr>
          <w:rFonts w:eastAsia="Calibri"/>
          <w:szCs w:val="20"/>
        </w:rPr>
        <w:t xml:space="preserve">Pri krompirju je bila v letu 2019 stopnja samooskrbe najnižja od začetka 1990-ih in se je v primerjavi s prejšnjim letom znižala iz 48 % na 45 % ter je bila 11 odstotnih točk pod ravnijo povprečja zadnjih petih let. Stopnja samooskrbe s krompirjem med leti precej niha in se je v letih od 2007 do 2018 gibala med 46 % in 70 %. Na nižjo stopnjo samooskrbe s krompirjem (svežega in predelanega) je vplivala tako manjša pridelava, kot tudi povečanje negativne zunanjetrgovinske bilance s krompirjem. Poraba krompirja za prehrano med leti nekoliko niha in ima zaradi padanja porabe svežega krompirja trend zmanjševanja. V primerjavi z začetkom tega stoletja (2001–2005) se je za prehrano v letih 2015–2019 porabila v povprečju desetina manj krompirja, pri čemer je bila poraba svežega krompirja za četrtino manjša, poraba predelanega krompirja pa se je povečala za skoraj tri četrtine. Prebivalec Slovenije je v letu 2019 v povprečju porabil 64 kg krompirja (–4 %), od tega 41 kg svežega (–4 %). </w:t>
      </w:r>
    </w:p>
    <w:p w14:paraId="2D4BF179" w14:textId="77777777" w:rsidR="00F679A2" w:rsidRPr="005B2A49" w:rsidRDefault="00F679A2" w:rsidP="005B2A49">
      <w:pPr>
        <w:spacing w:after="120" w:line="260" w:lineRule="atLeast"/>
        <w:rPr>
          <w:rFonts w:eastAsia="Calibri"/>
          <w:szCs w:val="20"/>
        </w:rPr>
      </w:pPr>
      <w:r w:rsidRPr="005B2A49">
        <w:rPr>
          <w:rFonts w:eastAsia="Calibri"/>
          <w:szCs w:val="20"/>
        </w:rPr>
        <w:t xml:space="preserve">Žita: Slovenija je v zadnjih petih letih v obliki zrnja, moke in predelanih proizvodov na leto uvozila v povprečju 528 tisoč ton žita, od tega od 70 % do 75 % v obliki zrnja. V letu 2019 je bilo uvoženih 546 tisoč ton žita.. Izvoz žita, ki se zadnja leta povečuje, se je povečal tudi v letu 2019 (+12 %), povprečje zadnjih petih let pa je presegel kar za 40 %. </w:t>
      </w:r>
    </w:p>
    <w:p w14:paraId="557B6E45" w14:textId="3F286313" w:rsidR="00F679A2" w:rsidRDefault="00F679A2" w:rsidP="00F679A2">
      <w:pPr>
        <w:pStyle w:val="SCPreglednica"/>
      </w:pPr>
      <w:bookmarkStart w:id="3177" w:name="_Toc86822661"/>
      <w:r>
        <w:t xml:space="preserve">Tabela </w:t>
      </w:r>
      <w:r>
        <w:rPr>
          <w:noProof/>
        </w:rPr>
        <w:fldChar w:fldCharType="begin"/>
      </w:r>
      <w:r>
        <w:rPr>
          <w:noProof/>
        </w:rPr>
        <w:instrText xml:space="preserve"> SEQ Tabela \* ARABIC </w:instrText>
      </w:r>
      <w:r>
        <w:rPr>
          <w:noProof/>
        </w:rPr>
        <w:fldChar w:fldCharType="separate"/>
      </w:r>
      <w:r w:rsidR="0088117A">
        <w:rPr>
          <w:noProof/>
        </w:rPr>
        <w:t>23</w:t>
      </w:r>
      <w:r>
        <w:rPr>
          <w:noProof/>
        </w:rPr>
        <w:fldChar w:fldCharType="end"/>
      </w:r>
      <w:r>
        <w:t xml:space="preserve">: </w:t>
      </w:r>
      <w:r w:rsidRPr="0040635C">
        <w:t>Izvoz in uvoz žita v obliki zrnja (2015–2019)</w:t>
      </w:r>
      <w:bookmarkEnd w:id="3177"/>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739"/>
        <w:gridCol w:w="730"/>
        <w:gridCol w:w="730"/>
        <w:gridCol w:w="730"/>
        <w:gridCol w:w="731"/>
        <w:gridCol w:w="731"/>
        <w:gridCol w:w="731"/>
        <w:gridCol w:w="731"/>
        <w:gridCol w:w="731"/>
        <w:gridCol w:w="731"/>
        <w:gridCol w:w="727"/>
      </w:tblGrid>
      <w:tr w:rsidR="00F679A2" w:rsidRPr="00AA618D" w14:paraId="1352207E" w14:textId="77777777" w:rsidTr="00B97309">
        <w:trPr>
          <w:trHeight w:val="225"/>
        </w:trPr>
        <w:tc>
          <w:tcPr>
            <w:tcW w:w="962" w:type="pct"/>
            <w:tcBorders>
              <w:top w:val="single" w:sz="12" w:space="0" w:color="008000"/>
              <w:bottom w:val="nil"/>
            </w:tcBorders>
            <w:shd w:val="clear" w:color="auto" w:fill="D9D9D9"/>
            <w:noWrap/>
            <w:vAlign w:val="bottom"/>
          </w:tcPr>
          <w:p w14:paraId="7B42398F" w14:textId="77777777" w:rsidR="00F679A2" w:rsidRPr="00DB3AEC" w:rsidRDefault="00F679A2" w:rsidP="00B97309">
            <w:pPr>
              <w:rPr>
                <w:sz w:val="16"/>
                <w:szCs w:val="16"/>
              </w:rPr>
            </w:pPr>
          </w:p>
        </w:tc>
        <w:tc>
          <w:tcPr>
            <w:tcW w:w="2019" w:type="pct"/>
            <w:gridSpan w:val="5"/>
            <w:tcBorders>
              <w:top w:val="single" w:sz="12" w:space="0" w:color="008000"/>
              <w:bottom w:val="single" w:sz="6" w:space="0" w:color="008000"/>
            </w:tcBorders>
            <w:shd w:val="clear" w:color="auto" w:fill="D9D9D9"/>
            <w:noWrap/>
            <w:vAlign w:val="bottom"/>
          </w:tcPr>
          <w:p w14:paraId="36A723C0" w14:textId="77777777" w:rsidR="00F679A2" w:rsidRPr="00DB3AEC" w:rsidRDefault="00F679A2" w:rsidP="00B97309">
            <w:pPr>
              <w:rPr>
                <w:bCs/>
                <w:sz w:val="16"/>
                <w:szCs w:val="16"/>
              </w:rPr>
            </w:pPr>
            <w:r w:rsidRPr="00DB3AEC">
              <w:rPr>
                <w:bCs/>
                <w:sz w:val="16"/>
                <w:szCs w:val="16"/>
              </w:rPr>
              <w:t>Izvoz (t)</w:t>
            </w:r>
          </w:p>
        </w:tc>
        <w:tc>
          <w:tcPr>
            <w:tcW w:w="2019" w:type="pct"/>
            <w:gridSpan w:val="5"/>
            <w:tcBorders>
              <w:top w:val="single" w:sz="12" w:space="0" w:color="008000"/>
              <w:bottom w:val="single" w:sz="6" w:space="0" w:color="008000"/>
            </w:tcBorders>
            <w:shd w:val="clear" w:color="auto" w:fill="D9D9D9"/>
            <w:noWrap/>
            <w:vAlign w:val="bottom"/>
          </w:tcPr>
          <w:p w14:paraId="45135FE1" w14:textId="77777777" w:rsidR="00F679A2" w:rsidRPr="00DB3AEC" w:rsidRDefault="00F679A2" w:rsidP="00B97309">
            <w:pPr>
              <w:rPr>
                <w:bCs/>
                <w:sz w:val="16"/>
                <w:szCs w:val="16"/>
              </w:rPr>
            </w:pPr>
            <w:r w:rsidRPr="00DB3AEC">
              <w:rPr>
                <w:bCs/>
                <w:sz w:val="16"/>
                <w:szCs w:val="16"/>
              </w:rPr>
              <w:t>Uvoz (t)</w:t>
            </w:r>
          </w:p>
        </w:tc>
      </w:tr>
      <w:tr w:rsidR="00F679A2" w:rsidRPr="00AA618D" w14:paraId="5FCB681B" w14:textId="77777777" w:rsidTr="00B97309">
        <w:trPr>
          <w:trHeight w:val="225"/>
        </w:trPr>
        <w:tc>
          <w:tcPr>
            <w:tcW w:w="962" w:type="pct"/>
            <w:tcBorders>
              <w:top w:val="nil"/>
              <w:bottom w:val="single" w:sz="6" w:space="0" w:color="008000"/>
            </w:tcBorders>
            <w:shd w:val="clear" w:color="auto" w:fill="D9D9D9"/>
            <w:noWrap/>
            <w:vAlign w:val="bottom"/>
          </w:tcPr>
          <w:p w14:paraId="50B54EE0" w14:textId="77777777" w:rsidR="00F679A2" w:rsidRPr="00DB3AEC" w:rsidRDefault="00F679A2" w:rsidP="00B97309">
            <w:pPr>
              <w:rPr>
                <w:sz w:val="16"/>
                <w:szCs w:val="16"/>
              </w:rPr>
            </w:pPr>
          </w:p>
        </w:tc>
        <w:tc>
          <w:tcPr>
            <w:tcW w:w="404" w:type="pct"/>
            <w:tcBorders>
              <w:top w:val="single" w:sz="6" w:space="0" w:color="008000"/>
              <w:bottom w:val="single" w:sz="6" w:space="0" w:color="008000"/>
            </w:tcBorders>
            <w:shd w:val="clear" w:color="auto" w:fill="D9D9D9"/>
            <w:noWrap/>
            <w:vAlign w:val="bottom"/>
          </w:tcPr>
          <w:p w14:paraId="569FBDB1" w14:textId="77777777" w:rsidR="00F679A2" w:rsidRPr="00DB3AEC" w:rsidRDefault="00F679A2" w:rsidP="00B97309">
            <w:pPr>
              <w:rPr>
                <w:bCs/>
                <w:sz w:val="16"/>
                <w:szCs w:val="16"/>
              </w:rPr>
            </w:pPr>
            <w:r w:rsidRPr="00DB3AEC">
              <w:rPr>
                <w:bCs/>
                <w:sz w:val="16"/>
                <w:szCs w:val="16"/>
              </w:rPr>
              <w:t>2015</w:t>
            </w:r>
          </w:p>
        </w:tc>
        <w:tc>
          <w:tcPr>
            <w:tcW w:w="404" w:type="pct"/>
            <w:tcBorders>
              <w:top w:val="single" w:sz="6" w:space="0" w:color="008000"/>
              <w:bottom w:val="single" w:sz="6" w:space="0" w:color="008000"/>
            </w:tcBorders>
            <w:shd w:val="clear" w:color="auto" w:fill="D9D9D9"/>
            <w:noWrap/>
            <w:vAlign w:val="bottom"/>
          </w:tcPr>
          <w:p w14:paraId="493D12BB" w14:textId="77777777" w:rsidR="00F679A2" w:rsidRPr="00DB3AEC" w:rsidRDefault="00F679A2" w:rsidP="00B97309">
            <w:pPr>
              <w:rPr>
                <w:bCs/>
                <w:sz w:val="16"/>
                <w:szCs w:val="16"/>
              </w:rPr>
            </w:pPr>
            <w:r w:rsidRPr="00DB3AEC">
              <w:rPr>
                <w:bCs/>
                <w:sz w:val="16"/>
                <w:szCs w:val="16"/>
              </w:rPr>
              <w:t>2016</w:t>
            </w:r>
          </w:p>
        </w:tc>
        <w:tc>
          <w:tcPr>
            <w:tcW w:w="404" w:type="pct"/>
            <w:tcBorders>
              <w:top w:val="single" w:sz="6" w:space="0" w:color="008000"/>
              <w:bottom w:val="single" w:sz="6" w:space="0" w:color="008000"/>
            </w:tcBorders>
            <w:shd w:val="clear" w:color="auto" w:fill="D9D9D9"/>
            <w:noWrap/>
            <w:vAlign w:val="bottom"/>
          </w:tcPr>
          <w:p w14:paraId="47046B32" w14:textId="77777777" w:rsidR="00F679A2" w:rsidRPr="00DB3AEC" w:rsidRDefault="00F679A2" w:rsidP="00B97309">
            <w:pPr>
              <w:rPr>
                <w:bCs/>
                <w:sz w:val="16"/>
                <w:szCs w:val="16"/>
              </w:rPr>
            </w:pPr>
            <w:r w:rsidRPr="00DB3AEC">
              <w:rPr>
                <w:bCs/>
                <w:sz w:val="16"/>
                <w:szCs w:val="16"/>
              </w:rPr>
              <w:t>2017</w:t>
            </w:r>
          </w:p>
        </w:tc>
        <w:tc>
          <w:tcPr>
            <w:tcW w:w="404" w:type="pct"/>
            <w:tcBorders>
              <w:top w:val="single" w:sz="6" w:space="0" w:color="008000"/>
              <w:bottom w:val="single" w:sz="6" w:space="0" w:color="008000"/>
            </w:tcBorders>
            <w:shd w:val="clear" w:color="auto" w:fill="D9D9D9"/>
            <w:noWrap/>
            <w:vAlign w:val="bottom"/>
          </w:tcPr>
          <w:p w14:paraId="0F914026" w14:textId="77777777" w:rsidR="00F679A2" w:rsidRPr="00DB3AEC" w:rsidRDefault="00F679A2" w:rsidP="00B97309">
            <w:pPr>
              <w:rPr>
                <w:bCs/>
                <w:sz w:val="16"/>
                <w:szCs w:val="16"/>
              </w:rPr>
            </w:pPr>
            <w:r w:rsidRPr="00DB3AEC">
              <w:rPr>
                <w:bCs/>
                <w:sz w:val="16"/>
                <w:szCs w:val="16"/>
              </w:rPr>
              <w:t>2018</w:t>
            </w:r>
          </w:p>
        </w:tc>
        <w:tc>
          <w:tcPr>
            <w:tcW w:w="404" w:type="pct"/>
            <w:tcBorders>
              <w:top w:val="single" w:sz="6" w:space="0" w:color="008000"/>
              <w:bottom w:val="single" w:sz="6" w:space="0" w:color="008000"/>
            </w:tcBorders>
            <w:shd w:val="clear" w:color="auto" w:fill="D9D9D9"/>
            <w:noWrap/>
            <w:vAlign w:val="bottom"/>
          </w:tcPr>
          <w:p w14:paraId="5256A342" w14:textId="77777777" w:rsidR="00F679A2" w:rsidRPr="00DB3AEC" w:rsidRDefault="00F679A2" w:rsidP="00B97309">
            <w:pPr>
              <w:rPr>
                <w:bCs/>
                <w:sz w:val="16"/>
                <w:szCs w:val="16"/>
              </w:rPr>
            </w:pPr>
            <w:r w:rsidRPr="00DB3AEC">
              <w:rPr>
                <w:bCs/>
                <w:sz w:val="16"/>
                <w:szCs w:val="16"/>
              </w:rPr>
              <w:t>2019*</w:t>
            </w:r>
          </w:p>
        </w:tc>
        <w:tc>
          <w:tcPr>
            <w:tcW w:w="404" w:type="pct"/>
            <w:tcBorders>
              <w:top w:val="single" w:sz="6" w:space="0" w:color="008000"/>
              <w:bottom w:val="single" w:sz="6" w:space="0" w:color="008000"/>
            </w:tcBorders>
            <w:shd w:val="clear" w:color="auto" w:fill="D9D9D9"/>
            <w:noWrap/>
            <w:vAlign w:val="bottom"/>
          </w:tcPr>
          <w:p w14:paraId="60C1F051" w14:textId="77777777" w:rsidR="00F679A2" w:rsidRPr="00DB3AEC" w:rsidRDefault="00F679A2" w:rsidP="00B97309">
            <w:pPr>
              <w:rPr>
                <w:bCs/>
                <w:sz w:val="16"/>
                <w:szCs w:val="16"/>
              </w:rPr>
            </w:pPr>
            <w:r w:rsidRPr="00DB3AEC">
              <w:rPr>
                <w:bCs/>
                <w:sz w:val="16"/>
                <w:szCs w:val="16"/>
              </w:rPr>
              <w:t>2015</w:t>
            </w:r>
          </w:p>
        </w:tc>
        <w:tc>
          <w:tcPr>
            <w:tcW w:w="404" w:type="pct"/>
            <w:tcBorders>
              <w:top w:val="single" w:sz="6" w:space="0" w:color="008000"/>
              <w:bottom w:val="single" w:sz="6" w:space="0" w:color="008000"/>
            </w:tcBorders>
            <w:shd w:val="clear" w:color="auto" w:fill="D9D9D9"/>
            <w:noWrap/>
            <w:vAlign w:val="bottom"/>
          </w:tcPr>
          <w:p w14:paraId="0B2D4F5C" w14:textId="77777777" w:rsidR="00F679A2" w:rsidRPr="00DB3AEC" w:rsidRDefault="00F679A2" w:rsidP="00B97309">
            <w:pPr>
              <w:rPr>
                <w:bCs/>
                <w:sz w:val="16"/>
                <w:szCs w:val="16"/>
              </w:rPr>
            </w:pPr>
            <w:r w:rsidRPr="00DB3AEC">
              <w:rPr>
                <w:bCs/>
                <w:sz w:val="16"/>
                <w:szCs w:val="16"/>
              </w:rPr>
              <w:t>2016</w:t>
            </w:r>
          </w:p>
        </w:tc>
        <w:tc>
          <w:tcPr>
            <w:tcW w:w="404" w:type="pct"/>
            <w:tcBorders>
              <w:top w:val="single" w:sz="6" w:space="0" w:color="008000"/>
              <w:bottom w:val="single" w:sz="6" w:space="0" w:color="008000"/>
            </w:tcBorders>
            <w:shd w:val="clear" w:color="auto" w:fill="D9D9D9"/>
            <w:noWrap/>
            <w:vAlign w:val="bottom"/>
          </w:tcPr>
          <w:p w14:paraId="644A4088" w14:textId="77777777" w:rsidR="00F679A2" w:rsidRPr="00DB3AEC" w:rsidRDefault="00F679A2" w:rsidP="00B97309">
            <w:pPr>
              <w:rPr>
                <w:bCs/>
                <w:sz w:val="16"/>
                <w:szCs w:val="16"/>
              </w:rPr>
            </w:pPr>
            <w:r w:rsidRPr="00DB3AEC">
              <w:rPr>
                <w:bCs/>
                <w:sz w:val="16"/>
                <w:szCs w:val="16"/>
              </w:rPr>
              <w:t>2017</w:t>
            </w:r>
          </w:p>
        </w:tc>
        <w:tc>
          <w:tcPr>
            <w:tcW w:w="404" w:type="pct"/>
            <w:tcBorders>
              <w:top w:val="single" w:sz="6" w:space="0" w:color="008000"/>
              <w:bottom w:val="single" w:sz="6" w:space="0" w:color="008000"/>
            </w:tcBorders>
            <w:shd w:val="clear" w:color="auto" w:fill="D9D9D9"/>
            <w:noWrap/>
            <w:vAlign w:val="bottom"/>
          </w:tcPr>
          <w:p w14:paraId="0F9A7F85" w14:textId="77777777" w:rsidR="00F679A2" w:rsidRPr="00DB3AEC" w:rsidRDefault="00F679A2" w:rsidP="00B97309">
            <w:pPr>
              <w:rPr>
                <w:bCs/>
                <w:sz w:val="16"/>
                <w:szCs w:val="16"/>
              </w:rPr>
            </w:pPr>
            <w:r w:rsidRPr="00DB3AEC">
              <w:rPr>
                <w:bCs/>
                <w:sz w:val="16"/>
                <w:szCs w:val="16"/>
              </w:rPr>
              <w:t>2018</w:t>
            </w:r>
          </w:p>
        </w:tc>
        <w:tc>
          <w:tcPr>
            <w:tcW w:w="402" w:type="pct"/>
            <w:tcBorders>
              <w:top w:val="single" w:sz="6" w:space="0" w:color="008000"/>
              <w:bottom w:val="single" w:sz="6" w:space="0" w:color="008000"/>
            </w:tcBorders>
            <w:shd w:val="clear" w:color="auto" w:fill="D9D9D9"/>
            <w:noWrap/>
            <w:vAlign w:val="bottom"/>
          </w:tcPr>
          <w:p w14:paraId="351ACA30" w14:textId="77777777" w:rsidR="00F679A2" w:rsidRPr="00DB3AEC" w:rsidRDefault="00F679A2" w:rsidP="00B97309">
            <w:pPr>
              <w:rPr>
                <w:bCs/>
                <w:sz w:val="16"/>
                <w:szCs w:val="16"/>
              </w:rPr>
            </w:pPr>
            <w:r w:rsidRPr="00DB3AEC">
              <w:rPr>
                <w:bCs/>
                <w:sz w:val="16"/>
                <w:szCs w:val="16"/>
              </w:rPr>
              <w:t>2019*</w:t>
            </w:r>
          </w:p>
        </w:tc>
      </w:tr>
      <w:tr w:rsidR="00F679A2" w:rsidRPr="00AA618D" w14:paraId="7E828F62" w14:textId="77777777" w:rsidTr="00B97309">
        <w:trPr>
          <w:trHeight w:val="225"/>
        </w:trPr>
        <w:tc>
          <w:tcPr>
            <w:tcW w:w="962" w:type="pct"/>
            <w:tcBorders>
              <w:top w:val="single" w:sz="6" w:space="0" w:color="008000"/>
            </w:tcBorders>
            <w:shd w:val="clear" w:color="auto" w:fill="auto"/>
            <w:noWrap/>
            <w:vAlign w:val="bottom"/>
          </w:tcPr>
          <w:p w14:paraId="1965B764" w14:textId="77777777" w:rsidR="00F679A2" w:rsidRPr="00DB3AEC" w:rsidRDefault="00F679A2" w:rsidP="00B97309">
            <w:pPr>
              <w:rPr>
                <w:b/>
                <w:sz w:val="16"/>
                <w:szCs w:val="16"/>
              </w:rPr>
            </w:pPr>
            <w:r w:rsidRPr="00DB3AEC">
              <w:rPr>
                <w:b/>
                <w:sz w:val="16"/>
                <w:szCs w:val="16"/>
              </w:rPr>
              <w:t>Žito skupaj z rižem, od tega:</w:t>
            </w:r>
          </w:p>
        </w:tc>
        <w:tc>
          <w:tcPr>
            <w:tcW w:w="404" w:type="pct"/>
            <w:tcBorders>
              <w:top w:val="single" w:sz="6" w:space="0" w:color="008000"/>
            </w:tcBorders>
            <w:shd w:val="clear" w:color="auto" w:fill="auto"/>
            <w:vAlign w:val="bottom"/>
          </w:tcPr>
          <w:p w14:paraId="6E393A29" w14:textId="77777777" w:rsidR="00F679A2" w:rsidRPr="00DB3AEC" w:rsidRDefault="00F679A2" w:rsidP="00B97309">
            <w:pPr>
              <w:rPr>
                <w:b/>
                <w:sz w:val="16"/>
                <w:szCs w:val="16"/>
              </w:rPr>
            </w:pPr>
            <w:r w:rsidRPr="00DB3AEC">
              <w:rPr>
                <w:b/>
                <w:sz w:val="16"/>
                <w:szCs w:val="16"/>
              </w:rPr>
              <w:t>199.177</w:t>
            </w:r>
          </w:p>
        </w:tc>
        <w:tc>
          <w:tcPr>
            <w:tcW w:w="404" w:type="pct"/>
            <w:tcBorders>
              <w:top w:val="single" w:sz="6" w:space="0" w:color="008000"/>
            </w:tcBorders>
            <w:shd w:val="clear" w:color="auto" w:fill="auto"/>
            <w:vAlign w:val="bottom"/>
          </w:tcPr>
          <w:p w14:paraId="247937FF" w14:textId="77777777" w:rsidR="00F679A2" w:rsidRPr="00DB3AEC" w:rsidRDefault="00F679A2" w:rsidP="00B97309">
            <w:pPr>
              <w:rPr>
                <w:b/>
                <w:sz w:val="16"/>
                <w:szCs w:val="16"/>
              </w:rPr>
            </w:pPr>
            <w:r w:rsidRPr="00DB3AEC">
              <w:rPr>
                <w:b/>
                <w:sz w:val="16"/>
                <w:szCs w:val="16"/>
              </w:rPr>
              <w:t>189.099</w:t>
            </w:r>
          </w:p>
        </w:tc>
        <w:tc>
          <w:tcPr>
            <w:tcW w:w="404" w:type="pct"/>
            <w:tcBorders>
              <w:top w:val="single" w:sz="6" w:space="0" w:color="008000"/>
            </w:tcBorders>
            <w:shd w:val="clear" w:color="auto" w:fill="auto"/>
            <w:vAlign w:val="bottom"/>
          </w:tcPr>
          <w:p w14:paraId="59660A47" w14:textId="77777777" w:rsidR="00F679A2" w:rsidRPr="00DB3AEC" w:rsidRDefault="00F679A2" w:rsidP="00B97309">
            <w:pPr>
              <w:rPr>
                <w:b/>
                <w:sz w:val="16"/>
                <w:szCs w:val="16"/>
              </w:rPr>
            </w:pPr>
            <w:r w:rsidRPr="00DB3AEC">
              <w:rPr>
                <w:b/>
                <w:sz w:val="16"/>
                <w:szCs w:val="16"/>
              </w:rPr>
              <w:t>252.812</w:t>
            </w:r>
          </w:p>
        </w:tc>
        <w:tc>
          <w:tcPr>
            <w:tcW w:w="404" w:type="pct"/>
            <w:tcBorders>
              <w:top w:val="single" w:sz="6" w:space="0" w:color="008000"/>
            </w:tcBorders>
            <w:shd w:val="clear" w:color="auto" w:fill="auto"/>
            <w:vAlign w:val="bottom"/>
          </w:tcPr>
          <w:p w14:paraId="3AA51B10" w14:textId="77777777" w:rsidR="00F679A2" w:rsidRPr="00DB3AEC" w:rsidRDefault="00F679A2" w:rsidP="00B97309">
            <w:pPr>
              <w:rPr>
                <w:b/>
                <w:sz w:val="16"/>
                <w:szCs w:val="16"/>
              </w:rPr>
            </w:pPr>
            <w:r w:rsidRPr="00DB3AEC">
              <w:rPr>
                <w:b/>
                <w:sz w:val="16"/>
                <w:szCs w:val="16"/>
              </w:rPr>
              <w:t>260.312</w:t>
            </w:r>
          </w:p>
        </w:tc>
        <w:tc>
          <w:tcPr>
            <w:tcW w:w="404" w:type="pct"/>
            <w:tcBorders>
              <w:top w:val="single" w:sz="6" w:space="0" w:color="008000"/>
            </w:tcBorders>
            <w:shd w:val="clear" w:color="auto" w:fill="auto"/>
            <w:vAlign w:val="bottom"/>
          </w:tcPr>
          <w:p w14:paraId="6B0C0369" w14:textId="77777777" w:rsidR="00F679A2" w:rsidRPr="00DB3AEC" w:rsidRDefault="00F679A2" w:rsidP="00B97309">
            <w:pPr>
              <w:rPr>
                <w:b/>
                <w:sz w:val="16"/>
                <w:szCs w:val="16"/>
              </w:rPr>
            </w:pPr>
            <w:r w:rsidRPr="00DB3AEC">
              <w:rPr>
                <w:b/>
                <w:sz w:val="16"/>
                <w:szCs w:val="16"/>
              </w:rPr>
              <w:t>298.019</w:t>
            </w:r>
          </w:p>
        </w:tc>
        <w:tc>
          <w:tcPr>
            <w:tcW w:w="404" w:type="pct"/>
            <w:tcBorders>
              <w:top w:val="single" w:sz="6" w:space="0" w:color="008000"/>
            </w:tcBorders>
            <w:shd w:val="clear" w:color="auto" w:fill="auto"/>
            <w:vAlign w:val="bottom"/>
          </w:tcPr>
          <w:p w14:paraId="46EBC1BD" w14:textId="77777777" w:rsidR="00F679A2" w:rsidRPr="00DB3AEC" w:rsidRDefault="00F679A2" w:rsidP="00B97309">
            <w:pPr>
              <w:rPr>
                <w:b/>
                <w:sz w:val="16"/>
                <w:szCs w:val="16"/>
              </w:rPr>
            </w:pPr>
            <w:r w:rsidRPr="00DB3AEC">
              <w:rPr>
                <w:b/>
                <w:sz w:val="16"/>
                <w:szCs w:val="16"/>
              </w:rPr>
              <w:t>343.262</w:t>
            </w:r>
          </w:p>
        </w:tc>
        <w:tc>
          <w:tcPr>
            <w:tcW w:w="404" w:type="pct"/>
            <w:tcBorders>
              <w:top w:val="single" w:sz="6" w:space="0" w:color="008000"/>
            </w:tcBorders>
            <w:shd w:val="clear" w:color="auto" w:fill="auto"/>
            <w:vAlign w:val="bottom"/>
          </w:tcPr>
          <w:p w14:paraId="5D744D65" w14:textId="77777777" w:rsidR="00F679A2" w:rsidRPr="00DB3AEC" w:rsidRDefault="00F679A2" w:rsidP="00B97309">
            <w:pPr>
              <w:rPr>
                <w:b/>
                <w:sz w:val="16"/>
                <w:szCs w:val="16"/>
              </w:rPr>
            </w:pPr>
            <w:r w:rsidRPr="00DB3AEC">
              <w:rPr>
                <w:b/>
                <w:sz w:val="16"/>
                <w:szCs w:val="16"/>
              </w:rPr>
              <w:t>346.602</w:t>
            </w:r>
          </w:p>
        </w:tc>
        <w:tc>
          <w:tcPr>
            <w:tcW w:w="404" w:type="pct"/>
            <w:tcBorders>
              <w:top w:val="single" w:sz="6" w:space="0" w:color="008000"/>
            </w:tcBorders>
            <w:shd w:val="clear" w:color="auto" w:fill="auto"/>
            <w:vAlign w:val="bottom"/>
          </w:tcPr>
          <w:p w14:paraId="51C9FE72" w14:textId="77777777" w:rsidR="00F679A2" w:rsidRPr="00DB3AEC" w:rsidRDefault="00F679A2" w:rsidP="00B97309">
            <w:pPr>
              <w:rPr>
                <w:b/>
                <w:sz w:val="16"/>
                <w:szCs w:val="16"/>
              </w:rPr>
            </w:pPr>
            <w:r w:rsidRPr="00DB3AEC">
              <w:rPr>
                <w:b/>
                <w:sz w:val="16"/>
                <w:szCs w:val="16"/>
              </w:rPr>
              <w:t>411.661</w:t>
            </w:r>
          </w:p>
        </w:tc>
        <w:tc>
          <w:tcPr>
            <w:tcW w:w="404" w:type="pct"/>
            <w:tcBorders>
              <w:top w:val="single" w:sz="6" w:space="0" w:color="008000"/>
            </w:tcBorders>
            <w:shd w:val="clear" w:color="auto" w:fill="auto"/>
            <w:vAlign w:val="bottom"/>
          </w:tcPr>
          <w:p w14:paraId="4D3344B0" w14:textId="77777777" w:rsidR="00F679A2" w:rsidRPr="00DB3AEC" w:rsidRDefault="00F679A2" w:rsidP="00B97309">
            <w:pPr>
              <w:rPr>
                <w:b/>
                <w:sz w:val="16"/>
                <w:szCs w:val="16"/>
              </w:rPr>
            </w:pPr>
            <w:r w:rsidRPr="00DB3AEC">
              <w:rPr>
                <w:b/>
                <w:sz w:val="16"/>
                <w:szCs w:val="16"/>
              </w:rPr>
              <w:t>425.499</w:t>
            </w:r>
          </w:p>
        </w:tc>
        <w:tc>
          <w:tcPr>
            <w:tcW w:w="402" w:type="pct"/>
            <w:tcBorders>
              <w:top w:val="single" w:sz="6" w:space="0" w:color="008000"/>
            </w:tcBorders>
            <w:shd w:val="clear" w:color="auto" w:fill="auto"/>
            <w:vAlign w:val="bottom"/>
          </w:tcPr>
          <w:p w14:paraId="42DEF5A5" w14:textId="77777777" w:rsidR="00F679A2" w:rsidRPr="00DB3AEC" w:rsidRDefault="00F679A2" w:rsidP="00B97309">
            <w:pPr>
              <w:rPr>
                <w:b/>
                <w:sz w:val="16"/>
                <w:szCs w:val="16"/>
              </w:rPr>
            </w:pPr>
            <w:r w:rsidRPr="00DB3AEC">
              <w:rPr>
                <w:b/>
                <w:sz w:val="16"/>
                <w:szCs w:val="16"/>
              </w:rPr>
              <w:t>383.055</w:t>
            </w:r>
          </w:p>
        </w:tc>
      </w:tr>
      <w:tr w:rsidR="00F679A2" w:rsidRPr="00AA618D" w14:paraId="03DBE56B" w14:textId="77777777" w:rsidTr="00B97309">
        <w:trPr>
          <w:trHeight w:val="225"/>
        </w:trPr>
        <w:tc>
          <w:tcPr>
            <w:tcW w:w="962" w:type="pct"/>
            <w:shd w:val="clear" w:color="auto" w:fill="auto"/>
            <w:noWrap/>
            <w:vAlign w:val="bottom"/>
          </w:tcPr>
          <w:p w14:paraId="71C397A3" w14:textId="77777777" w:rsidR="00F679A2" w:rsidRPr="00DB3AEC" w:rsidRDefault="00F679A2" w:rsidP="00B97309">
            <w:pPr>
              <w:rPr>
                <w:sz w:val="16"/>
                <w:szCs w:val="16"/>
              </w:rPr>
            </w:pPr>
            <w:r w:rsidRPr="00DB3AEC">
              <w:rPr>
                <w:sz w:val="16"/>
                <w:szCs w:val="16"/>
              </w:rPr>
              <w:t>– pšenica</w:t>
            </w:r>
          </w:p>
        </w:tc>
        <w:tc>
          <w:tcPr>
            <w:tcW w:w="404" w:type="pct"/>
            <w:shd w:val="clear" w:color="auto" w:fill="auto"/>
            <w:vAlign w:val="bottom"/>
          </w:tcPr>
          <w:p w14:paraId="779D3DED" w14:textId="77777777" w:rsidR="00F679A2" w:rsidRPr="00DB3AEC" w:rsidRDefault="00F679A2" w:rsidP="00B97309">
            <w:pPr>
              <w:rPr>
                <w:sz w:val="16"/>
                <w:szCs w:val="16"/>
              </w:rPr>
            </w:pPr>
            <w:r w:rsidRPr="00DB3AEC">
              <w:rPr>
                <w:sz w:val="16"/>
                <w:szCs w:val="16"/>
              </w:rPr>
              <w:t>61.173</w:t>
            </w:r>
          </w:p>
        </w:tc>
        <w:tc>
          <w:tcPr>
            <w:tcW w:w="404" w:type="pct"/>
            <w:shd w:val="clear" w:color="auto" w:fill="auto"/>
            <w:vAlign w:val="bottom"/>
          </w:tcPr>
          <w:p w14:paraId="665D94B9" w14:textId="77777777" w:rsidR="00F679A2" w:rsidRPr="00DB3AEC" w:rsidRDefault="00F679A2" w:rsidP="00B97309">
            <w:pPr>
              <w:rPr>
                <w:sz w:val="16"/>
                <w:szCs w:val="16"/>
              </w:rPr>
            </w:pPr>
            <w:r w:rsidRPr="00DB3AEC">
              <w:rPr>
                <w:sz w:val="16"/>
                <w:szCs w:val="16"/>
              </w:rPr>
              <w:t>62.152</w:t>
            </w:r>
          </w:p>
        </w:tc>
        <w:tc>
          <w:tcPr>
            <w:tcW w:w="404" w:type="pct"/>
            <w:shd w:val="clear" w:color="auto" w:fill="auto"/>
            <w:vAlign w:val="bottom"/>
          </w:tcPr>
          <w:p w14:paraId="2F1F5F24" w14:textId="77777777" w:rsidR="00F679A2" w:rsidRPr="00DB3AEC" w:rsidRDefault="00F679A2" w:rsidP="00B97309">
            <w:pPr>
              <w:rPr>
                <w:sz w:val="16"/>
                <w:szCs w:val="16"/>
              </w:rPr>
            </w:pPr>
            <w:r w:rsidRPr="00DB3AEC">
              <w:rPr>
                <w:sz w:val="16"/>
                <w:szCs w:val="16"/>
              </w:rPr>
              <w:t>87.196</w:t>
            </w:r>
          </w:p>
        </w:tc>
        <w:tc>
          <w:tcPr>
            <w:tcW w:w="404" w:type="pct"/>
            <w:shd w:val="clear" w:color="auto" w:fill="auto"/>
            <w:vAlign w:val="bottom"/>
          </w:tcPr>
          <w:p w14:paraId="6191AB10" w14:textId="77777777" w:rsidR="00F679A2" w:rsidRPr="00DB3AEC" w:rsidRDefault="00F679A2" w:rsidP="00B97309">
            <w:pPr>
              <w:rPr>
                <w:sz w:val="16"/>
                <w:szCs w:val="16"/>
              </w:rPr>
            </w:pPr>
            <w:r w:rsidRPr="00DB3AEC">
              <w:rPr>
                <w:sz w:val="16"/>
                <w:szCs w:val="16"/>
              </w:rPr>
              <w:t>84.591</w:t>
            </w:r>
          </w:p>
        </w:tc>
        <w:tc>
          <w:tcPr>
            <w:tcW w:w="404" w:type="pct"/>
            <w:shd w:val="clear" w:color="auto" w:fill="auto"/>
            <w:vAlign w:val="bottom"/>
          </w:tcPr>
          <w:p w14:paraId="2C5C6D7D" w14:textId="77777777" w:rsidR="00F679A2" w:rsidRPr="00DB3AEC" w:rsidRDefault="00F679A2" w:rsidP="00B97309">
            <w:pPr>
              <w:rPr>
                <w:sz w:val="16"/>
                <w:szCs w:val="16"/>
              </w:rPr>
            </w:pPr>
            <w:r w:rsidRPr="00DB3AEC">
              <w:rPr>
                <w:sz w:val="16"/>
                <w:szCs w:val="16"/>
              </w:rPr>
              <w:t>59.397</w:t>
            </w:r>
          </w:p>
        </w:tc>
        <w:tc>
          <w:tcPr>
            <w:tcW w:w="404" w:type="pct"/>
            <w:shd w:val="clear" w:color="auto" w:fill="auto"/>
            <w:vAlign w:val="bottom"/>
          </w:tcPr>
          <w:p w14:paraId="70E124BB" w14:textId="77777777" w:rsidR="00F679A2" w:rsidRPr="00DB3AEC" w:rsidRDefault="00F679A2" w:rsidP="00B97309">
            <w:pPr>
              <w:rPr>
                <w:sz w:val="16"/>
                <w:szCs w:val="16"/>
              </w:rPr>
            </w:pPr>
            <w:r w:rsidRPr="00DB3AEC">
              <w:rPr>
                <w:sz w:val="16"/>
                <w:szCs w:val="16"/>
              </w:rPr>
              <w:t>145.836</w:t>
            </w:r>
          </w:p>
        </w:tc>
        <w:tc>
          <w:tcPr>
            <w:tcW w:w="404" w:type="pct"/>
            <w:shd w:val="clear" w:color="auto" w:fill="auto"/>
            <w:vAlign w:val="bottom"/>
          </w:tcPr>
          <w:p w14:paraId="084B0F5A" w14:textId="77777777" w:rsidR="00F679A2" w:rsidRPr="00DB3AEC" w:rsidRDefault="00F679A2" w:rsidP="00B97309">
            <w:pPr>
              <w:rPr>
                <w:sz w:val="16"/>
                <w:szCs w:val="16"/>
              </w:rPr>
            </w:pPr>
            <w:r w:rsidRPr="00DB3AEC">
              <w:rPr>
                <w:sz w:val="16"/>
                <w:szCs w:val="16"/>
              </w:rPr>
              <w:t>166.754</w:t>
            </w:r>
          </w:p>
        </w:tc>
        <w:tc>
          <w:tcPr>
            <w:tcW w:w="404" w:type="pct"/>
            <w:shd w:val="clear" w:color="auto" w:fill="auto"/>
            <w:vAlign w:val="bottom"/>
          </w:tcPr>
          <w:p w14:paraId="42989516" w14:textId="77777777" w:rsidR="00F679A2" w:rsidRPr="00DB3AEC" w:rsidRDefault="00F679A2" w:rsidP="00B97309">
            <w:pPr>
              <w:rPr>
                <w:sz w:val="16"/>
                <w:szCs w:val="16"/>
              </w:rPr>
            </w:pPr>
            <w:r w:rsidRPr="00DB3AEC">
              <w:rPr>
                <w:sz w:val="16"/>
                <w:szCs w:val="16"/>
              </w:rPr>
              <w:t>171.897</w:t>
            </w:r>
          </w:p>
        </w:tc>
        <w:tc>
          <w:tcPr>
            <w:tcW w:w="404" w:type="pct"/>
            <w:shd w:val="clear" w:color="auto" w:fill="auto"/>
            <w:vAlign w:val="bottom"/>
          </w:tcPr>
          <w:p w14:paraId="729C38F7" w14:textId="77777777" w:rsidR="00F679A2" w:rsidRPr="00DB3AEC" w:rsidRDefault="00F679A2" w:rsidP="00B97309">
            <w:pPr>
              <w:rPr>
                <w:sz w:val="16"/>
                <w:szCs w:val="16"/>
              </w:rPr>
            </w:pPr>
            <w:r w:rsidRPr="00DB3AEC">
              <w:rPr>
                <w:sz w:val="16"/>
                <w:szCs w:val="16"/>
              </w:rPr>
              <w:t>173.786</w:t>
            </w:r>
          </w:p>
        </w:tc>
        <w:tc>
          <w:tcPr>
            <w:tcW w:w="402" w:type="pct"/>
            <w:shd w:val="clear" w:color="auto" w:fill="auto"/>
            <w:vAlign w:val="bottom"/>
          </w:tcPr>
          <w:p w14:paraId="6E4262F9" w14:textId="77777777" w:rsidR="00F679A2" w:rsidRPr="00DB3AEC" w:rsidRDefault="00F679A2" w:rsidP="00B97309">
            <w:pPr>
              <w:rPr>
                <w:sz w:val="16"/>
                <w:szCs w:val="16"/>
              </w:rPr>
            </w:pPr>
            <w:r w:rsidRPr="00DB3AEC">
              <w:rPr>
                <w:sz w:val="16"/>
                <w:szCs w:val="16"/>
              </w:rPr>
              <w:t>176.692</w:t>
            </w:r>
          </w:p>
        </w:tc>
      </w:tr>
      <w:tr w:rsidR="00F679A2" w:rsidRPr="00AA618D" w14:paraId="4920043F" w14:textId="77777777" w:rsidTr="00B97309">
        <w:trPr>
          <w:trHeight w:val="225"/>
        </w:trPr>
        <w:tc>
          <w:tcPr>
            <w:tcW w:w="962" w:type="pct"/>
            <w:shd w:val="clear" w:color="auto" w:fill="auto"/>
            <w:noWrap/>
            <w:vAlign w:val="bottom"/>
          </w:tcPr>
          <w:p w14:paraId="25FCF032" w14:textId="77777777" w:rsidR="00F679A2" w:rsidRPr="00DB3AEC" w:rsidRDefault="00F679A2" w:rsidP="00B97309">
            <w:pPr>
              <w:rPr>
                <w:sz w:val="16"/>
                <w:szCs w:val="16"/>
              </w:rPr>
            </w:pPr>
            <w:r w:rsidRPr="00DB3AEC">
              <w:rPr>
                <w:sz w:val="16"/>
                <w:szCs w:val="16"/>
              </w:rPr>
              <w:t>– ječmen</w:t>
            </w:r>
          </w:p>
        </w:tc>
        <w:tc>
          <w:tcPr>
            <w:tcW w:w="404" w:type="pct"/>
            <w:shd w:val="clear" w:color="auto" w:fill="auto"/>
            <w:vAlign w:val="bottom"/>
          </w:tcPr>
          <w:p w14:paraId="73977C16" w14:textId="77777777" w:rsidR="00F679A2" w:rsidRPr="00DB3AEC" w:rsidRDefault="00F679A2" w:rsidP="00B97309">
            <w:pPr>
              <w:rPr>
                <w:sz w:val="16"/>
                <w:szCs w:val="16"/>
              </w:rPr>
            </w:pPr>
            <w:r w:rsidRPr="00DB3AEC">
              <w:rPr>
                <w:sz w:val="16"/>
                <w:szCs w:val="16"/>
              </w:rPr>
              <w:t>10.640</w:t>
            </w:r>
          </w:p>
        </w:tc>
        <w:tc>
          <w:tcPr>
            <w:tcW w:w="404" w:type="pct"/>
            <w:shd w:val="clear" w:color="auto" w:fill="auto"/>
            <w:vAlign w:val="bottom"/>
          </w:tcPr>
          <w:p w14:paraId="1580549A" w14:textId="77777777" w:rsidR="00F679A2" w:rsidRPr="00DB3AEC" w:rsidRDefault="00F679A2" w:rsidP="00B97309">
            <w:pPr>
              <w:rPr>
                <w:sz w:val="16"/>
                <w:szCs w:val="16"/>
              </w:rPr>
            </w:pPr>
            <w:r w:rsidRPr="00DB3AEC">
              <w:rPr>
                <w:sz w:val="16"/>
                <w:szCs w:val="16"/>
              </w:rPr>
              <w:t>5.566</w:t>
            </w:r>
          </w:p>
        </w:tc>
        <w:tc>
          <w:tcPr>
            <w:tcW w:w="404" w:type="pct"/>
            <w:shd w:val="clear" w:color="auto" w:fill="auto"/>
            <w:vAlign w:val="bottom"/>
          </w:tcPr>
          <w:p w14:paraId="773A4E1E" w14:textId="77777777" w:rsidR="00F679A2" w:rsidRPr="00DB3AEC" w:rsidRDefault="00F679A2" w:rsidP="00B97309">
            <w:pPr>
              <w:rPr>
                <w:sz w:val="16"/>
                <w:szCs w:val="16"/>
              </w:rPr>
            </w:pPr>
            <w:r w:rsidRPr="00DB3AEC">
              <w:rPr>
                <w:sz w:val="16"/>
                <w:szCs w:val="16"/>
              </w:rPr>
              <w:t>23.008</w:t>
            </w:r>
          </w:p>
        </w:tc>
        <w:tc>
          <w:tcPr>
            <w:tcW w:w="404" w:type="pct"/>
            <w:shd w:val="clear" w:color="auto" w:fill="auto"/>
            <w:vAlign w:val="bottom"/>
          </w:tcPr>
          <w:p w14:paraId="12D3BB41" w14:textId="77777777" w:rsidR="00F679A2" w:rsidRPr="00DB3AEC" w:rsidRDefault="00F679A2" w:rsidP="00B97309">
            <w:pPr>
              <w:rPr>
                <w:sz w:val="16"/>
                <w:szCs w:val="16"/>
              </w:rPr>
            </w:pPr>
            <w:r w:rsidRPr="00DB3AEC">
              <w:rPr>
                <w:sz w:val="16"/>
                <w:szCs w:val="16"/>
              </w:rPr>
              <w:t>13.222</w:t>
            </w:r>
          </w:p>
        </w:tc>
        <w:tc>
          <w:tcPr>
            <w:tcW w:w="404" w:type="pct"/>
            <w:shd w:val="clear" w:color="auto" w:fill="auto"/>
            <w:vAlign w:val="bottom"/>
          </w:tcPr>
          <w:p w14:paraId="5FC364E2" w14:textId="77777777" w:rsidR="00F679A2" w:rsidRPr="00DB3AEC" w:rsidRDefault="00F679A2" w:rsidP="00B97309">
            <w:pPr>
              <w:rPr>
                <w:sz w:val="16"/>
                <w:szCs w:val="16"/>
              </w:rPr>
            </w:pPr>
            <w:r w:rsidRPr="00DB3AEC">
              <w:rPr>
                <w:sz w:val="16"/>
                <w:szCs w:val="16"/>
              </w:rPr>
              <w:t>6.414</w:t>
            </w:r>
          </w:p>
        </w:tc>
        <w:tc>
          <w:tcPr>
            <w:tcW w:w="404" w:type="pct"/>
            <w:shd w:val="clear" w:color="auto" w:fill="auto"/>
            <w:vAlign w:val="bottom"/>
          </w:tcPr>
          <w:p w14:paraId="66021BC0" w14:textId="77777777" w:rsidR="00F679A2" w:rsidRPr="00DB3AEC" w:rsidRDefault="00F679A2" w:rsidP="00B97309">
            <w:pPr>
              <w:rPr>
                <w:sz w:val="16"/>
                <w:szCs w:val="16"/>
              </w:rPr>
            </w:pPr>
            <w:r w:rsidRPr="00DB3AEC">
              <w:rPr>
                <w:sz w:val="16"/>
                <w:szCs w:val="16"/>
              </w:rPr>
              <w:t>26.429</w:t>
            </w:r>
          </w:p>
        </w:tc>
        <w:tc>
          <w:tcPr>
            <w:tcW w:w="404" w:type="pct"/>
            <w:shd w:val="clear" w:color="auto" w:fill="auto"/>
            <w:vAlign w:val="bottom"/>
          </w:tcPr>
          <w:p w14:paraId="79EF72EF" w14:textId="77777777" w:rsidR="00F679A2" w:rsidRPr="00DB3AEC" w:rsidRDefault="00F679A2" w:rsidP="00B97309">
            <w:pPr>
              <w:rPr>
                <w:sz w:val="16"/>
                <w:szCs w:val="16"/>
              </w:rPr>
            </w:pPr>
            <w:r w:rsidRPr="00DB3AEC">
              <w:rPr>
                <w:sz w:val="16"/>
                <w:szCs w:val="16"/>
              </w:rPr>
              <w:t>22.142</w:t>
            </w:r>
          </w:p>
        </w:tc>
        <w:tc>
          <w:tcPr>
            <w:tcW w:w="404" w:type="pct"/>
            <w:shd w:val="clear" w:color="auto" w:fill="auto"/>
            <w:vAlign w:val="bottom"/>
          </w:tcPr>
          <w:p w14:paraId="72192106" w14:textId="77777777" w:rsidR="00F679A2" w:rsidRPr="00DB3AEC" w:rsidRDefault="00F679A2" w:rsidP="00B97309">
            <w:pPr>
              <w:rPr>
                <w:sz w:val="16"/>
                <w:szCs w:val="16"/>
              </w:rPr>
            </w:pPr>
            <w:r w:rsidRPr="00DB3AEC">
              <w:rPr>
                <w:sz w:val="16"/>
                <w:szCs w:val="16"/>
              </w:rPr>
              <w:t>31.493</w:t>
            </w:r>
          </w:p>
        </w:tc>
        <w:tc>
          <w:tcPr>
            <w:tcW w:w="404" w:type="pct"/>
            <w:shd w:val="clear" w:color="auto" w:fill="auto"/>
            <w:vAlign w:val="bottom"/>
          </w:tcPr>
          <w:p w14:paraId="4914DA17" w14:textId="77777777" w:rsidR="00F679A2" w:rsidRPr="00DB3AEC" w:rsidRDefault="00F679A2" w:rsidP="00B97309">
            <w:pPr>
              <w:rPr>
                <w:sz w:val="16"/>
                <w:szCs w:val="16"/>
              </w:rPr>
            </w:pPr>
            <w:r w:rsidRPr="00DB3AEC">
              <w:rPr>
                <w:sz w:val="16"/>
                <w:szCs w:val="16"/>
              </w:rPr>
              <w:t>25.052</w:t>
            </w:r>
          </w:p>
        </w:tc>
        <w:tc>
          <w:tcPr>
            <w:tcW w:w="402" w:type="pct"/>
            <w:shd w:val="clear" w:color="auto" w:fill="auto"/>
            <w:vAlign w:val="bottom"/>
          </w:tcPr>
          <w:p w14:paraId="3FFF8863" w14:textId="77777777" w:rsidR="00F679A2" w:rsidRPr="00DB3AEC" w:rsidRDefault="00F679A2" w:rsidP="00B97309">
            <w:pPr>
              <w:rPr>
                <w:sz w:val="16"/>
                <w:szCs w:val="16"/>
              </w:rPr>
            </w:pPr>
            <w:r w:rsidRPr="00DB3AEC">
              <w:rPr>
                <w:sz w:val="16"/>
                <w:szCs w:val="16"/>
              </w:rPr>
              <w:t>18.223</w:t>
            </w:r>
          </w:p>
        </w:tc>
      </w:tr>
      <w:tr w:rsidR="00F679A2" w:rsidRPr="00AA618D" w14:paraId="361A8927" w14:textId="77777777" w:rsidTr="00B97309">
        <w:trPr>
          <w:trHeight w:val="225"/>
        </w:trPr>
        <w:tc>
          <w:tcPr>
            <w:tcW w:w="962" w:type="pct"/>
            <w:shd w:val="clear" w:color="auto" w:fill="auto"/>
            <w:noWrap/>
            <w:vAlign w:val="bottom"/>
          </w:tcPr>
          <w:p w14:paraId="6C4FCD42" w14:textId="77777777" w:rsidR="00F679A2" w:rsidRPr="00DB3AEC" w:rsidRDefault="00F679A2" w:rsidP="00B97309">
            <w:pPr>
              <w:rPr>
                <w:sz w:val="16"/>
                <w:szCs w:val="16"/>
              </w:rPr>
            </w:pPr>
            <w:r w:rsidRPr="00DB3AEC">
              <w:rPr>
                <w:sz w:val="16"/>
                <w:szCs w:val="16"/>
              </w:rPr>
              <w:t xml:space="preserve">– koruza </w:t>
            </w:r>
          </w:p>
        </w:tc>
        <w:tc>
          <w:tcPr>
            <w:tcW w:w="404" w:type="pct"/>
            <w:shd w:val="clear" w:color="auto" w:fill="auto"/>
            <w:vAlign w:val="bottom"/>
          </w:tcPr>
          <w:p w14:paraId="4C825E27" w14:textId="77777777" w:rsidR="00F679A2" w:rsidRPr="00DB3AEC" w:rsidRDefault="00F679A2" w:rsidP="00B97309">
            <w:pPr>
              <w:rPr>
                <w:sz w:val="16"/>
                <w:szCs w:val="16"/>
              </w:rPr>
            </w:pPr>
            <w:r w:rsidRPr="00DB3AEC">
              <w:rPr>
                <w:sz w:val="16"/>
                <w:szCs w:val="16"/>
              </w:rPr>
              <w:t>124.102</w:t>
            </w:r>
          </w:p>
        </w:tc>
        <w:tc>
          <w:tcPr>
            <w:tcW w:w="404" w:type="pct"/>
            <w:shd w:val="clear" w:color="auto" w:fill="auto"/>
            <w:vAlign w:val="bottom"/>
          </w:tcPr>
          <w:p w14:paraId="4062DDB4" w14:textId="77777777" w:rsidR="00F679A2" w:rsidRPr="00DB3AEC" w:rsidRDefault="00F679A2" w:rsidP="00B97309">
            <w:pPr>
              <w:rPr>
                <w:sz w:val="16"/>
                <w:szCs w:val="16"/>
              </w:rPr>
            </w:pPr>
            <w:r w:rsidRPr="00DB3AEC">
              <w:rPr>
                <w:sz w:val="16"/>
                <w:szCs w:val="16"/>
              </w:rPr>
              <w:t>118.600</w:t>
            </w:r>
          </w:p>
        </w:tc>
        <w:tc>
          <w:tcPr>
            <w:tcW w:w="404" w:type="pct"/>
            <w:shd w:val="clear" w:color="auto" w:fill="auto"/>
            <w:vAlign w:val="bottom"/>
          </w:tcPr>
          <w:p w14:paraId="2BE00C92" w14:textId="77777777" w:rsidR="00F679A2" w:rsidRPr="00DB3AEC" w:rsidRDefault="00F679A2" w:rsidP="00B97309">
            <w:pPr>
              <w:rPr>
                <w:sz w:val="16"/>
                <w:szCs w:val="16"/>
              </w:rPr>
            </w:pPr>
            <w:r w:rsidRPr="00DB3AEC">
              <w:rPr>
                <w:sz w:val="16"/>
                <w:szCs w:val="16"/>
              </w:rPr>
              <w:t>137.616</w:t>
            </w:r>
          </w:p>
        </w:tc>
        <w:tc>
          <w:tcPr>
            <w:tcW w:w="404" w:type="pct"/>
            <w:shd w:val="clear" w:color="auto" w:fill="auto"/>
            <w:vAlign w:val="bottom"/>
          </w:tcPr>
          <w:p w14:paraId="4D4F1022" w14:textId="77777777" w:rsidR="00F679A2" w:rsidRPr="00DB3AEC" w:rsidRDefault="00F679A2" w:rsidP="00B97309">
            <w:pPr>
              <w:rPr>
                <w:sz w:val="16"/>
                <w:szCs w:val="16"/>
              </w:rPr>
            </w:pPr>
            <w:r w:rsidRPr="00DB3AEC">
              <w:rPr>
                <w:sz w:val="16"/>
                <w:szCs w:val="16"/>
              </w:rPr>
              <w:t>157.644</w:t>
            </w:r>
          </w:p>
        </w:tc>
        <w:tc>
          <w:tcPr>
            <w:tcW w:w="404" w:type="pct"/>
            <w:shd w:val="clear" w:color="auto" w:fill="auto"/>
            <w:vAlign w:val="bottom"/>
          </w:tcPr>
          <w:p w14:paraId="6D2AD30C" w14:textId="77777777" w:rsidR="00F679A2" w:rsidRPr="00DB3AEC" w:rsidRDefault="00F679A2" w:rsidP="00B97309">
            <w:pPr>
              <w:rPr>
                <w:sz w:val="16"/>
                <w:szCs w:val="16"/>
              </w:rPr>
            </w:pPr>
            <w:r w:rsidRPr="00DB3AEC">
              <w:rPr>
                <w:sz w:val="16"/>
                <w:szCs w:val="16"/>
              </w:rPr>
              <w:t>225.707</w:t>
            </w:r>
          </w:p>
        </w:tc>
        <w:tc>
          <w:tcPr>
            <w:tcW w:w="404" w:type="pct"/>
            <w:shd w:val="clear" w:color="auto" w:fill="auto"/>
            <w:vAlign w:val="bottom"/>
          </w:tcPr>
          <w:p w14:paraId="1EEF6660" w14:textId="77777777" w:rsidR="00F679A2" w:rsidRPr="00DB3AEC" w:rsidRDefault="00F679A2" w:rsidP="00B97309">
            <w:pPr>
              <w:rPr>
                <w:sz w:val="16"/>
                <w:szCs w:val="16"/>
              </w:rPr>
            </w:pPr>
            <w:r w:rsidRPr="00DB3AEC">
              <w:rPr>
                <w:sz w:val="16"/>
                <w:szCs w:val="16"/>
              </w:rPr>
              <w:t>153.326</w:t>
            </w:r>
          </w:p>
        </w:tc>
        <w:tc>
          <w:tcPr>
            <w:tcW w:w="404" w:type="pct"/>
            <w:shd w:val="clear" w:color="auto" w:fill="auto"/>
            <w:vAlign w:val="bottom"/>
          </w:tcPr>
          <w:p w14:paraId="613743D2" w14:textId="77777777" w:rsidR="00F679A2" w:rsidRPr="00DB3AEC" w:rsidRDefault="00F679A2" w:rsidP="00B97309">
            <w:pPr>
              <w:rPr>
                <w:sz w:val="16"/>
                <w:szCs w:val="16"/>
              </w:rPr>
            </w:pPr>
            <w:r w:rsidRPr="00DB3AEC">
              <w:rPr>
                <w:sz w:val="16"/>
                <w:szCs w:val="16"/>
              </w:rPr>
              <w:t>138.343</w:t>
            </w:r>
          </w:p>
        </w:tc>
        <w:tc>
          <w:tcPr>
            <w:tcW w:w="404" w:type="pct"/>
            <w:shd w:val="clear" w:color="auto" w:fill="auto"/>
            <w:vAlign w:val="bottom"/>
          </w:tcPr>
          <w:p w14:paraId="2031AC0D" w14:textId="77777777" w:rsidR="00F679A2" w:rsidRPr="00DB3AEC" w:rsidRDefault="00F679A2" w:rsidP="00B97309">
            <w:pPr>
              <w:rPr>
                <w:sz w:val="16"/>
                <w:szCs w:val="16"/>
              </w:rPr>
            </w:pPr>
            <w:r w:rsidRPr="00DB3AEC">
              <w:rPr>
                <w:sz w:val="16"/>
                <w:szCs w:val="16"/>
              </w:rPr>
              <w:t>191.066</w:t>
            </w:r>
          </w:p>
        </w:tc>
        <w:tc>
          <w:tcPr>
            <w:tcW w:w="404" w:type="pct"/>
            <w:shd w:val="clear" w:color="auto" w:fill="auto"/>
            <w:vAlign w:val="bottom"/>
          </w:tcPr>
          <w:p w14:paraId="2CA2439E" w14:textId="77777777" w:rsidR="00F679A2" w:rsidRPr="00DB3AEC" w:rsidRDefault="00F679A2" w:rsidP="00B97309">
            <w:pPr>
              <w:rPr>
                <w:sz w:val="16"/>
                <w:szCs w:val="16"/>
              </w:rPr>
            </w:pPr>
            <w:r w:rsidRPr="00DB3AEC">
              <w:rPr>
                <w:sz w:val="16"/>
                <w:szCs w:val="16"/>
              </w:rPr>
              <w:t>210.826</w:t>
            </w:r>
          </w:p>
        </w:tc>
        <w:tc>
          <w:tcPr>
            <w:tcW w:w="402" w:type="pct"/>
            <w:shd w:val="clear" w:color="auto" w:fill="auto"/>
            <w:vAlign w:val="bottom"/>
          </w:tcPr>
          <w:p w14:paraId="6808D685" w14:textId="77777777" w:rsidR="00F679A2" w:rsidRPr="00DB3AEC" w:rsidRDefault="00F679A2" w:rsidP="00B97309">
            <w:pPr>
              <w:rPr>
                <w:sz w:val="16"/>
                <w:szCs w:val="16"/>
              </w:rPr>
            </w:pPr>
            <w:r w:rsidRPr="00DB3AEC">
              <w:rPr>
                <w:sz w:val="16"/>
                <w:szCs w:val="16"/>
              </w:rPr>
              <w:t>172.505</w:t>
            </w:r>
          </w:p>
        </w:tc>
      </w:tr>
      <w:tr w:rsidR="00F679A2" w:rsidRPr="00AA618D" w14:paraId="1B052438" w14:textId="77777777" w:rsidTr="00B97309">
        <w:trPr>
          <w:trHeight w:val="225"/>
        </w:trPr>
        <w:tc>
          <w:tcPr>
            <w:tcW w:w="962" w:type="pct"/>
            <w:shd w:val="clear" w:color="auto" w:fill="auto"/>
            <w:noWrap/>
            <w:vAlign w:val="bottom"/>
          </w:tcPr>
          <w:p w14:paraId="330C7908" w14:textId="77777777" w:rsidR="00F679A2" w:rsidRPr="00DB3AEC" w:rsidRDefault="00F679A2" w:rsidP="00B97309">
            <w:pPr>
              <w:rPr>
                <w:sz w:val="16"/>
                <w:szCs w:val="16"/>
              </w:rPr>
            </w:pPr>
            <w:r w:rsidRPr="00DB3AEC">
              <w:rPr>
                <w:sz w:val="16"/>
                <w:szCs w:val="16"/>
              </w:rPr>
              <w:t xml:space="preserve">– riž </w:t>
            </w:r>
          </w:p>
        </w:tc>
        <w:tc>
          <w:tcPr>
            <w:tcW w:w="404" w:type="pct"/>
            <w:shd w:val="clear" w:color="auto" w:fill="auto"/>
            <w:vAlign w:val="bottom"/>
          </w:tcPr>
          <w:p w14:paraId="008BF5E9" w14:textId="77777777" w:rsidR="00F679A2" w:rsidRPr="00DB3AEC" w:rsidRDefault="00F679A2" w:rsidP="00B97309">
            <w:pPr>
              <w:rPr>
                <w:sz w:val="16"/>
                <w:szCs w:val="16"/>
              </w:rPr>
            </w:pPr>
            <w:r w:rsidRPr="00DB3AEC">
              <w:rPr>
                <w:sz w:val="16"/>
                <w:szCs w:val="16"/>
              </w:rPr>
              <w:t>1.789</w:t>
            </w:r>
          </w:p>
        </w:tc>
        <w:tc>
          <w:tcPr>
            <w:tcW w:w="404" w:type="pct"/>
            <w:shd w:val="clear" w:color="auto" w:fill="auto"/>
            <w:vAlign w:val="bottom"/>
          </w:tcPr>
          <w:p w14:paraId="1465A27F" w14:textId="77777777" w:rsidR="00F679A2" w:rsidRPr="00DB3AEC" w:rsidRDefault="00F679A2" w:rsidP="00B97309">
            <w:pPr>
              <w:rPr>
                <w:sz w:val="16"/>
                <w:szCs w:val="16"/>
              </w:rPr>
            </w:pPr>
            <w:r w:rsidRPr="00DB3AEC">
              <w:rPr>
                <w:sz w:val="16"/>
                <w:szCs w:val="16"/>
              </w:rPr>
              <w:t>1.665</w:t>
            </w:r>
          </w:p>
        </w:tc>
        <w:tc>
          <w:tcPr>
            <w:tcW w:w="404" w:type="pct"/>
            <w:shd w:val="clear" w:color="auto" w:fill="auto"/>
            <w:vAlign w:val="bottom"/>
          </w:tcPr>
          <w:p w14:paraId="1A17941E" w14:textId="77777777" w:rsidR="00F679A2" w:rsidRPr="00DB3AEC" w:rsidRDefault="00F679A2" w:rsidP="00B97309">
            <w:pPr>
              <w:rPr>
                <w:sz w:val="16"/>
                <w:szCs w:val="16"/>
              </w:rPr>
            </w:pPr>
            <w:r w:rsidRPr="00DB3AEC">
              <w:rPr>
                <w:sz w:val="16"/>
                <w:szCs w:val="16"/>
              </w:rPr>
              <w:t>2.138</w:t>
            </w:r>
          </w:p>
        </w:tc>
        <w:tc>
          <w:tcPr>
            <w:tcW w:w="404" w:type="pct"/>
            <w:shd w:val="clear" w:color="auto" w:fill="auto"/>
            <w:vAlign w:val="bottom"/>
          </w:tcPr>
          <w:p w14:paraId="159A07CC" w14:textId="77777777" w:rsidR="00F679A2" w:rsidRPr="00DB3AEC" w:rsidRDefault="00F679A2" w:rsidP="00B97309">
            <w:pPr>
              <w:rPr>
                <w:sz w:val="16"/>
                <w:szCs w:val="16"/>
              </w:rPr>
            </w:pPr>
            <w:r w:rsidRPr="00DB3AEC">
              <w:rPr>
                <w:sz w:val="16"/>
                <w:szCs w:val="16"/>
              </w:rPr>
              <w:t>2.387</w:t>
            </w:r>
          </w:p>
        </w:tc>
        <w:tc>
          <w:tcPr>
            <w:tcW w:w="404" w:type="pct"/>
            <w:shd w:val="clear" w:color="auto" w:fill="auto"/>
            <w:vAlign w:val="bottom"/>
          </w:tcPr>
          <w:p w14:paraId="5129E47A" w14:textId="77777777" w:rsidR="00F679A2" w:rsidRPr="00DB3AEC" w:rsidRDefault="00F679A2" w:rsidP="00B97309">
            <w:pPr>
              <w:rPr>
                <w:sz w:val="16"/>
                <w:szCs w:val="16"/>
              </w:rPr>
            </w:pPr>
            <w:r w:rsidRPr="00DB3AEC">
              <w:rPr>
                <w:sz w:val="16"/>
                <w:szCs w:val="16"/>
              </w:rPr>
              <w:t>2.813</w:t>
            </w:r>
          </w:p>
        </w:tc>
        <w:tc>
          <w:tcPr>
            <w:tcW w:w="404" w:type="pct"/>
            <w:shd w:val="clear" w:color="auto" w:fill="auto"/>
            <w:vAlign w:val="bottom"/>
          </w:tcPr>
          <w:p w14:paraId="4F2F09D4" w14:textId="77777777" w:rsidR="00F679A2" w:rsidRPr="00DB3AEC" w:rsidRDefault="00F679A2" w:rsidP="00B97309">
            <w:pPr>
              <w:rPr>
                <w:sz w:val="16"/>
                <w:szCs w:val="16"/>
              </w:rPr>
            </w:pPr>
            <w:r w:rsidRPr="00DB3AEC">
              <w:rPr>
                <w:sz w:val="16"/>
                <w:szCs w:val="16"/>
              </w:rPr>
              <w:t>8.078</w:t>
            </w:r>
          </w:p>
        </w:tc>
        <w:tc>
          <w:tcPr>
            <w:tcW w:w="404" w:type="pct"/>
            <w:shd w:val="clear" w:color="auto" w:fill="auto"/>
            <w:vAlign w:val="bottom"/>
          </w:tcPr>
          <w:p w14:paraId="5A98E294" w14:textId="77777777" w:rsidR="00F679A2" w:rsidRPr="00DB3AEC" w:rsidRDefault="00F679A2" w:rsidP="00B97309">
            <w:pPr>
              <w:rPr>
                <w:sz w:val="16"/>
                <w:szCs w:val="16"/>
              </w:rPr>
            </w:pPr>
            <w:r w:rsidRPr="00DB3AEC">
              <w:rPr>
                <w:sz w:val="16"/>
                <w:szCs w:val="16"/>
              </w:rPr>
              <w:t>8.399</w:t>
            </w:r>
          </w:p>
        </w:tc>
        <w:tc>
          <w:tcPr>
            <w:tcW w:w="404" w:type="pct"/>
            <w:shd w:val="clear" w:color="auto" w:fill="auto"/>
            <w:vAlign w:val="bottom"/>
          </w:tcPr>
          <w:p w14:paraId="36393C6E" w14:textId="77777777" w:rsidR="00F679A2" w:rsidRPr="00DB3AEC" w:rsidRDefault="00F679A2" w:rsidP="00B97309">
            <w:pPr>
              <w:rPr>
                <w:sz w:val="16"/>
                <w:szCs w:val="16"/>
              </w:rPr>
            </w:pPr>
            <w:r w:rsidRPr="00DB3AEC">
              <w:rPr>
                <w:sz w:val="16"/>
                <w:szCs w:val="16"/>
              </w:rPr>
              <w:t>8.986</w:t>
            </w:r>
          </w:p>
        </w:tc>
        <w:tc>
          <w:tcPr>
            <w:tcW w:w="404" w:type="pct"/>
            <w:shd w:val="clear" w:color="auto" w:fill="auto"/>
            <w:vAlign w:val="bottom"/>
          </w:tcPr>
          <w:p w14:paraId="4CD01AAE" w14:textId="77777777" w:rsidR="00F679A2" w:rsidRPr="00DB3AEC" w:rsidRDefault="00F679A2" w:rsidP="00B97309">
            <w:pPr>
              <w:rPr>
                <w:sz w:val="16"/>
                <w:szCs w:val="16"/>
              </w:rPr>
            </w:pPr>
            <w:r w:rsidRPr="00DB3AEC">
              <w:rPr>
                <w:sz w:val="16"/>
                <w:szCs w:val="16"/>
              </w:rPr>
              <w:t>9.094</w:t>
            </w:r>
          </w:p>
        </w:tc>
        <w:tc>
          <w:tcPr>
            <w:tcW w:w="402" w:type="pct"/>
            <w:shd w:val="clear" w:color="auto" w:fill="auto"/>
            <w:vAlign w:val="bottom"/>
          </w:tcPr>
          <w:p w14:paraId="669C736E" w14:textId="77777777" w:rsidR="00F679A2" w:rsidRPr="00DB3AEC" w:rsidRDefault="00F679A2" w:rsidP="00B97309">
            <w:pPr>
              <w:rPr>
                <w:sz w:val="16"/>
                <w:szCs w:val="16"/>
              </w:rPr>
            </w:pPr>
            <w:r w:rsidRPr="00DB3AEC">
              <w:rPr>
                <w:sz w:val="16"/>
                <w:szCs w:val="16"/>
              </w:rPr>
              <w:t>9.523</w:t>
            </w:r>
          </w:p>
        </w:tc>
      </w:tr>
    </w:tbl>
    <w:p w14:paraId="2F4B4958" w14:textId="77777777" w:rsidR="00F679A2" w:rsidRPr="00FF4B40" w:rsidRDefault="00F679A2" w:rsidP="00F679A2">
      <w:pPr>
        <w:rPr>
          <w:sz w:val="16"/>
          <w:szCs w:val="16"/>
        </w:rPr>
      </w:pPr>
      <w:r w:rsidRPr="00FF4B40">
        <w:rPr>
          <w:sz w:val="16"/>
          <w:szCs w:val="16"/>
        </w:rPr>
        <w:t>Vir:</w:t>
      </w:r>
      <w:r>
        <w:rPr>
          <w:sz w:val="16"/>
          <w:szCs w:val="16"/>
        </w:rPr>
        <w:t>ZP-2019</w:t>
      </w:r>
    </w:p>
    <w:p w14:paraId="76497601" w14:textId="77777777" w:rsidR="00F679A2" w:rsidRPr="005B2A49" w:rsidRDefault="00F679A2" w:rsidP="005B2A49">
      <w:pPr>
        <w:spacing w:after="120" w:line="260" w:lineRule="atLeast"/>
        <w:rPr>
          <w:rFonts w:eastAsia="Calibri"/>
          <w:szCs w:val="20"/>
        </w:rPr>
      </w:pPr>
      <w:r w:rsidRPr="005B2A49">
        <w:rPr>
          <w:rFonts w:eastAsia="Calibri"/>
          <w:szCs w:val="20"/>
        </w:rPr>
        <w:t xml:space="preserve">Velika spremenljivost cen žita na mednarodnih trgih se zaradi globalnega trga večinoma zelo hitro odrazi v odkupnih cenah v Sloveniji, kar opažamo tudi v letu 2019. V povprečju so bile cene žita v Slovenji leta 2019 pomembno nižje kot v letu prej in tudi nižje od povprečja zadnjega petletnega obdobja (2014–2018), na kar so ključno vplivale izrazito nižje cene koruze za zrnje. </w:t>
      </w:r>
    </w:p>
    <w:p w14:paraId="7B40F7AD" w14:textId="77777777" w:rsidR="00F679A2" w:rsidRPr="005B2A49" w:rsidRDefault="00F679A2" w:rsidP="005B2A49">
      <w:pPr>
        <w:spacing w:after="120" w:line="260" w:lineRule="atLeast"/>
        <w:rPr>
          <w:rFonts w:eastAsia="Calibri"/>
          <w:szCs w:val="20"/>
        </w:rPr>
      </w:pPr>
      <w:r w:rsidRPr="005B2A49">
        <w:rPr>
          <w:rFonts w:eastAsia="Calibri"/>
          <w:szCs w:val="20"/>
        </w:rPr>
        <w:t>Pridelovalci koruze so za zrnje leta 2019 v povprečju dobili 123,7 EUR/t, kar je za 16 % manj kot v letu prej in za 8 % pod povprečjem zadnjega petletnega obdobja. Še nižje so bile odkupne cene koruze za zrnje v jesenskem času, ko je bila povprečna odkupna cena le 119,5 EUR/t oziroma za 18 % nižja kot v enakih mesecih leta 2018. Letna odkupna cena pšenice s 163,2 EUR/t v letu 2019 je bila za dobra 2 % višja kot leto prej in za 4 % nad povprečjem zadnjih petih let. V mesecih največjega odkupa (julij–september) letine 2019 pa je bila odkupna (sezonska) cena pšenice 156,5 EUR/t oziroma za 2 % višja kot v enakem obdobju leta 2018. Nižja kot v letu prej pa je bila odkupna cena ječmena (–4 %).</w:t>
      </w:r>
    </w:p>
    <w:p w14:paraId="066A96AC" w14:textId="0F1022A8" w:rsidR="00F679A2" w:rsidRDefault="00F679A2" w:rsidP="00F679A2">
      <w:pPr>
        <w:pStyle w:val="SCSlika0"/>
      </w:pPr>
      <w:bookmarkStart w:id="3178" w:name="_Toc86822752"/>
      <w:r>
        <w:t xml:space="preserve">Slika </w:t>
      </w:r>
      <w:r>
        <w:rPr>
          <w:noProof/>
        </w:rPr>
        <w:fldChar w:fldCharType="begin"/>
      </w:r>
      <w:r>
        <w:rPr>
          <w:noProof/>
        </w:rPr>
        <w:instrText xml:space="preserve"> SEQ Slika \* ARABIC </w:instrText>
      </w:r>
      <w:r>
        <w:rPr>
          <w:noProof/>
        </w:rPr>
        <w:fldChar w:fldCharType="separate"/>
      </w:r>
      <w:r w:rsidR="0088117A">
        <w:rPr>
          <w:noProof/>
        </w:rPr>
        <w:t>80</w:t>
      </w:r>
      <w:r>
        <w:rPr>
          <w:noProof/>
        </w:rPr>
        <w:fldChar w:fldCharType="end"/>
      </w:r>
      <w:r>
        <w:t xml:space="preserve">: </w:t>
      </w:r>
      <w:r w:rsidRPr="0040635C">
        <w:t>Osnovni ekonomski kazalniki pri pridelavi pšenice (indeks; povprečje 2014–2018 = 100)</w:t>
      </w:r>
      <w:bookmarkEnd w:id="3178"/>
    </w:p>
    <w:p w14:paraId="4222EA79" w14:textId="77777777" w:rsidR="00F679A2" w:rsidRPr="00D628DB" w:rsidRDefault="00F679A2" w:rsidP="00F679A2">
      <w:pPr>
        <w:pStyle w:val="ZPslika"/>
        <w:spacing w:before="0" w:after="0" w:line="360" w:lineRule="auto"/>
        <w:rPr>
          <w:sz w:val="20"/>
          <w:szCs w:val="20"/>
        </w:rPr>
      </w:pPr>
      <w:r w:rsidRPr="00FF1FBF">
        <w:rPr>
          <w:sz w:val="20"/>
          <w:szCs w:val="20"/>
        </w:rPr>
        <w:drawing>
          <wp:inline distT="0" distB="0" distL="0" distR="0" wp14:anchorId="2C49B1C4" wp14:editId="22357363">
            <wp:extent cx="5709285" cy="2194560"/>
            <wp:effectExtent l="0" t="0" r="5715" b="0"/>
            <wp:docPr id="1631865360" name="Slika 163186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09285" cy="2194560"/>
                    </a:xfrm>
                    <a:prstGeom prst="rect">
                      <a:avLst/>
                    </a:prstGeom>
                    <a:noFill/>
                    <a:ln>
                      <a:noFill/>
                    </a:ln>
                  </pic:spPr>
                </pic:pic>
              </a:graphicData>
            </a:graphic>
          </wp:inline>
        </w:drawing>
      </w:r>
    </w:p>
    <w:p w14:paraId="508A0151" w14:textId="77777777" w:rsidR="00F679A2" w:rsidRPr="00FF4B40" w:rsidRDefault="00F679A2" w:rsidP="00F679A2">
      <w:pPr>
        <w:spacing w:line="360" w:lineRule="auto"/>
        <w:rPr>
          <w:sz w:val="16"/>
          <w:szCs w:val="16"/>
        </w:rPr>
      </w:pPr>
      <w:r w:rsidRPr="00FF4B40">
        <w:rPr>
          <w:sz w:val="16"/>
          <w:szCs w:val="16"/>
        </w:rPr>
        <w:t>Vir:</w:t>
      </w:r>
      <w:r>
        <w:rPr>
          <w:sz w:val="16"/>
          <w:szCs w:val="16"/>
        </w:rPr>
        <w:t xml:space="preserve"> Modelne kalkulacije KIS (ZP-2019)</w:t>
      </w:r>
    </w:p>
    <w:p w14:paraId="596166B4" w14:textId="77777777" w:rsidR="00F679A2" w:rsidRPr="005B2A49" w:rsidRDefault="00F679A2" w:rsidP="005B2A49">
      <w:pPr>
        <w:spacing w:after="120" w:line="260" w:lineRule="atLeast"/>
        <w:rPr>
          <w:rFonts w:eastAsia="Calibri"/>
          <w:szCs w:val="20"/>
        </w:rPr>
      </w:pPr>
      <w:r w:rsidRPr="005B2A49">
        <w:rPr>
          <w:rFonts w:eastAsia="Calibri"/>
          <w:szCs w:val="20"/>
        </w:rPr>
        <w:t>Ekonomski položaj tržnih pridelovalcev koruze v Sloveniji se je po dveh letih izboljševanja z letino 2019 ponovno močno poslabšal in je bil blizu najnižje ravni v zadnjih petih letih. Višji stroški pridelave so vplivali na poslabšanje cenovno-stroškovnih razmerij. Zaradi nižjih odkupnih cen so se cenovno-stroškovna razmerja poslabšala bolj pri ječmenu kot pri pšenici. Kljub poslabšanju prihodkovno-stroškovnega razmerja pa se je leta 2019 ekonomičnost pridelave strnega žita zaradi večjih pridelkov in dobre kakovosti pšenice izboljšala. Ocenjujemo, da so ekonomski rezultati pri pšenici in ječmenu nekoliko nad povprečjem zadnjega petletnega obdobja, ki so ga zaznamovala velika nihanja tako v obsegu pridelave kot v višini odkupnih cen.</w:t>
      </w:r>
    </w:p>
    <w:p w14:paraId="08ADDEE9" w14:textId="47219EB5" w:rsidR="00F679A2" w:rsidRDefault="00F679A2" w:rsidP="00F679A2">
      <w:pPr>
        <w:pStyle w:val="SCSlika0"/>
      </w:pPr>
      <w:bookmarkStart w:id="3179" w:name="_Toc86822753"/>
      <w:r>
        <w:t xml:space="preserve">Slika </w:t>
      </w:r>
      <w:r>
        <w:rPr>
          <w:noProof/>
        </w:rPr>
        <w:fldChar w:fldCharType="begin"/>
      </w:r>
      <w:r>
        <w:rPr>
          <w:noProof/>
        </w:rPr>
        <w:instrText xml:space="preserve"> SEQ Slika \* ARABIC </w:instrText>
      </w:r>
      <w:r>
        <w:rPr>
          <w:noProof/>
        </w:rPr>
        <w:fldChar w:fldCharType="separate"/>
      </w:r>
      <w:r w:rsidR="0088117A">
        <w:rPr>
          <w:noProof/>
        </w:rPr>
        <w:t>81</w:t>
      </w:r>
      <w:r>
        <w:rPr>
          <w:noProof/>
        </w:rPr>
        <w:fldChar w:fldCharType="end"/>
      </w:r>
      <w:r w:rsidRPr="0040635C">
        <w:t>: Osnovni ekonomski kazalniki pri pridelavi koruze za zrnje (indeks; povprečje 2014–2018 = 100)</w:t>
      </w:r>
      <w:bookmarkEnd w:id="3179"/>
    </w:p>
    <w:p w14:paraId="114D4A1E" w14:textId="77777777" w:rsidR="00F679A2" w:rsidRPr="00D628DB" w:rsidRDefault="00F679A2" w:rsidP="00F679A2">
      <w:pPr>
        <w:pStyle w:val="ZPslika"/>
        <w:spacing w:before="0" w:after="0" w:line="360" w:lineRule="auto"/>
        <w:rPr>
          <w:sz w:val="20"/>
          <w:szCs w:val="20"/>
        </w:rPr>
      </w:pPr>
      <w:r w:rsidRPr="00FF1FBF">
        <w:rPr>
          <w:sz w:val="20"/>
          <w:szCs w:val="20"/>
        </w:rPr>
        <w:drawing>
          <wp:inline distT="0" distB="0" distL="0" distR="0" wp14:anchorId="779865DE" wp14:editId="2C88EBBD">
            <wp:extent cx="5709285" cy="2194560"/>
            <wp:effectExtent l="0" t="0" r="5715" b="0"/>
            <wp:docPr id="1631865361" name="Slika 163186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09285" cy="2194560"/>
                    </a:xfrm>
                    <a:prstGeom prst="rect">
                      <a:avLst/>
                    </a:prstGeom>
                    <a:noFill/>
                    <a:ln>
                      <a:noFill/>
                    </a:ln>
                  </pic:spPr>
                </pic:pic>
              </a:graphicData>
            </a:graphic>
          </wp:inline>
        </w:drawing>
      </w:r>
    </w:p>
    <w:p w14:paraId="5D212096" w14:textId="77777777" w:rsidR="00F679A2" w:rsidRPr="005718B1" w:rsidRDefault="00F679A2" w:rsidP="00F679A2">
      <w:pPr>
        <w:spacing w:line="360" w:lineRule="auto"/>
        <w:rPr>
          <w:sz w:val="16"/>
          <w:szCs w:val="16"/>
        </w:rPr>
      </w:pPr>
      <w:r w:rsidRPr="00FF4B40">
        <w:rPr>
          <w:sz w:val="16"/>
          <w:szCs w:val="16"/>
        </w:rPr>
        <w:t>Vir:</w:t>
      </w:r>
      <w:r>
        <w:rPr>
          <w:sz w:val="16"/>
          <w:szCs w:val="16"/>
        </w:rPr>
        <w:t xml:space="preserve"> Modelne kalkulacije KIS (ZP-2019)</w:t>
      </w:r>
    </w:p>
    <w:p w14:paraId="5AEC0377" w14:textId="77777777" w:rsidR="00F679A2" w:rsidRPr="005B2A49" w:rsidRDefault="00F679A2" w:rsidP="005B2A49">
      <w:pPr>
        <w:spacing w:after="120" w:line="260" w:lineRule="atLeast"/>
        <w:rPr>
          <w:rFonts w:eastAsia="Calibri"/>
          <w:szCs w:val="20"/>
        </w:rPr>
      </w:pPr>
      <w:r w:rsidRPr="005B2A49">
        <w:rPr>
          <w:rFonts w:eastAsia="Calibri"/>
          <w:szCs w:val="20"/>
        </w:rPr>
        <w:t>Izrazit padec odkupnih cen koruze v jesenskem času (–18 %) je ob sočasnem zvišanju stroškov pridelave in majhnem znižanju proračunskih podpor ključno vplival na poslabšanje cenovno-stroškovnih razmerij. Cenovno-stroškovna pariteta je za več kot 15 odstotnih točk pod povprečjem zadnjih petih let, ko so bile ekonomske razmere v letih 2014–2016 tudi zelo slabe. Ekonomski rezultati pridelovalcev koruze so se v letu 2019 zaradi velikega znižanja odkupnih cen, kljub dobri letini, poslabšali in so na zelo nizki ravni.</w:t>
      </w:r>
    </w:p>
    <w:p w14:paraId="2B4DD86E" w14:textId="77777777" w:rsidR="00F679A2" w:rsidRPr="005B2A49" w:rsidRDefault="00F679A2" w:rsidP="005B2A49">
      <w:pPr>
        <w:spacing w:after="120" w:line="260" w:lineRule="atLeast"/>
        <w:rPr>
          <w:rFonts w:eastAsia="Calibri"/>
          <w:szCs w:val="20"/>
        </w:rPr>
      </w:pPr>
      <w:r w:rsidRPr="005B2A49">
        <w:rPr>
          <w:rFonts w:eastAsia="Calibri"/>
          <w:szCs w:val="20"/>
        </w:rPr>
        <w:t xml:space="preserve">Oljna ogrščica: Gospodarske razmere na trgu z oljno ogrščico so se zaradi povišanja odkupnih cen in malenkost višjih stroškov pridelave rahlo izboljšale. V letu 2019 sta se zvišali povprečni odkupni ceni oljnih buč (+38 %) in oljne ogrščice (+3 %), že drugo leto zapored pa se je znižala odkupna cena soje (–6 %). </w:t>
      </w:r>
    </w:p>
    <w:p w14:paraId="6474B286" w14:textId="77777777" w:rsidR="00F679A2" w:rsidRPr="005B2A49" w:rsidRDefault="00F679A2" w:rsidP="005B2A49">
      <w:pPr>
        <w:spacing w:after="120" w:line="260" w:lineRule="atLeast"/>
        <w:rPr>
          <w:rFonts w:eastAsia="Calibri"/>
          <w:szCs w:val="20"/>
        </w:rPr>
      </w:pPr>
      <w:r w:rsidRPr="005B2A49">
        <w:rPr>
          <w:rFonts w:eastAsia="Calibri"/>
          <w:szCs w:val="20"/>
        </w:rPr>
        <w:t>Krompir: V letu 2019 je bilo uvoženih približno 117 tisoč ton krompirja, od tega približno polovica v obliki predelanih proizvodov. V letu 2019 se je skupni uvoz krompirja povečal za 18 %. Uvoženega je bilo več svežega jedilnega krompirja (+48 %), blizu ravni leta prej je ostal uvoz predelanega in semenskega krompirja. Izvoz krompirja se v zadnjih letih povečuje. V primerjavi s prejšnjim letom se je povečal za 70 % in bil 187 % nad povprečjem zadnjega petletnega obdobja.</w:t>
      </w:r>
    </w:p>
    <w:p w14:paraId="6BF1B237" w14:textId="77777777" w:rsidR="00F679A2" w:rsidRPr="005B2A49" w:rsidRDefault="00F679A2" w:rsidP="005B2A49">
      <w:pPr>
        <w:spacing w:after="120" w:line="260" w:lineRule="atLeast"/>
        <w:rPr>
          <w:rFonts w:eastAsia="Calibri"/>
          <w:szCs w:val="20"/>
        </w:rPr>
      </w:pPr>
      <w:r w:rsidRPr="005B2A49">
        <w:rPr>
          <w:rFonts w:eastAsia="Calibri"/>
          <w:szCs w:val="20"/>
        </w:rPr>
        <w:t xml:space="preserve">Po statističnih podatkih je odkupna cena poznega krompirja v jesenskem času (september–november, t. i. sezonska cena) zadnja leta v porastu, v letu 2019 se je zvišala za 19 % in je bila za skoraj 80 % nad povprečjem zadnjih 5 let. Ekonomske razmere, ki tudi pri pridelavi krompirja med leti zelo nihajo, so bile v letu 2019 zelo ugodne. Povprečne odkupne cene krompirja so bile precej višje kot v letu prej. </w:t>
      </w:r>
    </w:p>
    <w:p w14:paraId="324EEBA1" w14:textId="62A99922" w:rsidR="00F679A2" w:rsidRDefault="00F679A2" w:rsidP="00F679A2">
      <w:pPr>
        <w:pStyle w:val="SCSlika0"/>
      </w:pPr>
      <w:bookmarkStart w:id="3180" w:name="_Toc86822754"/>
      <w:r>
        <w:t xml:space="preserve">Slika </w:t>
      </w:r>
      <w:r>
        <w:rPr>
          <w:noProof/>
        </w:rPr>
        <w:fldChar w:fldCharType="begin"/>
      </w:r>
      <w:r>
        <w:rPr>
          <w:noProof/>
        </w:rPr>
        <w:instrText xml:space="preserve"> SEQ Slika \* ARABIC </w:instrText>
      </w:r>
      <w:r>
        <w:rPr>
          <w:noProof/>
        </w:rPr>
        <w:fldChar w:fldCharType="separate"/>
      </w:r>
      <w:r w:rsidR="0088117A">
        <w:rPr>
          <w:noProof/>
        </w:rPr>
        <w:t>82</w:t>
      </w:r>
      <w:r>
        <w:rPr>
          <w:noProof/>
        </w:rPr>
        <w:fldChar w:fldCharType="end"/>
      </w:r>
      <w:r>
        <w:t xml:space="preserve">: </w:t>
      </w:r>
      <w:r w:rsidRPr="0040635C">
        <w:t>Osnovni ekonomski kazalniki pri pridelavi krompirja (indeks; povprečje 2014–2018 = 100)</w:t>
      </w:r>
      <w:bookmarkEnd w:id="3180"/>
    </w:p>
    <w:p w14:paraId="18B25EE0" w14:textId="77777777" w:rsidR="00F679A2" w:rsidRPr="00D628DB" w:rsidRDefault="00F679A2" w:rsidP="00F679A2">
      <w:pPr>
        <w:pStyle w:val="ZPslika"/>
        <w:spacing w:before="0" w:after="0" w:line="360" w:lineRule="auto"/>
        <w:rPr>
          <w:sz w:val="20"/>
          <w:szCs w:val="20"/>
        </w:rPr>
      </w:pPr>
      <w:r w:rsidRPr="00FF1FBF">
        <w:rPr>
          <w:sz w:val="20"/>
          <w:szCs w:val="20"/>
        </w:rPr>
        <w:drawing>
          <wp:inline distT="0" distB="0" distL="0" distR="0" wp14:anchorId="1BC86F54" wp14:editId="7363AFCC">
            <wp:extent cx="5702300" cy="2191385"/>
            <wp:effectExtent l="0" t="0" r="0" b="0"/>
            <wp:docPr id="1631865362" name="Slika 163186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0DEE739F" w14:textId="77777777" w:rsidR="00F679A2" w:rsidRPr="005718B1" w:rsidRDefault="00F679A2" w:rsidP="00F679A2">
      <w:pPr>
        <w:spacing w:line="360" w:lineRule="auto"/>
        <w:rPr>
          <w:sz w:val="16"/>
          <w:szCs w:val="16"/>
        </w:rPr>
      </w:pPr>
      <w:r w:rsidRPr="00FF4B40">
        <w:rPr>
          <w:sz w:val="16"/>
          <w:szCs w:val="16"/>
        </w:rPr>
        <w:t>Vir:</w:t>
      </w:r>
      <w:r>
        <w:rPr>
          <w:sz w:val="16"/>
          <w:szCs w:val="16"/>
        </w:rPr>
        <w:t xml:space="preserve"> Modelne kalkulacije KIS (ZP-2019)</w:t>
      </w:r>
    </w:p>
    <w:p w14:paraId="0FD64FBD" w14:textId="77777777" w:rsidR="00F679A2" w:rsidRPr="005B2A49" w:rsidRDefault="00F679A2" w:rsidP="005B2A49">
      <w:pPr>
        <w:spacing w:after="120" w:line="260" w:lineRule="atLeast"/>
        <w:rPr>
          <w:rFonts w:eastAsia="Calibri"/>
          <w:szCs w:val="20"/>
        </w:rPr>
      </w:pPr>
      <w:r w:rsidRPr="005B2A49">
        <w:rPr>
          <w:rFonts w:eastAsia="Calibri"/>
          <w:szCs w:val="20"/>
        </w:rPr>
        <w:t xml:space="preserve">Na podlagi modelnih izračunov ocenjujemo (stroški v času spravila ne vključujejo stroškov skladiščenja), da je bila pridelava poznega krompirja letine 2019 za približno 8 % dražja. </w:t>
      </w:r>
    </w:p>
    <w:p w14:paraId="2BBDC93F"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programskem obdobju 2014–2020 lahko pridelovalci žita na podlagi dodeljenih plačilnih pravic iz sheme neposrednih plačil pridobijo osnovno plačilo in plačilo za zeleno komponento. Pridelovalci strnega žita lahko uveljavljajo tudi pravico do proizvodno vezanega plačila (PVP). Višina proizvodno vezane podpore za strno žito je v posameznem letu odvisna od števila upravičenih hektarjev in je izračunana kot količnik med letno ovojnico za proizvodno vezana plačila za strno žito in številom upravičenih hektarjev v posameznem letu. V letu 2015 je bilo vključenih 21.103 KMG na skupno 55.779 ha, v letu 2019 pa se je zmanjšalo na 18.975 KMG na skupno 55.684 ha. V letih 2015–2018 je bilo za to shemo namenjenih 5 % letne nacionalne ovojnice za neposredna plačila. Povprečno PVP se je v letu 2018 zmanjšalo za skoraj 4 %, na 121,6 EUR/ha. Pridelovalci so od leta 2006 upravičeni do regresiranja zavarovanja, ki je bilo leta 2018 40-odstotno (v letih 2015–2017: 20-odstotno) in uveljavljajo lahko tudi pravico do vračila dela trošarine za gorivo, porabljeno v kmetijstvu (70 %). </w:t>
      </w:r>
    </w:p>
    <w:p w14:paraId="2ADE4995" w14:textId="77777777" w:rsidR="00F679A2" w:rsidRPr="005B2A49" w:rsidRDefault="00F679A2" w:rsidP="005B2A49">
      <w:pPr>
        <w:spacing w:after="120" w:line="260" w:lineRule="atLeast"/>
        <w:rPr>
          <w:rFonts w:eastAsia="Calibri"/>
          <w:szCs w:val="20"/>
        </w:rPr>
      </w:pPr>
      <w:r w:rsidRPr="005B2A49">
        <w:rPr>
          <w:rFonts w:eastAsia="Calibri"/>
          <w:szCs w:val="20"/>
        </w:rPr>
        <w:t>V programskem obdobju 2014–2020 lahko pridelovalci oljnic na podlagi plačilnih pravic iz sheme neposrednih plačil pridobijo osnovno plačilo in plačilo za zeleno komponento. Soja je bila glede na shemo neposrednih plačil uvrščena med beljakovinske rastline, ki so bile v letih 2015 in 2016 upravičene do proizvodno vezanega plačila, ki pa je bilo leta 2017 ukinjeno. Od leta 2006 so pridelovalci upravičeni tudi do regresiranja zavarovanja pridelka, to se je leta 2018 zvišalo z 20 % na 40 % zavarovalne premije, ob tem lahko uveljavljajo tudi pravico do vračila dela trošarine za gorivo, porabljeno v kmetijstvu (70 %).</w:t>
      </w:r>
    </w:p>
    <w:p w14:paraId="2CB9AED9" w14:textId="77777777" w:rsidR="00F679A2" w:rsidRPr="005B2A49" w:rsidRDefault="00F679A2" w:rsidP="005B2A49">
      <w:pPr>
        <w:spacing w:after="120" w:line="260" w:lineRule="atLeast"/>
        <w:rPr>
          <w:rFonts w:eastAsia="Calibri"/>
          <w:szCs w:val="20"/>
        </w:rPr>
      </w:pPr>
      <w:r w:rsidRPr="005B2A49">
        <w:rPr>
          <w:rFonts w:eastAsia="Calibri"/>
          <w:szCs w:val="20"/>
        </w:rPr>
        <w:t>Trg krompirja v EU, razen pridelave krompirja za predelavo v škrob, ni enotno urejen s tržnim redom. V programskem obdobju 2014–2020 lahko od leta 2015 pridelovalci krompirja na podlagi na novo dodeljenih plačilnih pravic iz sheme neposrednih plačil pridobijo osnovno plačilo in plačilo za zeleno komponento. Od leta 2006 lahko pridelovalci zavarujejo svoje pridelke po regresirani stopnji, ki se je leta 2018 zvišala z 20 %, kot je bila v letih 2015–2017, na 40 %. Poleg tega imajo pridelovalci možnost pridobiti povračilo dela plačane trošarine za gorivo, porabljeno v kmetijstvu, ki je od sredine leta 2009 70-odstotno (prej 50-odstotno).</w:t>
      </w:r>
    </w:p>
    <w:p w14:paraId="6A758CE0" w14:textId="77777777" w:rsidR="00F679A2" w:rsidRPr="005B2A49" w:rsidRDefault="00F679A2" w:rsidP="005B2A49">
      <w:pPr>
        <w:spacing w:after="120" w:line="260" w:lineRule="atLeast"/>
        <w:rPr>
          <w:rFonts w:eastAsia="Calibri"/>
          <w:szCs w:val="20"/>
        </w:rPr>
      </w:pPr>
      <w:r w:rsidRPr="005B2A49">
        <w:rPr>
          <w:rFonts w:eastAsia="Calibri"/>
          <w:szCs w:val="20"/>
        </w:rPr>
        <w:t xml:space="preserve">V spremenjenih podnebnih razmerah so pridelovalci poljščin zelo odvisni od vremenskih razmer v rastni dobi (suša, visoke temperature, toča, poplave, pozeba). V Sloveniji bi bilo potrebno povečati delež namakalnih sistemov, spodbujati uporabo specialne mehanizacije, ki bi tudi bistveno prispeva k ohranjanju okolja (npr. manjša raba FFS). Pridelovalci bi bilo potrebno spodbujati da posegajo po sortah, ki so bolj prilagojene ekstremnim vremenskim vplivom. Povečati bi bilo potrebno ekološko pridelavo, ki prispeva v večji biotski raznovrstnosti podeželja. </w:t>
      </w:r>
    </w:p>
    <w:p w14:paraId="3AAA699B" w14:textId="77777777" w:rsidR="00F679A2" w:rsidRPr="005B2A49" w:rsidRDefault="00F679A2" w:rsidP="005B2A49">
      <w:pPr>
        <w:spacing w:after="120" w:line="260" w:lineRule="atLeast"/>
        <w:rPr>
          <w:rFonts w:eastAsia="Calibri"/>
          <w:szCs w:val="20"/>
        </w:rPr>
      </w:pPr>
      <w:r w:rsidRPr="005B2A49">
        <w:rPr>
          <w:rFonts w:eastAsia="Calibri"/>
          <w:szCs w:val="20"/>
        </w:rPr>
        <w:t>V Sloveniji želimo povečati delež samooskrbe z žiti, krompirjem, stročnicam, kar bi vodilo tudi k spodbujanju zaposlovanja na podeželju, predvsem mladih kmetov ter posledično bi prispevali k ohranjanju kulturne krajine in biotske raznovrstnosti. Za ta namen, bi bilo potrebno vzpostaviti učinkovit sistem komasacij, olajšati dostop do primernih kmetijskih zemljišč za pridelavo poljščin ter prilagoditi pridelavo na območjih z varstvenimi režimi (NATURA, VVO, itd.)</w:t>
      </w:r>
    </w:p>
    <w:p w14:paraId="36A23F4B" w14:textId="77777777" w:rsidR="00F679A2" w:rsidRPr="005B2A49" w:rsidRDefault="00F679A2" w:rsidP="005B2A49">
      <w:pPr>
        <w:spacing w:after="120" w:line="260" w:lineRule="atLeast"/>
        <w:rPr>
          <w:rFonts w:eastAsia="Calibri"/>
          <w:szCs w:val="20"/>
        </w:rPr>
      </w:pPr>
      <w:r w:rsidRPr="005B2A49">
        <w:rPr>
          <w:rFonts w:eastAsia="Calibri"/>
          <w:szCs w:val="20"/>
        </w:rPr>
        <w:t>V Sloveniji je na področju poljedelstva vzpostavljena Javna služba na področju poljedelstva, v okviru katere se izvajajo naloge: žlahtnjenje poljščin, introdukcija poljščin in  ugotavljanje njihove vrednosti za predelavo, tehnologije pridelave poljščin in strokovno-tehnična koordinacija v poljedelstvu. Slednja je zelo pomembna za prenos znanja in rezultatov nalog javne službe, ki potekajo v sodelovanju z javno službo kmetijskega svetovanja. Ohranjanje rastlinskih genskih virov poljščin  poteka v okviru javne službe nalog rastlinske genske banke.</w:t>
      </w:r>
    </w:p>
    <w:p w14:paraId="0962EDE0" w14:textId="55C0BB5B" w:rsidR="00F679A2" w:rsidRDefault="00F679A2" w:rsidP="005B2A49">
      <w:pPr>
        <w:spacing w:after="120" w:line="260" w:lineRule="atLeast"/>
        <w:rPr>
          <w:rFonts w:eastAsia="Calibri"/>
          <w:szCs w:val="20"/>
        </w:rPr>
      </w:pPr>
      <w:r w:rsidRPr="005B2A49">
        <w:rPr>
          <w:rFonts w:eastAsia="Calibri"/>
          <w:szCs w:val="20"/>
        </w:rPr>
        <w:t xml:space="preserve">Nadaljnje raziskave bodo usmerjene v izboljšanje tehnologij pridelave poljščin z manjšo uporabo FFS ter povečati bi bilo potrebno delež ekološke pridelave poljščin. </w:t>
      </w:r>
    </w:p>
    <w:p w14:paraId="5DE06959" w14:textId="77777777" w:rsidR="00C25531" w:rsidRPr="005B2A49" w:rsidRDefault="00C25531" w:rsidP="005B2A49">
      <w:pPr>
        <w:spacing w:after="120" w:line="260" w:lineRule="atLeast"/>
        <w:rPr>
          <w:rFonts w:eastAsia="Calibri"/>
          <w:szCs w:val="20"/>
        </w:rPr>
      </w:pPr>
    </w:p>
    <w:p w14:paraId="334C64BF" w14:textId="77777777" w:rsidR="00F679A2" w:rsidRDefault="00F679A2" w:rsidP="00F679A2">
      <w:pPr>
        <w:pStyle w:val="Naslov3"/>
      </w:pPr>
      <w:bookmarkStart w:id="3181" w:name="_Toc86822607"/>
      <w:r w:rsidRPr="001261F1">
        <w:t>Ključne ugotovitve</w:t>
      </w:r>
      <w:bookmarkEnd w:id="3181"/>
    </w:p>
    <w:p w14:paraId="67083CFA" w14:textId="77777777" w:rsidR="00F679A2" w:rsidRPr="00770724" w:rsidRDefault="00F679A2" w:rsidP="005B2A49">
      <w:pPr>
        <w:numPr>
          <w:ilvl w:val="0"/>
          <w:numId w:val="194"/>
        </w:numPr>
        <w:spacing w:after="120" w:line="260" w:lineRule="atLeast"/>
        <w:ind w:left="357" w:hanging="357"/>
        <w:rPr>
          <w:szCs w:val="20"/>
        </w:rPr>
      </w:pPr>
      <w:r w:rsidRPr="00770724">
        <w:rPr>
          <w:szCs w:val="20"/>
        </w:rPr>
        <w:t>Slovenija ima ugodne naravne danosti za pridelavo poljščin, vendar kljub temu ne dosega pridelovalnega in tržnega potenciala. Pridelovalci na trgu niso konkurenčni tako zaradi zastarelih tehnologij pridelave, razdrobljene strukture pridelave in tudi zaradi nepovezanosti pridelovalcev.</w:t>
      </w:r>
    </w:p>
    <w:p w14:paraId="42183383" w14:textId="77777777" w:rsidR="00F679A2" w:rsidRPr="00770724" w:rsidRDefault="00F679A2" w:rsidP="005B2A49">
      <w:pPr>
        <w:numPr>
          <w:ilvl w:val="0"/>
          <w:numId w:val="194"/>
        </w:numPr>
        <w:spacing w:after="120" w:line="260" w:lineRule="atLeast"/>
        <w:ind w:left="357" w:hanging="357"/>
        <w:rPr>
          <w:szCs w:val="20"/>
        </w:rPr>
      </w:pPr>
      <w:r w:rsidRPr="00770724">
        <w:rPr>
          <w:szCs w:val="20"/>
        </w:rPr>
        <w:t>Vzporedno z razvojem pridelave je potrebno vzpostaviti tudi distribucijske centre (hladilne/skladiščne kapacitete, sortirne linije, pakirne linije) z ustrezno infrastrukturo, ki bodo omogočili večjo dodano vrednost pridelavi poljščin.</w:t>
      </w:r>
    </w:p>
    <w:p w14:paraId="357D099F" w14:textId="77777777" w:rsidR="00F679A2" w:rsidRPr="00770724" w:rsidRDefault="00F679A2" w:rsidP="005B2A49">
      <w:pPr>
        <w:numPr>
          <w:ilvl w:val="0"/>
          <w:numId w:val="194"/>
        </w:numPr>
        <w:spacing w:after="120" w:line="260" w:lineRule="atLeast"/>
        <w:ind w:left="357" w:hanging="357"/>
        <w:rPr>
          <w:szCs w:val="20"/>
        </w:rPr>
      </w:pPr>
      <w:r w:rsidRPr="00770724">
        <w:rPr>
          <w:szCs w:val="20"/>
        </w:rPr>
        <w:t>Spremenjene podnebne spremembe imajo na poljedelstvo v zadnji desetih letih izjemen vpliv, zato bo potrebna še boljša prilagoditev panoge s sodobnejšimi tehnologijami in dodatnimi naložbami, sofinanciranjem zavarovalnih premij</w:t>
      </w:r>
      <w:r>
        <w:rPr>
          <w:szCs w:val="20"/>
        </w:rPr>
        <w:t>, povečanju organskih snovi v tkeh, izbiri kolobarja, uvajanje uporabe mešanih posevkov.</w:t>
      </w:r>
    </w:p>
    <w:p w14:paraId="18E6FB38" w14:textId="77777777" w:rsidR="00F679A2" w:rsidRPr="0040635C" w:rsidRDefault="00F679A2" w:rsidP="005B2A49">
      <w:pPr>
        <w:numPr>
          <w:ilvl w:val="0"/>
          <w:numId w:val="194"/>
        </w:numPr>
        <w:spacing w:after="120" w:line="260" w:lineRule="atLeast"/>
        <w:ind w:left="357" w:hanging="357"/>
      </w:pPr>
      <w:r w:rsidRPr="0040635C">
        <w:rPr>
          <w:szCs w:val="20"/>
        </w:rPr>
        <w:t>Vzpostaviti  je potrebno poštene odnose med deležniki v verigi od pridelovalca do prodajalca.</w:t>
      </w:r>
    </w:p>
    <w:p w14:paraId="22F67424" w14:textId="2AD15349" w:rsidR="00F679A2" w:rsidRDefault="00F679A2" w:rsidP="004E6762">
      <w:pPr>
        <w:pStyle w:val="1"/>
      </w:pPr>
    </w:p>
    <w:p w14:paraId="3B74D795" w14:textId="56200B0E" w:rsidR="00F679A2" w:rsidRDefault="00F679A2" w:rsidP="004E6762">
      <w:pPr>
        <w:pStyle w:val="1"/>
      </w:pPr>
    </w:p>
    <w:p w14:paraId="26550376" w14:textId="0539219A" w:rsidR="00F679A2" w:rsidRDefault="00F679A2" w:rsidP="004E6762">
      <w:pPr>
        <w:pStyle w:val="1"/>
      </w:pPr>
    </w:p>
    <w:p w14:paraId="1DFA258E" w14:textId="388D06A2" w:rsidR="004E6762" w:rsidRDefault="004E6762" w:rsidP="004E6762">
      <w:pPr>
        <w:pStyle w:val="1"/>
      </w:pPr>
    </w:p>
    <w:p w14:paraId="0F5B49CC" w14:textId="60407475" w:rsidR="003406B9" w:rsidRPr="007E558D" w:rsidRDefault="003406B9" w:rsidP="007613FE">
      <w:pPr>
        <w:spacing w:before="0" w:line="260" w:lineRule="atLeast"/>
        <w:jc w:val="left"/>
        <w:rPr>
          <w:rFonts w:eastAsia="Calibri"/>
          <w:b/>
          <w:sz w:val="32"/>
          <w:szCs w:val="28"/>
          <w:lang w:eastAsia="en-US"/>
        </w:rPr>
      </w:pPr>
    </w:p>
    <w:p w14:paraId="23C0872B" w14:textId="77777777" w:rsidR="00A15A53" w:rsidRPr="009F3567" w:rsidRDefault="00A15A53" w:rsidP="007613FE">
      <w:pPr>
        <w:spacing w:before="0" w:line="260" w:lineRule="atLeast"/>
        <w:jc w:val="left"/>
        <w:rPr>
          <w:rFonts w:eastAsia="Calibri"/>
          <w:b/>
          <w:sz w:val="28"/>
          <w:szCs w:val="28"/>
          <w:lang w:eastAsia="en-US"/>
        </w:rPr>
      </w:pPr>
    </w:p>
    <w:p w14:paraId="2A9DD951" w14:textId="77777777" w:rsidR="00954B88" w:rsidRDefault="00954B88">
      <w:pPr>
        <w:spacing w:before="0" w:after="200" w:line="276" w:lineRule="auto"/>
        <w:jc w:val="left"/>
        <w:rPr>
          <w:rFonts w:eastAsia="Calibri"/>
          <w:b/>
          <w:sz w:val="28"/>
          <w:szCs w:val="28"/>
          <w:lang w:eastAsia="en-US"/>
        </w:rPr>
      </w:pPr>
      <w:r>
        <w:rPr>
          <w:sz w:val="28"/>
          <w:szCs w:val="28"/>
        </w:rPr>
        <w:br w:type="page"/>
      </w:r>
    </w:p>
    <w:p w14:paraId="3C2ACFD5" w14:textId="7F32894E" w:rsidR="003406B9" w:rsidRPr="009D387C" w:rsidRDefault="003406B9" w:rsidP="007E558D">
      <w:pPr>
        <w:pStyle w:val="Naslov1"/>
      </w:pPr>
      <w:bookmarkStart w:id="3182" w:name="_Toc86822608"/>
      <w:r w:rsidRPr="009D387C">
        <w:t>Živilskopredelovalna panoga</w:t>
      </w:r>
      <w:bookmarkEnd w:id="3182"/>
      <w:r w:rsidRPr="009D387C">
        <w:t xml:space="preserve">  </w:t>
      </w:r>
    </w:p>
    <w:p w14:paraId="5173E51C" w14:textId="77777777" w:rsidR="003406B9" w:rsidRDefault="003406B9" w:rsidP="007613FE">
      <w:pPr>
        <w:spacing w:before="0" w:line="260" w:lineRule="atLeast"/>
        <w:rPr>
          <w:sz w:val="20"/>
          <w:lang w:eastAsia="en-US"/>
        </w:rPr>
      </w:pPr>
    </w:p>
    <w:p w14:paraId="3D0218C1" w14:textId="6E1DC618" w:rsidR="00DA0A21" w:rsidRPr="007E558D" w:rsidRDefault="003406B9" w:rsidP="007613FE">
      <w:pPr>
        <w:spacing w:before="0" w:line="260" w:lineRule="atLeast"/>
        <w:rPr>
          <w:lang w:eastAsia="en-US"/>
        </w:rPr>
      </w:pPr>
      <w:r w:rsidRPr="007E558D">
        <w:rPr>
          <w:lang w:eastAsia="en-US"/>
        </w:rPr>
        <w:t>Živilskopredelovalna industrija</w:t>
      </w:r>
      <w:r w:rsidR="0071006D" w:rsidRPr="007E558D">
        <w:rPr>
          <w:rStyle w:val="Sprotnaopomba-sklic"/>
          <w:sz w:val="22"/>
        </w:rPr>
        <w:footnoteReference w:id="21"/>
      </w:r>
      <w:r w:rsidRPr="007E558D">
        <w:rPr>
          <w:lang w:eastAsia="en-US"/>
        </w:rPr>
        <w:t xml:space="preserve"> ima velik pomen predvsem pri ohranjanju </w:t>
      </w:r>
      <w:r w:rsidR="004F53AF" w:rsidRPr="007E558D">
        <w:rPr>
          <w:lang w:eastAsia="en-US"/>
        </w:rPr>
        <w:t xml:space="preserve">primarne </w:t>
      </w:r>
      <w:r w:rsidRPr="007E558D">
        <w:rPr>
          <w:lang w:eastAsia="en-US"/>
        </w:rPr>
        <w:t>kmetijske pridelave</w:t>
      </w:r>
      <w:r w:rsidR="004F53AF" w:rsidRPr="007E558D">
        <w:rPr>
          <w:lang w:eastAsia="en-US"/>
        </w:rPr>
        <w:t>.</w:t>
      </w:r>
      <w:r w:rsidRPr="007E558D">
        <w:rPr>
          <w:lang w:eastAsia="en-US"/>
        </w:rPr>
        <w:t xml:space="preserve"> Proizvodnja hrane in pijač spada med strateško pomembne dejavnosti slovenskega gospodarstva ter ima zaradi močne vpetosti v domače nabavne vire enega najvišjih multiplikativnih učinkov na nacionalno gospodarstvo.</w:t>
      </w:r>
    </w:p>
    <w:p w14:paraId="59C84EB9" w14:textId="77777777" w:rsidR="003406B9" w:rsidRPr="0047652B" w:rsidRDefault="003406B9" w:rsidP="007613FE">
      <w:pPr>
        <w:spacing w:before="0" w:line="260" w:lineRule="atLeast"/>
        <w:rPr>
          <w:sz w:val="20"/>
          <w:lang w:eastAsia="en-US"/>
        </w:rPr>
      </w:pPr>
    </w:p>
    <w:p w14:paraId="7480F0FC" w14:textId="3D17674F" w:rsidR="003406B9" w:rsidRPr="00FA0AA9" w:rsidRDefault="003406B9" w:rsidP="007E558D">
      <w:pPr>
        <w:pStyle w:val="Naslov2"/>
        <w:rPr>
          <w:rFonts w:eastAsiaTheme="minorHAnsi"/>
        </w:rPr>
      </w:pPr>
      <w:bookmarkStart w:id="3183" w:name="_Toc86822609"/>
      <w:r w:rsidRPr="009F3567">
        <w:t>Število podjetij in zaposlenih</w:t>
      </w:r>
      <w:bookmarkEnd w:id="3183"/>
      <w:r w:rsidRPr="009F3567">
        <w:t xml:space="preserve"> </w:t>
      </w:r>
    </w:p>
    <w:p w14:paraId="11A9F553" w14:textId="77777777" w:rsidR="003406B9" w:rsidRPr="0047652B" w:rsidRDefault="003406B9" w:rsidP="007613FE">
      <w:pPr>
        <w:spacing w:before="0" w:line="260" w:lineRule="atLeast"/>
        <w:rPr>
          <w:sz w:val="20"/>
          <w:szCs w:val="20"/>
        </w:rPr>
      </w:pPr>
    </w:p>
    <w:p w14:paraId="3CB986E9" w14:textId="641A2D68" w:rsidR="004D7563" w:rsidRPr="007E558D" w:rsidRDefault="003406B9" w:rsidP="007613FE">
      <w:pPr>
        <w:spacing w:before="0" w:line="260" w:lineRule="atLeast"/>
        <w:rPr>
          <w:szCs w:val="20"/>
        </w:rPr>
      </w:pPr>
      <w:r w:rsidRPr="007E558D">
        <w:rPr>
          <w:szCs w:val="20"/>
        </w:rPr>
        <w:t xml:space="preserve">Število podjetij v </w:t>
      </w:r>
      <w:r w:rsidR="000E6065" w:rsidRPr="007E558D">
        <w:rPr>
          <w:szCs w:val="20"/>
        </w:rPr>
        <w:t xml:space="preserve">ŽPI </w:t>
      </w:r>
      <w:r w:rsidR="00B2017B" w:rsidRPr="007E558D">
        <w:rPr>
          <w:szCs w:val="20"/>
        </w:rPr>
        <w:t xml:space="preserve">se </w:t>
      </w:r>
      <w:r w:rsidR="000E6065" w:rsidRPr="007E558D">
        <w:rPr>
          <w:szCs w:val="20"/>
        </w:rPr>
        <w:t>je v obdobju 2014-20</w:t>
      </w:r>
      <w:r w:rsidR="004B4BE9" w:rsidRPr="007E558D">
        <w:rPr>
          <w:szCs w:val="20"/>
        </w:rPr>
        <w:t>19</w:t>
      </w:r>
      <w:r w:rsidRPr="007E558D">
        <w:rPr>
          <w:szCs w:val="20"/>
        </w:rPr>
        <w:t xml:space="preserve"> </w:t>
      </w:r>
      <w:r w:rsidR="00B2017B" w:rsidRPr="007E558D">
        <w:rPr>
          <w:szCs w:val="20"/>
        </w:rPr>
        <w:t xml:space="preserve">povečalo za 8 %, in sicer </w:t>
      </w:r>
      <w:r w:rsidRPr="007E558D">
        <w:rPr>
          <w:szCs w:val="20"/>
        </w:rPr>
        <w:t xml:space="preserve">od 689 v letu 2014 do </w:t>
      </w:r>
      <w:r w:rsidR="00C427CD" w:rsidRPr="007E558D">
        <w:rPr>
          <w:szCs w:val="20"/>
        </w:rPr>
        <w:t>745</w:t>
      </w:r>
      <w:r w:rsidRPr="007E558D">
        <w:rPr>
          <w:szCs w:val="20"/>
        </w:rPr>
        <w:t xml:space="preserve"> v letu </w:t>
      </w:r>
      <w:r w:rsidR="00C427CD" w:rsidRPr="007E558D">
        <w:rPr>
          <w:szCs w:val="20"/>
        </w:rPr>
        <w:t>2019</w:t>
      </w:r>
      <w:r w:rsidR="004B1043" w:rsidRPr="007E558D">
        <w:rPr>
          <w:szCs w:val="20"/>
        </w:rPr>
        <w:t xml:space="preserve"> (</w:t>
      </w:r>
      <w:r w:rsidR="00967FC2" w:rsidRPr="007E558D">
        <w:rPr>
          <w:szCs w:val="20"/>
        </w:rPr>
        <w:fldChar w:fldCharType="begin"/>
      </w:r>
      <w:r w:rsidR="00967FC2" w:rsidRPr="007E558D">
        <w:rPr>
          <w:szCs w:val="20"/>
        </w:rPr>
        <w:instrText xml:space="preserve"> REF _Ref54817325 \h  \* MERGEFORMAT </w:instrText>
      </w:r>
      <w:r w:rsidR="00967FC2" w:rsidRPr="007E558D">
        <w:rPr>
          <w:szCs w:val="20"/>
        </w:rPr>
      </w:r>
      <w:r w:rsidR="00967FC2" w:rsidRPr="007E558D">
        <w:rPr>
          <w:szCs w:val="20"/>
        </w:rPr>
        <w:fldChar w:fldCharType="separate"/>
      </w:r>
      <w:r w:rsidR="0088117A" w:rsidRPr="0088117A">
        <w:rPr>
          <w:szCs w:val="20"/>
        </w:rPr>
        <w:t>Tabela</w:t>
      </w:r>
      <w:r w:rsidR="0088117A" w:rsidRPr="0088117A">
        <w:rPr>
          <w:noProof/>
          <w:szCs w:val="20"/>
        </w:rPr>
        <w:t xml:space="preserve"> 24</w:t>
      </w:r>
      <w:r w:rsidR="00967FC2" w:rsidRPr="007E558D">
        <w:rPr>
          <w:szCs w:val="20"/>
        </w:rPr>
        <w:fldChar w:fldCharType="end"/>
      </w:r>
      <w:r w:rsidR="004B1043" w:rsidRPr="007E558D">
        <w:rPr>
          <w:szCs w:val="20"/>
        </w:rPr>
        <w:t>)</w:t>
      </w:r>
      <w:r w:rsidRPr="007E558D">
        <w:rPr>
          <w:szCs w:val="20"/>
        </w:rPr>
        <w:t xml:space="preserve">. </w:t>
      </w:r>
      <w:r w:rsidR="004D7563" w:rsidRPr="007E558D">
        <w:rPr>
          <w:szCs w:val="20"/>
        </w:rPr>
        <w:t>Glede na velikost je n</w:t>
      </w:r>
      <w:r w:rsidRPr="007E558D">
        <w:rPr>
          <w:szCs w:val="20"/>
        </w:rPr>
        <w:t>ajveč mikro podjetij.</w:t>
      </w:r>
      <w:r w:rsidR="004D7563" w:rsidRPr="007E558D">
        <w:rPr>
          <w:szCs w:val="20"/>
        </w:rPr>
        <w:t xml:space="preserve"> </w:t>
      </w:r>
    </w:p>
    <w:p w14:paraId="24C11797" w14:textId="77777777" w:rsidR="004D7563" w:rsidRPr="007E558D" w:rsidRDefault="004D7563" w:rsidP="007613FE">
      <w:pPr>
        <w:spacing w:before="0" w:line="260" w:lineRule="atLeast"/>
        <w:rPr>
          <w:szCs w:val="20"/>
        </w:rPr>
      </w:pPr>
    </w:p>
    <w:p w14:paraId="55405E54" w14:textId="59937606" w:rsidR="003406B9" w:rsidRPr="007E558D" w:rsidRDefault="003406B9" w:rsidP="007613FE">
      <w:pPr>
        <w:spacing w:before="0" w:line="260" w:lineRule="atLeast"/>
        <w:rPr>
          <w:szCs w:val="20"/>
        </w:rPr>
      </w:pPr>
      <w:r w:rsidRPr="007E558D">
        <w:rPr>
          <w:szCs w:val="20"/>
        </w:rPr>
        <w:t>Kljub temu, da</w:t>
      </w:r>
      <w:r w:rsidR="00D73045" w:rsidRPr="007E558D">
        <w:rPr>
          <w:szCs w:val="20"/>
        </w:rPr>
        <w:t xml:space="preserve"> so</w:t>
      </w:r>
      <w:r w:rsidRPr="007E558D">
        <w:rPr>
          <w:szCs w:val="20"/>
        </w:rPr>
        <w:t xml:space="preserve"> velika podjetja </w:t>
      </w:r>
      <w:r w:rsidR="00D73045" w:rsidRPr="007E558D">
        <w:rPr>
          <w:szCs w:val="20"/>
        </w:rPr>
        <w:t xml:space="preserve">v letu 2018 </w:t>
      </w:r>
      <w:r w:rsidRPr="007E558D">
        <w:rPr>
          <w:szCs w:val="20"/>
        </w:rPr>
        <w:t>predstavlja</w:t>
      </w:r>
      <w:r w:rsidR="00D73045" w:rsidRPr="007E558D">
        <w:rPr>
          <w:szCs w:val="20"/>
        </w:rPr>
        <w:t>la</w:t>
      </w:r>
      <w:r w:rsidRPr="007E558D">
        <w:rPr>
          <w:szCs w:val="20"/>
        </w:rPr>
        <w:t xml:space="preserve"> le 2 % živilskih podjetij, </w:t>
      </w:r>
      <w:r w:rsidR="00D73045" w:rsidRPr="007E558D">
        <w:rPr>
          <w:szCs w:val="20"/>
        </w:rPr>
        <w:t xml:space="preserve">so </w:t>
      </w:r>
      <w:r w:rsidRPr="007E558D">
        <w:rPr>
          <w:szCs w:val="20"/>
        </w:rPr>
        <w:t>prispeva</w:t>
      </w:r>
      <w:r w:rsidR="00D73045" w:rsidRPr="007E558D">
        <w:rPr>
          <w:szCs w:val="20"/>
        </w:rPr>
        <w:t>la</w:t>
      </w:r>
      <w:r w:rsidRPr="007E558D">
        <w:rPr>
          <w:szCs w:val="20"/>
        </w:rPr>
        <w:t xml:space="preserve"> največ k številu zaposlenih (53 %), dodani vrednosti (64 %) ter čistim prihodkom od prodaje (63 %).</w:t>
      </w:r>
      <w:r w:rsidR="00D73045" w:rsidRPr="007E558D">
        <w:rPr>
          <w:szCs w:val="20"/>
        </w:rPr>
        <w:t xml:space="preserve"> </w:t>
      </w:r>
      <w:r w:rsidR="004D7563" w:rsidRPr="007E558D">
        <w:rPr>
          <w:szCs w:val="20"/>
        </w:rPr>
        <w:t>(Gospodarska zbornica Slovenije, 2019).</w:t>
      </w:r>
    </w:p>
    <w:p w14:paraId="07EF7007" w14:textId="77777777" w:rsidR="004D7563" w:rsidRPr="007E558D" w:rsidRDefault="004D7563" w:rsidP="007613FE">
      <w:pPr>
        <w:spacing w:before="0" w:line="260" w:lineRule="atLeast"/>
        <w:rPr>
          <w:szCs w:val="20"/>
        </w:rPr>
      </w:pPr>
    </w:p>
    <w:p w14:paraId="0C6ADE8D" w14:textId="212FBE64" w:rsidR="00B2017B" w:rsidRPr="007E558D" w:rsidRDefault="003406B9" w:rsidP="007613FE">
      <w:pPr>
        <w:spacing w:before="0" w:line="260" w:lineRule="atLeast"/>
        <w:rPr>
          <w:szCs w:val="20"/>
        </w:rPr>
      </w:pPr>
      <w:r w:rsidRPr="007E558D">
        <w:rPr>
          <w:szCs w:val="20"/>
        </w:rPr>
        <w:t xml:space="preserve">Med vsemi predelovalnimi dejavnostmi je </w:t>
      </w:r>
      <w:r w:rsidR="00E9023E" w:rsidRPr="007E558D">
        <w:rPr>
          <w:szCs w:val="20"/>
        </w:rPr>
        <w:t xml:space="preserve">bila </w:t>
      </w:r>
      <w:r w:rsidRPr="007E558D">
        <w:rPr>
          <w:szCs w:val="20"/>
        </w:rPr>
        <w:t xml:space="preserve">ŽPI </w:t>
      </w:r>
      <w:r w:rsidR="00E9023E" w:rsidRPr="007E558D">
        <w:rPr>
          <w:szCs w:val="20"/>
        </w:rPr>
        <w:t xml:space="preserve">v letu 2019 </w:t>
      </w:r>
      <w:r w:rsidRPr="007E558D">
        <w:rPr>
          <w:szCs w:val="20"/>
        </w:rPr>
        <w:t>šesti največji zaposlovalec v Sloveniji s 14.</w:t>
      </w:r>
      <w:r w:rsidR="00E9023E" w:rsidRPr="007E558D">
        <w:rPr>
          <w:szCs w:val="20"/>
        </w:rPr>
        <w:t>628</w:t>
      </w:r>
      <w:r w:rsidRPr="007E558D">
        <w:rPr>
          <w:szCs w:val="20"/>
        </w:rPr>
        <w:t xml:space="preserve"> zaposlenimi. </w:t>
      </w:r>
      <w:r w:rsidR="00B2017B" w:rsidRPr="007E558D">
        <w:rPr>
          <w:szCs w:val="20"/>
        </w:rPr>
        <w:t>V obdobju 2014 -2019 se je števila zaposlenih povečalo za 17% in je v korelaciji z rastjo števila podjetij (</w:t>
      </w:r>
      <w:r w:rsidR="00E972D4" w:rsidRPr="007E558D">
        <w:rPr>
          <w:szCs w:val="20"/>
        </w:rPr>
        <w:fldChar w:fldCharType="begin"/>
      </w:r>
      <w:r w:rsidR="00E972D4" w:rsidRPr="007E558D">
        <w:rPr>
          <w:szCs w:val="20"/>
        </w:rPr>
        <w:instrText xml:space="preserve"> REF _Ref54817325 \h  \* MERGEFORMAT </w:instrText>
      </w:r>
      <w:r w:rsidR="00E972D4" w:rsidRPr="007E558D">
        <w:rPr>
          <w:szCs w:val="20"/>
        </w:rPr>
      </w:r>
      <w:r w:rsidR="00E972D4" w:rsidRPr="007E558D">
        <w:rPr>
          <w:szCs w:val="20"/>
        </w:rPr>
        <w:fldChar w:fldCharType="separate"/>
      </w:r>
      <w:r w:rsidR="0088117A" w:rsidRPr="0088117A">
        <w:rPr>
          <w:szCs w:val="20"/>
        </w:rPr>
        <w:t>Tabela</w:t>
      </w:r>
      <w:r w:rsidR="0088117A" w:rsidRPr="0088117A">
        <w:rPr>
          <w:noProof/>
          <w:szCs w:val="20"/>
        </w:rPr>
        <w:t xml:space="preserve"> </w:t>
      </w:r>
      <w:r w:rsidR="0088117A" w:rsidRPr="0088117A">
        <w:rPr>
          <w:noProof/>
          <w:sz w:val="24"/>
          <w:szCs w:val="16"/>
        </w:rPr>
        <w:t>24</w:t>
      </w:r>
      <w:r w:rsidR="00E972D4" w:rsidRPr="007E558D">
        <w:rPr>
          <w:szCs w:val="20"/>
        </w:rPr>
        <w:fldChar w:fldCharType="end"/>
      </w:r>
      <w:r w:rsidR="00B2017B" w:rsidRPr="007E558D">
        <w:rPr>
          <w:szCs w:val="20"/>
        </w:rPr>
        <w:t>). Glede na gospodarske razmere, ki so posledica epidemije COVID-19 v letu 2020</w:t>
      </w:r>
      <w:r w:rsidR="00870E2C" w:rsidRPr="007E558D">
        <w:rPr>
          <w:szCs w:val="20"/>
        </w:rPr>
        <w:t>,</w:t>
      </w:r>
      <w:r w:rsidR="00B2017B" w:rsidRPr="007E558D">
        <w:rPr>
          <w:szCs w:val="20"/>
        </w:rPr>
        <w:t xml:space="preserve"> obstaja možnost zmanjševanja števila podjetij in posledično tudi števila zaposlenih. </w:t>
      </w:r>
    </w:p>
    <w:p w14:paraId="79E8ABAC" w14:textId="77777777" w:rsidR="00B2017B" w:rsidRPr="007E558D" w:rsidRDefault="00B2017B" w:rsidP="007613FE">
      <w:pPr>
        <w:spacing w:before="0" w:line="260" w:lineRule="atLeast"/>
        <w:rPr>
          <w:szCs w:val="20"/>
        </w:rPr>
      </w:pPr>
    </w:p>
    <w:p w14:paraId="216F929C" w14:textId="1153B278" w:rsidR="003406B9" w:rsidRPr="007E558D" w:rsidRDefault="003406B9" w:rsidP="007613FE">
      <w:pPr>
        <w:spacing w:before="0" w:line="260" w:lineRule="atLeast"/>
        <w:rPr>
          <w:szCs w:val="20"/>
        </w:rPr>
      </w:pPr>
      <w:r w:rsidRPr="007E558D">
        <w:rPr>
          <w:szCs w:val="20"/>
        </w:rPr>
        <w:t>Znotraj ŽPI največ ljudi zaposluje dejavnost Proizvodnja pekarskih izdelkov in testenin (</w:t>
      </w:r>
      <w:r w:rsidR="00E9023E" w:rsidRPr="007E558D">
        <w:rPr>
          <w:szCs w:val="20"/>
        </w:rPr>
        <w:t>4.579</w:t>
      </w:r>
      <w:r w:rsidRPr="007E558D">
        <w:rPr>
          <w:szCs w:val="20"/>
        </w:rPr>
        <w:t>), sledi proizvodnja mesa in mesnih izdelkov (</w:t>
      </w:r>
      <w:r w:rsidR="00E9023E" w:rsidRPr="007E558D">
        <w:rPr>
          <w:szCs w:val="20"/>
        </w:rPr>
        <w:t>4.447</w:t>
      </w:r>
      <w:r w:rsidRPr="007E558D">
        <w:rPr>
          <w:szCs w:val="20"/>
        </w:rPr>
        <w:t>), več kot 1.000 zaposlenih pa zaposlujejo še Predelava mleka, Proizvodnja pijač in Proizvodnja drugih prehrambenih izdelkov.</w:t>
      </w:r>
    </w:p>
    <w:p w14:paraId="1EEDD1CB" w14:textId="77777777" w:rsidR="003406B9" w:rsidRPr="007E558D" w:rsidRDefault="003406B9" w:rsidP="007613FE">
      <w:pPr>
        <w:spacing w:before="0" w:line="260" w:lineRule="atLeast"/>
        <w:rPr>
          <w:szCs w:val="20"/>
          <w:lang w:eastAsia="en-US"/>
        </w:rPr>
      </w:pPr>
    </w:p>
    <w:p w14:paraId="3C287CAF" w14:textId="29B4C14D" w:rsidR="004D4726" w:rsidRPr="007E558D" w:rsidRDefault="003406B9" w:rsidP="007613FE">
      <w:pPr>
        <w:spacing w:before="0" w:line="260" w:lineRule="atLeast"/>
        <w:rPr>
          <w:szCs w:val="20"/>
        </w:rPr>
      </w:pPr>
      <w:r w:rsidRPr="007E558D">
        <w:rPr>
          <w:szCs w:val="20"/>
        </w:rPr>
        <w:t>Največji delež podjetij (</w:t>
      </w:r>
      <w:r w:rsidR="00011EEF" w:rsidRPr="007E558D">
        <w:rPr>
          <w:szCs w:val="20"/>
        </w:rPr>
        <w:t>44</w:t>
      </w:r>
      <w:r w:rsidRPr="007E558D">
        <w:rPr>
          <w:szCs w:val="20"/>
        </w:rPr>
        <w:t xml:space="preserve"> %) je bil v letu </w:t>
      </w:r>
      <w:r w:rsidR="00011EEF" w:rsidRPr="007E558D">
        <w:rPr>
          <w:szCs w:val="20"/>
        </w:rPr>
        <w:t>2019</w:t>
      </w:r>
      <w:r w:rsidRPr="007E558D">
        <w:rPr>
          <w:szCs w:val="20"/>
        </w:rPr>
        <w:t xml:space="preserve"> iz dejavnosti Proizvodnja pekarskih izdelkov in testenin, največji delež čistih prihodkov od prodaje pa v dejavnosti Proizvodnja mesa in mesnih izdelkov (</w:t>
      </w:r>
      <w:r w:rsidR="00011EEF" w:rsidRPr="007E558D">
        <w:rPr>
          <w:szCs w:val="20"/>
        </w:rPr>
        <w:t>31</w:t>
      </w:r>
      <w:r w:rsidRPr="007E558D">
        <w:rPr>
          <w:szCs w:val="20"/>
        </w:rPr>
        <w:t xml:space="preserve"> %). </w:t>
      </w:r>
      <w:r w:rsidR="00483030" w:rsidRPr="007E558D">
        <w:rPr>
          <w:szCs w:val="20"/>
        </w:rPr>
        <w:t>Podjetja iz dejavnosti Proizvodnja mesa in mesnih izdelkov tudi največ prispevajo k dodani vrednosti (</w:t>
      </w:r>
      <w:r w:rsidR="00011EEF" w:rsidRPr="007E558D">
        <w:rPr>
          <w:szCs w:val="20"/>
        </w:rPr>
        <w:t>25</w:t>
      </w:r>
      <w:r w:rsidR="00483030" w:rsidRPr="007E558D">
        <w:rPr>
          <w:szCs w:val="20"/>
        </w:rPr>
        <w:t xml:space="preserve"> %).</w:t>
      </w:r>
      <w:r w:rsidR="00B2017B" w:rsidRPr="007E558D">
        <w:rPr>
          <w:szCs w:val="20"/>
        </w:rPr>
        <w:t xml:space="preserve"> </w:t>
      </w:r>
      <w:r w:rsidR="00483030" w:rsidRPr="007E558D">
        <w:rPr>
          <w:szCs w:val="20"/>
        </w:rPr>
        <w:t>Z največjim čistim dobičkom pa so poslovala podjetja iz dejavnosti Proizvodnje pijač (</w:t>
      </w:r>
      <w:r w:rsidR="00011EEF" w:rsidRPr="007E558D">
        <w:rPr>
          <w:szCs w:val="20"/>
        </w:rPr>
        <w:t>23</w:t>
      </w:r>
      <w:r w:rsidR="00483030" w:rsidRPr="007E558D">
        <w:rPr>
          <w:szCs w:val="20"/>
        </w:rPr>
        <w:t xml:space="preserve"> mio EUR).</w:t>
      </w:r>
      <w:r w:rsidR="004D4726" w:rsidRPr="007E558D">
        <w:rPr>
          <w:szCs w:val="20"/>
        </w:rPr>
        <w:t xml:space="preserve"> </w:t>
      </w:r>
    </w:p>
    <w:p w14:paraId="68BDD3F2" w14:textId="77777777" w:rsidR="003406B9" w:rsidRPr="007E558D" w:rsidRDefault="003406B9" w:rsidP="007613FE">
      <w:pPr>
        <w:spacing w:before="0" w:line="260" w:lineRule="atLeast"/>
        <w:rPr>
          <w:szCs w:val="20"/>
        </w:rPr>
      </w:pPr>
    </w:p>
    <w:p w14:paraId="5578D071" w14:textId="73E087F1" w:rsidR="003406B9" w:rsidRPr="007E558D" w:rsidRDefault="003406B9" w:rsidP="007613FE">
      <w:pPr>
        <w:spacing w:before="0" w:line="260" w:lineRule="atLeast"/>
        <w:rPr>
          <w:szCs w:val="20"/>
        </w:rPr>
      </w:pPr>
      <w:r w:rsidRPr="007E558D">
        <w:rPr>
          <w:szCs w:val="20"/>
        </w:rPr>
        <w:t>Živilska industrija je zastopana v vseh slovenskih statističnih regijah</w:t>
      </w:r>
      <w:r w:rsidR="006C615F" w:rsidRPr="007E558D">
        <w:rPr>
          <w:szCs w:val="20"/>
        </w:rPr>
        <w:t>. V letu 2018 je</w:t>
      </w:r>
      <w:r w:rsidRPr="007E558D">
        <w:rPr>
          <w:szCs w:val="20"/>
        </w:rPr>
        <w:t xml:space="preserve"> največ podjetij </w:t>
      </w:r>
      <w:r w:rsidR="006C615F" w:rsidRPr="007E558D">
        <w:rPr>
          <w:szCs w:val="20"/>
        </w:rPr>
        <w:t>poslovalo</w:t>
      </w:r>
      <w:r w:rsidRPr="007E558D">
        <w:rPr>
          <w:szCs w:val="20"/>
        </w:rPr>
        <w:t xml:space="preserve"> v osrednjeslovenski regiji (29 %), sledijo podravska (14 %), gorenjska (11 %) ter savinjska (10 %) statistična regija. </w:t>
      </w:r>
      <w:r w:rsidR="00E222C0" w:rsidRPr="007E558D">
        <w:rPr>
          <w:rFonts w:eastAsiaTheme="minorHAnsi"/>
          <w:szCs w:val="20"/>
          <w:lang w:eastAsia="en-US"/>
        </w:rPr>
        <w:t xml:space="preserve">Majhno število podjetij je v Pomurski regiji, kjer je sicer velika proizvodnja kmetijskih pridelkov. </w:t>
      </w:r>
      <w:r w:rsidRPr="007E558D">
        <w:rPr>
          <w:szCs w:val="20"/>
        </w:rPr>
        <w:t>Najuspešnejša je ŽPI v osrednjeslovenski statistični regiji, tako po dodani vrednosti (</w:t>
      </w:r>
      <w:r w:rsidR="00FB37B8" w:rsidRPr="007E558D">
        <w:rPr>
          <w:szCs w:val="20"/>
        </w:rPr>
        <w:t>47</w:t>
      </w:r>
      <w:r w:rsidRPr="007E558D">
        <w:rPr>
          <w:szCs w:val="20"/>
        </w:rPr>
        <w:t xml:space="preserve"> % celotne dodane vrednosti ŽPI) kot tudi po čistih prihodkih od prodaje (44 %)</w:t>
      </w:r>
      <w:r w:rsidR="005A1BE2" w:rsidRPr="007E558D">
        <w:rPr>
          <w:szCs w:val="20"/>
        </w:rPr>
        <w:t>.</w:t>
      </w:r>
      <w:r w:rsidRPr="007E558D">
        <w:rPr>
          <w:szCs w:val="20"/>
        </w:rPr>
        <w:t xml:space="preserve"> </w:t>
      </w:r>
      <w:r w:rsidR="0099244F" w:rsidRPr="007E558D">
        <w:rPr>
          <w:szCs w:val="20"/>
        </w:rPr>
        <w:t>(Gospodarska zbornica Slovenije, 2019)</w:t>
      </w:r>
    </w:p>
    <w:p w14:paraId="14D3BB01" w14:textId="4BCCD346" w:rsidR="003406B9" w:rsidRDefault="003406B9" w:rsidP="007613FE">
      <w:pPr>
        <w:spacing w:before="0" w:line="260" w:lineRule="atLeast"/>
        <w:rPr>
          <w:sz w:val="20"/>
          <w:szCs w:val="20"/>
        </w:rPr>
      </w:pPr>
    </w:p>
    <w:p w14:paraId="03DE1EFE" w14:textId="47EFAE07" w:rsidR="00A15A53" w:rsidRPr="00BF5A01" w:rsidRDefault="008562DC" w:rsidP="007E558D">
      <w:pPr>
        <w:pStyle w:val="SCPreglednica"/>
      </w:pPr>
      <w:bookmarkStart w:id="3184" w:name="_Ref54817325"/>
      <w:bookmarkStart w:id="3185" w:name="_Toc86822662"/>
      <w:r w:rsidRPr="009F3567">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24</w:t>
      </w:r>
      <w:r w:rsidR="009F2591">
        <w:rPr>
          <w:noProof/>
        </w:rPr>
        <w:fldChar w:fldCharType="end"/>
      </w:r>
      <w:bookmarkEnd w:id="3184"/>
      <w:r w:rsidRPr="009F3567">
        <w:t xml:space="preserve">: Gibanje pomembnejših kazalnikov poslovanja živilskopredelovalne industrije; </w:t>
      </w:r>
      <w:r>
        <w:t>2014-2019</w:t>
      </w:r>
      <w:bookmarkEnd w:id="3185"/>
    </w:p>
    <w:tbl>
      <w:tblPr>
        <w:tblW w:w="5074" w:type="pct"/>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3422"/>
        <w:gridCol w:w="807"/>
        <w:gridCol w:w="807"/>
        <w:gridCol w:w="807"/>
        <w:gridCol w:w="807"/>
        <w:gridCol w:w="806"/>
        <w:gridCol w:w="806"/>
        <w:gridCol w:w="934"/>
      </w:tblGrid>
      <w:tr w:rsidR="008562DC" w:rsidRPr="00A6198D" w14:paraId="7E470962"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186E18E" w14:textId="77777777" w:rsidR="008562DC" w:rsidRPr="00A6198D" w:rsidRDefault="008562DC"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E87E46B" w14:textId="77777777" w:rsidR="008562DC" w:rsidRPr="00A6198D" w:rsidRDefault="008562DC" w:rsidP="00BA469C">
            <w:pPr>
              <w:keepNext/>
              <w:spacing w:before="0" w:line="276" w:lineRule="auto"/>
              <w:rPr>
                <w:b/>
                <w:sz w:val="16"/>
                <w:szCs w:val="16"/>
              </w:rPr>
            </w:pPr>
            <w:r w:rsidRPr="00A6198D">
              <w:rPr>
                <w:b/>
                <w:sz w:val="16"/>
                <w:szCs w:val="16"/>
              </w:rPr>
              <w:t>2014</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E52C2EC" w14:textId="77777777" w:rsidR="008562DC" w:rsidRPr="00A6198D" w:rsidRDefault="008562DC" w:rsidP="00BA469C">
            <w:pPr>
              <w:keepNext/>
              <w:spacing w:before="0" w:line="276" w:lineRule="auto"/>
              <w:rPr>
                <w:b/>
                <w:sz w:val="16"/>
                <w:szCs w:val="16"/>
              </w:rPr>
            </w:pPr>
            <w:r w:rsidRPr="00A6198D">
              <w:rPr>
                <w:b/>
                <w:sz w:val="16"/>
                <w:szCs w:val="16"/>
              </w:rPr>
              <w:t>2015</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780CC0DB" w14:textId="77777777" w:rsidR="008562DC" w:rsidRPr="00A6198D" w:rsidRDefault="008562DC" w:rsidP="00BA469C">
            <w:pPr>
              <w:keepNext/>
              <w:spacing w:before="0" w:line="276" w:lineRule="auto"/>
              <w:rPr>
                <w:b/>
                <w:sz w:val="16"/>
                <w:szCs w:val="16"/>
              </w:rPr>
            </w:pPr>
            <w:r w:rsidRPr="00A6198D">
              <w:rPr>
                <w:b/>
                <w:sz w:val="16"/>
                <w:szCs w:val="16"/>
              </w:rPr>
              <w:t>2016</w:t>
            </w: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1C4F8BC5" w14:textId="77777777" w:rsidR="008562DC" w:rsidRPr="00A6198D" w:rsidRDefault="008562DC" w:rsidP="00BA469C">
            <w:pPr>
              <w:keepNext/>
              <w:spacing w:before="0" w:line="276" w:lineRule="auto"/>
              <w:rPr>
                <w:b/>
                <w:sz w:val="16"/>
                <w:szCs w:val="16"/>
              </w:rPr>
            </w:pPr>
            <w:r w:rsidRPr="00A6198D">
              <w:rPr>
                <w:b/>
                <w:sz w:val="16"/>
                <w:szCs w:val="16"/>
              </w:rPr>
              <w:t>2017</w:t>
            </w: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2B1C1EF" w14:textId="77777777" w:rsidR="008562DC" w:rsidRPr="00A6198D" w:rsidRDefault="008562DC" w:rsidP="00BA469C">
            <w:pPr>
              <w:keepNext/>
              <w:spacing w:before="0" w:line="276" w:lineRule="auto"/>
              <w:rPr>
                <w:b/>
                <w:sz w:val="16"/>
                <w:szCs w:val="16"/>
              </w:rPr>
            </w:pPr>
            <w:r w:rsidRPr="00A6198D">
              <w:rPr>
                <w:b/>
                <w:sz w:val="16"/>
                <w:szCs w:val="16"/>
              </w:rPr>
              <w:t>2018</w:t>
            </w: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869BE98" w14:textId="77777777" w:rsidR="008562DC" w:rsidRPr="00A6198D" w:rsidRDefault="008562DC" w:rsidP="00BA469C">
            <w:pPr>
              <w:keepNext/>
              <w:spacing w:before="0" w:line="276" w:lineRule="auto"/>
              <w:rPr>
                <w:b/>
                <w:sz w:val="16"/>
                <w:szCs w:val="16"/>
              </w:rPr>
            </w:pPr>
            <w:r w:rsidRPr="00A6198D">
              <w:rPr>
                <w:b/>
                <w:sz w:val="16"/>
                <w:szCs w:val="16"/>
              </w:rPr>
              <w:t>2019</w:t>
            </w:r>
          </w:p>
        </w:tc>
        <w:tc>
          <w:tcPr>
            <w:tcW w:w="50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BC1C614" w14:textId="77777777" w:rsidR="008562DC" w:rsidRPr="00A6198D" w:rsidRDefault="008562DC" w:rsidP="00BA469C">
            <w:pPr>
              <w:keepNext/>
              <w:spacing w:before="0" w:line="276" w:lineRule="auto"/>
              <w:rPr>
                <w:b/>
                <w:sz w:val="16"/>
                <w:szCs w:val="16"/>
              </w:rPr>
            </w:pPr>
            <w:r w:rsidRPr="00A6198D">
              <w:rPr>
                <w:b/>
                <w:sz w:val="16"/>
                <w:szCs w:val="16"/>
              </w:rPr>
              <w:t>Indeks (realno)</w:t>
            </w:r>
          </w:p>
          <w:p w14:paraId="13D8C695" w14:textId="77777777" w:rsidR="008562DC" w:rsidRPr="00A6198D" w:rsidRDefault="008562DC" w:rsidP="00BA469C">
            <w:pPr>
              <w:keepNext/>
              <w:spacing w:before="0" w:line="276" w:lineRule="auto"/>
              <w:rPr>
                <w:b/>
                <w:sz w:val="16"/>
                <w:szCs w:val="16"/>
              </w:rPr>
            </w:pPr>
            <w:r w:rsidRPr="00A6198D">
              <w:rPr>
                <w:b/>
                <w:sz w:val="16"/>
                <w:szCs w:val="16"/>
              </w:rPr>
              <w:t>2019/18</w:t>
            </w:r>
          </w:p>
        </w:tc>
      </w:tr>
      <w:tr w:rsidR="00A15A53" w:rsidRPr="00A6198D" w14:paraId="16190DBE"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13DCC96"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ADE7701"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6388130A"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764F50E1" w14:textId="77777777" w:rsidR="00A15A53" w:rsidRPr="00A6198D" w:rsidRDefault="00A15A53" w:rsidP="00BA469C">
            <w:pPr>
              <w:keepNext/>
              <w:spacing w:before="0" w:line="276" w:lineRule="auto"/>
              <w:rPr>
                <w:b/>
                <w:sz w:val="16"/>
                <w:szCs w:val="16"/>
              </w:rPr>
            </w:pPr>
          </w:p>
        </w:tc>
        <w:tc>
          <w:tcPr>
            <w:tcW w:w="43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BDEB74E" w14:textId="77777777" w:rsidR="00A15A53" w:rsidRPr="00A6198D" w:rsidRDefault="00A15A53" w:rsidP="00BA469C">
            <w:pPr>
              <w:keepNext/>
              <w:spacing w:before="0" w:line="276" w:lineRule="auto"/>
              <w:rPr>
                <w:b/>
                <w:sz w:val="16"/>
                <w:szCs w:val="16"/>
              </w:rPr>
            </w:pP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A2B1703" w14:textId="77777777" w:rsidR="00A15A53" w:rsidRPr="00A6198D" w:rsidRDefault="00A15A53" w:rsidP="00BA469C">
            <w:pPr>
              <w:keepNext/>
              <w:spacing w:before="0" w:line="276" w:lineRule="auto"/>
              <w:rPr>
                <w:b/>
                <w:sz w:val="16"/>
                <w:szCs w:val="16"/>
              </w:rPr>
            </w:pPr>
          </w:p>
        </w:tc>
        <w:tc>
          <w:tcPr>
            <w:tcW w:w="438"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21E823E" w14:textId="77777777" w:rsidR="00A15A53" w:rsidRPr="00A6198D" w:rsidRDefault="00A15A53" w:rsidP="00BA469C">
            <w:pPr>
              <w:keepNext/>
              <w:spacing w:before="0" w:line="276" w:lineRule="auto"/>
              <w:rPr>
                <w:b/>
                <w:sz w:val="16"/>
                <w:szCs w:val="16"/>
              </w:rPr>
            </w:pPr>
          </w:p>
        </w:tc>
        <w:tc>
          <w:tcPr>
            <w:tcW w:w="50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777482F" w14:textId="77777777" w:rsidR="00A15A53" w:rsidRPr="00A6198D" w:rsidRDefault="00A15A53" w:rsidP="00BA469C">
            <w:pPr>
              <w:keepNext/>
              <w:spacing w:before="0" w:line="276" w:lineRule="auto"/>
              <w:rPr>
                <w:b/>
                <w:sz w:val="16"/>
                <w:szCs w:val="16"/>
              </w:rPr>
            </w:pPr>
          </w:p>
        </w:tc>
      </w:tr>
      <w:tr w:rsidR="008562DC" w:rsidRPr="00A6198D" w14:paraId="031AEBBA"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63FEAD8" w14:textId="77777777" w:rsidR="008562DC" w:rsidRPr="00A6198D" w:rsidRDefault="008562DC" w:rsidP="00BA469C">
            <w:pPr>
              <w:keepNext/>
              <w:spacing w:before="0" w:line="276" w:lineRule="auto"/>
              <w:rPr>
                <w:sz w:val="16"/>
                <w:szCs w:val="16"/>
              </w:rPr>
            </w:pPr>
            <w:r w:rsidRPr="00A6198D">
              <w:rPr>
                <w:sz w:val="16"/>
                <w:szCs w:val="16"/>
              </w:rPr>
              <w:t xml:space="preserve">Število podjetij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D2105DB" w14:textId="77777777" w:rsidR="008562DC" w:rsidRPr="00A6198D" w:rsidRDefault="008562DC" w:rsidP="00BA469C">
            <w:pPr>
              <w:keepNext/>
              <w:spacing w:before="0" w:line="276" w:lineRule="auto"/>
              <w:rPr>
                <w:sz w:val="16"/>
                <w:szCs w:val="16"/>
              </w:rPr>
            </w:pPr>
            <w:r w:rsidRPr="00A6198D">
              <w:rPr>
                <w:sz w:val="16"/>
                <w:szCs w:val="16"/>
              </w:rPr>
              <w:t>689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6EA94E6" w14:textId="77777777" w:rsidR="008562DC" w:rsidRPr="00A6198D" w:rsidRDefault="008562DC" w:rsidP="00BA469C">
            <w:pPr>
              <w:keepNext/>
              <w:spacing w:before="0" w:line="276" w:lineRule="auto"/>
              <w:rPr>
                <w:sz w:val="16"/>
                <w:szCs w:val="16"/>
              </w:rPr>
            </w:pPr>
            <w:r w:rsidRPr="00A6198D">
              <w:rPr>
                <w:sz w:val="16"/>
                <w:szCs w:val="16"/>
              </w:rPr>
              <w:t>704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05F1C71" w14:textId="77777777" w:rsidR="008562DC" w:rsidRPr="00A6198D" w:rsidRDefault="008562DC" w:rsidP="00BA469C">
            <w:pPr>
              <w:keepNext/>
              <w:spacing w:before="0" w:line="276" w:lineRule="auto"/>
              <w:rPr>
                <w:sz w:val="16"/>
                <w:szCs w:val="16"/>
              </w:rPr>
            </w:pPr>
            <w:r w:rsidRPr="00A6198D">
              <w:rPr>
                <w:sz w:val="16"/>
                <w:szCs w:val="16"/>
              </w:rPr>
              <w:t>719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BD2C935" w14:textId="77777777" w:rsidR="008562DC" w:rsidRPr="00A6198D" w:rsidRDefault="008562DC" w:rsidP="00BA469C">
            <w:pPr>
              <w:keepNext/>
              <w:spacing w:before="0" w:line="276" w:lineRule="auto"/>
              <w:rPr>
                <w:sz w:val="16"/>
                <w:szCs w:val="16"/>
              </w:rPr>
            </w:pPr>
            <w:r w:rsidRPr="00A6198D">
              <w:rPr>
                <w:sz w:val="16"/>
                <w:szCs w:val="16"/>
              </w:rPr>
              <w:t>733</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407DCBE6" w14:textId="77777777" w:rsidR="008562DC" w:rsidRPr="00A6198D" w:rsidRDefault="008562DC" w:rsidP="00BA469C">
            <w:pPr>
              <w:keepNext/>
              <w:spacing w:before="0" w:line="276" w:lineRule="auto"/>
              <w:rPr>
                <w:sz w:val="16"/>
                <w:szCs w:val="16"/>
              </w:rPr>
            </w:pPr>
            <w:r w:rsidRPr="00A6198D">
              <w:rPr>
                <w:sz w:val="16"/>
                <w:szCs w:val="16"/>
              </w:rPr>
              <w:t>755</w:t>
            </w:r>
          </w:p>
        </w:tc>
        <w:tc>
          <w:tcPr>
            <w:tcW w:w="438" w:type="pct"/>
            <w:tcBorders>
              <w:top w:val="single" w:sz="4" w:space="0" w:color="008000"/>
              <w:left w:val="single" w:sz="4" w:space="0" w:color="008000"/>
              <w:bottom w:val="single" w:sz="4" w:space="0" w:color="008000"/>
              <w:right w:val="single" w:sz="4" w:space="0" w:color="008000"/>
            </w:tcBorders>
            <w:vAlign w:val="bottom"/>
          </w:tcPr>
          <w:p w14:paraId="35041005" w14:textId="77777777" w:rsidR="008562DC" w:rsidRPr="00A6198D" w:rsidRDefault="008562DC" w:rsidP="00BA469C">
            <w:pPr>
              <w:keepNext/>
              <w:spacing w:before="0" w:line="276" w:lineRule="auto"/>
              <w:rPr>
                <w:sz w:val="16"/>
                <w:szCs w:val="16"/>
              </w:rPr>
            </w:pPr>
            <w:r w:rsidRPr="00A6198D">
              <w:rPr>
                <w:sz w:val="16"/>
                <w:szCs w:val="16"/>
              </w:rPr>
              <w:t>745</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7E76502" w14:textId="77777777" w:rsidR="008562DC" w:rsidRPr="00A6198D" w:rsidRDefault="008562DC" w:rsidP="00BA469C">
            <w:pPr>
              <w:keepNext/>
              <w:spacing w:before="0" w:line="276" w:lineRule="auto"/>
              <w:rPr>
                <w:sz w:val="16"/>
                <w:szCs w:val="16"/>
              </w:rPr>
            </w:pPr>
            <w:r w:rsidRPr="00A6198D">
              <w:rPr>
                <w:sz w:val="16"/>
                <w:szCs w:val="16"/>
              </w:rPr>
              <w:t>98,7</w:t>
            </w:r>
          </w:p>
        </w:tc>
      </w:tr>
      <w:tr w:rsidR="008562DC" w:rsidRPr="00A6198D" w14:paraId="230AF9C8"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AD1E48F" w14:textId="77777777" w:rsidR="008562DC" w:rsidRPr="00A6198D" w:rsidRDefault="008562DC" w:rsidP="00BA469C">
            <w:pPr>
              <w:keepNext/>
              <w:spacing w:before="0" w:line="276" w:lineRule="auto"/>
              <w:rPr>
                <w:sz w:val="16"/>
                <w:szCs w:val="16"/>
              </w:rPr>
            </w:pPr>
            <w:r w:rsidRPr="00A6198D">
              <w:rPr>
                <w:sz w:val="16"/>
                <w:szCs w:val="16"/>
              </w:rPr>
              <w:t xml:space="preserve">Število zaposlenih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13A1F50" w14:textId="77777777" w:rsidR="008562DC" w:rsidRPr="00A6198D" w:rsidRDefault="008562DC" w:rsidP="00BA469C">
            <w:pPr>
              <w:keepNext/>
              <w:spacing w:before="0" w:line="276" w:lineRule="auto"/>
              <w:rPr>
                <w:sz w:val="16"/>
                <w:szCs w:val="16"/>
              </w:rPr>
            </w:pPr>
            <w:r w:rsidRPr="00A6198D">
              <w:rPr>
                <w:sz w:val="16"/>
                <w:szCs w:val="16"/>
              </w:rPr>
              <w:t>12.498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DD016FB" w14:textId="77777777" w:rsidR="008562DC" w:rsidRPr="00A6198D" w:rsidRDefault="008562DC" w:rsidP="00BA469C">
            <w:pPr>
              <w:keepNext/>
              <w:spacing w:before="0" w:line="276" w:lineRule="auto"/>
              <w:rPr>
                <w:sz w:val="16"/>
                <w:szCs w:val="16"/>
              </w:rPr>
            </w:pPr>
            <w:r w:rsidRPr="00A6198D">
              <w:rPr>
                <w:sz w:val="16"/>
                <w:szCs w:val="16"/>
              </w:rPr>
              <w:t>12.658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30E69A2" w14:textId="77777777" w:rsidR="008562DC" w:rsidRPr="00A6198D" w:rsidRDefault="008562DC" w:rsidP="00BA469C">
            <w:pPr>
              <w:keepNext/>
              <w:spacing w:before="0" w:line="276" w:lineRule="auto"/>
              <w:rPr>
                <w:sz w:val="16"/>
                <w:szCs w:val="16"/>
              </w:rPr>
            </w:pPr>
            <w:r w:rsidRPr="00A6198D">
              <w:rPr>
                <w:sz w:val="16"/>
                <w:szCs w:val="16"/>
              </w:rPr>
              <w:t>13.336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AF74C83" w14:textId="77777777" w:rsidR="008562DC" w:rsidRPr="00A6198D" w:rsidRDefault="008562DC" w:rsidP="00BA469C">
            <w:pPr>
              <w:keepNext/>
              <w:spacing w:before="0" w:line="276" w:lineRule="auto"/>
              <w:rPr>
                <w:sz w:val="16"/>
                <w:szCs w:val="16"/>
              </w:rPr>
            </w:pPr>
            <w:r w:rsidRPr="00A6198D">
              <w:rPr>
                <w:sz w:val="16"/>
                <w:szCs w:val="16"/>
              </w:rPr>
              <w:t>13.683</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1C3EFD35" w14:textId="77777777" w:rsidR="008562DC" w:rsidRPr="00A6198D" w:rsidRDefault="008562DC" w:rsidP="00BA469C">
            <w:pPr>
              <w:keepNext/>
              <w:spacing w:before="0" w:line="276" w:lineRule="auto"/>
              <w:rPr>
                <w:sz w:val="16"/>
                <w:szCs w:val="16"/>
              </w:rPr>
            </w:pPr>
            <w:r w:rsidRPr="00A6198D">
              <w:rPr>
                <w:sz w:val="16"/>
                <w:szCs w:val="16"/>
              </w:rPr>
              <w:t>14.125</w:t>
            </w:r>
          </w:p>
        </w:tc>
        <w:tc>
          <w:tcPr>
            <w:tcW w:w="438" w:type="pct"/>
            <w:tcBorders>
              <w:top w:val="single" w:sz="4" w:space="0" w:color="008000"/>
              <w:left w:val="single" w:sz="4" w:space="0" w:color="008000"/>
              <w:bottom w:val="single" w:sz="4" w:space="0" w:color="008000"/>
              <w:right w:val="single" w:sz="4" w:space="0" w:color="008000"/>
            </w:tcBorders>
            <w:vAlign w:val="bottom"/>
          </w:tcPr>
          <w:p w14:paraId="378495E6" w14:textId="77777777" w:rsidR="008562DC" w:rsidRPr="00A6198D" w:rsidRDefault="008562DC" w:rsidP="00BA469C">
            <w:pPr>
              <w:keepNext/>
              <w:spacing w:before="0" w:line="276" w:lineRule="auto"/>
              <w:rPr>
                <w:sz w:val="16"/>
                <w:szCs w:val="16"/>
              </w:rPr>
            </w:pPr>
            <w:r w:rsidRPr="00A6198D">
              <w:rPr>
                <w:sz w:val="16"/>
                <w:szCs w:val="16"/>
              </w:rPr>
              <w:t>14.628</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4776282" w14:textId="77777777" w:rsidR="008562DC" w:rsidRPr="00A6198D" w:rsidRDefault="008562DC" w:rsidP="00BA469C">
            <w:pPr>
              <w:keepNext/>
              <w:spacing w:before="0" w:line="276" w:lineRule="auto"/>
              <w:rPr>
                <w:sz w:val="16"/>
                <w:szCs w:val="16"/>
              </w:rPr>
            </w:pPr>
            <w:r w:rsidRPr="00A6198D">
              <w:rPr>
                <w:sz w:val="16"/>
                <w:szCs w:val="16"/>
              </w:rPr>
              <w:t>103,6</w:t>
            </w:r>
          </w:p>
        </w:tc>
      </w:tr>
      <w:tr w:rsidR="008562DC" w:rsidRPr="00A6198D" w14:paraId="528CABDD"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771D3E80" w14:textId="77777777" w:rsidR="008562DC" w:rsidRPr="00A6198D" w:rsidRDefault="008562DC" w:rsidP="00BA469C">
            <w:pPr>
              <w:keepNext/>
              <w:spacing w:before="0" w:line="276" w:lineRule="auto"/>
              <w:rPr>
                <w:sz w:val="16"/>
                <w:szCs w:val="16"/>
              </w:rPr>
            </w:pPr>
            <w:r w:rsidRPr="00A6198D">
              <w:rPr>
                <w:sz w:val="16"/>
                <w:szCs w:val="16"/>
              </w:rPr>
              <w:t xml:space="preserve">Sredstva (mio EUR)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7F3B454" w14:textId="77777777" w:rsidR="008562DC" w:rsidRPr="00A6198D" w:rsidRDefault="008562DC" w:rsidP="00BA469C">
            <w:pPr>
              <w:keepNext/>
              <w:spacing w:before="0" w:line="276" w:lineRule="auto"/>
              <w:rPr>
                <w:sz w:val="16"/>
                <w:szCs w:val="16"/>
              </w:rPr>
            </w:pPr>
            <w:r w:rsidRPr="00A6198D">
              <w:rPr>
                <w:sz w:val="16"/>
                <w:szCs w:val="16"/>
              </w:rPr>
              <w:t>2.250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B59CFDD" w14:textId="77777777" w:rsidR="008562DC" w:rsidRPr="00A6198D" w:rsidRDefault="008562DC" w:rsidP="00BA469C">
            <w:pPr>
              <w:keepNext/>
              <w:spacing w:before="0" w:line="276" w:lineRule="auto"/>
              <w:rPr>
                <w:sz w:val="16"/>
                <w:szCs w:val="16"/>
              </w:rPr>
            </w:pPr>
            <w:r w:rsidRPr="00A6198D">
              <w:rPr>
                <w:sz w:val="16"/>
                <w:szCs w:val="16"/>
              </w:rPr>
              <w:t>2.193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F88007D" w14:textId="77777777" w:rsidR="008562DC" w:rsidRPr="00A6198D" w:rsidRDefault="008562DC" w:rsidP="00BA469C">
            <w:pPr>
              <w:keepNext/>
              <w:spacing w:before="0" w:line="276" w:lineRule="auto"/>
              <w:rPr>
                <w:sz w:val="16"/>
                <w:szCs w:val="16"/>
              </w:rPr>
            </w:pPr>
            <w:r w:rsidRPr="00A6198D">
              <w:rPr>
                <w:sz w:val="16"/>
                <w:szCs w:val="16"/>
              </w:rPr>
              <w:t>2.064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F87A5E1" w14:textId="77777777" w:rsidR="008562DC" w:rsidRPr="00A6198D" w:rsidRDefault="008562DC" w:rsidP="00BA469C">
            <w:pPr>
              <w:keepNext/>
              <w:spacing w:before="0" w:line="276" w:lineRule="auto"/>
              <w:rPr>
                <w:sz w:val="16"/>
                <w:szCs w:val="16"/>
              </w:rPr>
            </w:pPr>
            <w:r w:rsidRPr="00A6198D">
              <w:rPr>
                <w:sz w:val="16"/>
                <w:szCs w:val="16"/>
              </w:rPr>
              <w:t>2.204</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11F3AD37" w14:textId="77777777" w:rsidR="008562DC" w:rsidRPr="00A6198D" w:rsidRDefault="008562DC" w:rsidP="00BA469C">
            <w:pPr>
              <w:keepNext/>
              <w:spacing w:before="0" w:line="276" w:lineRule="auto"/>
              <w:rPr>
                <w:sz w:val="16"/>
                <w:szCs w:val="16"/>
              </w:rPr>
            </w:pPr>
            <w:r w:rsidRPr="00A6198D">
              <w:rPr>
                <w:sz w:val="16"/>
                <w:szCs w:val="16"/>
              </w:rPr>
              <w:t>2.204</w:t>
            </w:r>
          </w:p>
        </w:tc>
        <w:tc>
          <w:tcPr>
            <w:tcW w:w="438" w:type="pct"/>
            <w:tcBorders>
              <w:top w:val="single" w:sz="4" w:space="0" w:color="008000"/>
              <w:left w:val="single" w:sz="4" w:space="0" w:color="008000"/>
              <w:bottom w:val="single" w:sz="4" w:space="0" w:color="008000"/>
              <w:right w:val="single" w:sz="4" w:space="0" w:color="008000"/>
            </w:tcBorders>
            <w:vAlign w:val="bottom"/>
          </w:tcPr>
          <w:p w14:paraId="4C48CFDA" w14:textId="77777777" w:rsidR="008562DC" w:rsidRPr="00A6198D" w:rsidRDefault="008562DC" w:rsidP="00BA469C">
            <w:pPr>
              <w:keepNext/>
              <w:spacing w:before="0" w:line="276" w:lineRule="auto"/>
              <w:rPr>
                <w:sz w:val="16"/>
                <w:szCs w:val="16"/>
              </w:rPr>
            </w:pPr>
            <w:r w:rsidRPr="00A6198D">
              <w:rPr>
                <w:sz w:val="16"/>
                <w:szCs w:val="16"/>
              </w:rPr>
              <w:t>2.297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205AB2DE" w14:textId="77777777" w:rsidR="008562DC" w:rsidRPr="00A6198D" w:rsidRDefault="008562DC" w:rsidP="00BA469C">
            <w:pPr>
              <w:keepNext/>
              <w:spacing w:before="0" w:line="276" w:lineRule="auto"/>
              <w:rPr>
                <w:sz w:val="16"/>
                <w:szCs w:val="16"/>
              </w:rPr>
            </w:pPr>
            <w:r w:rsidRPr="00A6198D">
              <w:rPr>
                <w:sz w:val="16"/>
                <w:szCs w:val="16"/>
              </w:rPr>
              <w:t>102,6</w:t>
            </w:r>
          </w:p>
        </w:tc>
      </w:tr>
      <w:tr w:rsidR="008562DC" w:rsidRPr="00AE0410" w14:paraId="5D1F1442"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79AA267B" w14:textId="77777777" w:rsidR="008562DC" w:rsidRPr="00CA2D5A" w:rsidRDefault="008562DC" w:rsidP="00BA469C">
            <w:pPr>
              <w:keepNext/>
              <w:spacing w:before="0" w:line="276" w:lineRule="auto"/>
              <w:rPr>
                <w:sz w:val="16"/>
                <w:szCs w:val="16"/>
              </w:rPr>
            </w:pPr>
            <w:r w:rsidRPr="00CA2D5A">
              <w:rPr>
                <w:sz w:val="16"/>
                <w:szCs w:val="16"/>
              </w:rPr>
              <w:t xml:space="preserve">Prihodki od prodaje (mio EUR)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F933DCA" w14:textId="77777777" w:rsidR="008562DC" w:rsidRPr="00413F1A" w:rsidRDefault="008562DC" w:rsidP="00BA469C">
            <w:pPr>
              <w:keepNext/>
              <w:spacing w:before="0" w:line="276" w:lineRule="auto"/>
              <w:rPr>
                <w:sz w:val="16"/>
                <w:szCs w:val="16"/>
              </w:rPr>
            </w:pPr>
            <w:r w:rsidRPr="00413F1A">
              <w:rPr>
                <w:sz w:val="16"/>
                <w:szCs w:val="16"/>
              </w:rPr>
              <w:t>2.009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EB620A9" w14:textId="77777777" w:rsidR="008562DC" w:rsidRPr="00AE0410" w:rsidRDefault="008562DC" w:rsidP="00BA469C">
            <w:pPr>
              <w:keepNext/>
              <w:spacing w:before="0" w:line="276" w:lineRule="auto"/>
              <w:rPr>
                <w:sz w:val="16"/>
                <w:szCs w:val="16"/>
              </w:rPr>
            </w:pPr>
            <w:r w:rsidRPr="00AE0410">
              <w:rPr>
                <w:sz w:val="16"/>
                <w:szCs w:val="16"/>
              </w:rPr>
              <w:t>2.062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C0FC8AA" w14:textId="77777777" w:rsidR="008562DC" w:rsidRPr="00AE0410" w:rsidRDefault="008562DC" w:rsidP="00BA469C">
            <w:pPr>
              <w:keepNext/>
              <w:spacing w:before="0" w:line="276" w:lineRule="auto"/>
              <w:rPr>
                <w:sz w:val="16"/>
                <w:szCs w:val="16"/>
              </w:rPr>
            </w:pPr>
            <w:r w:rsidRPr="00AE0410">
              <w:rPr>
                <w:sz w:val="16"/>
                <w:szCs w:val="16"/>
              </w:rPr>
              <w:t>2.053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491F05C" w14:textId="77777777" w:rsidR="008562DC" w:rsidRPr="00AE0410" w:rsidRDefault="008562DC" w:rsidP="00BA469C">
            <w:pPr>
              <w:keepNext/>
              <w:spacing w:before="0" w:line="276" w:lineRule="auto"/>
              <w:rPr>
                <w:sz w:val="16"/>
                <w:szCs w:val="16"/>
              </w:rPr>
            </w:pPr>
            <w:r w:rsidRPr="00AE0410">
              <w:rPr>
                <w:sz w:val="16"/>
                <w:szCs w:val="16"/>
              </w:rPr>
              <w:t>2.156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DBEC1A7" w14:textId="77777777" w:rsidR="008562DC" w:rsidRPr="00AE0410" w:rsidRDefault="008562DC" w:rsidP="00BA469C">
            <w:pPr>
              <w:keepNext/>
              <w:spacing w:before="0" w:line="276" w:lineRule="auto"/>
              <w:rPr>
                <w:sz w:val="16"/>
                <w:szCs w:val="16"/>
              </w:rPr>
            </w:pPr>
            <w:r w:rsidRPr="00AE0410">
              <w:rPr>
                <w:sz w:val="16"/>
                <w:szCs w:val="16"/>
              </w:rPr>
              <w:t>2.192</w:t>
            </w:r>
          </w:p>
        </w:tc>
        <w:tc>
          <w:tcPr>
            <w:tcW w:w="438" w:type="pct"/>
            <w:tcBorders>
              <w:top w:val="single" w:sz="4" w:space="0" w:color="008000"/>
              <w:left w:val="single" w:sz="4" w:space="0" w:color="008000"/>
              <w:bottom w:val="single" w:sz="4" w:space="0" w:color="008000"/>
              <w:right w:val="single" w:sz="4" w:space="0" w:color="008000"/>
            </w:tcBorders>
            <w:vAlign w:val="bottom"/>
          </w:tcPr>
          <w:p w14:paraId="5A180167" w14:textId="77777777" w:rsidR="008562DC" w:rsidRPr="00AE0410" w:rsidRDefault="008562DC" w:rsidP="00BA469C">
            <w:pPr>
              <w:keepNext/>
              <w:spacing w:before="0" w:line="276" w:lineRule="auto"/>
              <w:rPr>
                <w:sz w:val="16"/>
                <w:szCs w:val="16"/>
              </w:rPr>
            </w:pPr>
            <w:r w:rsidRPr="00AE0410">
              <w:rPr>
                <w:sz w:val="16"/>
                <w:szCs w:val="16"/>
              </w:rPr>
              <w:t>2.315</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5FAAF2C" w14:textId="77777777" w:rsidR="008562DC" w:rsidRPr="00AE0410" w:rsidRDefault="008562DC" w:rsidP="00BA469C">
            <w:pPr>
              <w:keepNext/>
              <w:spacing w:before="0" w:line="276" w:lineRule="auto"/>
              <w:rPr>
                <w:sz w:val="16"/>
                <w:szCs w:val="16"/>
              </w:rPr>
            </w:pPr>
            <w:r w:rsidRPr="00AE0410">
              <w:rPr>
                <w:sz w:val="16"/>
                <w:szCs w:val="16"/>
              </w:rPr>
              <w:t>103,9</w:t>
            </w:r>
          </w:p>
        </w:tc>
      </w:tr>
      <w:tr w:rsidR="008562DC" w:rsidRPr="00AE0410" w14:paraId="2896EB88"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C5909B0" w14:textId="77777777" w:rsidR="008562DC" w:rsidRPr="00AE0410" w:rsidRDefault="008562DC" w:rsidP="00BA469C">
            <w:pPr>
              <w:keepNext/>
              <w:spacing w:before="0" w:line="276" w:lineRule="auto"/>
              <w:rPr>
                <w:sz w:val="16"/>
                <w:szCs w:val="16"/>
              </w:rPr>
            </w:pPr>
            <w:r w:rsidRPr="00AE0410">
              <w:rPr>
                <w:sz w:val="16"/>
                <w:szCs w:val="16"/>
              </w:rPr>
              <w:t>Prihodki od izvoza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ED55305" w14:textId="77777777" w:rsidR="008562DC" w:rsidRPr="00AE0410" w:rsidRDefault="008562DC" w:rsidP="00BA469C">
            <w:pPr>
              <w:keepNext/>
              <w:spacing w:before="0" w:line="276" w:lineRule="auto"/>
              <w:rPr>
                <w:sz w:val="16"/>
                <w:szCs w:val="16"/>
              </w:rPr>
            </w:pPr>
            <w:r w:rsidRPr="00AE0410">
              <w:rPr>
                <w:sz w:val="16"/>
                <w:szCs w:val="16"/>
              </w:rPr>
              <w:t>466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8DEB57D" w14:textId="77777777" w:rsidR="008562DC" w:rsidRPr="00AE0410" w:rsidRDefault="008562DC" w:rsidP="00BA469C">
            <w:pPr>
              <w:keepNext/>
              <w:spacing w:before="0" w:line="276" w:lineRule="auto"/>
              <w:rPr>
                <w:sz w:val="16"/>
                <w:szCs w:val="16"/>
              </w:rPr>
            </w:pPr>
            <w:r w:rsidRPr="00AE0410">
              <w:rPr>
                <w:sz w:val="16"/>
                <w:szCs w:val="16"/>
              </w:rPr>
              <w:t>501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2E571F9" w14:textId="77777777" w:rsidR="008562DC" w:rsidRPr="00AE0410" w:rsidRDefault="008562DC" w:rsidP="00BA469C">
            <w:pPr>
              <w:keepNext/>
              <w:spacing w:before="0" w:line="276" w:lineRule="auto"/>
              <w:rPr>
                <w:sz w:val="16"/>
                <w:szCs w:val="16"/>
              </w:rPr>
            </w:pPr>
            <w:r w:rsidRPr="00AE0410">
              <w:rPr>
                <w:sz w:val="16"/>
                <w:szCs w:val="16"/>
              </w:rPr>
              <w:t>532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7523711" w14:textId="77777777" w:rsidR="008562DC" w:rsidRPr="00AE0410" w:rsidRDefault="008562DC" w:rsidP="00BA469C">
            <w:pPr>
              <w:keepNext/>
              <w:spacing w:before="0" w:line="276" w:lineRule="auto"/>
              <w:rPr>
                <w:sz w:val="16"/>
                <w:szCs w:val="16"/>
              </w:rPr>
            </w:pPr>
            <w:r w:rsidRPr="00AE0410">
              <w:rPr>
                <w:sz w:val="16"/>
                <w:szCs w:val="16"/>
              </w:rPr>
              <w:t>599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281790AC" w14:textId="77777777" w:rsidR="008562DC" w:rsidRPr="00AE0410" w:rsidRDefault="008562DC" w:rsidP="00BA469C">
            <w:pPr>
              <w:keepNext/>
              <w:spacing w:before="0" w:line="276" w:lineRule="auto"/>
              <w:rPr>
                <w:sz w:val="16"/>
                <w:szCs w:val="16"/>
              </w:rPr>
            </w:pPr>
            <w:r w:rsidRPr="00AE0410">
              <w:rPr>
                <w:sz w:val="16"/>
                <w:szCs w:val="16"/>
              </w:rPr>
              <w:t>627</w:t>
            </w:r>
          </w:p>
        </w:tc>
        <w:tc>
          <w:tcPr>
            <w:tcW w:w="438" w:type="pct"/>
            <w:tcBorders>
              <w:top w:val="single" w:sz="4" w:space="0" w:color="008000"/>
              <w:left w:val="single" w:sz="4" w:space="0" w:color="008000"/>
              <w:bottom w:val="single" w:sz="4" w:space="0" w:color="008000"/>
              <w:right w:val="single" w:sz="4" w:space="0" w:color="008000"/>
            </w:tcBorders>
            <w:vAlign w:val="bottom"/>
          </w:tcPr>
          <w:p w14:paraId="2B15D5F3" w14:textId="77777777" w:rsidR="008562DC" w:rsidRPr="00AE0410" w:rsidRDefault="008562DC" w:rsidP="00BA469C">
            <w:pPr>
              <w:keepNext/>
              <w:spacing w:before="0" w:line="276" w:lineRule="auto"/>
              <w:rPr>
                <w:sz w:val="16"/>
                <w:szCs w:val="16"/>
              </w:rPr>
            </w:pPr>
            <w:r w:rsidRPr="00AE0410">
              <w:rPr>
                <w:sz w:val="16"/>
                <w:szCs w:val="16"/>
              </w:rPr>
              <w:t>686,1</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FBD9F58" w14:textId="77777777" w:rsidR="008562DC" w:rsidRPr="00AE0410" w:rsidRDefault="008562DC" w:rsidP="00BA469C">
            <w:pPr>
              <w:keepNext/>
              <w:spacing w:before="0" w:line="276" w:lineRule="auto"/>
              <w:rPr>
                <w:sz w:val="16"/>
                <w:szCs w:val="16"/>
              </w:rPr>
            </w:pPr>
            <w:r w:rsidRPr="00AE0410">
              <w:rPr>
                <w:sz w:val="16"/>
                <w:szCs w:val="16"/>
              </w:rPr>
              <w:t>107,7</w:t>
            </w:r>
          </w:p>
        </w:tc>
      </w:tr>
      <w:tr w:rsidR="008562DC" w:rsidRPr="00AE0410" w14:paraId="4C27EBD1"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40D67DEC" w14:textId="77777777" w:rsidR="008562DC" w:rsidRPr="00AE0410" w:rsidRDefault="008562DC" w:rsidP="00BA469C">
            <w:pPr>
              <w:keepNext/>
              <w:spacing w:before="0" w:line="276" w:lineRule="auto"/>
              <w:rPr>
                <w:sz w:val="16"/>
                <w:szCs w:val="16"/>
              </w:rPr>
            </w:pPr>
            <w:r w:rsidRPr="00AE0410">
              <w:rPr>
                <w:sz w:val="16"/>
                <w:szCs w:val="16"/>
              </w:rPr>
              <w:t>Izvozna usmerjenost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FA9A571" w14:textId="77777777" w:rsidR="008562DC" w:rsidRPr="00AE0410" w:rsidRDefault="008562DC" w:rsidP="00BA469C">
            <w:pPr>
              <w:keepNext/>
              <w:spacing w:before="0" w:line="276" w:lineRule="auto"/>
              <w:rPr>
                <w:sz w:val="16"/>
                <w:szCs w:val="16"/>
              </w:rPr>
            </w:pPr>
            <w:r w:rsidRPr="00AE0410">
              <w:rPr>
                <w:sz w:val="16"/>
                <w:szCs w:val="16"/>
              </w:rPr>
              <w:t>23,2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A3CD0AB" w14:textId="77777777" w:rsidR="008562DC" w:rsidRPr="00AE0410" w:rsidRDefault="008562DC" w:rsidP="00BA469C">
            <w:pPr>
              <w:keepNext/>
              <w:spacing w:before="0" w:line="276" w:lineRule="auto"/>
              <w:rPr>
                <w:sz w:val="16"/>
                <w:szCs w:val="16"/>
              </w:rPr>
            </w:pPr>
            <w:r w:rsidRPr="00AE0410">
              <w:rPr>
                <w:sz w:val="16"/>
                <w:szCs w:val="16"/>
              </w:rPr>
              <w:t>24,3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1E0A42" w14:textId="77777777" w:rsidR="008562DC" w:rsidRPr="00AE0410" w:rsidRDefault="008562DC" w:rsidP="00BA469C">
            <w:pPr>
              <w:keepNext/>
              <w:spacing w:before="0" w:line="276" w:lineRule="auto"/>
              <w:rPr>
                <w:sz w:val="16"/>
                <w:szCs w:val="16"/>
              </w:rPr>
            </w:pPr>
            <w:r w:rsidRPr="00AE0410">
              <w:rPr>
                <w:sz w:val="16"/>
                <w:szCs w:val="16"/>
              </w:rPr>
              <w:t>25,9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D7C7385" w14:textId="77777777" w:rsidR="008562DC" w:rsidRPr="00AE0410" w:rsidRDefault="008562DC" w:rsidP="00BA469C">
            <w:pPr>
              <w:keepNext/>
              <w:spacing w:before="0" w:line="276" w:lineRule="auto"/>
              <w:rPr>
                <w:sz w:val="16"/>
                <w:szCs w:val="16"/>
              </w:rPr>
            </w:pPr>
            <w:r w:rsidRPr="00AE0410">
              <w:rPr>
                <w:sz w:val="16"/>
                <w:szCs w:val="16"/>
              </w:rPr>
              <w:t>27,8</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5A68A4BC" w14:textId="77777777" w:rsidR="008562DC" w:rsidRPr="00AE0410" w:rsidRDefault="008562DC" w:rsidP="00BA469C">
            <w:pPr>
              <w:keepNext/>
              <w:spacing w:before="0" w:line="276" w:lineRule="auto"/>
              <w:rPr>
                <w:sz w:val="16"/>
                <w:szCs w:val="16"/>
              </w:rPr>
            </w:pPr>
            <w:r w:rsidRPr="00AE0410">
              <w:rPr>
                <w:sz w:val="16"/>
                <w:szCs w:val="16"/>
              </w:rPr>
              <w:t>28,6</w:t>
            </w:r>
          </w:p>
        </w:tc>
        <w:tc>
          <w:tcPr>
            <w:tcW w:w="438" w:type="pct"/>
            <w:tcBorders>
              <w:top w:val="single" w:sz="4" w:space="0" w:color="008000"/>
              <w:left w:val="single" w:sz="4" w:space="0" w:color="008000"/>
              <w:bottom w:val="single" w:sz="4" w:space="0" w:color="008000"/>
              <w:right w:val="single" w:sz="4" w:space="0" w:color="008000"/>
            </w:tcBorders>
            <w:vAlign w:val="bottom"/>
          </w:tcPr>
          <w:p w14:paraId="7B849E07" w14:textId="77777777" w:rsidR="008562DC" w:rsidRPr="00AE0410" w:rsidRDefault="008562DC" w:rsidP="00BA469C">
            <w:pPr>
              <w:keepNext/>
              <w:spacing w:before="0" w:line="276" w:lineRule="auto"/>
              <w:rPr>
                <w:sz w:val="16"/>
                <w:szCs w:val="16"/>
              </w:rPr>
            </w:pPr>
            <w:r w:rsidRPr="00AE0410">
              <w:rPr>
                <w:sz w:val="16"/>
                <w:szCs w:val="16"/>
              </w:rPr>
              <w:t>29,6</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29AF7BAA" w14:textId="77777777" w:rsidR="008562DC" w:rsidRPr="00AE0410" w:rsidRDefault="008562DC" w:rsidP="00BA469C">
            <w:pPr>
              <w:keepNext/>
              <w:spacing w:before="0" w:line="276" w:lineRule="auto"/>
              <w:rPr>
                <w:sz w:val="16"/>
                <w:szCs w:val="16"/>
              </w:rPr>
            </w:pPr>
            <w:r w:rsidRPr="00AE0410">
              <w:rPr>
                <w:sz w:val="16"/>
                <w:szCs w:val="16"/>
              </w:rPr>
              <w:t>103,7</w:t>
            </w:r>
          </w:p>
        </w:tc>
      </w:tr>
      <w:tr w:rsidR="008562DC" w:rsidRPr="00AE0410" w14:paraId="346FC86E"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28EA092" w14:textId="77777777" w:rsidR="008562DC" w:rsidRPr="00AE0410" w:rsidRDefault="008562DC" w:rsidP="00BA469C">
            <w:pPr>
              <w:keepNext/>
              <w:spacing w:before="0" w:line="276" w:lineRule="auto"/>
              <w:rPr>
                <w:sz w:val="16"/>
                <w:szCs w:val="16"/>
              </w:rPr>
            </w:pPr>
            <w:r w:rsidRPr="00AE0410">
              <w:rPr>
                <w:sz w:val="16"/>
                <w:szCs w:val="16"/>
              </w:rPr>
              <w:t>Produktivnost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4B2CD3E" w14:textId="77777777" w:rsidR="008562DC" w:rsidRPr="00AE0410" w:rsidRDefault="008562DC" w:rsidP="00BA469C">
            <w:pPr>
              <w:keepNext/>
              <w:spacing w:before="0" w:line="276" w:lineRule="auto"/>
              <w:rPr>
                <w:sz w:val="16"/>
                <w:szCs w:val="16"/>
              </w:rPr>
            </w:pPr>
            <w:r w:rsidRPr="00AE0410">
              <w:rPr>
                <w:sz w:val="16"/>
                <w:szCs w:val="16"/>
              </w:rPr>
              <w:t>160,8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7892F2" w14:textId="77777777" w:rsidR="008562DC" w:rsidRPr="00AE0410" w:rsidRDefault="008562DC" w:rsidP="00BA469C">
            <w:pPr>
              <w:keepNext/>
              <w:spacing w:before="0" w:line="276" w:lineRule="auto"/>
              <w:rPr>
                <w:sz w:val="16"/>
                <w:szCs w:val="16"/>
              </w:rPr>
            </w:pPr>
            <w:r w:rsidRPr="00AE0410">
              <w:rPr>
                <w:sz w:val="16"/>
                <w:szCs w:val="16"/>
              </w:rPr>
              <w:t>162,9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AA3C6E" w14:textId="77777777" w:rsidR="008562DC" w:rsidRPr="00AE0410" w:rsidRDefault="008562DC" w:rsidP="00BA469C">
            <w:pPr>
              <w:keepNext/>
              <w:spacing w:before="0" w:line="276" w:lineRule="auto"/>
              <w:rPr>
                <w:sz w:val="16"/>
                <w:szCs w:val="16"/>
              </w:rPr>
            </w:pPr>
            <w:r w:rsidRPr="00AE0410">
              <w:rPr>
                <w:sz w:val="16"/>
                <w:szCs w:val="16"/>
              </w:rPr>
              <w:t>154,0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3DD452A" w14:textId="77777777" w:rsidR="008562DC" w:rsidRPr="00AE0410" w:rsidRDefault="008562DC" w:rsidP="00BA469C">
            <w:pPr>
              <w:keepNext/>
              <w:spacing w:before="0" w:line="276" w:lineRule="auto"/>
              <w:rPr>
                <w:sz w:val="16"/>
                <w:szCs w:val="16"/>
              </w:rPr>
            </w:pPr>
            <w:r w:rsidRPr="00AE0410">
              <w:rPr>
                <w:sz w:val="16"/>
                <w:szCs w:val="16"/>
              </w:rPr>
              <w:t>157,6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AB34A2E" w14:textId="77777777" w:rsidR="008562DC" w:rsidRPr="00AE0410" w:rsidRDefault="008562DC" w:rsidP="00BA469C">
            <w:pPr>
              <w:keepNext/>
              <w:spacing w:before="0" w:line="276" w:lineRule="auto"/>
              <w:rPr>
                <w:sz w:val="16"/>
                <w:szCs w:val="16"/>
              </w:rPr>
            </w:pPr>
            <w:r w:rsidRPr="00AE0410">
              <w:rPr>
                <w:sz w:val="16"/>
                <w:szCs w:val="16"/>
              </w:rPr>
              <w:t>155,2</w:t>
            </w:r>
          </w:p>
        </w:tc>
        <w:tc>
          <w:tcPr>
            <w:tcW w:w="438" w:type="pct"/>
            <w:tcBorders>
              <w:top w:val="single" w:sz="4" w:space="0" w:color="008000"/>
              <w:left w:val="single" w:sz="4" w:space="0" w:color="008000"/>
              <w:bottom w:val="single" w:sz="4" w:space="0" w:color="008000"/>
              <w:right w:val="single" w:sz="4" w:space="0" w:color="008000"/>
            </w:tcBorders>
            <w:vAlign w:val="bottom"/>
          </w:tcPr>
          <w:p w14:paraId="0B318C19" w14:textId="77777777" w:rsidR="008562DC" w:rsidRPr="00AE0410" w:rsidRDefault="008562DC" w:rsidP="00BA469C">
            <w:pPr>
              <w:keepNext/>
              <w:spacing w:before="0" w:line="276" w:lineRule="auto"/>
              <w:rPr>
                <w:sz w:val="16"/>
                <w:szCs w:val="16"/>
              </w:rPr>
            </w:pPr>
            <w:r w:rsidRPr="00AE0410">
              <w:rPr>
                <w:sz w:val="16"/>
                <w:szCs w:val="16"/>
              </w:rPr>
              <w:t>158,2</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6D85634" w14:textId="77777777" w:rsidR="008562DC" w:rsidRPr="00AE0410" w:rsidRDefault="008562DC" w:rsidP="00BA469C">
            <w:pPr>
              <w:keepNext/>
              <w:spacing w:before="0" w:line="276" w:lineRule="auto"/>
              <w:rPr>
                <w:sz w:val="16"/>
                <w:szCs w:val="16"/>
              </w:rPr>
            </w:pPr>
            <w:r w:rsidRPr="00AE0410">
              <w:rPr>
                <w:sz w:val="16"/>
                <w:szCs w:val="16"/>
              </w:rPr>
              <w:t>100,3</w:t>
            </w:r>
          </w:p>
        </w:tc>
      </w:tr>
      <w:tr w:rsidR="008562DC" w:rsidRPr="00AE0410" w14:paraId="7A4AB71D"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3F68FF00" w14:textId="77777777" w:rsidR="008562DC" w:rsidRPr="00AE0410" w:rsidRDefault="008562DC" w:rsidP="00BA469C">
            <w:pPr>
              <w:keepNext/>
              <w:spacing w:before="0" w:line="276" w:lineRule="auto"/>
              <w:rPr>
                <w:sz w:val="16"/>
                <w:szCs w:val="16"/>
              </w:rPr>
            </w:pPr>
            <w:r w:rsidRPr="00AE0410">
              <w:rPr>
                <w:sz w:val="16"/>
                <w:szCs w:val="16"/>
              </w:rPr>
              <w:t>Dodana vrednost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A0B7113" w14:textId="77777777" w:rsidR="008562DC" w:rsidRPr="00AE0410" w:rsidRDefault="008562DC" w:rsidP="00BA469C">
            <w:pPr>
              <w:keepNext/>
              <w:spacing w:before="0" w:line="276" w:lineRule="auto"/>
              <w:rPr>
                <w:sz w:val="16"/>
                <w:szCs w:val="16"/>
              </w:rPr>
            </w:pPr>
            <w:r w:rsidRPr="00AE0410">
              <w:rPr>
                <w:sz w:val="16"/>
                <w:szCs w:val="16"/>
              </w:rPr>
              <w:t>444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3FDCA14" w14:textId="77777777" w:rsidR="008562DC" w:rsidRPr="00AE0410" w:rsidRDefault="008562DC" w:rsidP="00BA469C">
            <w:pPr>
              <w:keepNext/>
              <w:spacing w:before="0" w:line="276" w:lineRule="auto"/>
              <w:rPr>
                <w:sz w:val="16"/>
                <w:szCs w:val="16"/>
              </w:rPr>
            </w:pPr>
            <w:r w:rsidRPr="00AE0410">
              <w:rPr>
                <w:sz w:val="16"/>
                <w:szCs w:val="16"/>
              </w:rPr>
              <w:t>465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A3E5BDA" w14:textId="77777777" w:rsidR="008562DC" w:rsidRPr="00AE0410" w:rsidRDefault="008562DC" w:rsidP="00BA469C">
            <w:pPr>
              <w:keepNext/>
              <w:spacing w:before="0" w:line="276" w:lineRule="auto"/>
              <w:rPr>
                <w:sz w:val="16"/>
                <w:szCs w:val="16"/>
              </w:rPr>
            </w:pPr>
            <w:r w:rsidRPr="00AE0410">
              <w:rPr>
                <w:sz w:val="16"/>
                <w:szCs w:val="16"/>
              </w:rPr>
              <w:t>484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5673F7" w14:textId="77777777" w:rsidR="008562DC" w:rsidRPr="00AE0410" w:rsidRDefault="008562DC" w:rsidP="00BA469C">
            <w:pPr>
              <w:keepNext/>
              <w:spacing w:before="0" w:line="276" w:lineRule="auto"/>
              <w:rPr>
                <w:sz w:val="16"/>
                <w:szCs w:val="16"/>
              </w:rPr>
            </w:pPr>
            <w:r w:rsidRPr="00AE0410">
              <w:rPr>
                <w:sz w:val="16"/>
                <w:szCs w:val="16"/>
              </w:rPr>
              <w:t>499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40ABA64B" w14:textId="77777777" w:rsidR="008562DC" w:rsidRPr="00AE0410" w:rsidRDefault="008562DC" w:rsidP="00BA469C">
            <w:pPr>
              <w:keepNext/>
              <w:spacing w:before="0" w:line="276" w:lineRule="auto"/>
              <w:rPr>
                <w:sz w:val="16"/>
                <w:szCs w:val="16"/>
              </w:rPr>
            </w:pPr>
            <w:r w:rsidRPr="00AE0410">
              <w:rPr>
                <w:sz w:val="16"/>
                <w:szCs w:val="16"/>
              </w:rPr>
              <w:t>549</w:t>
            </w:r>
          </w:p>
        </w:tc>
        <w:tc>
          <w:tcPr>
            <w:tcW w:w="438" w:type="pct"/>
            <w:tcBorders>
              <w:top w:val="single" w:sz="4" w:space="0" w:color="008000"/>
              <w:left w:val="single" w:sz="4" w:space="0" w:color="008000"/>
              <w:bottom w:val="single" w:sz="4" w:space="0" w:color="008000"/>
              <w:right w:val="single" w:sz="4" w:space="0" w:color="008000"/>
            </w:tcBorders>
            <w:vAlign w:val="bottom"/>
          </w:tcPr>
          <w:p w14:paraId="141763BD" w14:textId="77777777" w:rsidR="008562DC" w:rsidRPr="00AE0410" w:rsidRDefault="008562DC" w:rsidP="00BA469C">
            <w:pPr>
              <w:keepNext/>
              <w:spacing w:before="0" w:line="276" w:lineRule="auto"/>
              <w:rPr>
                <w:sz w:val="16"/>
                <w:szCs w:val="16"/>
              </w:rPr>
            </w:pPr>
            <w:r w:rsidRPr="00AE0410">
              <w:rPr>
                <w:sz w:val="16"/>
                <w:szCs w:val="16"/>
              </w:rPr>
              <w:t>604</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05A10FE" w14:textId="77777777" w:rsidR="008562DC" w:rsidRPr="00AE0410" w:rsidRDefault="008562DC" w:rsidP="00BA469C">
            <w:pPr>
              <w:keepNext/>
              <w:spacing w:before="0" w:line="276" w:lineRule="auto"/>
              <w:rPr>
                <w:sz w:val="16"/>
                <w:szCs w:val="16"/>
              </w:rPr>
            </w:pPr>
            <w:r w:rsidRPr="00AE0410">
              <w:rPr>
                <w:sz w:val="16"/>
                <w:szCs w:val="16"/>
              </w:rPr>
              <w:t>108,2</w:t>
            </w:r>
          </w:p>
        </w:tc>
      </w:tr>
      <w:tr w:rsidR="008562DC" w:rsidRPr="00AE0410" w14:paraId="48E8937B"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1F5FC162" w14:textId="77777777" w:rsidR="008562DC" w:rsidRPr="00AE0410" w:rsidRDefault="008562DC" w:rsidP="00BA469C">
            <w:pPr>
              <w:keepNext/>
              <w:spacing w:before="0" w:line="276" w:lineRule="auto"/>
              <w:rPr>
                <w:sz w:val="16"/>
                <w:szCs w:val="16"/>
              </w:rPr>
            </w:pPr>
            <w:r w:rsidRPr="00AE0410">
              <w:rPr>
                <w:sz w:val="16"/>
                <w:szCs w:val="16"/>
              </w:rPr>
              <w:t>Dodana vrednost na zaposlenega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78A8B2B" w14:textId="77777777" w:rsidR="008562DC" w:rsidRPr="00AE0410" w:rsidRDefault="008562DC" w:rsidP="00BA469C">
            <w:pPr>
              <w:keepNext/>
              <w:spacing w:before="0" w:line="276" w:lineRule="auto"/>
              <w:rPr>
                <w:sz w:val="16"/>
                <w:szCs w:val="16"/>
              </w:rPr>
            </w:pPr>
            <w:r w:rsidRPr="00AE0410">
              <w:rPr>
                <w:sz w:val="16"/>
                <w:szCs w:val="16"/>
              </w:rPr>
              <w:t>35,5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909BDCC" w14:textId="77777777" w:rsidR="008562DC" w:rsidRPr="00AE0410" w:rsidRDefault="008562DC" w:rsidP="00BA469C">
            <w:pPr>
              <w:keepNext/>
              <w:spacing w:before="0" w:line="276" w:lineRule="auto"/>
              <w:rPr>
                <w:sz w:val="16"/>
                <w:szCs w:val="16"/>
              </w:rPr>
            </w:pPr>
            <w:r w:rsidRPr="00AE0410">
              <w:rPr>
                <w:sz w:val="16"/>
                <w:szCs w:val="16"/>
              </w:rPr>
              <w:t>36,7</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C31865" w14:textId="77777777" w:rsidR="008562DC" w:rsidRPr="00AE0410" w:rsidRDefault="008562DC" w:rsidP="00BA469C">
            <w:pPr>
              <w:keepNext/>
              <w:spacing w:before="0" w:line="276" w:lineRule="auto"/>
              <w:rPr>
                <w:sz w:val="16"/>
                <w:szCs w:val="16"/>
              </w:rPr>
            </w:pPr>
            <w:r w:rsidRPr="00AE0410">
              <w:rPr>
                <w:sz w:val="16"/>
                <w:szCs w:val="16"/>
              </w:rPr>
              <w:t>36,3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88BBA01" w14:textId="77777777" w:rsidR="008562DC" w:rsidRPr="00AE0410" w:rsidRDefault="008562DC" w:rsidP="00BA469C">
            <w:pPr>
              <w:keepNext/>
              <w:spacing w:before="0" w:line="276" w:lineRule="auto"/>
              <w:rPr>
                <w:sz w:val="16"/>
                <w:szCs w:val="16"/>
              </w:rPr>
            </w:pPr>
            <w:r w:rsidRPr="00AE0410">
              <w:rPr>
                <w:sz w:val="16"/>
                <w:szCs w:val="16"/>
              </w:rPr>
              <w:t>36,5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736B6DA2" w14:textId="77777777" w:rsidR="008562DC" w:rsidRPr="00AE0410" w:rsidRDefault="008562DC" w:rsidP="00BA469C">
            <w:pPr>
              <w:keepNext/>
              <w:spacing w:before="0" w:line="276" w:lineRule="auto"/>
              <w:rPr>
                <w:sz w:val="16"/>
                <w:szCs w:val="16"/>
              </w:rPr>
            </w:pPr>
            <w:r w:rsidRPr="00AE0410">
              <w:rPr>
                <w:sz w:val="16"/>
                <w:szCs w:val="16"/>
              </w:rPr>
              <w:t>38,9</w:t>
            </w:r>
          </w:p>
        </w:tc>
        <w:tc>
          <w:tcPr>
            <w:tcW w:w="438" w:type="pct"/>
            <w:tcBorders>
              <w:top w:val="single" w:sz="4" w:space="0" w:color="008000"/>
              <w:left w:val="single" w:sz="4" w:space="0" w:color="008000"/>
              <w:bottom w:val="single" w:sz="4" w:space="0" w:color="008000"/>
              <w:right w:val="single" w:sz="4" w:space="0" w:color="008000"/>
            </w:tcBorders>
            <w:vAlign w:val="bottom"/>
          </w:tcPr>
          <w:p w14:paraId="7B59E5AC" w14:textId="77777777" w:rsidR="008562DC" w:rsidRPr="00AE0410" w:rsidRDefault="008562DC" w:rsidP="00BA469C">
            <w:pPr>
              <w:keepNext/>
              <w:spacing w:before="0" w:line="276" w:lineRule="auto"/>
              <w:rPr>
                <w:sz w:val="16"/>
                <w:szCs w:val="16"/>
              </w:rPr>
            </w:pPr>
            <w:r w:rsidRPr="00AE0410">
              <w:rPr>
                <w:sz w:val="16"/>
                <w:szCs w:val="16"/>
              </w:rPr>
              <w:t>41,3</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42CCE135" w14:textId="77777777" w:rsidR="008562DC" w:rsidRPr="00AE0410" w:rsidRDefault="008562DC" w:rsidP="00BA469C">
            <w:pPr>
              <w:keepNext/>
              <w:spacing w:before="0" w:line="276" w:lineRule="auto"/>
              <w:rPr>
                <w:sz w:val="16"/>
                <w:szCs w:val="16"/>
              </w:rPr>
            </w:pPr>
            <w:r w:rsidRPr="00AE0410">
              <w:rPr>
                <w:sz w:val="16"/>
                <w:szCs w:val="16"/>
              </w:rPr>
              <w:t>104,4</w:t>
            </w:r>
          </w:p>
        </w:tc>
      </w:tr>
      <w:tr w:rsidR="008562DC" w:rsidRPr="00A6198D" w14:paraId="6C99110F"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1D6EBEBC" w14:textId="77777777" w:rsidR="008562DC" w:rsidRPr="00AE0410" w:rsidRDefault="008562DC" w:rsidP="00BA469C">
            <w:pPr>
              <w:keepNext/>
              <w:spacing w:before="0" w:line="276" w:lineRule="auto"/>
              <w:rPr>
                <w:sz w:val="16"/>
                <w:szCs w:val="16"/>
              </w:rPr>
            </w:pPr>
            <w:r w:rsidRPr="00AE0410">
              <w:rPr>
                <w:sz w:val="16"/>
                <w:szCs w:val="16"/>
              </w:rPr>
              <w:t>Čisti dobiček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C97FF19" w14:textId="77777777" w:rsidR="008562DC" w:rsidRPr="00AE0410" w:rsidRDefault="008562DC" w:rsidP="00BA469C">
            <w:pPr>
              <w:keepNext/>
              <w:spacing w:before="0" w:line="276" w:lineRule="auto"/>
              <w:rPr>
                <w:sz w:val="16"/>
                <w:szCs w:val="16"/>
              </w:rPr>
            </w:pPr>
            <w:r w:rsidRPr="00AE0410">
              <w:rPr>
                <w:sz w:val="16"/>
                <w:szCs w:val="16"/>
              </w:rPr>
              <w:t>70,6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E2242E4" w14:textId="77777777" w:rsidR="008562DC" w:rsidRPr="00AE0410" w:rsidRDefault="008562DC" w:rsidP="00BA469C">
            <w:pPr>
              <w:keepNext/>
              <w:spacing w:before="0" w:line="276" w:lineRule="auto"/>
              <w:rPr>
                <w:sz w:val="16"/>
                <w:szCs w:val="16"/>
              </w:rPr>
            </w:pPr>
            <w:r w:rsidRPr="00AE0410">
              <w:rPr>
                <w:sz w:val="16"/>
                <w:szCs w:val="16"/>
              </w:rPr>
              <w:t>85,5</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36CF260" w14:textId="77777777" w:rsidR="008562DC" w:rsidRPr="00AE0410" w:rsidRDefault="008562DC" w:rsidP="00BA469C">
            <w:pPr>
              <w:keepNext/>
              <w:spacing w:before="0" w:line="276" w:lineRule="auto"/>
              <w:rPr>
                <w:sz w:val="16"/>
                <w:szCs w:val="16"/>
              </w:rPr>
            </w:pPr>
            <w:r w:rsidRPr="00AE0410">
              <w:rPr>
                <w:sz w:val="16"/>
                <w:szCs w:val="16"/>
              </w:rPr>
              <w:t>87,9</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59B4D01" w14:textId="77777777" w:rsidR="008562DC" w:rsidRPr="00AE0410" w:rsidRDefault="008562DC" w:rsidP="00BA469C">
            <w:pPr>
              <w:keepNext/>
              <w:spacing w:before="0" w:line="276" w:lineRule="auto"/>
              <w:rPr>
                <w:sz w:val="16"/>
                <w:szCs w:val="16"/>
              </w:rPr>
            </w:pPr>
            <w:r w:rsidRPr="00AE0410">
              <w:rPr>
                <w:sz w:val="16"/>
                <w:szCs w:val="16"/>
              </w:rPr>
              <w:t>94,5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21E5EA38" w14:textId="77777777" w:rsidR="008562DC" w:rsidRPr="00AE0410" w:rsidRDefault="008562DC" w:rsidP="00BA469C">
            <w:pPr>
              <w:keepNext/>
              <w:spacing w:before="0" w:line="276" w:lineRule="auto"/>
              <w:rPr>
                <w:sz w:val="16"/>
                <w:szCs w:val="16"/>
              </w:rPr>
            </w:pPr>
            <w:r w:rsidRPr="00AE0410">
              <w:rPr>
                <w:sz w:val="16"/>
                <w:szCs w:val="16"/>
              </w:rPr>
              <w:t>111,2</w:t>
            </w:r>
          </w:p>
        </w:tc>
        <w:tc>
          <w:tcPr>
            <w:tcW w:w="438" w:type="pct"/>
            <w:tcBorders>
              <w:top w:val="single" w:sz="4" w:space="0" w:color="008000"/>
              <w:left w:val="single" w:sz="4" w:space="0" w:color="008000"/>
              <w:bottom w:val="single" w:sz="4" w:space="0" w:color="008000"/>
              <w:right w:val="single" w:sz="4" w:space="0" w:color="008000"/>
            </w:tcBorders>
            <w:vAlign w:val="bottom"/>
          </w:tcPr>
          <w:p w14:paraId="0C572B6E" w14:textId="77777777" w:rsidR="008562DC" w:rsidRPr="00AE0410" w:rsidRDefault="008562DC" w:rsidP="00BA469C">
            <w:pPr>
              <w:keepNext/>
              <w:spacing w:before="0" w:line="276" w:lineRule="auto"/>
              <w:rPr>
                <w:sz w:val="16"/>
                <w:szCs w:val="16"/>
              </w:rPr>
            </w:pPr>
            <w:r w:rsidRPr="00AE0410">
              <w:rPr>
                <w:sz w:val="16"/>
                <w:szCs w:val="16"/>
              </w:rPr>
              <w:t>136,7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729E093" w14:textId="77777777" w:rsidR="008562DC" w:rsidRPr="00A6198D" w:rsidRDefault="008562DC" w:rsidP="00BA469C">
            <w:pPr>
              <w:keepNext/>
              <w:spacing w:before="0" w:line="276" w:lineRule="auto"/>
              <w:rPr>
                <w:sz w:val="16"/>
                <w:szCs w:val="16"/>
              </w:rPr>
            </w:pPr>
            <w:r w:rsidRPr="00AE0410">
              <w:rPr>
                <w:sz w:val="16"/>
                <w:szCs w:val="16"/>
              </w:rPr>
              <w:t>121,0</w:t>
            </w:r>
          </w:p>
        </w:tc>
      </w:tr>
      <w:tr w:rsidR="008562DC" w:rsidRPr="00A6198D" w14:paraId="77DCD6EC"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47306C5A" w14:textId="77777777" w:rsidR="008562DC" w:rsidRPr="00A6198D" w:rsidRDefault="008562DC" w:rsidP="00BA469C">
            <w:pPr>
              <w:keepNext/>
              <w:spacing w:before="0" w:line="276" w:lineRule="auto"/>
              <w:rPr>
                <w:sz w:val="16"/>
                <w:szCs w:val="16"/>
              </w:rPr>
            </w:pPr>
            <w:r w:rsidRPr="00A6198D">
              <w:rPr>
                <w:sz w:val="16"/>
                <w:szCs w:val="16"/>
              </w:rPr>
              <w:t>Čista izguba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27B994EF" w14:textId="77777777" w:rsidR="008562DC" w:rsidRPr="00A6198D" w:rsidRDefault="008562DC" w:rsidP="00BA469C">
            <w:pPr>
              <w:keepNext/>
              <w:spacing w:before="0" w:line="276" w:lineRule="auto"/>
              <w:rPr>
                <w:sz w:val="16"/>
                <w:szCs w:val="16"/>
              </w:rPr>
            </w:pPr>
            <w:r w:rsidRPr="00A6198D">
              <w:rPr>
                <w:sz w:val="16"/>
                <w:szCs w:val="16"/>
              </w:rPr>
              <w:t>36,2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5935F4E" w14:textId="77777777" w:rsidR="008562DC" w:rsidRPr="00A6198D" w:rsidRDefault="008562DC" w:rsidP="00BA469C">
            <w:pPr>
              <w:keepNext/>
              <w:spacing w:before="0" w:line="276" w:lineRule="auto"/>
              <w:rPr>
                <w:sz w:val="16"/>
                <w:szCs w:val="16"/>
              </w:rPr>
            </w:pPr>
            <w:r w:rsidRPr="00A6198D">
              <w:rPr>
                <w:sz w:val="16"/>
                <w:szCs w:val="16"/>
              </w:rPr>
              <w:t>15,2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1BBFBF1" w14:textId="77777777" w:rsidR="008562DC" w:rsidRPr="00A6198D" w:rsidRDefault="008562DC" w:rsidP="00BA469C">
            <w:pPr>
              <w:keepNext/>
              <w:spacing w:before="0" w:line="276" w:lineRule="auto"/>
              <w:rPr>
                <w:sz w:val="16"/>
                <w:szCs w:val="16"/>
              </w:rPr>
            </w:pPr>
            <w:r w:rsidRPr="00A6198D">
              <w:rPr>
                <w:sz w:val="16"/>
                <w:szCs w:val="16"/>
              </w:rPr>
              <w:t>11,6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3BD26C4" w14:textId="77777777" w:rsidR="008562DC" w:rsidRPr="00A6198D" w:rsidRDefault="008562DC" w:rsidP="00BA469C">
            <w:pPr>
              <w:keepNext/>
              <w:spacing w:before="0" w:line="276" w:lineRule="auto"/>
              <w:rPr>
                <w:sz w:val="16"/>
                <w:szCs w:val="16"/>
              </w:rPr>
            </w:pPr>
            <w:r w:rsidRPr="00A6198D">
              <w:rPr>
                <w:sz w:val="16"/>
                <w:szCs w:val="16"/>
              </w:rPr>
              <w:t>13,5</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7A84FB5A" w14:textId="77777777" w:rsidR="008562DC" w:rsidRPr="00A6198D" w:rsidRDefault="008562DC" w:rsidP="00BA469C">
            <w:pPr>
              <w:keepNext/>
              <w:spacing w:before="0" w:line="276" w:lineRule="auto"/>
              <w:rPr>
                <w:sz w:val="16"/>
                <w:szCs w:val="16"/>
              </w:rPr>
            </w:pPr>
            <w:r w:rsidRPr="00A6198D">
              <w:rPr>
                <w:sz w:val="16"/>
                <w:szCs w:val="16"/>
              </w:rPr>
              <w:t>10,8</w:t>
            </w:r>
          </w:p>
        </w:tc>
        <w:tc>
          <w:tcPr>
            <w:tcW w:w="438" w:type="pct"/>
            <w:tcBorders>
              <w:top w:val="single" w:sz="4" w:space="0" w:color="008000"/>
              <w:left w:val="single" w:sz="4" w:space="0" w:color="008000"/>
              <w:bottom w:val="single" w:sz="4" w:space="0" w:color="008000"/>
              <w:right w:val="single" w:sz="4" w:space="0" w:color="008000"/>
            </w:tcBorders>
            <w:vAlign w:val="bottom"/>
          </w:tcPr>
          <w:p w14:paraId="5AAB96D7" w14:textId="77777777" w:rsidR="008562DC" w:rsidRPr="00A6198D" w:rsidRDefault="008562DC" w:rsidP="00BA469C">
            <w:pPr>
              <w:keepNext/>
              <w:spacing w:before="0" w:line="276" w:lineRule="auto"/>
              <w:rPr>
                <w:sz w:val="16"/>
                <w:szCs w:val="16"/>
              </w:rPr>
            </w:pPr>
            <w:r w:rsidRPr="00A6198D">
              <w:rPr>
                <w:sz w:val="16"/>
                <w:szCs w:val="16"/>
              </w:rPr>
              <w:t>8,0</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3C6ACB9" w14:textId="77777777" w:rsidR="008562DC" w:rsidRPr="00A6198D" w:rsidRDefault="008562DC" w:rsidP="00BA469C">
            <w:pPr>
              <w:keepNext/>
              <w:spacing w:before="0" w:line="276" w:lineRule="auto"/>
              <w:rPr>
                <w:sz w:val="16"/>
                <w:szCs w:val="16"/>
              </w:rPr>
            </w:pPr>
            <w:r w:rsidRPr="00A6198D">
              <w:rPr>
                <w:sz w:val="16"/>
                <w:szCs w:val="16"/>
              </w:rPr>
              <w:t>72,9</w:t>
            </w:r>
          </w:p>
        </w:tc>
      </w:tr>
      <w:tr w:rsidR="008562DC" w:rsidRPr="00A6198D" w14:paraId="34F73D70"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6E2E11E5" w14:textId="77777777" w:rsidR="008562DC" w:rsidRPr="00A6198D" w:rsidRDefault="008562DC" w:rsidP="00BA469C">
            <w:pPr>
              <w:keepNext/>
              <w:spacing w:before="0" w:line="276" w:lineRule="auto"/>
              <w:rPr>
                <w:sz w:val="16"/>
                <w:szCs w:val="16"/>
              </w:rPr>
            </w:pPr>
            <w:r w:rsidRPr="00A6198D">
              <w:rPr>
                <w:sz w:val="16"/>
                <w:szCs w:val="16"/>
              </w:rPr>
              <w:t>Neto čisti dobiček/izguba (mio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8716943" w14:textId="77777777" w:rsidR="008562DC" w:rsidRPr="00A6198D" w:rsidRDefault="008562DC" w:rsidP="00BA469C">
            <w:pPr>
              <w:keepNext/>
              <w:spacing w:before="0" w:line="276" w:lineRule="auto"/>
              <w:rPr>
                <w:sz w:val="16"/>
                <w:szCs w:val="16"/>
              </w:rPr>
            </w:pPr>
            <w:r w:rsidRPr="00A6198D">
              <w:rPr>
                <w:sz w:val="16"/>
                <w:szCs w:val="16"/>
              </w:rPr>
              <w:t>34,4</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1E01EE9" w14:textId="77777777" w:rsidR="008562DC" w:rsidRPr="00A6198D" w:rsidRDefault="008562DC" w:rsidP="00BA469C">
            <w:pPr>
              <w:keepNext/>
              <w:spacing w:before="0" w:line="276" w:lineRule="auto"/>
              <w:rPr>
                <w:sz w:val="16"/>
                <w:szCs w:val="16"/>
              </w:rPr>
            </w:pPr>
            <w:r w:rsidRPr="00A6198D">
              <w:rPr>
                <w:sz w:val="16"/>
                <w:szCs w:val="16"/>
              </w:rPr>
              <w:t>70,3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0E95F3" w14:textId="77777777" w:rsidR="008562DC" w:rsidRPr="00A6198D" w:rsidRDefault="008562DC" w:rsidP="00BA469C">
            <w:pPr>
              <w:keepNext/>
              <w:spacing w:before="0" w:line="276" w:lineRule="auto"/>
              <w:rPr>
                <w:sz w:val="16"/>
                <w:szCs w:val="16"/>
              </w:rPr>
            </w:pPr>
            <w:r w:rsidRPr="00A6198D">
              <w:rPr>
                <w:sz w:val="16"/>
                <w:szCs w:val="16"/>
              </w:rPr>
              <w:t>76,3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109B8C28" w14:textId="77777777" w:rsidR="008562DC" w:rsidRPr="00A6198D" w:rsidRDefault="008562DC" w:rsidP="00BA469C">
            <w:pPr>
              <w:keepNext/>
              <w:spacing w:before="0" w:line="276" w:lineRule="auto"/>
              <w:rPr>
                <w:sz w:val="16"/>
                <w:szCs w:val="16"/>
              </w:rPr>
            </w:pPr>
            <w:r w:rsidRPr="00A6198D">
              <w:rPr>
                <w:sz w:val="16"/>
                <w:szCs w:val="16"/>
              </w:rPr>
              <w:t>81,0</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3A5C9E31" w14:textId="77777777" w:rsidR="008562DC" w:rsidRPr="00A6198D" w:rsidRDefault="008562DC" w:rsidP="00BA469C">
            <w:pPr>
              <w:keepNext/>
              <w:spacing w:before="0" w:line="276" w:lineRule="auto"/>
              <w:rPr>
                <w:sz w:val="16"/>
                <w:szCs w:val="16"/>
              </w:rPr>
            </w:pPr>
            <w:r w:rsidRPr="00A6198D">
              <w:rPr>
                <w:sz w:val="16"/>
                <w:szCs w:val="16"/>
              </w:rPr>
              <w:t>100,4</w:t>
            </w:r>
          </w:p>
        </w:tc>
        <w:tc>
          <w:tcPr>
            <w:tcW w:w="438" w:type="pct"/>
            <w:tcBorders>
              <w:top w:val="single" w:sz="4" w:space="0" w:color="008000"/>
              <w:left w:val="single" w:sz="4" w:space="0" w:color="008000"/>
              <w:bottom w:val="single" w:sz="4" w:space="0" w:color="008000"/>
              <w:right w:val="single" w:sz="4" w:space="0" w:color="008000"/>
            </w:tcBorders>
            <w:vAlign w:val="bottom"/>
          </w:tcPr>
          <w:p w14:paraId="0E2D9878" w14:textId="77777777" w:rsidR="008562DC" w:rsidRPr="00A6198D" w:rsidRDefault="008562DC" w:rsidP="00BA469C">
            <w:pPr>
              <w:keepNext/>
              <w:spacing w:before="0" w:line="276" w:lineRule="auto"/>
              <w:rPr>
                <w:sz w:val="16"/>
                <w:szCs w:val="16"/>
              </w:rPr>
            </w:pPr>
            <w:r w:rsidRPr="00A6198D">
              <w:rPr>
                <w:sz w:val="16"/>
                <w:szCs w:val="16"/>
              </w:rPr>
              <w:t>128,7</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63EDED5" w14:textId="77777777" w:rsidR="008562DC" w:rsidRPr="00A6198D" w:rsidRDefault="008562DC" w:rsidP="00BA469C">
            <w:pPr>
              <w:keepNext/>
              <w:spacing w:before="0" w:line="276" w:lineRule="auto"/>
              <w:rPr>
                <w:sz w:val="16"/>
                <w:szCs w:val="16"/>
              </w:rPr>
            </w:pPr>
            <w:r w:rsidRPr="00A6198D">
              <w:rPr>
                <w:sz w:val="16"/>
                <w:szCs w:val="16"/>
              </w:rPr>
              <w:t>126,2</w:t>
            </w:r>
          </w:p>
        </w:tc>
      </w:tr>
      <w:tr w:rsidR="008562DC" w:rsidRPr="00A6198D" w14:paraId="22CC2B87" w14:textId="77777777" w:rsidTr="00BA469C">
        <w:trPr>
          <w:trHeight w:val="170"/>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BFCC40A" w14:textId="77777777" w:rsidR="008562DC" w:rsidRPr="00A6198D" w:rsidRDefault="008562DC" w:rsidP="00BA469C">
            <w:pPr>
              <w:keepNext/>
              <w:spacing w:before="0" w:line="276" w:lineRule="auto"/>
              <w:rPr>
                <w:sz w:val="16"/>
                <w:szCs w:val="16"/>
              </w:rPr>
            </w:pPr>
            <w:r w:rsidRPr="00A6198D">
              <w:rPr>
                <w:sz w:val="16"/>
                <w:szCs w:val="16"/>
              </w:rPr>
              <w:t>Dobiček/izguba na zaposlenega (000 EUR)</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AF958A5" w14:textId="77777777" w:rsidR="008562DC" w:rsidRPr="00A6198D" w:rsidRDefault="008562DC" w:rsidP="00BA469C">
            <w:pPr>
              <w:keepNext/>
              <w:spacing w:before="0" w:line="276" w:lineRule="auto"/>
              <w:rPr>
                <w:sz w:val="16"/>
                <w:szCs w:val="16"/>
              </w:rPr>
            </w:pPr>
            <w:r w:rsidRPr="00A6198D">
              <w:rPr>
                <w:sz w:val="16"/>
                <w:szCs w:val="16"/>
              </w:rPr>
              <w:t>2,8</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ACAA7CE" w14:textId="77777777" w:rsidR="008562DC" w:rsidRPr="00A6198D" w:rsidRDefault="008562DC" w:rsidP="00BA469C">
            <w:pPr>
              <w:keepNext/>
              <w:spacing w:before="0" w:line="276" w:lineRule="auto"/>
              <w:rPr>
                <w:sz w:val="16"/>
                <w:szCs w:val="16"/>
              </w:rPr>
            </w:pPr>
            <w:r w:rsidRPr="00A6198D">
              <w:rPr>
                <w:sz w:val="16"/>
                <w:szCs w:val="16"/>
              </w:rPr>
              <w:t>5,6</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B945909" w14:textId="77777777" w:rsidR="008562DC" w:rsidRPr="00A6198D" w:rsidRDefault="008562DC" w:rsidP="00BA469C">
            <w:pPr>
              <w:keepNext/>
              <w:spacing w:before="0" w:line="276" w:lineRule="auto"/>
              <w:rPr>
                <w:sz w:val="16"/>
                <w:szCs w:val="16"/>
              </w:rPr>
            </w:pPr>
            <w:r w:rsidRPr="00A6198D">
              <w:rPr>
                <w:sz w:val="16"/>
                <w:szCs w:val="16"/>
              </w:rPr>
              <w:t>5,7</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652887E2" w14:textId="77777777" w:rsidR="008562DC" w:rsidRPr="00A6198D" w:rsidRDefault="008562DC" w:rsidP="00BA469C">
            <w:pPr>
              <w:keepNext/>
              <w:spacing w:before="0" w:line="276" w:lineRule="auto"/>
              <w:rPr>
                <w:sz w:val="16"/>
                <w:szCs w:val="16"/>
              </w:rPr>
            </w:pPr>
            <w:r w:rsidRPr="00A6198D">
              <w:rPr>
                <w:sz w:val="16"/>
                <w:szCs w:val="16"/>
              </w:rPr>
              <w:t>5,9</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5EF1CC3B" w14:textId="77777777" w:rsidR="008562DC" w:rsidRPr="00A6198D" w:rsidRDefault="008562DC" w:rsidP="00BA469C">
            <w:pPr>
              <w:keepNext/>
              <w:spacing w:before="0" w:line="276" w:lineRule="auto"/>
              <w:rPr>
                <w:sz w:val="16"/>
                <w:szCs w:val="16"/>
              </w:rPr>
            </w:pPr>
            <w:r w:rsidRPr="00A6198D">
              <w:rPr>
                <w:sz w:val="16"/>
                <w:szCs w:val="16"/>
              </w:rPr>
              <w:t>7,1</w:t>
            </w:r>
          </w:p>
        </w:tc>
        <w:tc>
          <w:tcPr>
            <w:tcW w:w="438" w:type="pct"/>
            <w:tcBorders>
              <w:top w:val="single" w:sz="4" w:space="0" w:color="008000"/>
              <w:left w:val="single" w:sz="4" w:space="0" w:color="008000"/>
              <w:bottom w:val="single" w:sz="4" w:space="0" w:color="008000"/>
              <w:right w:val="single" w:sz="4" w:space="0" w:color="008000"/>
            </w:tcBorders>
            <w:vAlign w:val="bottom"/>
          </w:tcPr>
          <w:p w14:paraId="7D34D92F" w14:textId="77777777" w:rsidR="008562DC" w:rsidRPr="00A6198D" w:rsidRDefault="008562DC" w:rsidP="00BA469C">
            <w:pPr>
              <w:keepNext/>
              <w:spacing w:before="0" w:line="276" w:lineRule="auto"/>
              <w:rPr>
                <w:sz w:val="16"/>
                <w:szCs w:val="16"/>
              </w:rPr>
            </w:pPr>
            <w:r w:rsidRPr="00A6198D">
              <w:rPr>
                <w:sz w:val="16"/>
                <w:szCs w:val="16"/>
              </w:rPr>
              <w:t>8,8</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6F7CD389" w14:textId="77777777" w:rsidR="008562DC" w:rsidRPr="00A6198D" w:rsidRDefault="008562DC" w:rsidP="00BA469C">
            <w:pPr>
              <w:keepNext/>
              <w:spacing w:before="0" w:line="276" w:lineRule="auto"/>
              <w:rPr>
                <w:sz w:val="16"/>
                <w:szCs w:val="16"/>
              </w:rPr>
            </w:pPr>
            <w:r w:rsidRPr="00A6198D">
              <w:rPr>
                <w:sz w:val="16"/>
                <w:szCs w:val="16"/>
              </w:rPr>
              <w:t>122,0</w:t>
            </w:r>
          </w:p>
        </w:tc>
      </w:tr>
      <w:tr w:rsidR="008562DC" w:rsidRPr="00A6198D" w14:paraId="076C8719" w14:textId="77777777" w:rsidTr="00BA469C">
        <w:trPr>
          <w:trHeight w:val="254"/>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0DAE9E28" w14:textId="77777777" w:rsidR="008562DC" w:rsidRPr="00A6198D" w:rsidRDefault="008562DC" w:rsidP="00BA469C">
            <w:pPr>
              <w:keepNext/>
              <w:spacing w:before="0" w:line="276" w:lineRule="auto"/>
              <w:rPr>
                <w:sz w:val="16"/>
                <w:szCs w:val="16"/>
              </w:rPr>
            </w:pPr>
            <w:r w:rsidRPr="00A6198D">
              <w:rPr>
                <w:sz w:val="16"/>
                <w:szCs w:val="16"/>
              </w:rPr>
              <w:t>Donosnost sredstev (ROA)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7EF61C46" w14:textId="77777777" w:rsidR="008562DC" w:rsidRPr="00A6198D" w:rsidRDefault="008562DC" w:rsidP="00BA469C">
            <w:pPr>
              <w:keepNext/>
              <w:spacing w:before="0" w:line="276" w:lineRule="auto"/>
              <w:rPr>
                <w:sz w:val="16"/>
                <w:szCs w:val="16"/>
              </w:rPr>
            </w:pPr>
            <w:r w:rsidRPr="00A6198D">
              <w:rPr>
                <w:sz w:val="16"/>
                <w:szCs w:val="16"/>
              </w:rPr>
              <w:t>1,53</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42A7AF07" w14:textId="77777777" w:rsidR="008562DC" w:rsidRPr="00A6198D" w:rsidRDefault="008562DC" w:rsidP="00BA469C">
            <w:pPr>
              <w:keepNext/>
              <w:spacing w:before="0" w:line="276" w:lineRule="auto"/>
              <w:rPr>
                <w:sz w:val="16"/>
                <w:szCs w:val="16"/>
              </w:rPr>
            </w:pPr>
            <w:r w:rsidRPr="00A6198D">
              <w:rPr>
                <w:sz w:val="16"/>
                <w:szCs w:val="16"/>
              </w:rPr>
              <w:t>3,21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5F2744A" w14:textId="77777777" w:rsidR="008562DC" w:rsidRPr="00A6198D" w:rsidRDefault="008562DC" w:rsidP="00BA469C">
            <w:pPr>
              <w:keepNext/>
              <w:spacing w:before="0" w:line="276" w:lineRule="auto"/>
              <w:rPr>
                <w:sz w:val="16"/>
                <w:szCs w:val="16"/>
              </w:rPr>
            </w:pPr>
            <w:r w:rsidRPr="00A6198D">
              <w:rPr>
                <w:sz w:val="16"/>
                <w:szCs w:val="16"/>
              </w:rPr>
              <w:t>3,70</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3163FF12" w14:textId="77777777" w:rsidR="008562DC" w:rsidRPr="00A6198D" w:rsidRDefault="008562DC" w:rsidP="00BA469C">
            <w:pPr>
              <w:keepNext/>
              <w:spacing w:before="0" w:line="276" w:lineRule="auto"/>
              <w:rPr>
                <w:sz w:val="16"/>
                <w:szCs w:val="16"/>
              </w:rPr>
            </w:pPr>
            <w:r w:rsidRPr="00A6198D">
              <w:rPr>
                <w:sz w:val="16"/>
                <w:szCs w:val="16"/>
              </w:rPr>
              <w:t>3,67</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643D1441" w14:textId="77777777" w:rsidR="008562DC" w:rsidRPr="00A6198D" w:rsidRDefault="008562DC" w:rsidP="00BA469C">
            <w:pPr>
              <w:keepNext/>
              <w:spacing w:before="0" w:line="276" w:lineRule="auto"/>
              <w:rPr>
                <w:sz w:val="16"/>
                <w:szCs w:val="16"/>
              </w:rPr>
            </w:pPr>
            <w:r w:rsidRPr="00A6198D">
              <w:rPr>
                <w:sz w:val="16"/>
                <w:szCs w:val="16"/>
              </w:rPr>
              <w:t>4,55</w:t>
            </w:r>
          </w:p>
        </w:tc>
        <w:tc>
          <w:tcPr>
            <w:tcW w:w="438" w:type="pct"/>
            <w:tcBorders>
              <w:top w:val="single" w:sz="4" w:space="0" w:color="008000"/>
              <w:left w:val="single" w:sz="4" w:space="0" w:color="008000"/>
              <w:bottom w:val="single" w:sz="4" w:space="0" w:color="008000"/>
              <w:right w:val="single" w:sz="4" w:space="0" w:color="008000"/>
            </w:tcBorders>
            <w:vAlign w:val="bottom"/>
          </w:tcPr>
          <w:p w14:paraId="163EDCBB" w14:textId="77777777" w:rsidR="008562DC" w:rsidRPr="00A6198D" w:rsidRDefault="008562DC" w:rsidP="00BA469C">
            <w:pPr>
              <w:keepNext/>
              <w:spacing w:before="0" w:line="276" w:lineRule="auto"/>
              <w:rPr>
                <w:sz w:val="16"/>
                <w:szCs w:val="16"/>
              </w:rPr>
            </w:pPr>
            <w:r w:rsidRPr="00A6198D">
              <w:rPr>
                <w:sz w:val="16"/>
                <w:szCs w:val="16"/>
              </w:rPr>
              <w:t>5,56</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04A6A09E" w14:textId="77777777" w:rsidR="008562DC" w:rsidRPr="00A6198D" w:rsidRDefault="008562DC" w:rsidP="00BA469C">
            <w:pPr>
              <w:keepNext/>
              <w:spacing w:before="0" w:line="276" w:lineRule="auto"/>
              <w:rPr>
                <w:sz w:val="16"/>
                <w:szCs w:val="16"/>
              </w:rPr>
            </w:pPr>
            <w:r w:rsidRPr="00A6198D">
              <w:rPr>
                <w:sz w:val="16"/>
                <w:szCs w:val="16"/>
              </w:rPr>
              <w:t>120,3</w:t>
            </w:r>
          </w:p>
        </w:tc>
      </w:tr>
      <w:tr w:rsidR="008562DC" w:rsidRPr="00A6198D" w14:paraId="6C818D82" w14:textId="77777777" w:rsidTr="00BA469C">
        <w:trPr>
          <w:trHeight w:val="217"/>
          <w:jc w:val="center"/>
        </w:trPr>
        <w:tc>
          <w:tcPr>
            <w:tcW w:w="1860" w:type="pct"/>
            <w:tcBorders>
              <w:top w:val="single" w:sz="4" w:space="0" w:color="008000"/>
              <w:left w:val="single" w:sz="4" w:space="0" w:color="008000"/>
              <w:bottom w:val="single" w:sz="4" w:space="0" w:color="008000"/>
              <w:right w:val="single" w:sz="4" w:space="0" w:color="008000"/>
            </w:tcBorders>
            <w:vAlign w:val="center"/>
            <w:hideMark/>
          </w:tcPr>
          <w:p w14:paraId="69877850" w14:textId="77777777" w:rsidR="008562DC" w:rsidRPr="00A6198D" w:rsidRDefault="008562DC" w:rsidP="00BA469C">
            <w:pPr>
              <w:keepNext/>
              <w:spacing w:before="0" w:line="276" w:lineRule="auto"/>
              <w:rPr>
                <w:sz w:val="16"/>
                <w:szCs w:val="16"/>
              </w:rPr>
            </w:pPr>
            <w:r w:rsidRPr="00A6198D">
              <w:rPr>
                <w:sz w:val="16"/>
                <w:szCs w:val="16"/>
              </w:rPr>
              <w:t>Donosnost prodaje (ROS) (%)</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D1F71AD" w14:textId="77777777" w:rsidR="008562DC" w:rsidRPr="00A6198D" w:rsidRDefault="008562DC" w:rsidP="00BA469C">
            <w:pPr>
              <w:keepNext/>
              <w:spacing w:before="0" w:line="276" w:lineRule="auto"/>
              <w:rPr>
                <w:sz w:val="16"/>
                <w:szCs w:val="16"/>
              </w:rPr>
            </w:pPr>
            <w:r w:rsidRPr="00A6198D">
              <w:rPr>
                <w:sz w:val="16"/>
                <w:szCs w:val="16"/>
              </w:rPr>
              <w:t>1,71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A58C0CF" w14:textId="77777777" w:rsidR="008562DC" w:rsidRPr="00A6198D" w:rsidRDefault="008562DC" w:rsidP="00BA469C">
            <w:pPr>
              <w:keepNext/>
              <w:spacing w:before="0" w:line="276" w:lineRule="auto"/>
              <w:rPr>
                <w:sz w:val="16"/>
                <w:szCs w:val="16"/>
              </w:rPr>
            </w:pPr>
            <w:r w:rsidRPr="00A6198D">
              <w:rPr>
                <w:sz w:val="16"/>
                <w:szCs w:val="16"/>
              </w:rPr>
              <w:t>3,41</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09E97934" w14:textId="77777777" w:rsidR="008562DC" w:rsidRPr="00A6198D" w:rsidRDefault="008562DC" w:rsidP="00BA469C">
            <w:pPr>
              <w:keepNext/>
              <w:spacing w:before="0" w:line="276" w:lineRule="auto"/>
              <w:rPr>
                <w:sz w:val="16"/>
                <w:szCs w:val="16"/>
              </w:rPr>
            </w:pPr>
            <w:r w:rsidRPr="00A6198D">
              <w:rPr>
                <w:sz w:val="16"/>
                <w:szCs w:val="16"/>
              </w:rPr>
              <w:t>3,72</w:t>
            </w:r>
          </w:p>
        </w:tc>
        <w:tc>
          <w:tcPr>
            <w:tcW w:w="439" w:type="pct"/>
            <w:tcBorders>
              <w:top w:val="single" w:sz="4" w:space="0" w:color="008000"/>
              <w:left w:val="single" w:sz="4" w:space="0" w:color="008000"/>
              <w:bottom w:val="single" w:sz="4" w:space="0" w:color="008000"/>
              <w:right w:val="single" w:sz="4" w:space="0" w:color="008000"/>
            </w:tcBorders>
            <w:vAlign w:val="bottom"/>
            <w:hideMark/>
          </w:tcPr>
          <w:p w14:paraId="5CDB759D" w14:textId="77777777" w:rsidR="008562DC" w:rsidRPr="00A6198D" w:rsidRDefault="008562DC" w:rsidP="00BA469C">
            <w:pPr>
              <w:keepNext/>
              <w:spacing w:before="0" w:line="276" w:lineRule="auto"/>
              <w:rPr>
                <w:sz w:val="16"/>
                <w:szCs w:val="16"/>
              </w:rPr>
            </w:pPr>
            <w:r w:rsidRPr="00A6198D">
              <w:rPr>
                <w:sz w:val="16"/>
                <w:szCs w:val="16"/>
              </w:rPr>
              <w:t>3,76</w:t>
            </w:r>
          </w:p>
        </w:tc>
        <w:tc>
          <w:tcPr>
            <w:tcW w:w="438" w:type="pct"/>
            <w:tcBorders>
              <w:top w:val="single" w:sz="4" w:space="0" w:color="008000"/>
              <w:left w:val="single" w:sz="4" w:space="0" w:color="008000"/>
              <w:bottom w:val="single" w:sz="4" w:space="0" w:color="008000"/>
              <w:right w:val="single" w:sz="4" w:space="0" w:color="008000"/>
            </w:tcBorders>
            <w:vAlign w:val="bottom"/>
            <w:hideMark/>
          </w:tcPr>
          <w:p w14:paraId="6A3BEAF0" w14:textId="77777777" w:rsidR="008562DC" w:rsidRPr="00A6198D" w:rsidRDefault="008562DC" w:rsidP="00BA469C">
            <w:pPr>
              <w:keepNext/>
              <w:spacing w:before="0" w:line="276" w:lineRule="auto"/>
              <w:rPr>
                <w:sz w:val="16"/>
                <w:szCs w:val="16"/>
              </w:rPr>
            </w:pPr>
            <w:r w:rsidRPr="00A6198D">
              <w:rPr>
                <w:sz w:val="16"/>
                <w:szCs w:val="16"/>
              </w:rPr>
              <w:t>4,58</w:t>
            </w:r>
          </w:p>
        </w:tc>
        <w:tc>
          <w:tcPr>
            <w:tcW w:w="438" w:type="pct"/>
            <w:tcBorders>
              <w:top w:val="single" w:sz="4" w:space="0" w:color="008000"/>
              <w:left w:val="single" w:sz="4" w:space="0" w:color="008000"/>
              <w:bottom w:val="single" w:sz="4" w:space="0" w:color="008000"/>
              <w:right w:val="single" w:sz="4" w:space="0" w:color="008000"/>
            </w:tcBorders>
            <w:vAlign w:val="bottom"/>
          </w:tcPr>
          <w:p w14:paraId="17B0F067" w14:textId="77777777" w:rsidR="008562DC" w:rsidRPr="00A6198D" w:rsidRDefault="008562DC" w:rsidP="00BA469C">
            <w:pPr>
              <w:keepNext/>
              <w:spacing w:before="0" w:line="276" w:lineRule="auto"/>
              <w:rPr>
                <w:sz w:val="16"/>
                <w:szCs w:val="16"/>
              </w:rPr>
            </w:pPr>
            <w:r w:rsidRPr="00A6198D">
              <w:rPr>
                <w:sz w:val="16"/>
                <w:szCs w:val="16"/>
              </w:rPr>
              <w:t>5,60</w:t>
            </w:r>
          </w:p>
        </w:tc>
        <w:tc>
          <w:tcPr>
            <w:tcW w:w="509" w:type="pct"/>
            <w:tcBorders>
              <w:top w:val="single" w:sz="4" w:space="0" w:color="008000"/>
              <w:left w:val="nil"/>
              <w:bottom w:val="single" w:sz="4" w:space="0" w:color="008000"/>
              <w:right w:val="single" w:sz="4" w:space="0" w:color="008000"/>
            </w:tcBorders>
            <w:shd w:val="clear" w:color="auto" w:fill="auto"/>
            <w:vAlign w:val="bottom"/>
          </w:tcPr>
          <w:p w14:paraId="7A035284" w14:textId="77777777" w:rsidR="008562DC" w:rsidRPr="00A6198D" w:rsidRDefault="008562DC" w:rsidP="00BA469C">
            <w:pPr>
              <w:keepNext/>
              <w:spacing w:before="0" w:line="276" w:lineRule="auto"/>
              <w:rPr>
                <w:sz w:val="16"/>
                <w:szCs w:val="16"/>
              </w:rPr>
            </w:pPr>
            <w:r w:rsidRPr="00A6198D">
              <w:rPr>
                <w:sz w:val="16"/>
                <w:szCs w:val="16"/>
              </w:rPr>
              <w:t>120,4</w:t>
            </w:r>
          </w:p>
        </w:tc>
      </w:tr>
    </w:tbl>
    <w:p w14:paraId="575127F5" w14:textId="7FE53C7F"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19B9D4D5" w14:textId="77777777" w:rsidR="004D4726" w:rsidRPr="0047652B" w:rsidRDefault="004D4726" w:rsidP="007613FE">
      <w:pPr>
        <w:spacing w:before="0" w:line="260" w:lineRule="atLeast"/>
        <w:rPr>
          <w:sz w:val="20"/>
          <w:szCs w:val="20"/>
        </w:rPr>
      </w:pPr>
    </w:p>
    <w:p w14:paraId="09269D17" w14:textId="1904A1A4" w:rsidR="003406B9" w:rsidRPr="009F3567" w:rsidRDefault="003406B9" w:rsidP="007E558D">
      <w:pPr>
        <w:pStyle w:val="Naslov2"/>
      </w:pPr>
      <w:bookmarkStart w:id="3186" w:name="_Toc86822610"/>
      <w:r w:rsidRPr="009F3567">
        <w:t>Pomen živilskopredelovalne panoge v makroekonomskih agregatih in trendi v obsegu proizvodnje</w:t>
      </w:r>
      <w:bookmarkEnd w:id="3186"/>
      <w:r w:rsidRPr="009F3567">
        <w:t xml:space="preserve"> </w:t>
      </w:r>
    </w:p>
    <w:p w14:paraId="29652731" w14:textId="77777777" w:rsidR="003406B9" w:rsidRPr="0047652B" w:rsidRDefault="003406B9" w:rsidP="007613FE">
      <w:pPr>
        <w:spacing w:before="0" w:line="260" w:lineRule="atLeast"/>
        <w:rPr>
          <w:sz w:val="20"/>
          <w:szCs w:val="20"/>
        </w:rPr>
      </w:pPr>
    </w:p>
    <w:p w14:paraId="33B66244" w14:textId="19177C81" w:rsidR="003406B9" w:rsidRPr="007E558D" w:rsidRDefault="003406B9" w:rsidP="007613FE">
      <w:pPr>
        <w:spacing w:before="0" w:line="260" w:lineRule="atLeast"/>
        <w:rPr>
          <w:szCs w:val="20"/>
          <w:lang w:eastAsia="en-US"/>
        </w:rPr>
      </w:pPr>
      <w:r w:rsidRPr="007E558D">
        <w:rPr>
          <w:szCs w:val="20"/>
        </w:rPr>
        <w:t xml:space="preserve">Slovenska </w:t>
      </w:r>
      <w:r w:rsidR="00C746DF" w:rsidRPr="007E558D">
        <w:rPr>
          <w:szCs w:val="20"/>
        </w:rPr>
        <w:t>ŽPI</w:t>
      </w:r>
      <w:r w:rsidRPr="007E558D">
        <w:rPr>
          <w:szCs w:val="20"/>
        </w:rPr>
        <w:t xml:space="preserve"> </w:t>
      </w:r>
      <w:r w:rsidRPr="007E558D">
        <w:rPr>
          <w:szCs w:val="20"/>
          <w:lang w:eastAsia="en-US"/>
        </w:rPr>
        <w:t>k skupni dodani vrednosti nacionalnega gospodarstva v zadnjih letih prispeva okoli 1,5 %, k skupni zaposlenosti pa okoli 1,7 %.</w:t>
      </w:r>
    </w:p>
    <w:p w14:paraId="2F4D8707" w14:textId="69542964" w:rsidR="00BC2647" w:rsidRDefault="00BC2647" w:rsidP="007613FE">
      <w:pPr>
        <w:spacing w:before="0" w:line="260" w:lineRule="atLeast"/>
        <w:rPr>
          <w:sz w:val="20"/>
          <w:szCs w:val="20"/>
          <w:lang w:eastAsia="en-US"/>
        </w:rPr>
      </w:pPr>
    </w:p>
    <w:p w14:paraId="517DB846" w14:textId="78E2DAD9" w:rsidR="00A15A53" w:rsidRPr="00BF5A01" w:rsidRDefault="00BC2647" w:rsidP="007E558D">
      <w:pPr>
        <w:pStyle w:val="SCPreglednica"/>
      </w:pPr>
      <w:bookmarkStart w:id="3187" w:name="_Toc86822663"/>
      <w:r w:rsidRPr="009F3567">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25</w:t>
      </w:r>
      <w:r w:rsidR="009F2591">
        <w:rPr>
          <w:noProof/>
        </w:rPr>
        <w:fldChar w:fldCharType="end"/>
      </w:r>
      <w:r w:rsidRPr="009F3567">
        <w:t>: Delež proizvodnje hrane in pijač (</w:t>
      </w:r>
      <w:r w:rsidR="00665585">
        <w:t>C10 in</w:t>
      </w:r>
      <w:r w:rsidRPr="009F3567">
        <w:t xml:space="preserve"> </w:t>
      </w:r>
      <w:r w:rsidR="00665585">
        <w:t>C</w:t>
      </w:r>
      <w:r w:rsidRPr="009F3567">
        <w:t>11) v predelovalni dejavnosti (C); 201</w:t>
      </w:r>
      <w:r w:rsidR="00742ADC">
        <w:t>4</w:t>
      </w:r>
      <w:r w:rsidRPr="009F3567">
        <w:t>–201</w:t>
      </w:r>
      <w:r w:rsidR="00742ADC">
        <w:t>9</w:t>
      </w:r>
      <w:bookmarkEnd w:id="3187"/>
    </w:p>
    <w:tbl>
      <w:tblPr>
        <w:tblW w:w="3452"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1752"/>
        <w:gridCol w:w="749"/>
        <w:gridCol w:w="751"/>
        <w:gridCol w:w="751"/>
        <w:gridCol w:w="751"/>
        <w:gridCol w:w="751"/>
        <w:gridCol w:w="751"/>
      </w:tblGrid>
      <w:tr w:rsidR="00742ADC" w:rsidRPr="00A1643A" w14:paraId="37139F0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D3C7E34" w14:textId="77777777" w:rsidR="00742ADC" w:rsidRPr="00A1643A" w:rsidRDefault="00742ADC" w:rsidP="004D6869">
            <w:pPr>
              <w:pStyle w:val="ZPpregtekst"/>
              <w:spacing w:before="0" w:line="276" w:lineRule="auto"/>
              <w:rPr>
                <w:szCs w:val="16"/>
              </w:rPr>
            </w:pPr>
          </w:p>
        </w:tc>
        <w:tc>
          <w:tcPr>
            <w:tcW w:w="599"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04C2589A" w14:textId="77777777" w:rsidR="00742ADC" w:rsidRPr="00A1643A" w:rsidRDefault="00742ADC" w:rsidP="004D6869">
            <w:pPr>
              <w:pStyle w:val="ZPpregtekst"/>
              <w:spacing w:before="0" w:line="276" w:lineRule="auto"/>
              <w:rPr>
                <w:b/>
                <w:szCs w:val="16"/>
              </w:rPr>
            </w:pPr>
            <w:r w:rsidRPr="00A1643A">
              <w:rPr>
                <w:b/>
                <w:szCs w:val="16"/>
              </w:rPr>
              <w:t>2014</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ECDB8E7" w14:textId="77777777" w:rsidR="00742ADC" w:rsidRPr="00A1643A" w:rsidRDefault="00742ADC" w:rsidP="004D6869">
            <w:pPr>
              <w:pStyle w:val="ZPpregtekst"/>
              <w:spacing w:before="0" w:line="276" w:lineRule="auto"/>
              <w:rPr>
                <w:b/>
                <w:szCs w:val="16"/>
              </w:rPr>
            </w:pPr>
            <w:r w:rsidRPr="00A1643A">
              <w:rPr>
                <w:b/>
                <w:szCs w:val="16"/>
              </w:rPr>
              <w:t>2015</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53B4F29" w14:textId="77777777" w:rsidR="00742ADC" w:rsidRPr="00A1643A" w:rsidRDefault="00742ADC" w:rsidP="004D6869">
            <w:pPr>
              <w:pStyle w:val="ZPpregtekst"/>
              <w:spacing w:before="0" w:line="276" w:lineRule="auto"/>
              <w:rPr>
                <w:b/>
                <w:szCs w:val="16"/>
              </w:rPr>
            </w:pPr>
            <w:r w:rsidRPr="00A1643A">
              <w:rPr>
                <w:b/>
                <w:szCs w:val="16"/>
              </w:rPr>
              <w:t>2016</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6F58982E" w14:textId="77777777" w:rsidR="00742ADC" w:rsidRPr="00A1643A" w:rsidRDefault="00742ADC" w:rsidP="004D6869">
            <w:pPr>
              <w:pStyle w:val="ZPpregtekst"/>
              <w:spacing w:before="0" w:line="276" w:lineRule="auto"/>
              <w:rPr>
                <w:b/>
                <w:szCs w:val="16"/>
              </w:rPr>
            </w:pPr>
            <w:r w:rsidRPr="00A1643A">
              <w:rPr>
                <w:b/>
                <w:szCs w:val="16"/>
              </w:rPr>
              <w:t>2017</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34D31712" w14:textId="77777777" w:rsidR="00742ADC" w:rsidRPr="00A1643A" w:rsidRDefault="00742ADC" w:rsidP="004D6869">
            <w:pPr>
              <w:pStyle w:val="ZPpregtekst"/>
              <w:spacing w:before="0" w:line="276" w:lineRule="auto"/>
              <w:rPr>
                <w:b/>
                <w:szCs w:val="16"/>
              </w:rPr>
            </w:pPr>
            <w:r w:rsidRPr="00A1643A">
              <w:rPr>
                <w:b/>
                <w:szCs w:val="16"/>
              </w:rPr>
              <w:t>2018</w:t>
            </w: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2128D8D8" w14:textId="77777777" w:rsidR="00742ADC" w:rsidRPr="00A1643A" w:rsidRDefault="00742ADC" w:rsidP="004D6869">
            <w:pPr>
              <w:pStyle w:val="ZPpregtekst"/>
              <w:spacing w:before="0" w:line="276" w:lineRule="auto"/>
              <w:rPr>
                <w:b/>
                <w:szCs w:val="16"/>
              </w:rPr>
            </w:pPr>
            <w:r w:rsidRPr="00A1643A">
              <w:rPr>
                <w:b/>
                <w:szCs w:val="16"/>
              </w:rPr>
              <w:t>2019</w:t>
            </w:r>
          </w:p>
        </w:tc>
      </w:tr>
      <w:tr w:rsidR="00A15A53" w:rsidRPr="00A1643A" w14:paraId="25D15375"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DE18059" w14:textId="77777777" w:rsidR="00A15A53" w:rsidRPr="00A1643A" w:rsidRDefault="00A15A53" w:rsidP="004D6869">
            <w:pPr>
              <w:pStyle w:val="ZPpregtekst"/>
              <w:spacing w:before="0" w:line="276" w:lineRule="auto"/>
              <w:rPr>
                <w:szCs w:val="16"/>
              </w:rPr>
            </w:pPr>
          </w:p>
        </w:tc>
        <w:tc>
          <w:tcPr>
            <w:tcW w:w="599"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F059C3E"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547BC0E"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C065481"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9E4B686"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63B0E78" w14:textId="77777777" w:rsidR="00A15A53" w:rsidRPr="00A1643A" w:rsidRDefault="00A15A53" w:rsidP="004D6869">
            <w:pPr>
              <w:pStyle w:val="ZPpregtekst"/>
              <w:spacing w:before="0" w:line="276" w:lineRule="auto"/>
              <w:rPr>
                <w:b/>
                <w:szCs w:val="16"/>
              </w:rPr>
            </w:pPr>
          </w:p>
        </w:tc>
        <w:tc>
          <w:tcPr>
            <w:tcW w:w="600"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2A6D8A1" w14:textId="77777777" w:rsidR="00A15A53" w:rsidRPr="00A1643A" w:rsidRDefault="00A15A53" w:rsidP="004D6869">
            <w:pPr>
              <w:pStyle w:val="ZPpregtekst"/>
              <w:spacing w:before="0" w:line="276" w:lineRule="auto"/>
              <w:rPr>
                <w:b/>
                <w:szCs w:val="16"/>
              </w:rPr>
            </w:pPr>
          </w:p>
        </w:tc>
      </w:tr>
      <w:tr w:rsidR="00742ADC" w:rsidRPr="00A1643A" w14:paraId="0ED2F2D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6C79640" w14:textId="77777777" w:rsidR="00742ADC" w:rsidRPr="00A1643A" w:rsidRDefault="00742ADC" w:rsidP="004D6869">
            <w:pPr>
              <w:pStyle w:val="ZPpregtekst"/>
              <w:spacing w:before="0" w:line="276" w:lineRule="auto"/>
              <w:rPr>
                <w:szCs w:val="16"/>
              </w:rPr>
            </w:pPr>
            <w:r w:rsidRPr="00A1643A">
              <w:rPr>
                <w:szCs w:val="16"/>
              </w:rPr>
              <w:t>Število podjetij</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DBC129"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68E064E"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194B1F5"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07BD2C0" w14:textId="77777777" w:rsidR="00742ADC" w:rsidRPr="00A1643A" w:rsidRDefault="00742ADC" w:rsidP="004D6869">
            <w:pPr>
              <w:pStyle w:val="ZPpregtevilke"/>
              <w:spacing w:before="0" w:line="276" w:lineRule="auto"/>
              <w:rPr>
                <w:szCs w:val="16"/>
              </w:rPr>
            </w:pPr>
            <w:r w:rsidRPr="00A1643A">
              <w:rPr>
                <w:szCs w:val="16"/>
              </w:rPr>
              <w:t>9,0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9510C49" w14:textId="77777777" w:rsidR="00742ADC" w:rsidRPr="00A1643A" w:rsidRDefault="00742ADC" w:rsidP="004D6869">
            <w:pPr>
              <w:pStyle w:val="ZPpregtevilke"/>
              <w:spacing w:before="0" w:line="276" w:lineRule="auto"/>
              <w:rPr>
                <w:szCs w:val="16"/>
              </w:rPr>
            </w:pPr>
            <w:r w:rsidRPr="00A1643A">
              <w:rPr>
                <w:szCs w:val="16"/>
              </w:rPr>
              <w:t>9,2</w:t>
            </w:r>
          </w:p>
        </w:tc>
        <w:tc>
          <w:tcPr>
            <w:tcW w:w="600" w:type="pct"/>
            <w:tcBorders>
              <w:top w:val="single" w:sz="4" w:space="0" w:color="008000"/>
              <w:left w:val="single" w:sz="4" w:space="0" w:color="008000"/>
              <w:bottom w:val="single" w:sz="4" w:space="0" w:color="008000"/>
              <w:right w:val="single" w:sz="4" w:space="0" w:color="008000"/>
            </w:tcBorders>
            <w:vAlign w:val="bottom"/>
          </w:tcPr>
          <w:p w14:paraId="0550FBA7" w14:textId="77777777" w:rsidR="00742ADC" w:rsidRPr="00A1643A" w:rsidRDefault="00742ADC" w:rsidP="004D6869">
            <w:pPr>
              <w:pStyle w:val="ZPpregtevilke"/>
              <w:spacing w:before="0" w:line="276" w:lineRule="auto"/>
              <w:rPr>
                <w:szCs w:val="16"/>
              </w:rPr>
            </w:pPr>
            <w:r w:rsidRPr="00A1643A">
              <w:rPr>
                <w:szCs w:val="16"/>
              </w:rPr>
              <w:t>9,0</w:t>
            </w:r>
          </w:p>
        </w:tc>
      </w:tr>
      <w:tr w:rsidR="00742ADC" w:rsidRPr="00A1643A" w14:paraId="0F009030"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4DB9D16E" w14:textId="77777777" w:rsidR="00742ADC" w:rsidRPr="00A1643A" w:rsidRDefault="00742ADC" w:rsidP="004D6869">
            <w:pPr>
              <w:pStyle w:val="ZPpregtekst"/>
              <w:spacing w:before="0" w:line="276" w:lineRule="auto"/>
              <w:rPr>
                <w:szCs w:val="16"/>
              </w:rPr>
            </w:pPr>
            <w:r w:rsidRPr="00A1643A">
              <w:rPr>
                <w:szCs w:val="16"/>
              </w:rPr>
              <w:t>Število zaposlenih</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6CA447D1" w14:textId="77777777" w:rsidR="00742ADC" w:rsidRPr="00A1643A" w:rsidRDefault="00742ADC" w:rsidP="004D6869">
            <w:pPr>
              <w:pStyle w:val="ZPpregtevilke"/>
              <w:spacing w:before="0" w:line="276" w:lineRule="auto"/>
              <w:rPr>
                <w:szCs w:val="16"/>
              </w:rPr>
            </w:pPr>
            <w:r w:rsidRPr="00A1643A">
              <w:rPr>
                <w:szCs w:val="16"/>
              </w:rPr>
              <w:t>7,8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75641B7A" w14:textId="77777777" w:rsidR="00742ADC" w:rsidRPr="00A1643A" w:rsidRDefault="00742ADC" w:rsidP="004D6869">
            <w:pPr>
              <w:pStyle w:val="ZPpregtevilke"/>
              <w:spacing w:before="0" w:line="276" w:lineRule="auto"/>
              <w:rPr>
                <w:szCs w:val="16"/>
              </w:rPr>
            </w:pPr>
            <w:r w:rsidRPr="00A1643A">
              <w:rPr>
                <w:szCs w:val="16"/>
              </w:rPr>
              <w:t>7,7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1C7F0F95" w14:textId="77777777" w:rsidR="00742ADC" w:rsidRPr="00A1643A" w:rsidRDefault="00742ADC" w:rsidP="004D6869">
            <w:pPr>
              <w:pStyle w:val="ZPpregtevilke"/>
              <w:spacing w:before="0" w:line="276" w:lineRule="auto"/>
              <w:rPr>
                <w:szCs w:val="16"/>
              </w:rPr>
            </w:pPr>
            <w:r w:rsidRPr="00A1643A">
              <w:rPr>
                <w:szCs w:val="16"/>
              </w:rPr>
              <w:t>7,9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1858F22" w14:textId="77777777" w:rsidR="00742ADC" w:rsidRPr="00A1643A" w:rsidRDefault="00742ADC" w:rsidP="004D6869">
            <w:pPr>
              <w:pStyle w:val="ZPpregtevilke"/>
              <w:spacing w:before="0" w:line="276" w:lineRule="auto"/>
              <w:rPr>
                <w:szCs w:val="16"/>
              </w:rPr>
            </w:pPr>
            <w:r w:rsidRPr="00A1643A">
              <w:rPr>
                <w:szCs w:val="16"/>
              </w:rPr>
              <w:t>7,7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BD0FA8C" w14:textId="77777777" w:rsidR="00742ADC" w:rsidRPr="00A1643A" w:rsidRDefault="00742ADC" w:rsidP="004D6869">
            <w:pPr>
              <w:pStyle w:val="ZPpregtevilke"/>
              <w:spacing w:before="0" w:line="276" w:lineRule="auto"/>
              <w:rPr>
                <w:szCs w:val="16"/>
              </w:rPr>
            </w:pPr>
            <w:r w:rsidRPr="00A1643A">
              <w:rPr>
                <w:szCs w:val="16"/>
              </w:rPr>
              <w:t>7,6</w:t>
            </w:r>
          </w:p>
        </w:tc>
        <w:tc>
          <w:tcPr>
            <w:tcW w:w="600" w:type="pct"/>
            <w:tcBorders>
              <w:top w:val="single" w:sz="4" w:space="0" w:color="008000"/>
              <w:left w:val="single" w:sz="4" w:space="0" w:color="008000"/>
              <w:bottom w:val="single" w:sz="4" w:space="0" w:color="008000"/>
              <w:right w:val="single" w:sz="4" w:space="0" w:color="008000"/>
            </w:tcBorders>
            <w:vAlign w:val="bottom"/>
          </w:tcPr>
          <w:p w14:paraId="6B28959D" w14:textId="77777777" w:rsidR="00742ADC" w:rsidRPr="00A1643A" w:rsidRDefault="00742ADC" w:rsidP="004D6869">
            <w:pPr>
              <w:pStyle w:val="ZPpregtevilke"/>
              <w:spacing w:before="0" w:line="276" w:lineRule="auto"/>
              <w:rPr>
                <w:szCs w:val="16"/>
              </w:rPr>
            </w:pPr>
            <w:r w:rsidRPr="00A1643A">
              <w:rPr>
                <w:szCs w:val="16"/>
              </w:rPr>
              <w:t>7,7</w:t>
            </w:r>
          </w:p>
        </w:tc>
      </w:tr>
      <w:tr w:rsidR="00742ADC" w:rsidRPr="00A1643A" w14:paraId="55403F9B"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23A8477F" w14:textId="77777777" w:rsidR="00742ADC" w:rsidRPr="00A1643A" w:rsidRDefault="00742ADC" w:rsidP="004D6869">
            <w:pPr>
              <w:pStyle w:val="ZPpregtekst"/>
              <w:spacing w:before="0" w:line="276" w:lineRule="auto"/>
              <w:rPr>
                <w:szCs w:val="16"/>
              </w:rPr>
            </w:pPr>
            <w:r w:rsidRPr="00A1643A">
              <w:rPr>
                <w:szCs w:val="16"/>
              </w:rPr>
              <w:t>Sredstva</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09CBA69C" w14:textId="77777777" w:rsidR="00742ADC" w:rsidRPr="00A1643A" w:rsidRDefault="00742ADC" w:rsidP="004D6869">
            <w:pPr>
              <w:pStyle w:val="ZPpregtevilke"/>
              <w:spacing w:before="0" w:line="276" w:lineRule="auto"/>
              <w:rPr>
                <w:szCs w:val="16"/>
              </w:rPr>
            </w:pPr>
            <w:r w:rsidRPr="00A1643A">
              <w:rPr>
                <w:szCs w:val="16"/>
              </w:rPr>
              <w:t>10,2</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4C36F7C" w14:textId="77777777" w:rsidR="00742ADC" w:rsidRPr="00A1643A" w:rsidRDefault="00742ADC" w:rsidP="004D6869">
            <w:pPr>
              <w:pStyle w:val="ZPpregtevilke"/>
              <w:spacing w:before="0" w:line="276" w:lineRule="auto"/>
              <w:rPr>
                <w:szCs w:val="16"/>
              </w:rPr>
            </w:pPr>
            <w:r w:rsidRPr="00A1643A">
              <w:rPr>
                <w:szCs w:val="16"/>
              </w:rPr>
              <w:t>9,9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898C675"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8024B3F" w14:textId="77777777" w:rsidR="00742ADC" w:rsidRPr="00A1643A" w:rsidRDefault="00742ADC" w:rsidP="004D6869">
            <w:pPr>
              <w:pStyle w:val="ZPpregtevilke"/>
              <w:spacing w:before="0" w:line="276" w:lineRule="auto"/>
              <w:rPr>
                <w:szCs w:val="16"/>
              </w:rPr>
            </w:pPr>
            <w:r w:rsidRPr="00A1643A">
              <w:rPr>
                <w:szCs w:val="16"/>
              </w:rPr>
              <w:t>8,9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6B0D9A6F" w14:textId="77777777" w:rsidR="00742ADC" w:rsidRPr="00A1643A" w:rsidRDefault="00742ADC" w:rsidP="004D6869">
            <w:pPr>
              <w:pStyle w:val="ZPpregtevilke"/>
              <w:spacing w:before="0" w:line="276" w:lineRule="auto"/>
              <w:rPr>
                <w:szCs w:val="16"/>
              </w:rPr>
            </w:pPr>
            <w:r w:rsidRPr="00A1643A">
              <w:rPr>
                <w:szCs w:val="16"/>
              </w:rPr>
              <w:t>8,5</w:t>
            </w:r>
          </w:p>
        </w:tc>
        <w:tc>
          <w:tcPr>
            <w:tcW w:w="600" w:type="pct"/>
            <w:tcBorders>
              <w:top w:val="single" w:sz="4" w:space="0" w:color="008000"/>
              <w:left w:val="single" w:sz="4" w:space="0" w:color="008000"/>
              <w:bottom w:val="single" w:sz="4" w:space="0" w:color="008000"/>
              <w:right w:val="single" w:sz="4" w:space="0" w:color="008000"/>
            </w:tcBorders>
            <w:vAlign w:val="bottom"/>
          </w:tcPr>
          <w:p w14:paraId="03EA7968" w14:textId="77777777" w:rsidR="00742ADC" w:rsidRPr="00A1643A" w:rsidRDefault="00742ADC" w:rsidP="004D6869">
            <w:pPr>
              <w:pStyle w:val="ZPpregtevilke"/>
              <w:spacing w:before="0" w:line="276" w:lineRule="auto"/>
              <w:rPr>
                <w:szCs w:val="16"/>
              </w:rPr>
            </w:pPr>
            <w:r w:rsidRPr="00A1643A">
              <w:rPr>
                <w:szCs w:val="16"/>
              </w:rPr>
              <w:t>8,4</w:t>
            </w:r>
          </w:p>
        </w:tc>
      </w:tr>
      <w:tr w:rsidR="00742ADC" w:rsidRPr="00A1643A" w14:paraId="1973C44C"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1CD4F953" w14:textId="77777777" w:rsidR="00742ADC" w:rsidRPr="00A1643A" w:rsidRDefault="00742ADC" w:rsidP="004D6869">
            <w:pPr>
              <w:pStyle w:val="ZPpregtekst"/>
              <w:spacing w:before="0" w:line="276" w:lineRule="auto"/>
              <w:rPr>
                <w:szCs w:val="16"/>
              </w:rPr>
            </w:pPr>
            <w:r w:rsidRPr="00A1643A">
              <w:rPr>
                <w:szCs w:val="16"/>
              </w:rPr>
              <w:t>Prihodki od prodaje</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6D9ABA" w14:textId="77777777" w:rsidR="00742ADC" w:rsidRPr="00A1643A" w:rsidRDefault="00742ADC" w:rsidP="004D6869">
            <w:pPr>
              <w:pStyle w:val="ZPpregtevilke"/>
              <w:spacing w:before="0" w:line="276" w:lineRule="auto"/>
              <w:rPr>
                <w:szCs w:val="16"/>
              </w:rPr>
            </w:pPr>
            <w:r w:rsidRPr="00A1643A">
              <w:rPr>
                <w:szCs w:val="16"/>
              </w:rPr>
              <w:t>8,5</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4D5A68A" w14:textId="77777777" w:rsidR="00742ADC" w:rsidRPr="00A1643A" w:rsidRDefault="00742ADC" w:rsidP="004D6869">
            <w:pPr>
              <w:pStyle w:val="ZPpregtevilke"/>
              <w:spacing w:before="0" w:line="276" w:lineRule="auto"/>
              <w:rPr>
                <w:szCs w:val="16"/>
              </w:rPr>
            </w:pPr>
            <w:r w:rsidRPr="00A1643A">
              <w:rPr>
                <w:szCs w:val="16"/>
              </w:rPr>
              <w:t>8,4</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362D53A" w14:textId="77777777" w:rsidR="00742ADC" w:rsidRPr="00A1643A" w:rsidRDefault="00742ADC" w:rsidP="004D6869">
            <w:pPr>
              <w:pStyle w:val="ZPpregtevilke"/>
              <w:spacing w:before="0" w:line="276" w:lineRule="auto"/>
              <w:rPr>
                <w:szCs w:val="16"/>
              </w:rPr>
            </w:pPr>
            <w:r w:rsidRPr="00A1643A">
              <w:rPr>
                <w:szCs w:val="16"/>
              </w:rPr>
              <w:t>8,1</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19AC46D" w14:textId="77777777" w:rsidR="00742ADC" w:rsidRPr="00A1643A" w:rsidRDefault="00742ADC" w:rsidP="004D6869">
            <w:pPr>
              <w:pStyle w:val="ZPpregtevilke"/>
              <w:spacing w:before="0" w:line="276" w:lineRule="auto"/>
              <w:rPr>
                <w:szCs w:val="16"/>
              </w:rPr>
            </w:pPr>
            <w:r w:rsidRPr="00A1643A">
              <w:rPr>
                <w:szCs w:val="16"/>
              </w:rPr>
              <w:t>7,6</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6E3F79" w14:textId="77777777" w:rsidR="00742ADC" w:rsidRPr="00A1643A" w:rsidRDefault="00742ADC" w:rsidP="004D6869">
            <w:pPr>
              <w:pStyle w:val="ZPpregtevilke"/>
              <w:spacing w:before="0" w:line="276" w:lineRule="auto"/>
              <w:rPr>
                <w:szCs w:val="16"/>
              </w:rPr>
            </w:pPr>
            <w:r w:rsidRPr="00A1643A">
              <w:rPr>
                <w:szCs w:val="16"/>
              </w:rPr>
              <w:t>7,3</w:t>
            </w:r>
          </w:p>
        </w:tc>
        <w:tc>
          <w:tcPr>
            <w:tcW w:w="600" w:type="pct"/>
            <w:tcBorders>
              <w:top w:val="single" w:sz="4" w:space="0" w:color="008000"/>
              <w:left w:val="single" w:sz="4" w:space="0" w:color="008000"/>
              <w:bottom w:val="single" w:sz="4" w:space="0" w:color="008000"/>
              <w:right w:val="single" w:sz="4" w:space="0" w:color="008000"/>
            </w:tcBorders>
            <w:vAlign w:val="bottom"/>
          </w:tcPr>
          <w:p w14:paraId="2585CF70" w14:textId="77777777" w:rsidR="00742ADC" w:rsidRPr="00A1643A" w:rsidRDefault="00742ADC" w:rsidP="004D6869">
            <w:pPr>
              <w:pStyle w:val="ZPpregtevilke"/>
              <w:spacing w:before="0" w:line="276" w:lineRule="auto"/>
              <w:rPr>
                <w:szCs w:val="16"/>
              </w:rPr>
            </w:pPr>
            <w:r w:rsidRPr="00A1643A">
              <w:rPr>
                <w:szCs w:val="16"/>
              </w:rPr>
              <w:t>7,4</w:t>
            </w:r>
          </w:p>
        </w:tc>
      </w:tr>
      <w:tr w:rsidR="00742ADC" w:rsidRPr="00A1643A" w14:paraId="5D8680D3"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93E4B77" w14:textId="77777777" w:rsidR="00742ADC" w:rsidRPr="00A1643A" w:rsidRDefault="00742ADC" w:rsidP="004D6869">
            <w:pPr>
              <w:pStyle w:val="ZPpregtekst"/>
              <w:spacing w:before="0" w:line="276" w:lineRule="auto"/>
              <w:rPr>
                <w:szCs w:val="16"/>
              </w:rPr>
            </w:pPr>
            <w:r w:rsidRPr="00A1643A">
              <w:rPr>
                <w:szCs w:val="16"/>
              </w:rPr>
              <w:t>Dodana vrednost</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5E1BC05" w14:textId="77777777" w:rsidR="00742ADC" w:rsidRPr="00A1643A" w:rsidRDefault="00742ADC" w:rsidP="004D6869">
            <w:pPr>
              <w:pStyle w:val="ZPpregtevilke"/>
              <w:spacing w:before="0" w:line="276" w:lineRule="auto"/>
              <w:rPr>
                <w:szCs w:val="16"/>
              </w:rPr>
            </w:pPr>
            <w:r w:rsidRPr="00A1643A">
              <w:rPr>
                <w:szCs w:val="16"/>
              </w:rPr>
              <w:t>6,8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FF6D09A" w14:textId="77777777" w:rsidR="00742ADC" w:rsidRPr="00A1643A" w:rsidRDefault="00742ADC" w:rsidP="004D6869">
            <w:pPr>
              <w:pStyle w:val="ZPpregtevilke"/>
              <w:spacing w:before="0" w:line="276" w:lineRule="auto"/>
              <w:rPr>
                <w:szCs w:val="16"/>
              </w:rPr>
            </w:pPr>
            <w:r w:rsidRPr="00A1643A">
              <w:rPr>
                <w:szCs w:val="16"/>
              </w:rPr>
              <w:t>6,8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2AAD740C" w14:textId="77777777" w:rsidR="00742ADC" w:rsidRPr="00A1643A" w:rsidRDefault="00742ADC" w:rsidP="004D6869">
            <w:pPr>
              <w:pStyle w:val="ZPpregtevilke"/>
              <w:spacing w:before="0" w:line="276" w:lineRule="auto"/>
              <w:rPr>
                <w:szCs w:val="16"/>
              </w:rPr>
            </w:pPr>
            <w:r w:rsidRPr="00A1643A">
              <w:rPr>
                <w:szCs w:val="16"/>
              </w:rPr>
              <w:t>6,7</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B49AA81" w14:textId="77777777" w:rsidR="00742ADC" w:rsidRPr="00A1643A" w:rsidRDefault="00742ADC" w:rsidP="004D6869">
            <w:pPr>
              <w:pStyle w:val="ZPpregtevilke"/>
              <w:spacing w:before="0" w:line="276" w:lineRule="auto"/>
              <w:rPr>
                <w:szCs w:val="16"/>
              </w:rPr>
            </w:pPr>
            <w:r w:rsidRPr="00A1643A">
              <w:rPr>
                <w:szCs w:val="16"/>
              </w:rPr>
              <w:t>6,3</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41EEEE8" w14:textId="77777777" w:rsidR="00742ADC" w:rsidRPr="00A1643A" w:rsidRDefault="00742ADC" w:rsidP="004D6869">
            <w:pPr>
              <w:pStyle w:val="ZPpregtevilke"/>
              <w:spacing w:before="0" w:line="276" w:lineRule="auto"/>
              <w:rPr>
                <w:szCs w:val="16"/>
              </w:rPr>
            </w:pPr>
            <w:r w:rsidRPr="00A1643A">
              <w:rPr>
                <w:szCs w:val="16"/>
              </w:rPr>
              <w:t>6,6</w:t>
            </w:r>
          </w:p>
        </w:tc>
        <w:tc>
          <w:tcPr>
            <w:tcW w:w="600" w:type="pct"/>
            <w:tcBorders>
              <w:top w:val="single" w:sz="4" w:space="0" w:color="008000"/>
              <w:left w:val="single" w:sz="4" w:space="0" w:color="008000"/>
              <w:bottom w:val="single" w:sz="4" w:space="0" w:color="008000"/>
              <w:right w:val="single" w:sz="4" w:space="0" w:color="008000"/>
            </w:tcBorders>
            <w:vAlign w:val="bottom"/>
          </w:tcPr>
          <w:p w14:paraId="21BFFE2B" w14:textId="77777777" w:rsidR="00742ADC" w:rsidRPr="00A1643A" w:rsidRDefault="00742ADC" w:rsidP="004D6869">
            <w:pPr>
              <w:pStyle w:val="ZPpregtevilke"/>
              <w:spacing w:before="0" w:line="276" w:lineRule="auto"/>
              <w:rPr>
                <w:szCs w:val="16"/>
              </w:rPr>
            </w:pPr>
            <w:r w:rsidRPr="00A1643A">
              <w:rPr>
                <w:szCs w:val="16"/>
              </w:rPr>
              <w:t>6,8</w:t>
            </w:r>
          </w:p>
        </w:tc>
      </w:tr>
      <w:tr w:rsidR="00742ADC" w:rsidRPr="00A1643A" w14:paraId="05DE8886"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0C090A41" w14:textId="77777777" w:rsidR="00742ADC" w:rsidRPr="00A1643A" w:rsidRDefault="00742ADC" w:rsidP="004D6869">
            <w:pPr>
              <w:pStyle w:val="ZPpregtekst"/>
              <w:spacing w:before="0" w:line="276" w:lineRule="auto"/>
              <w:rPr>
                <w:szCs w:val="16"/>
              </w:rPr>
            </w:pPr>
            <w:r w:rsidRPr="00A1643A">
              <w:rPr>
                <w:szCs w:val="16"/>
              </w:rPr>
              <w:t>Dobiček</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51DB0CCB" w14:textId="77777777" w:rsidR="00742ADC" w:rsidRPr="00A1643A" w:rsidRDefault="00742ADC" w:rsidP="004D6869">
            <w:pPr>
              <w:pStyle w:val="ZPpregtevilke"/>
              <w:spacing w:before="0" w:line="276" w:lineRule="auto"/>
              <w:rPr>
                <w:szCs w:val="16"/>
              </w:rPr>
            </w:pPr>
            <w:r w:rsidRPr="00A1643A">
              <w:rPr>
                <w:szCs w:val="16"/>
              </w:rPr>
              <w:t>6,0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B86B5E4" w14:textId="77777777" w:rsidR="00742ADC" w:rsidRPr="00A1643A" w:rsidRDefault="00742ADC" w:rsidP="004D6869">
            <w:pPr>
              <w:pStyle w:val="ZPpregtevilke"/>
              <w:spacing w:before="0" w:line="276" w:lineRule="auto"/>
              <w:rPr>
                <w:szCs w:val="16"/>
              </w:rPr>
            </w:pPr>
            <w:r w:rsidRPr="00A1643A">
              <w:rPr>
                <w:szCs w:val="16"/>
              </w:rPr>
              <w:t>6,4</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9FCC61E" w14:textId="77777777" w:rsidR="00742ADC" w:rsidRPr="00A1643A" w:rsidRDefault="00742ADC" w:rsidP="004D6869">
            <w:pPr>
              <w:pStyle w:val="ZPpregtevilke"/>
              <w:spacing w:before="0" w:line="276" w:lineRule="auto"/>
              <w:rPr>
                <w:szCs w:val="16"/>
              </w:rPr>
            </w:pPr>
            <w:r w:rsidRPr="00A1643A">
              <w:rPr>
                <w:szCs w:val="16"/>
              </w:rPr>
              <w:t>6,0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51494204" w14:textId="77777777" w:rsidR="00742ADC" w:rsidRPr="00A1643A" w:rsidRDefault="00742ADC" w:rsidP="004D6869">
            <w:pPr>
              <w:pStyle w:val="ZPpregtevilke"/>
              <w:spacing w:before="0" w:line="276" w:lineRule="auto"/>
              <w:rPr>
                <w:szCs w:val="16"/>
              </w:rPr>
            </w:pPr>
            <w:r w:rsidRPr="00A1643A">
              <w:rPr>
                <w:szCs w:val="16"/>
              </w:rPr>
              <w:t>5,8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2767A7C" w14:textId="77777777" w:rsidR="00742ADC" w:rsidRPr="00A1643A" w:rsidRDefault="00742ADC" w:rsidP="004D6869">
            <w:pPr>
              <w:pStyle w:val="ZPpregtevilke"/>
              <w:spacing w:before="0" w:line="276" w:lineRule="auto"/>
              <w:rPr>
                <w:szCs w:val="16"/>
              </w:rPr>
            </w:pPr>
            <w:r w:rsidRPr="00A1643A">
              <w:rPr>
                <w:szCs w:val="16"/>
              </w:rPr>
              <w:t>6,5</w:t>
            </w:r>
          </w:p>
        </w:tc>
        <w:tc>
          <w:tcPr>
            <w:tcW w:w="600" w:type="pct"/>
            <w:tcBorders>
              <w:top w:val="single" w:sz="4" w:space="0" w:color="008000"/>
              <w:left w:val="single" w:sz="4" w:space="0" w:color="008000"/>
              <w:bottom w:val="single" w:sz="4" w:space="0" w:color="008000"/>
              <w:right w:val="single" w:sz="4" w:space="0" w:color="008000"/>
            </w:tcBorders>
            <w:vAlign w:val="bottom"/>
          </w:tcPr>
          <w:p w14:paraId="16459129" w14:textId="77777777" w:rsidR="00742ADC" w:rsidRPr="00A1643A" w:rsidRDefault="00742ADC" w:rsidP="004D6869">
            <w:pPr>
              <w:pStyle w:val="ZPpregtevilke"/>
              <w:spacing w:before="0" w:line="276" w:lineRule="auto"/>
              <w:rPr>
                <w:szCs w:val="16"/>
              </w:rPr>
            </w:pPr>
            <w:r w:rsidRPr="00A1643A">
              <w:rPr>
                <w:szCs w:val="16"/>
              </w:rPr>
              <w:t>7,8</w:t>
            </w:r>
          </w:p>
        </w:tc>
      </w:tr>
      <w:tr w:rsidR="00742ADC" w:rsidRPr="003311AB" w14:paraId="4195E012"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452830C1" w14:textId="77777777" w:rsidR="00742ADC" w:rsidRPr="00A1643A" w:rsidRDefault="00742ADC" w:rsidP="004D6869">
            <w:pPr>
              <w:pStyle w:val="ZPpregtekst"/>
              <w:spacing w:before="0" w:line="276" w:lineRule="auto"/>
              <w:rPr>
                <w:szCs w:val="16"/>
              </w:rPr>
            </w:pPr>
            <w:r w:rsidRPr="00A1643A">
              <w:rPr>
                <w:szCs w:val="16"/>
              </w:rPr>
              <w:t>Izguba</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31E33F2B" w14:textId="77777777" w:rsidR="00742ADC" w:rsidRPr="00A1643A" w:rsidRDefault="00742ADC" w:rsidP="004D6869">
            <w:pPr>
              <w:pStyle w:val="ZPpregtekst"/>
              <w:spacing w:before="0" w:line="276" w:lineRule="auto"/>
              <w:jc w:val="right"/>
              <w:rPr>
                <w:szCs w:val="16"/>
              </w:rPr>
            </w:pPr>
            <w:r w:rsidRPr="00A1643A">
              <w:rPr>
                <w:szCs w:val="16"/>
              </w:rPr>
              <w:t>11,9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75FB3367" w14:textId="77777777" w:rsidR="00742ADC" w:rsidRPr="00A1643A" w:rsidRDefault="00742ADC" w:rsidP="004D6869">
            <w:pPr>
              <w:pStyle w:val="ZPpregtekst"/>
              <w:spacing w:before="0" w:line="276" w:lineRule="auto"/>
              <w:jc w:val="right"/>
              <w:rPr>
                <w:szCs w:val="16"/>
              </w:rPr>
            </w:pPr>
            <w:r w:rsidRPr="00A1643A">
              <w:rPr>
                <w:szCs w:val="16"/>
              </w:rPr>
              <w:t>6,9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0EFEE01" w14:textId="77777777" w:rsidR="00742ADC" w:rsidRPr="00A1643A" w:rsidRDefault="00742ADC" w:rsidP="004D6869">
            <w:pPr>
              <w:pStyle w:val="ZPpregtekst"/>
              <w:spacing w:before="0" w:line="276" w:lineRule="auto"/>
              <w:jc w:val="right"/>
              <w:rPr>
                <w:szCs w:val="16"/>
              </w:rPr>
            </w:pPr>
            <w:r w:rsidRPr="00A1643A">
              <w:rPr>
                <w:szCs w:val="16"/>
              </w:rPr>
              <w:t>7,9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F8A724E" w14:textId="77777777" w:rsidR="00742ADC" w:rsidRPr="00A1643A" w:rsidRDefault="00742ADC" w:rsidP="004D6869">
            <w:pPr>
              <w:pStyle w:val="ZPpregtekst"/>
              <w:spacing w:before="0" w:line="276" w:lineRule="auto"/>
              <w:jc w:val="right"/>
              <w:rPr>
                <w:szCs w:val="16"/>
              </w:rPr>
            </w:pPr>
            <w:r w:rsidRPr="00A1643A">
              <w:rPr>
                <w:szCs w:val="16"/>
              </w:rPr>
              <w:t>7,8</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0D50014A" w14:textId="77777777" w:rsidR="00742ADC" w:rsidRPr="00A1643A" w:rsidRDefault="00742ADC" w:rsidP="004D6869">
            <w:pPr>
              <w:pStyle w:val="ZPpregtekst"/>
              <w:spacing w:before="0" w:line="276" w:lineRule="auto"/>
              <w:jc w:val="right"/>
              <w:rPr>
                <w:szCs w:val="16"/>
              </w:rPr>
            </w:pPr>
            <w:r w:rsidRPr="00A1643A">
              <w:rPr>
                <w:szCs w:val="16"/>
              </w:rPr>
              <w:t>3,7</w:t>
            </w:r>
          </w:p>
        </w:tc>
        <w:tc>
          <w:tcPr>
            <w:tcW w:w="600" w:type="pct"/>
            <w:tcBorders>
              <w:top w:val="single" w:sz="4" w:space="0" w:color="008000"/>
              <w:left w:val="single" w:sz="4" w:space="0" w:color="008000"/>
              <w:bottom w:val="single" w:sz="4" w:space="0" w:color="008000"/>
              <w:right w:val="single" w:sz="4" w:space="0" w:color="008000"/>
            </w:tcBorders>
            <w:vAlign w:val="bottom"/>
          </w:tcPr>
          <w:p w14:paraId="514E3D63" w14:textId="77777777" w:rsidR="00742ADC" w:rsidRPr="00A1643A" w:rsidRDefault="00742ADC" w:rsidP="004D6869">
            <w:pPr>
              <w:pStyle w:val="ZPpregtekst"/>
              <w:spacing w:before="0" w:line="276" w:lineRule="auto"/>
              <w:jc w:val="right"/>
              <w:rPr>
                <w:szCs w:val="16"/>
              </w:rPr>
            </w:pPr>
            <w:r w:rsidRPr="00A1643A">
              <w:rPr>
                <w:szCs w:val="16"/>
              </w:rPr>
              <w:t>3,6</w:t>
            </w:r>
          </w:p>
        </w:tc>
      </w:tr>
      <w:tr w:rsidR="00742ADC" w:rsidRPr="003311AB" w14:paraId="2907005F" w14:textId="77777777" w:rsidTr="006249A0">
        <w:trPr>
          <w:trHeight w:val="227"/>
        </w:trPr>
        <w:tc>
          <w:tcPr>
            <w:tcW w:w="1400" w:type="pct"/>
            <w:tcBorders>
              <w:top w:val="single" w:sz="4" w:space="0" w:color="008000"/>
              <w:left w:val="single" w:sz="4" w:space="0" w:color="008000"/>
              <w:bottom w:val="single" w:sz="4" w:space="0" w:color="008000"/>
              <w:right w:val="single" w:sz="4" w:space="0" w:color="008000"/>
            </w:tcBorders>
            <w:vAlign w:val="bottom"/>
            <w:hideMark/>
          </w:tcPr>
          <w:p w14:paraId="2DC1FBF7" w14:textId="77777777" w:rsidR="00742ADC" w:rsidRPr="00A1643A" w:rsidRDefault="00742ADC" w:rsidP="004D6869">
            <w:pPr>
              <w:pStyle w:val="ZPpregtekst"/>
              <w:spacing w:before="0" w:line="276" w:lineRule="auto"/>
              <w:rPr>
                <w:szCs w:val="16"/>
              </w:rPr>
            </w:pPr>
            <w:r w:rsidRPr="00A1643A">
              <w:rPr>
                <w:szCs w:val="16"/>
              </w:rPr>
              <w:t xml:space="preserve">Prihodki od izvoza </w:t>
            </w:r>
          </w:p>
        </w:tc>
        <w:tc>
          <w:tcPr>
            <w:tcW w:w="599" w:type="pct"/>
            <w:tcBorders>
              <w:top w:val="single" w:sz="4" w:space="0" w:color="008000"/>
              <w:left w:val="single" w:sz="4" w:space="0" w:color="008000"/>
              <w:bottom w:val="single" w:sz="4" w:space="0" w:color="008000"/>
              <w:right w:val="single" w:sz="4" w:space="0" w:color="008000"/>
            </w:tcBorders>
            <w:vAlign w:val="bottom"/>
            <w:hideMark/>
          </w:tcPr>
          <w:p w14:paraId="05EBFC04" w14:textId="77777777" w:rsidR="00742ADC" w:rsidRPr="00A1643A" w:rsidRDefault="00742ADC" w:rsidP="004D6869">
            <w:pPr>
              <w:pStyle w:val="ZPpregtekst"/>
              <w:spacing w:before="0" w:line="276" w:lineRule="auto"/>
              <w:jc w:val="right"/>
              <w:rPr>
                <w:szCs w:val="16"/>
              </w:rPr>
            </w:pPr>
            <w:r w:rsidRPr="00A1643A">
              <w:rPr>
                <w:szCs w:val="16"/>
              </w:rPr>
              <w:t>2,9</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2FCB4B"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996CBAB"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39104DA4" w14:textId="77777777" w:rsidR="00742ADC" w:rsidRPr="00A1643A" w:rsidRDefault="00742ADC" w:rsidP="004D6869">
            <w:pPr>
              <w:pStyle w:val="ZPpregtekst"/>
              <w:spacing w:before="0" w:line="276" w:lineRule="auto"/>
              <w:jc w:val="right"/>
              <w:rPr>
                <w:szCs w:val="16"/>
              </w:rPr>
            </w:pPr>
            <w:r w:rsidRPr="00A1643A">
              <w:rPr>
                <w:szCs w:val="16"/>
              </w:rPr>
              <w:t>3,0</w:t>
            </w:r>
          </w:p>
        </w:tc>
        <w:tc>
          <w:tcPr>
            <w:tcW w:w="600" w:type="pct"/>
            <w:tcBorders>
              <w:top w:val="single" w:sz="4" w:space="0" w:color="008000"/>
              <w:left w:val="single" w:sz="4" w:space="0" w:color="008000"/>
              <w:bottom w:val="single" w:sz="4" w:space="0" w:color="008000"/>
              <w:right w:val="single" w:sz="4" w:space="0" w:color="008000"/>
            </w:tcBorders>
            <w:vAlign w:val="bottom"/>
            <w:hideMark/>
          </w:tcPr>
          <w:p w14:paraId="417F6358" w14:textId="77777777" w:rsidR="00742ADC" w:rsidRPr="00A1643A" w:rsidRDefault="00742ADC" w:rsidP="004D6869">
            <w:pPr>
              <w:pStyle w:val="ZPpregtekst"/>
              <w:spacing w:before="0" w:line="276" w:lineRule="auto"/>
              <w:jc w:val="right"/>
              <w:rPr>
                <w:szCs w:val="16"/>
              </w:rPr>
            </w:pPr>
            <w:r w:rsidRPr="00A1643A">
              <w:rPr>
                <w:szCs w:val="16"/>
              </w:rPr>
              <w:t>2,9</w:t>
            </w:r>
          </w:p>
        </w:tc>
        <w:tc>
          <w:tcPr>
            <w:tcW w:w="600" w:type="pct"/>
            <w:tcBorders>
              <w:top w:val="single" w:sz="4" w:space="0" w:color="008000"/>
              <w:left w:val="single" w:sz="4" w:space="0" w:color="008000"/>
              <w:bottom w:val="single" w:sz="4" w:space="0" w:color="008000"/>
              <w:right w:val="single" w:sz="4" w:space="0" w:color="008000"/>
            </w:tcBorders>
            <w:vAlign w:val="bottom"/>
          </w:tcPr>
          <w:p w14:paraId="4F130DD8" w14:textId="77777777" w:rsidR="00742ADC" w:rsidRPr="00A1643A" w:rsidRDefault="00742ADC" w:rsidP="004D6869">
            <w:pPr>
              <w:pStyle w:val="ZPpregtekst"/>
              <w:spacing w:before="0" w:line="276" w:lineRule="auto"/>
              <w:jc w:val="right"/>
              <w:rPr>
                <w:szCs w:val="16"/>
              </w:rPr>
            </w:pPr>
            <w:r w:rsidRPr="00A1643A">
              <w:rPr>
                <w:szCs w:val="16"/>
              </w:rPr>
              <w:t>3,1</w:t>
            </w:r>
          </w:p>
        </w:tc>
      </w:tr>
    </w:tbl>
    <w:p w14:paraId="46941131"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53988BE8" w14:textId="77777777" w:rsidR="006A4DC5" w:rsidRDefault="006A4DC5" w:rsidP="007613FE">
      <w:pPr>
        <w:pStyle w:val="Odstavek1"/>
      </w:pPr>
    </w:p>
    <w:p w14:paraId="506613DE" w14:textId="7C8F6432" w:rsidR="006A4DC5" w:rsidRDefault="006A4DC5" w:rsidP="006A4DC5">
      <w:pPr>
        <w:pStyle w:val="Odstavek1"/>
        <w:rPr>
          <w:lang w:eastAsia="en-US"/>
        </w:rPr>
      </w:pPr>
      <w:r>
        <w:rPr>
          <w:lang w:eastAsia="en-US"/>
        </w:rPr>
        <w:t xml:space="preserve">Slovenska </w:t>
      </w:r>
      <w:r w:rsidRPr="006A4DC5">
        <w:rPr>
          <w:lang w:eastAsia="en-US"/>
        </w:rPr>
        <w:t>ŽPI glede na gibanje pomembnejših kazalnikov poslovanja, vključno s produktivnostjo,</w:t>
      </w:r>
      <w:r>
        <w:rPr>
          <w:lang w:eastAsia="en-US"/>
        </w:rPr>
        <w:t xml:space="preserve"> </w:t>
      </w:r>
      <w:r w:rsidRPr="006A4DC5">
        <w:rPr>
          <w:lang w:eastAsia="en-US"/>
        </w:rPr>
        <w:t>še vedno zaostaja za ostalimi predelovalnimi dejavnostmi</w:t>
      </w:r>
      <w:r>
        <w:rPr>
          <w:lang w:eastAsia="en-US"/>
        </w:rPr>
        <w:t>, kljub temu da so se rezultati poslovanja v zadnjih letih nekoliko izboljšali</w:t>
      </w:r>
      <w:r w:rsidRPr="006A4DC5">
        <w:rPr>
          <w:lang w:eastAsia="en-US"/>
        </w:rPr>
        <w:t>.</w:t>
      </w:r>
      <w:r>
        <w:rPr>
          <w:lang w:eastAsia="en-US"/>
        </w:rPr>
        <w:t xml:space="preserve"> </w:t>
      </w:r>
      <w:r w:rsidRPr="0047652B">
        <w:rPr>
          <w:lang w:eastAsia="en-US"/>
        </w:rPr>
        <w:t xml:space="preserve">Obdobje po pristopu k </w:t>
      </w:r>
      <w:r>
        <w:rPr>
          <w:lang w:eastAsia="en-US"/>
        </w:rPr>
        <w:t>EU</w:t>
      </w:r>
      <w:r w:rsidRPr="0047652B">
        <w:rPr>
          <w:lang w:eastAsia="en-US"/>
        </w:rPr>
        <w:t xml:space="preserve"> </w:t>
      </w:r>
      <w:r>
        <w:rPr>
          <w:lang w:eastAsia="en-US"/>
        </w:rPr>
        <w:t xml:space="preserve">leta 2004 </w:t>
      </w:r>
      <w:r w:rsidRPr="0047652B">
        <w:rPr>
          <w:lang w:eastAsia="en-US"/>
        </w:rPr>
        <w:t xml:space="preserve">je bilo zaznamovano s hitrim zmanjševanjem deležev v dodani vrednosti in v zaposlenosti, negativni procesi pa so se začeli s hitro liberalizacijo zunanje trgovine in ukinitvijo sistema izvoznih nadomestil. K stagnaciji so pripomogli tudi specifični procesi lastniške konsolidacije, ki so v nekaterih </w:t>
      </w:r>
      <w:r w:rsidRPr="00B2017B">
        <w:rPr>
          <w:lang w:eastAsia="en-US"/>
        </w:rPr>
        <w:t xml:space="preserve">podjetjih močno poslabšali poslovanje, za nekatera vidnejša podjetja pa je bil izveden stečaj oziroma likvidacija </w:t>
      </w:r>
      <w:r w:rsidRPr="001261D8">
        <w:rPr>
          <w:lang w:eastAsia="en-US"/>
        </w:rPr>
        <w:t>(Kmetijski inštitut Slovenije, 2020).</w:t>
      </w:r>
    </w:p>
    <w:p w14:paraId="05DCBED0" w14:textId="77777777" w:rsidR="006A4DC5" w:rsidRDefault="006A4DC5" w:rsidP="007613FE">
      <w:pPr>
        <w:pStyle w:val="Odstavek1"/>
      </w:pPr>
    </w:p>
    <w:p w14:paraId="16BC490D" w14:textId="1C5AD8C4" w:rsidR="00AE5359" w:rsidRPr="007613FE" w:rsidRDefault="006A4DC5" w:rsidP="007613FE">
      <w:pPr>
        <w:pStyle w:val="Odstavek1"/>
      </w:pPr>
      <w:r>
        <w:t>Pregled gibanja nekaterih ključnih kazalnikov poslovanja v tem obdobju pokaže na izrazito velik negativen vpliv gospodarske krize po letu 2009. Tako produktivnost kot tudi dodana vrednost na zaposlenega se primerjalno glede na ostale predelovalne dejavnosti še ni vrnila na predkrizno raven. Produktivnost ŽPI je v</w:t>
      </w:r>
      <w:r w:rsidR="00AE5359" w:rsidRPr="007613FE">
        <w:t xml:space="preserve"> letu 2017 </w:t>
      </w:r>
      <w:r>
        <w:t>celo</w:t>
      </w:r>
      <w:r w:rsidR="00AE5359" w:rsidRPr="007613FE">
        <w:t xml:space="preserve"> prvič v zadnjih dveh desetletjih padla pod povprečje predelovalnih dejavnosti</w:t>
      </w:r>
      <w:r>
        <w:t xml:space="preserve"> in se sedaj le postopoma izboljšuje</w:t>
      </w:r>
      <w:r w:rsidR="00665585" w:rsidRPr="007613FE">
        <w:t>.</w:t>
      </w:r>
      <w:r w:rsidR="00AE5359" w:rsidRPr="007613FE">
        <w:t xml:space="preserve"> </w:t>
      </w:r>
    </w:p>
    <w:p w14:paraId="504B413A" w14:textId="77777777" w:rsidR="00AE5359" w:rsidRPr="007613FE" w:rsidRDefault="00AE5359" w:rsidP="007613FE">
      <w:pPr>
        <w:pStyle w:val="Odstavek1"/>
      </w:pPr>
    </w:p>
    <w:p w14:paraId="72122F2D" w14:textId="2685A0AE" w:rsidR="00AE5359" w:rsidRPr="007613FE" w:rsidRDefault="00AE5359" w:rsidP="007E558D">
      <w:pPr>
        <w:pStyle w:val="SCSlika0"/>
      </w:pPr>
      <w:bookmarkStart w:id="3188" w:name="_Toc86822755"/>
      <w:r w:rsidRPr="007613FE">
        <w:t xml:space="preserve">Slika </w:t>
      </w:r>
      <w:r w:rsidR="00114E2D">
        <w:rPr>
          <w:noProof/>
        </w:rPr>
        <w:fldChar w:fldCharType="begin"/>
      </w:r>
      <w:r w:rsidR="00114E2D">
        <w:rPr>
          <w:noProof/>
        </w:rPr>
        <w:instrText xml:space="preserve"> SEQ Slika \* ARABIC </w:instrText>
      </w:r>
      <w:r w:rsidR="00114E2D">
        <w:rPr>
          <w:noProof/>
        </w:rPr>
        <w:fldChar w:fldCharType="separate"/>
      </w:r>
      <w:r w:rsidR="0088117A">
        <w:rPr>
          <w:noProof/>
        </w:rPr>
        <w:t>83</w:t>
      </w:r>
      <w:r w:rsidR="00114E2D">
        <w:rPr>
          <w:noProof/>
        </w:rPr>
        <w:fldChar w:fldCharType="end"/>
      </w:r>
      <w:r w:rsidRPr="007613FE">
        <w:t xml:space="preserve">: Produktivnost in dodana vrednost na zaposlenega v </w:t>
      </w:r>
      <w:r w:rsidR="004D7563" w:rsidRPr="007613FE">
        <w:t>ŽPI</w:t>
      </w:r>
      <w:r w:rsidRPr="007613FE">
        <w:t xml:space="preserve"> v primerjavi s predelovalnimi dejavnostmi (indeks C = 100)</w:t>
      </w:r>
      <w:r w:rsidR="004D7563" w:rsidRPr="007613FE">
        <w:t>,</w:t>
      </w:r>
      <w:r w:rsidRPr="007613FE">
        <w:t xml:space="preserve"> </w:t>
      </w:r>
      <w:r w:rsidR="002E0056" w:rsidRPr="007613FE">
        <w:t>2007</w:t>
      </w:r>
      <w:r w:rsidRPr="007613FE">
        <w:t>–2019</w:t>
      </w:r>
      <w:bookmarkEnd w:id="3188"/>
    </w:p>
    <w:p w14:paraId="3EA8BAC6" w14:textId="77777777" w:rsidR="00AE5359" w:rsidRPr="00797A13" w:rsidRDefault="00AE5359" w:rsidP="00797A13">
      <w:r>
        <w:rPr>
          <w:noProof/>
          <w:lang w:eastAsia="sl-SI"/>
        </w:rPr>
        <w:drawing>
          <wp:inline distT="0" distB="0" distL="0" distR="0" wp14:anchorId="2190E45A" wp14:editId="4E9522F7">
            <wp:extent cx="5400000" cy="2240073"/>
            <wp:effectExtent l="0" t="0" r="0" b="8255"/>
            <wp:docPr id="1631865542" name="Slika 163186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00" cy="2240073"/>
                    </a:xfrm>
                    <a:prstGeom prst="rect">
                      <a:avLst/>
                    </a:prstGeom>
                    <a:noFill/>
                  </pic:spPr>
                </pic:pic>
              </a:graphicData>
            </a:graphic>
          </wp:inline>
        </w:drawing>
      </w:r>
    </w:p>
    <w:p w14:paraId="6165466D"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A0DA79A" w14:textId="77777777" w:rsidR="00AE5359" w:rsidRPr="0047652B" w:rsidRDefault="00AE5359" w:rsidP="007613FE">
      <w:pPr>
        <w:pStyle w:val="Odstavek1"/>
        <w:rPr>
          <w:lang w:eastAsia="en-US"/>
        </w:rPr>
      </w:pPr>
    </w:p>
    <w:p w14:paraId="2227738B" w14:textId="643A8F06" w:rsidR="00AE5359" w:rsidRDefault="00AE5359" w:rsidP="007613FE">
      <w:pPr>
        <w:pStyle w:val="Odstavek1"/>
        <w:rPr>
          <w:lang w:eastAsia="en-US"/>
        </w:rPr>
      </w:pPr>
      <w:r w:rsidRPr="0047652B">
        <w:rPr>
          <w:lang w:eastAsia="en-US"/>
        </w:rPr>
        <w:t>Podobno nazadovanje je tudi pri dodani vrednosti na zaposlenega</w:t>
      </w:r>
      <w:r w:rsidRPr="00160CC4">
        <w:rPr>
          <w:lang w:eastAsia="en-US"/>
        </w:rPr>
        <w:t>, vendar se je tudi v letu 2019 nadaljevala rast tega kazalnika</w:t>
      </w:r>
      <w:r w:rsidRPr="0047652B">
        <w:rPr>
          <w:lang w:eastAsia="en-US"/>
        </w:rPr>
        <w:t xml:space="preserve">. </w:t>
      </w:r>
    </w:p>
    <w:p w14:paraId="7004698C" w14:textId="77777777" w:rsidR="00AE5359" w:rsidRPr="0047652B" w:rsidRDefault="00AE5359" w:rsidP="007613FE">
      <w:pPr>
        <w:pStyle w:val="Odstavek1"/>
        <w:rPr>
          <w:lang w:eastAsia="en-US"/>
        </w:rPr>
      </w:pPr>
    </w:p>
    <w:p w14:paraId="4362ADF9" w14:textId="77777777" w:rsidR="00AB1ABD" w:rsidRDefault="00AB1ABD" w:rsidP="007613FE">
      <w:pPr>
        <w:pStyle w:val="Odstavek1"/>
        <w:rPr>
          <w:lang w:eastAsia="en-US"/>
        </w:rPr>
      </w:pPr>
    </w:p>
    <w:p w14:paraId="3AD16DF5" w14:textId="06A7A936" w:rsidR="00DE26F3" w:rsidRPr="00DE26F3" w:rsidRDefault="00DE26F3" w:rsidP="007E558D">
      <w:pPr>
        <w:pStyle w:val="SCSlika0"/>
        <w:rPr>
          <w:lang w:eastAsia="en-US"/>
        </w:rPr>
      </w:pPr>
      <w:bookmarkStart w:id="3189" w:name="_Toc86822756"/>
      <w:r w:rsidRPr="00DE26F3">
        <w:rPr>
          <w:lang w:eastAsia="en-US"/>
        </w:rPr>
        <w:t xml:space="preserve">Slika </w:t>
      </w:r>
      <w:r w:rsidRPr="00DE26F3">
        <w:rPr>
          <w:lang w:eastAsia="en-US"/>
        </w:rPr>
        <w:fldChar w:fldCharType="begin"/>
      </w:r>
      <w:r w:rsidRPr="00DE26F3">
        <w:rPr>
          <w:lang w:eastAsia="en-US"/>
        </w:rPr>
        <w:instrText xml:space="preserve"> SEQ Slika \* ARABIC </w:instrText>
      </w:r>
      <w:r w:rsidRPr="00DE26F3">
        <w:rPr>
          <w:lang w:eastAsia="en-US"/>
        </w:rPr>
        <w:fldChar w:fldCharType="separate"/>
      </w:r>
      <w:r w:rsidR="0088117A">
        <w:rPr>
          <w:noProof/>
          <w:lang w:eastAsia="en-US"/>
        </w:rPr>
        <w:t>84</w:t>
      </w:r>
      <w:r w:rsidRPr="00DE26F3">
        <w:rPr>
          <w:lang w:eastAsia="en-US"/>
        </w:rPr>
        <w:fldChar w:fldCharType="end"/>
      </w:r>
      <w:r w:rsidRPr="00DE26F3">
        <w:rPr>
          <w:lang w:eastAsia="en-US"/>
        </w:rPr>
        <w:t>:</w:t>
      </w:r>
      <w:r w:rsidRPr="00DE26F3">
        <w:rPr>
          <w:i/>
          <w:lang w:eastAsia="en-US"/>
        </w:rPr>
        <w:t xml:space="preserve"> </w:t>
      </w:r>
      <w:r w:rsidRPr="00DE26F3">
        <w:rPr>
          <w:lang w:eastAsia="en-US"/>
        </w:rPr>
        <w:t xml:space="preserve">Delež proizvodnje živil in pijač </w:t>
      </w:r>
      <w:r w:rsidR="001B2A9F">
        <w:rPr>
          <w:lang w:eastAsia="en-US"/>
        </w:rPr>
        <w:t>k</w:t>
      </w:r>
      <w:r w:rsidRPr="00DE26F3">
        <w:rPr>
          <w:lang w:eastAsia="en-US"/>
        </w:rPr>
        <w:t xml:space="preserve"> </w:t>
      </w:r>
      <w:r w:rsidR="001B2A9F">
        <w:rPr>
          <w:lang w:eastAsia="en-US"/>
        </w:rPr>
        <w:t xml:space="preserve">skupni </w:t>
      </w:r>
      <w:r w:rsidRPr="00DE26F3">
        <w:rPr>
          <w:lang w:eastAsia="en-US"/>
        </w:rPr>
        <w:t xml:space="preserve">dodani vrednosti in zaposlenosti </w:t>
      </w:r>
      <w:r w:rsidR="001B2A9F">
        <w:rPr>
          <w:lang w:eastAsia="en-US"/>
        </w:rPr>
        <w:t xml:space="preserve">nacionalnega gospodarstva </w:t>
      </w:r>
      <w:r w:rsidRPr="00DE26F3">
        <w:rPr>
          <w:lang w:eastAsia="en-US"/>
        </w:rPr>
        <w:t xml:space="preserve">(%); </w:t>
      </w:r>
      <w:r w:rsidR="00A756DB">
        <w:rPr>
          <w:lang w:eastAsia="en-US"/>
        </w:rPr>
        <w:t>2007</w:t>
      </w:r>
      <w:r w:rsidR="0099244F">
        <w:rPr>
          <w:lang w:eastAsia="en-US"/>
        </w:rPr>
        <w:t>–</w:t>
      </w:r>
      <w:r w:rsidR="00A756DB">
        <w:rPr>
          <w:lang w:eastAsia="en-US"/>
        </w:rPr>
        <w:t>2018</w:t>
      </w:r>
      <w:bookmarkEnd w:id="3189"/>
    </w:p>
    <w:p w14:paraId="0F7413D1" w14:textId="77777777" w:rsidR="003406B9" w:rsidRPr="0047652B" w:rsidRDefault="003406B9" w:rsidP="003406B9">
      <w:pPr>
        <w:keepNext/>
        <w:spacing w:before="0" w:line="276" w:lineRule="auto"/>
        <w:rPr>
          <w:sz w:val="20"/>
          <w:szCs w:val="20"/>
        </w:rPr>
      </w:pPr>
      <w:r w:rsidRPr="009F3567">
        <w:rPr>
          <w:noProof/>
          <w:sz w:val="16"/>
          <w:szCs w:val="20"/>
          <w:lang w:eastAsia="sl-SI"/>
        </w:rPr>
        <w:drawing>
          <wp:inline distT="0" distB="0" distL="0" distR="0" wp14:anchorId="3B6C36F2" wp14:editId="4184BC81">
            <wp:extent cx="5382883" cy="2169856"/>
            <wp:effectExtent l="0" t="0" r="8890" b="1905"/>
            <wp:docPr id="1631865345" name="Slika 163186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420297" cy="2184938"/>
                    </a:xfrm>
                    <a:prstGeom prst="rect">
                      <a:avLst/>
                    </a:prstGeom>
                    <a:noFill/>
                  </pic:spPr>
                </pic:pic>
              </a:graphicData>
            </a:graphic>
          </wp:inline>
        </w:drawing>
      </w:r>
    </w:p>
    <w:p w14:paraId="348BB8C9" w14:textId="1905B431"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1B5F2D82" w14:textId="77777777" w:rsidR="00701BC9" w:rsidRPr="007613FE" w:rsidRDefault="00701BC9" w:rsidP="007613FE">
      <w:pPr>
        <w:pStyle w:val="Odstavek1"/>
      </w:pPr>
    </w:p>
    <w:p w14:paraId="7AD8B60B" w14:textId="00496974" w:rsidR="00066429" w:rsidRPr="007613FE" w:rsidRDefault="00066429" w:rsidP="007613FE">
      <w:pPr>
        <w:pStyle w:val="Odstavek1"/>
      </w:pPr>
      <w:r w:rsidRPr="007613FE">
        <w:t>Obseg dejavnosti proizvodnja živil (C10) se je v letu 2019 povečal za 4 %, kar je obseg industrijske proizvodnje vrnilo na raven, ki je ta dejavnost ni dosegala že od leta 2007. V letu 2019 je bil namreč obseg proizvodnje te dejavnosti za skoraj 12 % večji kot v baznem letu 2015. Enako skupno rast obsega industrijske proizvodnje od leta 2015 ugotavljamo tudi v dejavnosti proizvodnja pijač (C11), ki pa se je v letu 2019 zmanjšala za 4 % v primerjavi s predhodnim letom. Obseg te dejavnosti se je v preteklem desetletju strmo zmanjševal do dna v letu 2015, v letu 2018 pa je bila njegova rast rekordna v primerjavi z letom prej (za +12 %).</w:t>
      </w:r>
    </w:p>
    <w:p w14:paraId="60C27EFD" w14:textId="77777777" w:rsidR="00AB1ABD" w:rsidRPr="007613FE" w:rsidRDefault="00AB1ABD" w:rsidP="007613FE">
      <w:pPr>
        <w:pStyle w:val="Odstavek1"/>
      </w:pPr>
    </w:p>
    <w:p w14:paraId="454BE96D" w14:textId="098F25DC" w:rsidR="00DE26F3" w:rsidRDefault="00DE26F3" w:rsidP="007E558D">
      <w:pPr>
        <w:pStyle w:val="SCSlika0"/>
        <w:rPr>
          <w:lang w:eastAsia="sl-SI"/>
        </w:rPr>
      </w:pPr>
      <w:bookmarkStart w:id="3190" w:name="_Toc86822757"/>
      <w:r w:rsidRPr="00DE26F3">
        <w:rPr>
          <w:lang w:eastAsia="sl-SI"/>
        </w:rPr>
        <w:t xml:space="preserve">Slika </w:t>
      </w:r>
      <w:r w:rsidRPr="00DE26F3">
        <w:rPr>
          <w:lang w:eastAsia="sl-SI"/>
        </w:rPr>
        <w:fldChar w:fldCharType="begin"/>
      </w:r>
      <w:r w:rsidRPr="00DE26F3">
        <w:rPr>
          <w:lang w:eastAsia="sl-SI"/>
        </w:rPr>
        <w:instrText xml:space="preserve"> SEQ Slika \* ARABIC </w:instrText>
      </w:r>
      <w:r w:rsidRPr="00DE26F3">
        <w:rPr>
          <w:lang w:eastAsia="sl-SI"/>
        </w:rPr>
        <w:fldChar w:fldCharType="separate"/>
      </w:r>
      <w:r w:rsidR="0088117A">
        <w:rPr>
          <w:noProof/>
          <w:lang w:eastAsia="sl-SI"/>
        </w:rPr>
        <w:t>85</w:t>
      </w:r>
      <w:r w:rsidRPr="00DE26F3">
        <w:rPr>
          <w:lang w:eastAsia="sl-SI"/>
        </w:rPr>
        <w:fldChar w:fldCharType="end"/>
      </w:r>
      <w:r w:rsidRPr="00DE26F3">
        <w:rPr>
          <w:lang w:eastAsia="sl-SI"/>
        </w:rPr>
        <w:t>:</w:t>
      </w:r>
      <w:r w:rsidRPr="00DE26F3">
        <w:rPr>
          <w:i/>
          <w:lang w:eastAsia="sl-SI"/>
        </w:rPr>
        <w:t xml:space="preserve"> </w:t>
      </w:r>
      <w:r w:rsidRPr="00DE26F3">
        <w:rPr>
          <w:lang w:eastAsia="sl-SI"/>
        </w:rPr>
        <w:t xml:space="preserve">Indeks obsega industrijske proizvodnje (2015 = 100); </w:t>
      </w:r>
      <w:r w:rsidR="00066429">
        <w:rPr>
          <w:lang w:eastAsia="sl-SI"/>
        </w:rPr>
        <w:t>2007</w:t>
      </w:r>
      <w:r w:rsidR="0099244F">
        <w:rPr>
          <w:lang w:eastAsia="sl-SI"/>
        </w:rPr>
        <w:t>–</w:t>
      </w:r>
      <w:r w:rsidR="00066429">
        <w:rPr>
          <w:lang w:eastAsia="sl-SI"/>
        </w:rPr>
        <w:t>2019</w:t>
      </w:r>
      <w:bookmarkEnd w:id="3190"/>
    </w:p>
    <w:p w14:paraId="65C79B52" w14:textId="3E6110D1" w:rsidR="00066429" w:rsidRDefault="00066429" w:rsidP="00DE26F3">
      <w:pPr>
        <w:keepNext/>
        <w:keepLines/>
        <w:spacing w:before="0" w:line="276" w:lineRule="auto"/>
        <w:rPr>
          <w:sz w:val="20"/>
          <w:szCs w:val="20"/>
          <w:lang w:eastAsia="sl-SI"/>
        </w:rPr>
      </w:pPr>
      <w:r>
        <w:rPr>
          <w:noProof/>
          <w:lang w:eastAsia="sl-SI"/>
        </w:rPr>
        <w:drawing>
          <wp:inline distT="0" distB="0" distL="0" distR="0" wp14:anchorId="2CCEE5D0" wp14:editId="185325C5">
            <wp:extent cx="5144947" cy="2070543"/>
            <wp:effectExtent l="0" t="0" r="0" b="6350"/>
            <wp:docPr id="1631865554" name="Slika 163186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59158" cy="2076262"/>
                    </a:xfrm>
                    <a:prstGeom prst="rect">
                      <a:avLst/>
                    </a:prstGeom>
                    <a:noFill/>
                  </pic:spPr>
                </pic:pic>
              </a:graphicData>
            </a:graphic>
          </wp:inline>
        </w:drawing>
      </w:r>
    </w:p>
    <w:p w14:paraId="7BA9CFCA" w14:textId="01BB6A06" w:rsidR="00701BC9" w:rsidRPr="000339A3" w:rsidRDefault="00701BC9" w:rsidP="007613FE">
      <w:pPr>
        <w:pStyle w:val="Odstavek1"/>
      </w:pPr>
      <w:r w:rsidRPr="000339A3">
        <w:t xml:space="preserve">Vir: </w:t>
      </w:r>
      <w:r w:rsidRPr="000339A3">
        <w:rPr>
          <w:rStyle w:val="Sprotnaopomba-sklic"/>
          <w:sz w:val="16"/>
          <w:szCs w:val="16"/>
          <w:vertAlign w:val="baseline"/>
        </w:rPr>
        <w:t xml:space="preserve">Poročilo o stanju kmetijstva, živilstva, gozdarstva in ribištva v letu 2019. </w:t>
      </w:r>
    </w:p>
    <w:p w14:paraId="611F771A" w14:textId="77777777" w:rsidR="00AB1ABD" w:rsidRPr="007613FE" w:rsidRDefault="00AB1ABD" w:rsidP="007613FE">
      <w:pPr>
        <w:pStyle w:val="Odstavek1"/>
      </w:pPr>
    </w:p>
    <w:p w14:paraId="7D57F18B" w14:textId="2B9C20D2" w:rsidR="003406B9" w:rsidRPr="007613FE" w:rsidRDefault="003406B9" w:rsidP="007E558D">
      <w:pPr>
        <w:pStyle w:val="SCPreglednica"/>
      </w:pPr>
      <w:bookmarkStart w:id="3191" w:name="_Toc86822664"/>
      <w:r w:rsidRPr="007613FE">
        <w:t xml:space="preserve">Tabela </w:t>
      </w:r>
      <w:r w:rsidR="00114E2D">
        <w:rPr>
          <w:noProof/>
        </w:rPr>
        <w:fldChar w:fldCharType="begin"/>
      </w:r>
      <w:r w:rsidR="00114E2D">
        <w:rPr>
          <w:noProof/>
        </w:rPr>
        <w:instrText xml:space="preserve"> SEQ Tabela \* ARABIC </w:instrText>
      </w:r>
      <w:r w:rsidR="00114E2D">
        <w:rPr>
          <w:noProof/>
        </w:rPr>
        <w:fldChar w:fldCharType="separate"/>
      </w:r>
      <w:r w:rsidR="0088117A">
        <w:rPr>
          <w:noProof/>
        </w:rPr>
        <w:t>26</w:t>
      </w:r>
      <w:r w:rsidR="00114E2D">
        <w:rPr>
          <w:noProof/>
        </w:rPr>
        <w:fldChar w:fldCharType="end"/>
      </w:r>
      <w:r w:rsidRPr="007613FE">
        <w:t xml:space="preserve">: Indeksi obsega industrijske proizvodnje (predhodno leto = 100); </w:t>
      </w:r>
      <w:r w:rsidR="00066429" w:rsidRPr="007613FE">
        <w:t>2014</w:t>
      </w:r>
      <w:r w:rsidR="0099244F" w:rsidRPr="007613FE">
        <w:t>–</w:t>
      </w:r>
      <w:r w:rsidR="00066429" w:rsidRPr="007613FE">
        <w:t>2019</w:t>
      </w:r>
      <w:bookmarkEnd w:id="3191"/>
    </w:p>
    <w:tbl>
      <w:tblPr>
        <w:tblW w:w="4527"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4A0" w:firstRow="1" w:lastRow="0" w:firstColumn="1" w:lastColumn="0" w:noHBand="0" w:noVBand="1"/>
      </w:tblPr>
      <w:tblGrid>
        <w:gridCol w:w="3528"/>
        <w:gridCol w:w="780"/>
        <w:gridCol w:w="780"/>
        <w:gridCol w:w="780"/>
        <w:gridCol w:w="779"/>
        <w:gridCol w:w="779"/>
        <w:gridCol w:w="779"/>
      </w:tblGrid>
      <w:tr w:rsidR="00066429" w:rsidRPr="005B0B0D" w14:paraId="3CB5AF6D" w14:textId="77777777" w:rsidTr="006249A0">
        <w:trPr>
          <w:trHeight w:val="227"/>
        </w:trPr>
        <w:tc>
          <w:tcPr>
            <w:tcW w:w="2149" w:type="pct"/>
            <w:shd w:val="clear" w:color="auto" w:fill="D9D9D9"/>
            <w:noWrap/>
            <w:vAlign w:val="center"/>
          </w:tcPr>
          <w:p w14:paraId="6BBFA486" w14:textId="77777777" w:rsidR="00066429" w:rsidRPr="005B0B0D" w:rsidRDefault="00066429" w:rsidP="007613FE">
            <w:pPr>
              <w:pStyle w:val="Odstavek1"/>
              <w:rPr>
                <w:sz w:val="18"/>
                <w:szCs w:val="18"/>
              </w:rPr>
            </w:pPr>
          </w:p>
        </w:tc>
        <w:tc>
          <w:tcPr>
            <w:tcW w:w="475" w:type="pct"/>
            <w:shd w:val="clear" w:color="auto" w:fill="D9D9D9"/>
            <w:vAlign w:val="bottom"/>
            <w:hideMark/>
          </w:tcPr>
          <w:p w14:paraId="32178B70" w14:textId="77777777" w:rsidR="00066429" w:rsidRPr="005B0B0D" w:rsidRDefault="00066429" w:rsidP="007613FE">
            <w:pPr>
              <w:pStyle w:val="Odstavek1"/>
              <w:rPr>
                <w:sz w:val="18"/>
                <w:szCs w:val="18"/>
              </w:rPr>
            </w:pPr>
            <w:r w:rsidRPr="005B0B0D">
              <w:rPr>
                <w:sz w:val="18"/>
                <w:szCs w:val="18"/>
              </w:rPr>
              <w:t>2014</w:t>
            </w:r>
          </w:p>
        </w:tc>
        <w:tc>
          <w:tcPr>
            <w:tcW w:w="475" w:type="pct"/>
            <w:shd w:val="clear" w:color="auto" w:fill="D9D9D9"/>
            <w:vAlign w:val="bottom"/>
          </w:tcPr>
          <w:p w14:paraId="4C4D0ABF" w14:textId="77777777" w:rsidR="00066429" w:rsidRPr="005B0B0D" w:rsidRDefault="00066429" w:rsidP="007613FE">
            <w:pPr>
              <w:pStyle w:val="Odstavek1"/>
              <w:rPr>
                <w:sz w:val="18"/>
                <w:szCs w:val="18"/>
              </w:rPr>
            </w:pPr>
            <w:r w:rsidRPr="005B0B0D">
              <w:rPr>
                <w:sz w:val="18"/>
                <w:szCs w:val="18"/>
              </w:rPr>
              <w:t>2015</w:t>
            </w:r>
          </w:p>
        </w:tc>
        <w:tc>
          <w:tcPr>
            <w:tcW w:w="475" w:type="pct"/>
            <w:shd w:val="clear" w:color="auto" w:fill="D9D9D9"/>
            <w:vAlign w:val="bottom"/>
          </w:tcPr>
          <w:p w14:paraId="42A23108" w14:textId="77777777" w:rsidR="00066429" w:rsidRPr="005B0B0D" w:rsidRDefault="00066429" w:rsidP="007613FE">
            <w:pPr>
              <w:pStyle w:val="Odstavek1"/>
              <w:rPr>
                <w:sz w:val="18"/>
                <w:szCs w:val="18"/>
              </w:rPr>
            </w:pPr>
            <w:r w:rsidRPr="005B0B0D">
              <w:rPr>
                <w:sz w:val="18"/>
                <w:szCs w:val="18"/>
              </w:rPr>
              <w:t>2016</w:t>
            </w:r>
          </w:p>
        </w:tc>
        <w:tc>
          <w:tcPr>
            <w:tcW w:w="475" w:type="pct"/>
            <w:shd w:val="clear" w:color="auto" w:fill="D9D9D9"/>
            <w:vAlign w:val="bottom"/>
          </w:tcPr>
          <w:p w14:paraId="633FCC1B" w14:textId="77777777" w:rsidR="00066429" w:rsidRPr="005B0B0D" w:rsidRDefault="00066429" w:rsidP="007613FE">
            <w:pPr>
              <w:pStyle w:val="Odstavek1"/>
              <w:rPr>
                <w:sz w:val="18"/>
                <w:szCs w:val="18"/>
              </w:rPr>
            </w:pPr>
            <w:r w:rsidRPr="005B0B0D">
              <w:rPr>
                <w:sz w:val="18"/>
                <w:szCs w:val="18"/>
              </w:rPr>
              <w:t>2017</w:t>
            </w:r>
          </w:p>
        </w:tc>
        <w:tc>
          <w:tcPr>
            <w:tcW w:w="475" w:type="pct"/>
            <w:shd w:val="clear" w:color="auto" w:fill="D9D9D9"/>
            <w:vAlign w:val="bottom"/>
          </w:tcPr>
          <w:p w14:paraId="21861D99" w14:textId="77777777" w:rsidR="00066429" w:rsidRPr="005B0B0D" w:rsidRDefault="00066429" w:rsidP="007613FE">
            <w:pPr>
              <w:pStyle w:val="Odstavek1"/>
              <w:rPr>
                <w:sz w:val="18"/>
                <w:szCs w:val="18"/>
              </w:rPr>
            </w:pPr>
            <w:r w:rsidRPr="005B0B0D">
              <w:rPr>
                <w:sz w:val="18"/>
                <w:szCs w:val="18"/>
              </w:rPr>
              <w:t>2018</w:t>
            </w:r>
          </w:p>
        </w:tc>
        <w:tc>
          <w:tcPr>
            <w:tcW w:w="475" w:type="pct"/>
            <w:shd w:val="clear" w:color="auto" w:fill="D9D9D9"/>
            <w:vAlign w:val="bottom"/>
          </w:tcPr>
          <w:p w14:paraId="312A3EBD" w14:textId="77777777" w:rsidR="00066429" w:rsidRPr="005B0B0D" w:rsidRDefault="00066429" w:rsidP="007613FE">
            <w:pPr>
              <w:pStyle w:val="Odstavek1"/>
              <w:rPr>
                <w:sz w:val="18"/>
                <w:szCs w:val="18"/>
              </w:rPr>
            </w:pPr>
            <w:r w:rsidRPr="005B0B0D">
              <w:rPr>
                <w:sz w:val="18"/>
                <w:szCs w:val="18"/>
              </w:rPr>
              <w:t>2019*</w:t>
            </w:r>
          </w:p>
        </w:tc>
      </w:tr>
      <w:tr w:rsidR="00066429" w:rsidRPr="005B0B0D" w14:paraId="128B3937" w14:textId="77777777" w:rsidTr="006249A0">
        <w:trPr>
          <w:trHeight w:val="227"/>
        </w:trPr>
        <w:tc>
          <w:tcPr>
            <w:tcW w:w="2149" w:type="pct"/>
            <w:noWrap/>
            <w:vAlign w:val="center"/>
            <w:hideMark/>
          </w:tcPr>
          <w:p w14:paraId="2117CF7A" w14:textId="77777777" w:rsidR="00066429" w:rsidRPr="005B0B0D" w:rsidRDefault="00066429" w:rsidP="005B0B0D">
            <w:pPr>
              <w:pStyle w:val="1"/>
              <w:rPr>
                <w:sz w:val="18"/>
                <w:szCs w:val="18"/>
              </w:rPr>
            </w:pPr>
            <w:r w:rsidRPr="005B0B0D">
              <w:rPr>
                <w:sz w:val="18"/>
                <w:szCs w:val="18"/>
              </w:rPr>
              <w:t>Predelovalne dejavnosti (C)</w:t>
            </w:r>
          </w:p>
        </w:tc>
        <w:tc>
          <w:tcPr>
            <w:tcW w:w="475" w:type="pct"/>
            <w:vAlign w:val="center"/>
          </w:tcPr>
          <w:p w14:paraId="297F3DDC" w14:textId="77777777" w:rsidR="00066429" w:rsidRPr="005B0B0D" w:rsidRDefault="00066429" w:rsidP="005B0B0D">
            <w:pPr>
              <w:pStyle w:val="1"/>
              <w:jc w:val="right"/>
              <w:rPr>
                <w:sz w:val="18"/>
                <w:szCs w:val="18"/>
              </w:rPr>
            </w:pPr>
            <w:r w:rsidRPr="005B0B0D">
              <w:rPr>
                <w:sz w:val="18"/>
                <w:szCs w:val="18"/>
              </w:rPr>
              <w:t>104,3</w:t>
            </w:r>
          </w:p>
        </w:tc>
        <w:tc>
          <w:tcPr>
            <w:tcW w:w="475" w:type="pct"/>
            <w:vAlign w:val="center"/>
          </w:tcPr>
          <w:p w14:paraId="1174DFCA" w14:textId="77777777" w:rsidR="00066429" w:rsidRPr="005B0B0D" w:rsidRDefault="00066429" w:rsidP="005B0B0D">
            <w:pPr>
              <w:pStyle w:val="1"/>
              <w:jc w:val="right"/>
              <w:rPr>
                <w:sz w:val="18"/>
                <w:szCs w:val="18"/>
              </w:rPr>
            </w:pPr>
            <w:r w:rsidRPr="005B0B0D">
              <w:rPr>
                <w:sz w:val="18"/>
                <w:szCs w:val="18"/>
              </w:rPr>
              <w:t>106,0</w:t>
            </w:r>
          </w:p>
        </w:tc>
        <w:tc>
          <w:tcPr>
            <w:tcW w:w="475" w:type="pct"/>
            <w:vAlign w:val="center"/>
          </w:tcPr>
          <w:p w14:paraId="4BBA0B12" w14:textId="77777777" w:rsidR="00066429" w:rsidRPr="005B0B0D" w:rsidRDefault="00066429" w:rsidP="005B0B0D">
            <w:pPr>
              <w:pStyle w:val="1"/>
              <w:jc w:val="right"/>
              <w:rPr>
                <w:sz w:val="18"/>
                <w:szCs w:val="18"/>
              </w:rPr>
            </w:pPr>
            <w:r w:rsidRPr="005B0B0D">
              <w:rPr>
                <w:sz w:val="18"/>
                <w:szCs w:val="18"/>
              </w:rPr>
              <w:t>107,7</w:t>
            </w:r>
          </w:p>
        </w:tc>
        <w:tc>
          <w:tcPr>
            <w:tcW w:w="475" w:type="pct"/>
            <w:vAlign w:val="center"/>
          </w:tcPr>
          <w:p w14:paraId="3B477E57" w14:textId="77777777" w:rsidR="00066429" w:rsidRPr="005B0B0D" w:rsidRDefault="00066429" w:rsidP="005B0B0D">
            <w:pPr>
              <w:pStyle w:val="1"/>
              <w:jc w:val="right"/>
              <w:rPr>
                <w:sz w:val="18"/>
                <w:szCs w:val="18"/>
              </w:rPr>
            </w:pPr>
            <w:r w:rsidRPr="005B0B0D">
              <w:rPr>
                <w:sz w:val="18"/>
                <w:szCs w:val="18"/>
              </w:rPr>
              <w:t>108,2</w:t>
            </w:r>
          </w:p>
        </w:tc>
        <w:tc>
          <w:tcPr>
            <w:tcW w:w="475" w:type="pct"/>
            <w:vAlign w:val="center"/>
          </w:tcPr>
          <w:p w14:paraId="40C6B06A" w14:textId="77777777" w:rsidR="00066429" w:rsidRPr="005B0B0D" w:rsidRDefault="00066429" w:rsidP="005B0B0D">
            <w:pPr>
              <w:pStyle w:val="1"/>
              <w:jc w:val="right"/>
              <w:rPr>
                <w:sz w:val="18"/>
                <w:szCs w:val="18"/>
              </w:rPr>
            </w:pPr>
            <w:r w:rsidRPr="005B0B0D">
              <w:rPr>
                <w:sz w:val="18"/>
                <w:szCs w:val="18"/>
              </w:rPr>
              <w:t>105,7</w:t>
            </w:r>
          </w:p>
        </w:tc>
        <w:tc>
          <w:tcPr>
            <w:tcW w:w="475" w:type="pct"/>
            <w:vAlign w:val="center"/>
          </w:tcPr>
          <w:p w14:paraId="216AA010" w14:textId="77777777" w:rsidR="00066429" w:rsidRPr="005B0B0D" w:rsidRDefault="00066429" w:rsidP="005B0B0D">
            <w:pPr>
              <w:pStyle w:val="1"/>
              <w:jc w:val="right"/>
              <w:rPr>
                <w:sz w:val="18"/>
                <w:szCs w:val="18"/>
              </w:rPr>
            </w:pPr>
            <w:r w:rsidRPr="005B0B0D">
              <w:rPr>
                <w:sz w:val="18"/>
                <w:szCs w:val="18"/>
              </w:rPr>
              <w:t>103,6</w:t>
            </w:r>
          </w:p>
        </w:tc>
      </w:tr>
      <w:tr w:rsidR="00066429" w:rsidRPr="005B0B0D" w14:paraId="4B2F9C72" w14:textId="77777777" w:rsidTr="006249A0">
        <w:trPr>
          <w:trHeight w:val="227"/>
        </w:trPr>
        <w:tc>
          <w:tcPr>
            <w:tcW w:w="2149" w:type="pct"/>
            <w:noWrap/>
            <w:vAlign w:val="center"/>
            <w:hideMark/>
          </w:tcPr>
          <w:p w14:paraId="021EBDB0" w14:textId="77777777" w:rsidR="00066429" w:rsidRPr="005B0B0D" w:rsidRDefault="00066429" w:rsidP="005B0B0D">
            <w:pPr>
              <w:pStyle w:val="1"/>
              <w:rPr>
                <w:b/>
                <w:sz w:val="18"/>
                <w:szCs w:val="18"/>
              </w:rPr>
            </w:pPr>
            <w:r w:rsidRPr="005B0B0D">
              <w:rPr>
                <w:b/>
                <w:sz w:val="18"/>
                <w:szCs w:val="18"/>
              </w:rPr>
              <w:t>Proizvodnja živil (C10)</w:t>
            </w:r>
          </w:p>
        </w:tc>
        <w:tc>
          <w:tcPr>
            <w:tcW w:w="475" w:type="pct"/>
            <w:vAlign w:val="center"/>
          </w:tcPr>
          <w:p w14:paraId="705FC015" w14:textId="77777777" w:rsidR="00066429" w:rsidRPr="005B0B0D" w:rsidRDefault="00066429" w:rsidP="005B0B0D">
            <w:pPr>
              <w:pStyle w:val="1"/>
              <w:jc w:val="right"/>
              <w:rPr>
                <w:b/>
                <w:sz w:val="18"/>
                <w:szCs w:val="18"/>
              </w:rPr>
            </w:pPr>
            <w:r w:rsidRPr="005B0B0D">
              <w:rPr>
                <w:b/>
                <w:sz w:val="18"/>
                <w:szCs w:val="18"/>
              </w:rPr>
              <w:t>100,3</w:t>
            </w:r>
          </w:p>
        </w:tc>
        <w:tc>
          <w:tcPr>
            <w:tcW w:w="475" w:type="pct"/>
            <w:vAlign w:val="center"/>
          </w:tcPr>
          <w:p w14:paraId="2458D9D9" w14:textId="77777777" w:rsidR="00066429" w:rsidRPr="005B0B0D" w:rsidRDefault="00066429" w:rsidP="005B0B0D">
            <w:pPr>
              <w:pStyle w:val="1"/>
              <w:jc w:val="right"/>
              <w:rPr>
                <w:b/>
                <w:sz w:val="18"/>
                <w:szCs w:val="18"/>
              </w:rPr>
            </w:pPr>
            <w:r w:rsidRPr="005B0B0D">
              <w:rPr>
                <w:b/>
                <w:sz w:val="18"/>
                <w:szCs w:val="18"/>
              </w:rPr>
              <w:t>104,2</w:t>
            </w:r>
          </w:p>
        </w:tc>
        <w:tc>
          <w:tcPr>
            <w:tcW w:w="475" w:type="pct"/>
            <w:vAlign w:val="center"/>
          </w:tcPr>
          <w:p w14:paraId="7FAA19BE" w14:textId="77777777" w:rsidR="00066429" w:rsidRPr="005B0B0D" w:rsidRDefault="00066429" w:rsidP="005B0B0D">
            <w:pPr>
              <w:pStyle w:val="1"/>
              <w:jc w:val="right"/>
              <w:rPr>
                <w:b/>
                <w:sz w:val="18"/>
                <w:szCs w:val="18"/>
              </w:rPr>
            </w:pPr>
            <w:r w:rsidRPr="005B0B0D">
              <w:rPr>
                <w:b/>
                <w:sz w:val="18"/>
                <w:szCs w:val="18"/>
              </w:rPr>
              <w:t>101,6</w:t>
            </w:r>
          </w:p>
        </w:tc>
        <w:tc>
          <w:tcPr>
            <w:tcW w:w="475" w:type="pct"/>
            <w:vAlign w:val="center"/>
          </w:tcPr>
          <w:p w14:paraId="3BAA8BE7" w14:textId="77777777" w:rsidR="00066429" w:rsidRPr="005B0B0D" w:rsidRDefault="00066429" w:rsidP="005B0B0D">
            <w:pPr>
              <w:pStyle w:val="1"/>
              <w:jc w:val="right"/>
              <w:rPr>
                <w:b/>
                <w:sz w:val="18"/>
                <w:szCs w:val="18"/>
              </w:rPr>
            </w:pPr>
            <w:r w:rsidRPr="005B0B0D">
              <w:rPr>
                <w:b/>
                <w:sz w:val="18"/>
                <w:szCs w:val="18"/>
              </w:rPr>
              <w:t>105,0</w:t>
            </w:r>
          </w:p>
        </w:tc>
        <w:tc>
          <w:tcPr>
            <w:tcW w:w="475" w:type="pct"/>
            <w:vAlign w:val="center"/>
          </w:tcPr>
          <w:p w14:paraId="18C5FCC1" w14:textId="77777777" w:rsidR="00066429" w:rsidRPr="005B0B0D" w:rsidRDefault="00066429" w:rsidP="005B0B0D">
            <w:pPr>
              <w:pStyle w:val="1"/>
              <w:jc w:val="right"/>
              <w:rPr>
                <w:b/>
                <w:sz w:val="18"/>
                <w:szCs w:val="18"/>
              </w:rPr>
            </w:pPr>
            <w:r w:rsidRPr="005B0B0D">
              <w:rPr>
                <w:b/>
                <w:sz w:val="18"/>
                <w:szCs w:val="18"/>
              </w:rPr>
              <w:t>100,6</w:t>
            </w:r>
          </w:p>
        </w:tc>
        <w:tc>
          <w:tcPr>
            <w:tcW w:w="475" w:type="pct"/>
            <w:vAlign w:val="center"/>
          </w:tcPr>
          <w:p w14:paraId="7E7E37CD" w14:textId="77777777" w:rsidR="00066429" w:rsidRPr="005B0B0D" w:rsidRDefault="00066429" w:rsidP="005B0B0D">
            <w:pPr>
              <w:pStyle w:val="1"/>
              <w:jc w:val="right"/>
              <w:rPr>
                <w:b/>
                <w:sz w:val="18"/>
                <w:szCs w:val="18"/>
              </w:rPr>
            </w:pPr>
            <w:r w:rsidRPr="005B0B0D">
              <w:rPr>
                <w:b/>
                <w:sz w:val="18"/>
                <w:szCs w:val="18"/>
              </w:rPr>
              <w:t>104,2</w:t>
            </w:r>
          </w:p>
        </w:tc>
      </w:tr>
      <w:tr w:rsidR="00066429" w:rsidRPr="005B0B0D" w14:paraId="31FBFB31" w14:textId="77777777" w:rsidTr="006249A0">
        <w:trPr>
          <w:trHeight w:val="227"/>
        </w:trPr>
        <w:tc>
          <w:tcPr>
            <w:tcW w:w="2149" w:type="pct"/>
            <w:noWrap/>
            <w:vAlign w:val="center"/>
            <w:hideMark/>
          </w:tcPr>
          <w:p w14:paraId="7C91ADAF" w14:textId="77777777" w:rsidR="00066429" w:rsidRPr="005B0B0D" w:rsidRDefault="00066429" w:rsidP="005B0B0D">
            <w:pPr>
              <w:pStyle w:val="1"/>
              <w:rPr>
                <w:b/>
                <w:sz w:val="18"/>
                <w:szCs w:val="18"/>
              </w:rPr>
            </w:pPr>
            <w:r w:rsidRPr="005B0B0D">
              <w:rPr>
                <w:b/>
                <w:sz w:val="18"/>
                <w:szCs w:val="18"/>
              </w:rPr>
              <w:t>Proizvodnja pijač (C11)</w:t>
            </w:r>
          </w:p>
        </w:tc>
        <w:tc>
          <w:tcPr>
            <w:tcW w:w="475" w:type="pct"/>
            <w:vAlign w:val="center"/>
          </w:tcPr>
          <w:p w14:paraId="7BC0FE78" w14:textId="77777777" w:rsidR="00066429" w:rsidRPr="005B0B0D" w:rsidRDefault="00066429" w:rsidP="005B0B0D">
            <w:pPr>
              <w:pStyle w:val="1"/>
              <w:jc w:val="right"/>
              <w:rPr>
                <w:b/>
                <w:sz w:val="18"/>
                <w:szCs w:val="18"/>
              </w:rPr>
            </w:pPr>
            <w:r w:rsidRPr="005B0B0D">
              <w:rPr>
                <w:b/>
                <w:sz w:val="18"/>
                <w:szCs w:val="18"/>
              </w:rPr>
              <w:t>97,3</w:t>
            </w:r>
          </w:p>
        </w:tc>
        <w:tc>
          <w:tcPr>
            <w:tcW w:w="475" w:type="pct"/>
            <w:vAlign w:val="center"/>
          </w:tcPr>
          <w:p w14:paraId="35EF3103" w14:textId="77777777" w:rsidR="00066429" w:rsidRPr="005B0B0D" w:rsidRDefault="00066429" w:rsidP="005B0B0D">
            <w:pPr>
              <w:pStyle w:val="1"/>
              <w:jc w:val="right"/>
              <w:rPr>
                <w:b/>
                <w:sz w:val="18"/>
                <w:szCs w:val="18"/>
              </w:rPr>
            </w:pPr>
            <w:r w:rsidRPr="005B0B0D">
              <w:rPr>
                <w:b/>
                <w:sz w:val="18"/>
                <w:szCs w:val="18"/>
              </w:rPr>
              <w:t>91,1</w:t>
            </w:r>
          </w:p>
        </w:tc>
        <w:tc>
          <w:tcPr>
            <w:tcW w:w="475" w:type="pct"/>
            <w:vAlign w:val="center"/>
          </w:tcPr>
          <w:p w14:paraId="34381DD4" w14:textId="77777777" w:rsidR="00066429" w:rsidRPr="005B0B0D" w:rsidRDefault="00066429" w:rsidP="005B0B0D">
            <w:pPr>
              <w:pStyle w:val="1"/>
              <w:jc w:val="right"/>
              <w:rPr>
                <w:b/>
                <w:sz w:val="18"/>
                <w:szCs w:val="18"/>
              </w:rPr>
            </w:pPr>
            <w:r w:rsidRPr="005B0B0D">
              <w:rPr>
                <w:b/>
                <w:sz w:val="18"/>
                <w:szCs w:val="18"/>
              </w:rPr>
              <w:t>103,2</w:t>
            </w:r>
          </w:p>
        </w:tc>
        <w:tc>
          <w:tcPr>
            <w:tcW w:w="475" w:type="pct"/>
            <w:vAlign w:val="center"/>
          </w:tcPr>
          <w:p w14:paraId="67DD0A68" w14:textId="77777777" w:rsidR="00066429" w:rsidRPr="005B0B0D" w:rsidRDefault="00066429" w:rsidP="005B0B0D">
            <w:pPr>
              <w:pStyle w:val="1"/>
              <w:jc w:val="right"/>
              <w:rPr>
                <w:b/>
                <w:sz w:val="18"/>
                <w:szCs w:val="18"/>
              </w:rPr>
            </w:pPr>
            <w:r w:rsidRPr="005B0B0D">
              <w:rPr>
                <w:b/>
                <w:sz w:val="18"/>
                <w:szCs w:val="18"/>
              </w:rPr>
              <w:t>100,9</w:t>
            </w:r>
          </w:p>
        </w:tc>
        <w:tc>
          <w:tcPr>
            <w:tcW w:w="475" w:type="pct"/>
            <w:vAlign w:val="center"/>
          </w:tcPr>
          <w:p w14:paraId="25E5210F" w14:textId="77777777" w:rsidR="00066429" w:rsidRPr="005B0B0D" w:rsidRDefault="00066429" w:rsidP="005B0B0D">
            <w:pPr>
              <w:pStyle w:val="1"/>
              <w:jc w:val="right"/>
              <w:rPr>
                <w:b/>
                <w:sz w:val="18"/>
                <w:szCs w:val="18"/>
              </w:rPr>
            </w:pPr>
            <w:r w:rsidRPr="005B0B0D">
              <w:rPr>
                <w:b/>
                <w:sz w:val="18"/>
                <w:szCs w:val="18"/>
              </w:rPr>
              <w:t>112,3</w:t>
            </w:r>
          </w:p>
        </w:tc>
        <w:tc>
          <w:tcPr>
            <w:tcW w:w="475" w:type="pct"/>
            <w:vAlign w:val="center"/>
          </w:tcPr>
          <w:p w14:paraId="6231F7CA" w14:textId="77777777" w:rsidR="00066429" w:rsidRPr="005B0B0D" w:rsidRDefault="00066429" w:rsidP="005B0B0D">
            <w:pPr>
              <w:pStyle w:val="1"/>
              <w:jc w:val="right"/>
              <w:rPr>
                <w:b/>
                <w:sz w:val="18"/>
                <w:szCs w:val="18"/>
              </w:rPr>
            </w:pPr>
            <w:r w:rsidRPr="005B0B0D">
              <w:rPr>
                <w:b/>
                <w:sz w:val="18"/>
                <w:szCs w:val="18"/>
              </w:rPr>
              <w:t>95,7</w:t>
            </w:r>
          </w:p>
        </w:tc>
      </w:tr>
    </w:tbl>
    <w:p w14:paraId="69F97AA6" w14:textId="77777777" w:rsidR="005F4266" w:rsidRDefault="003406B9" w:rsidP="003406B9">
      <w:pPr>
        <w:pStyle w:val="ZPpodnapis"/>
        <w:spacing w:before="0" w:after="0" w:line="276" w:lineRule="auto"/>
        <w:rPr>
          <w:szCs w:val="16"/>
        </w:rPr>
      </w:pPr>
      <w:r w:rsidRPr="00852E36">
        <w:rPr>
          <w:szCs w:val="16"/>
        </w:rPr>
        <w:t>* Začasni podatki.</w:t>
      </w:r>
      <w:r w:rsidR="00DE26F3">
        <w:rPr>
          <w:szCs w:val="16"/>
        </w:rPr>
        <w:t xml:space="preserve"> </w:t>
      </w:r>
    </w:p>
    <w:p w14:paraId="25C0E6C3"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037BB7DB" w14:textId="7B67ECF4" w:rsidR="003406B9" w:rsidRPr="0047652B" w:rsidRDefault="00701BC9" w:rsidP="007613FE">
      <w:pPr>
        <w:pStyle w:val="ZPtekst"/>
        <w:spacing w:before="0" w:line="260" w:lineRule="atLeast"/>
      </w:pPr>
      <w:r w:rsidRPr="00852E36" w:rsidDel="00701BC9">
        <w:rPr>
          <w:szCs w:val="16"/>
        </w:rPr>
        <w:t xml:space="preserve"> </w:t>
      </w:r>
    </w:p>
    <w:p w14:paraId="59E0706E" w14:textId="77777777" w:rsidR="003406B9" w:rsidRPr="0047652B" w:rsidRDefault="003406B9" w:rsidP="007613FE">
      <w:pPr>
        <w:pStyle w:val="ZPtekst"/>
        <w:spacing w:before="0" w:line="260" w:lineRule="atLeast"/>
        <w:rPr>
          <w:sz w:val="20"/>
          <w:szCs w:val="20"/>
        </w:rPr>
      </w:pPr>
    </w:p>
    <w:p w14:paraId="12460487" w14:textId="6A4A08F0" w:rsidR="003406B9" w:rsidRPr="009F3567" w:rsidRDefault="003406B9" w:rsidP="007E558D">
      <w:pPr>
        <w:pStyle w:val="Naslov2"/>
      </w:pPr>
      <w:bookmarkStart w:id="3192" w:name="_Toc86822611"/>
      <w:r w:rsidRPr="009F3567">
        <w:t>Cene v živilskopredelovalni industriji</w:t>
      </w:r>
      <w:bookmarkEnd w:id="3192"/>
    </w:p>
    <w:p w14:paraId="23287D58" w14:textId="77777777" w:rsidR="003406B9" w:rsidRPr="00852E36" w:rsidRDefault="003406B9" w:rsidP="007613FE">
      <w:pPr>
        <w:spacing w:before="0" w:line="260" w:lineRule="atLeast"/>
        <w:rPr>
          <w:rFonts w:eastAsiaTheme="minorHAnsi"/>
          <w:lang w:eastAsia="en-US"/>
        </w:rPr>
      </w:pPr>
    </w:p>
    <w:p w14:paraId="1D5D1A06" w14:textId="526C9E69" w:rsidR="0030046B" w:rsidRDefault="0030046B" w:rsidP="007E558D">
      <w:pPr>
        <w:rPr>
          <w:lang w:eastAsia="en-US"/>
        </w:rPr>
      </w:pPr>
      <w:r w:rsidRPr="00196202">
        <w:rPr>
          <w:lang w:eastAsia="en-US"/>
        </w:rPr>
        <w:t>Proizvajalčeve cene v dejavnosti proizvodnje živil (C10) so se v letu 2019 realno ponovno znižale v primerjavi z letom prej in bile realno na najnižji ravni v analiziranem obdobju. Proizvajalčeve cene v dejavnosti proizvodnje pijač (C11) so se v letu 2019 znižale še izraziteje, kar pomeni nadaljevanje trenda zniževanja cen iz predhodnih let. Tudi v tej dejavnosti so bile cene realno najnižje v analiziranem obdobju.</w:t>
      </w:r>
    </w:p>
    <w:p w14:paraId="34EE6E88" w14:textId="77777777" w:rsidR="00DE26F3" w:rsidRDefault="00DE26F3" w:rsidP="007613FE">
      <w:pPr>
        <w:spacing w:before="0" w:line="260" w:lineRule="atLeast"/>
        <w:rPr>
          <w:i/>
          <w:sz w:val="20"/>
          <w:szCs w:val="20"/>
          <w:lang w:eastAsia="sl-SI"/>
        </w:rPr>
      </w:pPr>
    </w:p>
    <w:p w14:paraId="3A131FCA" w14:textId="66E9C4C6" w:rsidR="00DE26F3" w:rsidRDefault="00DE26F3" w:rsidP="007E558D">
      <w:pPr>
        <w:pStyle w:val="SCSlika0"/>
        <w:rPr>
          <w:lang w:eastAsia="sl-SI"/>
        </w:rPr>
      </w:pPr>
      <w:bookmarkStart w:id="3193" w:name="_Toc86822758"/>
      <w:r w:rsidRPr="009F3567">
        <w:rPr>
          <w:lang w:eastAsia="sl-SI"/>
        </w:rPr>
        <w:t xml:space="preserve">Slika </w:t>
      </w:r>
      <w:r w:rsidRPr="009F3567">
        <w:rPr>
          <w:lang w:eastAsia="sl-SI"/>
        </w:rPr>
        <w:fldChar w:fldCharType="begin"/>
      </w:r>
      <w:r w:rsidRPr="009F3567">
        <w:rPr>
          <w:lang w:eastAsia="sl-SI"/>
        </w:rPr>
        <w:instrText xml:space="preserve"> SEQ Slika \* ARABIC </w:instrText>
      </w:r>
      <w:r w:rsidRPr="009F3567">
        <w:rPr>
          <w:lang w:eastAsia="sl-SI"/>
        </w:rPr>
        <w:fldChar w:fldCharType="separate"/>
      </w:r>
      <w:r w:rsidR="0088117A">
        <w:rPr>
          <w:noProof/>
          <w:lang w:eastAsia="sl-SI"/>
        </w:rPr>
        <w:t>86</w:t>
      </w:r>
      <w:r w:rsidRPr="009F3567">
        <w:rPr>
          <w:lang w:eastAsia="sl-SI"/>
        </w:rPr>
        <w:fldChar w:fldCharType="end"/>
      </w:r>
      <w:r w:rsidRPr="009F3567">
        <w:rPr>
          <w:lang w:eastAsia="sl-SI"/>
        </w:rPr>
        <w:t xml:space="preserve">: Indeksi cen živil in pijač ter proizvodov predelovalnih dejavnosti pri proizvajalcih (realno; 2015 = 100); </w:t>
      </w:r>
      <w:r w:rsidR="0030046B">
        <w:rPr>
          <w:lang w:eastAsia="sl-SI"/>
        </w:rPr>
        <w:t>2007</w:t>
      </w:r>
      <w:r w:rsidR="0099244F">
        <w:rPr>
          <w:lang w:eastAsia="sl-SI"/>
        </w:rPr>
        <w:t>–</w:t>
      </w:r>
      <w:r w:rsidR="0030046B">
        <w:rPr>
          <w:lang w:eastAsia="sl-SI"/>
        </w:rPr>
        <w:t>2019</w:t>
      </w:r>
      <w:bookmarkEnd w:id="3193"/>
    </w:p>
    <w:p w14:paraId="73A24F09" w14:textId="338774CB" w:rsidR="00A37E13" w:rsidRPr="009F3567" w:rsidRDefault="00A37E13" w:rsidP="00DE26F3">
      <w:pPr>
        <w:spacing w:before="0" w:line="276" w:lineRule="auto"/>
        <w:rPr>
          <w:sz w:val="20"/>
          <w:szCs w:val="20"/>
          <w:lang w:eastAsia="sl-SI"/>
        </w:rPr>
      </w:pPr>
      <w:r>
        <w:rPr>
          <w:noProof/>
          <w:lang w:eastAsia="sl-SI"/>
        </w:rPr>
        <w:drawing>
          <wp:inline distT="0" distB="0" distL="0" distR="0" wp14:anchorId="6E986D2E" wp14:editId="68A16AF4">
            <wp:extent cx="5400000" cy="2093048"/>
            <wp:effectExtent l="0" t="0" r="0" b="2540"/>
            <wp:docPr id="1631865560" name="Slika 163186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000" cy="2093048"/>
                    </a:xfrm>
                    <a:prstGeom prst="rect">
                      <a:avLst/>
                    </a:prstGeom>
                    <a:noFill/>
                  </pic:spPr>
                </pic:pic>
              </a:graphicData>
            </a:graphic>
          </wp:inline>
        </w:drawing>
      </w:r>
    </w:p>
    <w:p w14:paraId="5F1DB3D3"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C09EB21" w14:textId="3AB6C2E8" w:rsidR="003406B9" w:rsidRPr="0047652B" w:rsidRDefault="00701BC9" w:rsidP="003406B9">
      <w:pPr>
        <w:spacing w:before="0" w:line="276" w:lineRule="auto"/>
        <w:rPr>
          <w:sz w:val="20"/>
          <w:szCs w:val="20"/>
          <w:lang w:eastAsia="en-US"/>
        </w:rPr>
      </w:pPr>
      <w:r w:rsidRPr="00852E36" w:rsidDel="00701BC9">
        <w:rPr>
          <w:sz w:val="16"/>
          <w:szCs w:val="16"/>
          <w:lang w:eastAsia="en-US"/>
        </w:rPr>
        <w:t xml:space="preserve"> </w:t>
      </w:r>
    </w:p>
    <w:p w14:paraId="338E2EE0" w14:textId="656F08C0" w:rsidR="003406B9" w:rsidRDefault="003406B9" w:rsidP="007613FE">
      <w:pPr>
        <w:pStyle w:val="Odstavek1"/>
      </w:pPr>
      <w:bookmarkStart w:id="3194" w:name="_Toc86822665"/>
      <w:r w:rsidRPr="009F3567">
        <w:t xml:space="preserve">Tabela </w:t>
      </w:r>
      <w:r w:rsidR="00072AFA">
        <w:rPr>
          <w:noProof/>
        </w:rPr>
        <w:fldChar w:fldCharType="begin"/>
      </w:r>
      <w:r w:rsidR="00072AFA">
        <w:rPr>
          <w:noProof/>
        </w:rPr>
        <w:instrText xml:space="preserve"> SEQ Tabela \* ARABIC </w:instrText>
      </w:r>
      <w:r w:rsidR="00072AFA">
        <w:rPr>
          <w:noProof/>
        </w:rPr>
        <w:fldChar w:fldCharType="separate"/>
      </w:r>
      <w:r w:rsidR="0088117A">
        <w:rPr>
          <w:noProof/>
        </w:rPr>
        <w:t>27</w:t>
      </w:r>
      <w:r w:rsidR="00072AFA">
        <w:rPr>
          <w:noProof/>
        </w:rPr>
        <w:fldChar w:fldCharType="end"/>
      </w:r>
      <w:r w:rsidRPr="009F3567">
        <w:t>: Indeksi cen pri proizvajalcih (nominalno, predhodno leto = 100); 201</w:t>
      </w:r>
      <w:r w:rsidR="0099244F">
        <w:t>4</w:t>
      </w:r>
      <w:r w:rsidRPr="009F3567">
        <w:t>–201</w:t>
      </w:r>
      <w:r w:rsidR="0099244F">
        <w:t>9</w:t>
      </w:r>
      <w:bookmarkEnd w:id="3194"/>
    </w:p>
    <w:tbl>
      <w:tblPr>
        <w:tblW w:w="4379"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left w:w="57" w:type="dxa"/>
          <w:right w:w="57" w:type="dxa"/>
        </w:tblCellMar>
        <w:tblLook w:val="00A0" w:firstRow="1" w:lastRow="0" w:firstColumn="1" w:lastColumn="0" w:noHBand="0" w:noVBand="0"/>
      </w:tblPr>
      <w:tblGrid>
        <w:gridCol w:w="3721"/>
        <w:gridCol w:w="702"/>
        <w:gridCol w:w="705"/>
        <w:gridCol w:w="702"/>
        <w:gridCol w:w="702"/>
        <w:gridCol w:w="702"/>
        <w:gridCol w:w="702"/>
      </w:tblGrid>
      <w:tr w:rsidR="00A37E13" w:rsidRPr="005B0B0D" w14:paraId="40D2F8F4"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28F8EEBF" w14:textId="77777777" w:rsidR="00A37E13" w:rsidRPr="005B0B0D" w:rsidRDefault="00A37E13" w:rsidP="005B0B0D">
            <w:pPr>
              <w:pStyle w:val="1"/>
              <w:rPr>
                <w:sz w:val="18"/>
                <w:szCs w:val="18"/>
              </w:rPr>
            </w:pP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hideMark/>
          </w:tcPr>
          <w:p w14:paraId="70EBD2C0" w14:textId="77777777" w:rsidR="00A37E13" w:rsidRPr="005B0B0D" w:rsidRDefault="00A37E13" w:rsidP="005B0B0D">
            <w:pPr>
              <w:pStyle w:val="1"/>
              <w:jc w:val="center"/>
              <w:rPr>
                <w:sz w:val="18"/>
                <w:szCs w:val="18"/>
              </w:rPr>
            </w:pPr>
            <w:r w:rsidRPr="005B0B0D">
              <w:rPr>
                <w:bCs/>
                <w:color w:val="000000"/>
                <w:sz w:val="18"/>
                <w:szCs w:val="18"/>
              </w:rPr>
              <w:t>2014</w:t>
            </w:r>
          </w:p>
        </w:tc>
        <w:tc>
          <w:tcPr>
            <w:tcW w:w="406"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220106E3" w14:textId="77777777" w:rsidR="00A37E13" w:rsidRPr="005B0B0D" w:rsidRDefault="00A37E13" w:rsidP="005B0B0D">
            <w:pPr>
              <w:pStyle w:val="1"/>
              <w:jc w:val="center"/>
              <w:rPr>
                <w:sz w:val="18"/>
                <w:szCs w:val="18"/>
              </w:rPr>
            </w:pPr>
            <w:r w:rsidRPr="005B0B0D">
              <w:rPr>
                <w:bCs/>
                <w:color w:val="000000"/>
                <w:sz w:val="18"/>
                <w:szCs w:val="18"/>
              </w:rPr>
              <w:t>2015</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C72051D" w14:textId="77777777" w:rsidR="00A37E13" w:rsidRPr="005B0B0D" w:rsidRDefault="00A37E13" w:rsidP="005B0B0D">
            <w:pPr>
              <w:pStyle w:val="1"/>
              <w:jc w:val="center"/>
              <w:rPr>
                <w:sz w:val="18"/>
                <w:szCs w:val="18"/>
              </w:rPr>
            </w:pPr>
            <w:r w:rsidRPr="005B0B0D">
              <w:rPr>
                <w:bCs/>
                <w:color w:val="000000"/>
                <w:sz w:val="18"/>
                <w:szCs w:val="18"/>
              </w:rPr>
              <w:t>2016</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D3AEA6C" w14:textId="77777777" w:rsidR="00A37E13" w:rsidRPr="005B0B0D" w:rsidRDefault="00A37E13" w:rsidP="005B0B0D">
            <w:pPr>
              <w:pStyle w:val="1"/>
              <w:jc w:val="center"/>
              <w:rPr>
                <w:sz w:val="18"/>
                <w:szCs w:val="18"/>
              </w:rPr>
            </w:pPr>
            <w:r w:rsidRPr="005B0B0D">
              <w:rPr>
                <w:bCs/>
                <w:color w:val="000000"/>
                <w:sz w:val="18"/>
                <w:szCs w:val="18"/>
              </w:rPr>
              <w:t>2017</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840169D" w14:textId="77777777" w:rsidR="00A37E13" w:rsidRPr="005B0B0D" w:rsidRDefault="00A37E13" w:rsidP="005B0B0D">
            <w:pPr>
              <w:pStyle w:val="1"/>
              <w:jc w:val="center"/>
              <w:rPr>
                <w:sz w:val="18"/>
                <w:szCs w:val="18"/>
              </w:rPr>
            </w:pPr>
            <w:r w:rsidRPr="005B0B0D">
              <w:rPr>
                <w:bCs/>
                <w:color w:val="000000"/>
                <w:sz w:val="18"/>
                <w:szCs w:val="18"/>
              </w:rPr>
              <w:t>2018</w:t>
            </w:r>
          </w:p>
        </w:tc>
        <w:tc>
          <w:tcPr>
            <w:tcW w:w="40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DB055A9" w14:textId="77777777" w:rsidR="00A37E13" w:rsidRPr="005B0B0D" w:rsidRDefault="00A37E13" w:rsidP="005B0B0D">
            <w:pPr>
              <w:pStyle w:val="1"/>
              <w:jc w:val="center"/>
              <w:rPr>
                <w:sz w:val="18"/>
                <w:szCs w:val="18"/>
              </w:rPr>
            </w:pPr>
            <w:r w:rsidRPr="005B0B0D">
              <w:rPr>
                <w:sz w:val="18"/>
                <w:szCs w:val="18"/>
              </w:rPr>
              <w:t>2019</w:t>
            </w:r>
          </w:p>
        </w:tc>
      </w:tr>
      <w:tr w:rsidR="00A37E13" w:rsidRPr="005B0B0D" w14:paraId="3380DABB"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8A58A32" w14:textId="77777777" w:rsidR="00A37E13" w:rsidRPr="005B0B0D" w:rsidRDefault="00A37E13" w:rsidP="005B0B0D">
            <w:pPr>
              <w:pStyle w:val="1"/>
              <w:rPr>
                <w:sz w:val="18"/>
                <w:szCs w:val="18"/>
              </w:rPr>
            </w:pPr>
            <w:r w:rsidRPr="005B0B0D">
              <w:rPr>
                <w:sz w:val="18"/>
                <w:szCs w:val="18"/>
              </w:rPr>
              <w:t>Predelovalne dejavnosti (C)</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01B38D0A" w14:textId="77777777" w:rsidR="00A37E13" w:rsidRPr="005B0B0D" w:rsidRDefault="00A37E13" w:rsidP="005B0B0D">
            <w:pPr>
              <w:pStyle w:val="1"/>
              <w:jc w:val="right"/>
              <w:rPr>
                <w:sz w:val="18"/>
                <w:szCs w:val="18"/>
              </w:rPr>
            </w:pPr>
            <w:r w:rsidRPr="005B0B0D">
              <w:rPr>
                <w:sz w:val="18"/>
                <w:szCs w:val="18"/>
              </w:rPr>
              <w:t>99,7</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60366942" w14:textId="77777777" w:rsidR="00A37E13" w:rsidRPr="005B0B0D" w:rsidRDefault="00A37E13" w:rsidP="005B0B0D">
            <w:pPr>
              <w:pStyle w:val="1"/>
              <w:jc w:val="right"/>
              <w:rPr>
                <w:sz w:val="18"/>
                <w:szCs w:val="18"/>
              </w:rPr>
            </w:pPr>
            <w:r w:rsidRPr="005B0B0D">
              <w:rPr>
                <w:sz w:val="18"/>
                <w:szCs w:val="18"/>
              </w:rPr>
              <w:t>100,0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27104C3" w14:textId="77777777" w:rsidR="00A37E13" w:rsidRPr="005B0B0D" w:rsidRDefault="00A37E13" w:rsidP="005B0B0D">
            <w:pPr>
              <w:pStyle w:val="1"/>
              <w:jc w:val="right"/>
              <w:rPr>
                <w:sz w:val="18"/>
                <w:szCs w:val="18"/>
              </w:rPr>
            </w:pPr>
            <w:r w:rsidRPr="005B0B0D">
              <w:rPr>
                <w:sz w:val="18"/>
                <w:szCs w:val="18"/>
              </w:rPr>
              <w:t>98,7</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4D07A04" w14:textId="77777777" w:rsidR="00A37E13" w:rsidRPr="005B0B0D" w:rsidRDefault="00A37E13" w:rsidP="005B0B0D">
            <w:pPr>
              <w:pStyle w:val="1"/>
              <w:jc w:val="right"/>
              <w:rPr>
                <w:sz w:val="18"/>
                <w:szCs w:val="18"/>
              </w:rPr>
            </w:pPr>
            <w:r w:rsidRPr="005B0B0D">
              <w:rPr>
                <w:sz w:val="18"/>
                <w:szCs w:val="18"/>
              </w:rPr>
              <w:t>102,4</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CE5C8BE" w14:textId="77777777" w:rsidR="00A37E13" w:rsidRPr="005B0B0D" w:rsidRDefault="00A37E13" w:rsidP="005B0B0D">
            <w:pPr>
              <w:pStyle w:val="1"/>
              <w:jc w:val="right"/>
              <w:rPr>
                <w:sz w:val="18"/>
                <w:szCs w:val="18"/>
              </w:rPr>
            </w:pPr>
            <w:r w:rsidRPr="005B0B0D">
              <w:rPr>
                <w:sz w:val="18"/>
                <w:szCs w:val="18"/>
              </w:rPr>
              <w:t>102,0</w:t>
            </w:r>
          </w:p>
        </w:tc>
        <w:tc>
          <w:tcPr>
            <w:tcW w:w="404" w:type="pct"/>
            <w:tcBorders>
              <w:top w:val="single" w:sz="4" w:space="0" w:color="008000"/>
              <w:left w:val="single" w:sz="4" w:space="0" w:color="008000"/>
              <w:bottom w:val="single" w:sz="4" w:space="0" w:color="008000"/>
              <w:right w:val="single" w:sz="4" w:space="0" w:color="008000"/>
            </w:tcBorders>
            <w:vAlign w:val="center"/>
          </w:tcPr>
          <w:p w14:paraId="0652D9F9" w14:textId="77777777" w:rsidR="00A37E13" w:rsidRPr="005B0B0D" w:rsidRDefault="00A37E13" w:rsidP="005B0B0D">
            <w:pPr>
              <w:pStyle w:val="1"/>
              <w:jc w:val="right"/>
              <w:rPr>
                <w:sz w:val="18"/>
                <w:szCs w:val="18"/>
              </w:rPr>
            </w:pPr>
            <w:r w:rsidRPr="005B0B0D">
              <w:rPr>
                <w:sz w:val="18"/>
                <w:szCs w:val="18"/>
              </w:rPr>
              <w:t>100,1</w:t>
            </w:r>
          </w:p>
        </w:tc>
      </w:tr>
      <w:tr w:rsidR="00A37E13" w:rsidRPr="005B0B0D" w14:paraId="764FA8C9"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1541764" w14:textId="77777777" w:rsidR="00A37E13" w:rsidRPr="005B0B0D" w:rsidRDefault="00A37E13" w:rsidP="005B0B0D">
            <w:pPr>
              <w:pStyle w:val="1"/>
              <w:rPr>
                <w:sz w:val="18"/>
                <w:szCs w:val="18"/>
              </w:rPr>
            </w:pPr>
            <w:r w:rsidRPr="005B0B0D">
              <w:rPr>
                <w:sz w:val="18"/>
                <w:szCs w:val="18"/>
              </w:rPr>
              <w:t>Proizvodnja živil in pijač (10 + 11)</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421240E7" w14:textId="77777777" w:rsidR="00A37E13" w:rsidRPr="005B0B0D" w:rsidRDefault="00A37E13" w:rsidP="005B0B0D">
            <w:pPr>
              <w:pStyle w:val="1"/>
              <w:jc w:val="right"/>
              <w:rPr>
                <w:sz w:val="18"/>
                <w:szCs w:val="18"/>
              </w:rPr>
            </w:pPr>
            <w:r w:rsidRPr="005B0B0D">
              <w:rPr>
                <w:sz w:val="18"/>
                <w:szCs w:val="18"/>
              </w:rPr>
              <w:t>99,7</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5150B535" w14:textId="77777777" w:rsidR="00A37E13" w:rsidRPr="005B0B0D" w:rsidRDefault="00A37E13" w:rsidP="005B0B0D">
            <w:pPr>
              <w:pStyle w:val="1"/>
              <w:jc w:val="right"/>
              <w:rPr>
                <w:sz w:val="18"/>
                <w:szCs w:val="18"/>
              </w:rPr>
            </w:pPr>
            <w:r w:rsidRPr="005B0B0D">
              <w:rPr>
                <w:sz w:val="18"/>
                <w:szCs w:val="18"/>
              </w:rPr>
              <w:t>99,0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2044A38C" w14:textId="77777777" w:rsidR="00A37E13" w:rsidRPr="005B0B0D" w:rsidRDefault="00A37E13" w:rsidP="005B0B0D">
            <w:pPr>
              <w:pStyle w:val="1"/>
              <w:jc w:val="right"/>
              <w:rPr>
                <w:sz w:val="18"/>
                <w:szCs w:val="18"/>
              </w:rPr>
            </w:pPr>
            <w:r w:rsidRPr="005B0B0D">
              <w:rPr>
                <w:sz w:val="18"/>
                <w:szCs w:val="18"/>
              </w:rPr>
              <w:t>98,2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0442FDEA" w14:textId="77777777" w:rsidR="00A37E13" w:rsidRPr="005B0B0D" w:rsidRDefault="00A37E13" w:rsidP="005B0B0D">
            <w:pPr>
              <w:pStyle w:val="1"/>
              <w:jc w:val="right"/>
              <w:rPr>
                <w:sz w:val="18"/>
                <w:szCs w:val="18"/>
              </w:rPr>
            </w:pPr>
            <w:r w:rsidRPr="005B0B0D">
              <w:rPr>
                <w:sz w:val="18"/>
                <w:szCs w:val="18"/>
              </w:rPr>
              <w:t>101,2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1913BB7F" w14:textId="77777777" w:rsidR="00A37E13" w:rsidRPr="005B0B0D" w:rsidRDefault="00A37E13" w:rsidP="005B0B0D">
            <w:pPr>
              <w:pStyle w:val="1"/>
              <w:jc w:val="right"/>
              <w:rPr>
                <w:sz w:val="18"/>
                <w:szCs w:val="18"/>
              </w:rPr>
            </w:pPr>
            <w:r w:rsidRPr="005B0B0D">
              <w:rPr>
                <w:sz w:val="18"/>
                <w:szCs w:val="18"/>
              </w:rPr>
              <w:t>100,8</w:t>
            </w:r>
          </w:p>
        </w:tc>
        <w:tc>
          <w:tcPr>
            <w:tcW w:w="404" w:type="pct"/>
            <w:tcBorders>
              <w:top w:val="single" w:sz="4" w:space="0" w:color="008000"/>
              <w:left w:val="single" w:sz="4" w:space="0" w:color="008000"/>
              <w:bottom w:val="single" w:sz="4" w:space="0" w:color="008000"/>
              <w:right w:val="single" w:sz="4" w:space="0" w:color="008000"/>
            </w:tcBorders>
            <w:vAlign w:val="center"/>
          </w:tcPr>
          <w:p w14:paraId="250CC789" w14:textId="77777777" w:rsidR="00A37E13" w:rsidRPr="005B0B0D" w:rsidRDefault="00A37E13" w:rsidP="005B0B0D">
            <w:pPr>
              <w:pStyle w:val="1"/>
              <w:jc w:val="right"/>
              <w:rPr>
                <w:sz w:val="18"/>
                <w:szCs w:val="18"/>
              </w:rPr>
            </w:pPr>
            <w:r w:rsidRPr="005B0B0D">
              <w:rPr>
                <w:sz w:val="18"/>
                <w:szCs w:val="18"/>
              </w:rPr>
              <w:t>100,0</w:t>
            </w:r>
          </w:p>
        </w:tc>
      </w:tr>
      <w:tr w:rsidR="00A37E13" w:rsidRPr="005B0B0D" w14:paraId="169BCAF3"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690B14F0" w14:textId="77777777" w:rsidR="00A37E13" w:rsidRPr="005B0B0D" w:rsidRDefault="00A37E13" w:rsidP="005B0B0D">
            <w:pPr>
              <w:pStyle w:val="1"/>
              <w:rPr>
                <w:b/>
                <w:sz w:val="18"/>
                <w:szCs w:val="18"/>
              </w:rPr>
            </w:pPr>
            <w:r w:rsidRPr="005B0B0D">
              <w:rPr>
                <w:b/>
                <w:sz w:val="18"/>
                <w:szCs w:val="18"/>
              </w:rPr>
              <w:t>Proizvodnja živil (C10)</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92F2702" w14:textId="77777777" w:rsidR="00A37E13" w:rsidRPr="005B0B0D" w:rsidRDefault="00A37E13" w:rsidP="005B0B0D">
            <w:pPr>
              <w:pStyle w:val="1"/>
              <w:jc w:val="right"/>
              <w:rPr>
                <w:b/>
                <w:sz w:val="18"/>
                <w:szCs w:val="18"/>
              </w:rPr>
            </w:pPr>
            <w:r w:rsidRPr="005B0B0D">
              <w:rPr>
                <w:b/>
                <w:sz w:val="18"/>
                <w:szCs w:val="18"/>
              </w:rPr>
              <w:t>99,6</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50F8602D" w14:textId="77777777" w:rsidR="00A37E13" w:rsidRPr="005B0B0D" w:rsidRDefault="00A37E13" w:rsidP="005B0B0D">
            <w:pPr>
              <w:pStyle w:val="1"/>
              <w:jc w:val="right"/>
              <w:rPr>
                <w:b/>
                <w:sz w:val="18"/>
                <w:szCs w:val="18"/>
              </w:rPr>
            </w:pPr>
            <w:r w:rsidRPr="005B0B0D">
              <w:rPr>
                <w:b/>
                <w:sz w:val="18"/>
                <w:szCs w:val="18"/>
              </w:rPr>
              <w:t>98,5</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38E8021" w14:textId="77777777" w:rsidR="00A37E13" w:rsidRPr="005B0B0D" w:rsidRDefault="00A37E13" w:rsidP="005B0B0D">
            <w:pPr>
              <w:pStyle w:val="1"/>
              <w:jc w:val="right"/>
              <w:rPr>
                <w:b/>
                <w:sz w:val="18"/>
                <w:szCs w:val="18"/>
              </w:rPr>
            </w:pPr>
            <w:r w:rsidRPr="005B0B0D">
              <w:rPr>
                <w:b/>
                <w:sz w:val="18"/>
                <w:szCs w:val="18"/>
              </w:rPr>
              <w:t>97,8</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CD64D66" w14:textId="77777777" w:rsidR="00A37E13" w:rsidRPr="005B0B0D" w:rsidRDefault="00A37E13" w:rsidP="005B0B0D">
            <w:pPr>
              <w:pStyle w:val="1"/>
              <w:jc w:val="right"/>
              <w:rPr>
                <w:b/>
                <w:sz w:val="18"/>
                <w:szCs w:val="18"/>
              </w:rPr>
            </w:pPr>
            <w:r w:rsidRPr="005B0B0D">
              <w:rPr>
                <w:b/>
                <w:sz w:val="18"/>
                <w:szCs w:val="18"/>
              </w:rPr>
              <w:t>101,6</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746432F8" w14:textId="77777777" w:rsidR="00A37E13" w:rsidRPr="005B0B0D" w:rsidRDefault="00A37E13" w:rsidP="005B0B0D">
            <w:pPr>
              <w:pStyle w:val="1"/>
              <w:jc w:val="right"/>
              <w:rPr>
                <w:b/>
                <w:sz w:val="18"/>
                <w:szCs w:val="18"/>
              </w:rPr>
            </w:pPr>
            <w:r w:rsidRPr="005B0B0D">
              <w:rPr>
                <w:b/>
                <w:sz w:val="18"/>
                <w:szCs w:val="18"/>
              </w:rPr>
              <w:t>101,1</w:t>
            </w:r>
          </w:p>
        </w:tc>
        <w:tc>
          <w:tcPr>
            <w:tcW w:w="404" w:type="pct"/>
            <w:tcBorders>
              <w:top w:val="single" w:sz="4" w:space="0" w:color="008000"/>
              <w:left w:val="single" w:sz="4" w:space="0" w:color="008000"/>
              <w:bottom w:val="single" w:sz="4" w:space="0" w:color="008000"/>
              <w:right w:val="single" w:sz="4" w:space="0" w:color="008000"/>
            </w:tcBorders>
            <w:vAlign w:val="center"/>
          </w:tcPr>
          <w:p w14:paraId="43044A1B" w14:textId="77777777" w:rsidR="00A37E13" w:rsidRPr="005B0B0D" w:rsidRDefault="00A37E13" w:rsidP="005B0B0D">
            <w:pPr>
              <w:pStyle w:val="1"/>
              <w:jc w:val="right"/>
              <w:rPr>
                <w:b/>
                <w:sz w:val="18"/>
                <w:szCs w:val="18"/>
              </w:rPr>
            </w:pPr>
            <w:r w:rsidRPr="005B0B0D">
              <w:rPr>
                <w:b/>
                <w:sz w:val="18"/>
                <w:szCs w:val="18"/>
              </w:rPr>
              <w:t>100,0</w:t>
            </w:r>
          </w:p>
        </w:tc>
      </w:tr>
      <w:tr w:rsidR="00A37E13" w:rsidRPr="005B0B0D" w14:paraId="1190E594" w14:textId="77777777" w:rsidTr="006249A0">
        <w:trPr>
          <w:trHeight w:val="227"/>
        </w:trPr>
        <w:tc>
          <w:tcPr>
            <w:tcW w:w="2141" w:type="pct"/>
            <w:tcBorders>
              <w:top w:val="single" w:sz="4" w:space="0" w:color="008000"/>
              <w:left w:val="single" w:sz="4" w:space="0" w:color="008000"/>
              <w:bottom w:val="single" w:sz="4" w:space="0" w:color="008000"/>
              <w:right w:val="single" w:sz="4" w:space="0" w:color="008000"/>
            </w:tcBorders>
            <w:noWrap/>
            <w:vAlign w:val="center"/>
            <w:hideMark/>
          </w:tcPr>
          <w:p w14:paraId="71C57749" w14:textId="77777777" w:rsidR="00A37E13" w:rsidRPr="005B0B0D" w:rsidRDefault="00A37E13" w:rsidP="005B0B0D">
            <w:pPr>
              <w:pStyle w:val="1"/>
              <w:rPr>
                <w:b/>
                <w:sz w:val="18"/>
                <w:szCs w:val="18"/>
              </w:rPr>
            </w:pPr>
            <w:r w:rsidRPr="005B0B0D">
              <w:rPr>
                <w:b/>
                <w:sz w:val="18"/>
                <w:szCs w:val="18"/>
              </w:rPr>
              <w:t>Proizvodnja pijač (C11)</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3F7E0F66" w14:textId="77777777" w:rsidR="00A37E13" w:rsidRPr="005B0B0D" w:rsidRDefault="00A37E13" w:rsidP="005B0B0D">
            <w:pPr>
              <w:pStyle w:val="1"/>
              <w:jc w:val="right"/>
              <w:rPr>
                <w:b/>
                <w:sz w:val="18"/>
                <w:szCs w:val="18"/>
              </w:rPr>
            </w:pPr>
            <w:r w:rsidRPr="005B0B0D">
              <w:rPr>
                <w:b/>
                <w:sz w:val="18"/>
                <w:szCs w:val="18"/>
              </w:rPr>
              <w:t>100,1</w:t>
            </w:r>
          </w:p>
        </w:tc>
        <w:tc>
          <w:tcPr>
            <w:tcW w:w="406" w:type="pct"/>
            <w:tcBorders>
              <w:top w:val="single" w:sz="4" w:space="0" w:color="008000"/>
              <w:left w:val="single" w:sz="4" w:space="0" w:color="008000"/>
              <w:bottom w:val="single" w:sz="4" w:space="0" w:color="008000"/>
              <w:right w:val="single" w:sz="4" w:space="0" w:color="008000"/>
            </w:tcBorders>
            <w:vAlign w:val="center"/>
            <w:hideMark/>
          </w:tcPr>
          <w:p w14:paraId="62219AD6" w14:textId="77777777" w:rsidR="00A37E13" w:rsidRPr="005B0B0D" w:rsidRDefault="00A37E13" w:rsidP="005B0B0D">
            <w:pPr>
              <w:pStyle w:val="1"/>
              <w:jc w:val="right"/>
              <w:rPr>
                <w:b/>
                <w:sz w:val="18"/>
                <w:szCs w:val="18"/>
              </w:rPr>
            </w:pPr>
            <w:r w:rsidRPr="005B0B0D">
              <w:rPr>
                <w:b/>
                <w:sz w:val="18"/>
                <w:szCs w:val="18"/>
              </w:rPr>
              <w:t>101,3</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3E3DFB54" w14:textId="77777777" w:rsidR="00A37E13" w:rsidRPr="005B0B0D" w:rsidRDefault="00A37E13" w:rsidP="005B0B0D">
            <w:pPr>
              <w:pStyle w:val="1"/>
              <w:jc w:val="right"/>
              <w:rPr>
                <w:b/>
                <w:sz w:val="18"/>
                <w:szCs w:val="18"/>
              </w:rPr>
            </w:pPr>
            <w:r w:rsidRPr="005B0B0D">
              <w:rPr>
                <w:b/>
                <w:sz w:val="18"/>
                <w:szCs w:val="18"/>
              </w:rPr>
              <w:t>100,2</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6ADF9B75" w14:textId="77777777" w:rsidR="00A37E13" w:rsidRPr="005B0B0D" w:rsidRDefault="00A37E13" w:rsidP="005B0B0D">
            <w:pPr>
              <w:pStyle w:val="1"/>
              <w:jc w:val="right"/>
              <w:rPr>
                <w:b/>
                <w:sz w:val="18"/>
                <w:szCs w:val="18"/>
              </w:rPr>
            </w:pPr>
            <w:r w:rsidRPr="005B0B0D">
              <w:rPr>
                <w:b/>
                <w:sz w:val="18"/>
                <w:szCs w:val="18"/>
              </w:rPr>
              <w:t>98,9</w:t>
            </w:r>
          </w:p>
        </w:tc>
        <w:tc>
          <w:tcPr>
            <w:tcW w:w="404" w:type="pct"/>
            <w:tcBorders>
              <w:top w:val="single" w:sz="4" w:space="0" w:color="008000"/>
              <w:left w:val="single" w:sz="4" w:space="0" w:color="008000"/>
              <w:bottom w:val="single" w:sz="4" w:space="0" w:color="008000"/>
              <w:right w:val="single" w:sz="4" w:space="0" w:color="008000"/>
            </w:tcBorders>
            <w:vAlign w:val="center"/>
            <w:hideMark/>
          </w:tcPr>
          <w:p w14:paraId="1F5BBE75" w14:textId="77777777" w:rsidR="00A37E13" w:rsidRPr="005B0B0D" w:rsidRDefault="00A37E13" w:rsidP="005B0B0D">
            <w:pPr>
              <w:pStyle w:val="1"/>
              <w:jc w:val="right"/>
              <w:rPr>
                <w:b/>
                <w:sz w:val="18"/>
                <w:szCs w:val="18"/>
              </w:rPr>
            </w:pPr>
            <w:r w:rsidRPr="005B0B0D">
              <w:rPr>
                <w:b/>
                <w:sz w:val="18"/>
                <w:szCs w:val="18"/>
              </w:rPr>
              <w:t>99,4</w:t>
            </w:r>
          </w:p>
        </w:tc>
        <w:tc>
          <w:tcPr>
            <w:tcW w:w="404" w:type="pct"/>
            <w:tcBorders>
              <w:top w:val="single" w:sz="4" w:space="0" w:color="008000"/>
              <w:left w:val="single" w:sz="4" w:space="0" w:color="008000"/>
              <w:bottom w:val="single" w:sz="4" w:space="0" w:color="008000"/>
              <w:right w:val="single" w:sz="4" w:space="0" w:color="008000"/>
            </w:tcBorders>
            <w:vAlign w:val="center"/>
          </w:tcPr>
          <w:p w14:paraId="1DA65829" w14:textId="77777777" w:rsidR="00A37E13" w:rsidRPr="005B0B0D" w:rsidRDefault="00A37E13" w:rsidP="005B0B0D">
            <w:pPr>
              <w:pStyle w:val="1"/>
              <w:jc w:val="right"/>
              <w:rPr>
                <w:b/>
                <w:sz w:val="18"/>
                <w:szCs w:val="18"/>
              </w:rPr>
            </w:pPr>
            <w:r w:rsidRPr="005B0B0D">
              <w:rPr>
                <w:b/>
                <w:sz w:val="18"/>
                <w:szCs w:val="18"/>
              </w:rPr>
              <w:t>100,1</w:t>
            </w:r>
          </w:p>
        </w:tc>
      </w:tr>
    </w:tbl>
    <w:p w14:paraId="5757C1A6" w14:textId="77777777"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4DF162A3" w14:textId="2CCF5110" w:rsidR="003406B9" w:rsidRDefault="003406B9" w:rsidP="007613FE">
      <w:pPr>
        <w:pStyle w:val="Odstavek1"/>
        <w:rPr>
          <w:lang w:eastAsia="en-US"/>
        </w:rPr>
      </w:pPr>
    </w:p>
    <w:p w14:paraId="6BF43624" w14:textId="2522453C" w:rsidR="00A37E13" w:rsidRDefault="00A37E13" w:rsidP="007613FE">
      <w:pPr>
        <w:pStyle w:val="Odstavek1"/>
        <w:rPr>
          <w:lang w:eastAsia="en-US"/>
        </w:rPr>
      </w:pPr>
      <w:r w:rsidRPr="00A37E13">
        <w:rPr>
          <w:lang w:eastAsia="en-US"/>
        </w:rPr>
        <w:t>Cenovno-stroškovno razmerje za proizvodnjo živil se je v primerjavi s cenami kmetijskih proizvodov v letu 2019 nekoliko poslabšalo, predvsem zaradi višjih cen kmetijskih proizvodov in nespremenjenih cen živilskih proizvodov iz leta 2018. Cenovno-stroškovno razmerje je v letu 2019 pod ravnijo iz primerjalnega leta 2015.</w:t>
      </w:r>
    </w:p>
    <w:p w14:paraId="2EC6C426" w14:textId="77777777" w:rsidR="0099244F" w:rsidRPr="00A37E13" w:rsidRDefault="0099244F" w:rsidP="007613FE">
      <w:pPr>
        <w:pStyle w:val="Odstavek1"/>
        <w:rPr>
          <w:lang w:eastAsia="en-US"/>
        </w:rPr>
      </w:pPr>
    </w:p>
    <w:p w14:paraId="2865A78F" w14:textId="64751FDE" w:rsidR="00A37E13" w:rsidRPr="0047652B" w:rsidRDefault="00A37E13" w:rsidP="007613FE">
      <w:pPr>
        <w:pStyle w:val="Odstavek1"/>
        <w:rPr>
          <w:lang w:eastAsia="en-US"/>
        </w:rPr>
      </w:pPr>
      <w:r w:rsidRPr="00A37E13">
        <w:rPr>
          <w:lang w:eastAsia="en-US"/>
        </w:rPr>
        <w:t>V letu 2019 se je cenovno-stroškovno razmerje med cenami živil in cenami energentov v primerjavi z letom prej le malce poslabšalo. Cene energentov so se namreč v letu 2019 v povprečju zvišale bolj kot cene živil. Na poslovni izid živilskopredelovalnih podjetij je v letu 2019 najbolj vplivalo poslabšanje cenovno-stroškovnih razmerij med živili in kmetijskimi surovinami, v panogah kjer se pretežno uporabljajo surovine slovenskega porekla.</w:t>
      </w:r>
    </w:p>
    <w:p w14:paraId="4061F536" w14:textId="0F3BF069" w:rsidR="003406B9" w:rsidRPr="0047652B" w:rsidRDefault="003406B9" w:rsidP="007613FE">
      <w:pPr>
        <w:pStyle w:val="Odstavek1"/>
        <w:rPr>
          <w:lang w:eastAsia="en-US"/>
        </w:rPr>
      </w:pPr>
    </w:p>
    <w:p w14:paraId="3544DB75" w14:textId="4DC78406" w:rsidR="00DE26F3" w:rsidRPr="0047652B" w:rsidRDefault="00DE26F3" w:rsidP="007E558D">
      <w:pPr>
        <w:pStyle w:val="SCSlika0"/>
        <w:rPr>
          <w:sz w:val="16"/>
          <w:lang w:eastAsia="sl-SI"/>
        </w:rPr>
      </w:pPr>
      <w:bookmarkStart w:id="3195" w:name="_Toc86822759"/>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87</w:t>
      </w:r>
      <w:r w:rsidR="009F2591">
        <w:rPr>
          <w:noProof/>
        </w:rPr>
        <w:fldChar w:fldCharType="end"/>
      </w:r>
      <w:r w:rsidRPr="009F3567">
        <w:t>:</w:t>
      </w:r>
      <w:r w:rsidRPr="009F3567">
        <w:rPr>
          <w:i/>
        </w:rPr>
        <w:t xml:space="preserve"> </w:t>
      </w:r>
      <w:r w:rsidRPr="009F3567">
        <w:t xml:space="preserve">Indeksi cen živilskih proizvodov pri proizvajalcih v primerjavi z indeksi cen kmetijskih pridelkov, energentov in plač (2015 = 100); </w:t>
      </w:r>
      <w:r w:rsidR="00A37E13">
        <w:t>2007-2019</w:t>
      </w:r>
      <w:bookmarkEnd w:id="3195"/>
    </w:p>
    <w:p w14:paraId="2DA3D76B" w14:textId="77777777" w:rsidR="003406B9" w:rsidRDefault="00A37E13" w:rsidP="003406B9">
      <w:pPr>
        <w:spacing w:before="0" w:line="276" w:lineRule="auto"/>
        <w:rPr>
          <w:sz w:val="20"/>
          <w:szCs w:val="20"/>
          <w:lang w:eastAsia="en-US"/>
        </w:rPr>
      </w:pPr>
      <w:r>
        <w:rPr>
          <w:noProof/>
          <w:lang w:eastAsia="sl-SI"/>
        </w:rPr>
        <w:drawing>
          <wp:inline distT="0" distB="0" distL="0" distR="0" wp14:anchorId="7029AB6D" wp14:editId="09A25509">
            <wp:extent cx="5400000" cy="2136264"/>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000" cy="2136264"/>
                    </a:xfrm>
                    <a:prstGeom prst="rect">
                      <a:avLst/>
                    </a:prstGeom>
                    <a:noFill/>
                  </pic:spPr>
                </pic:pic>
              </a:graphicData>
            </a:graphic>
          </wp:inline>
        </w:drawing>
      </w:r>
    </w:p>
    <w:p w14:paraId="2DF38D86" w14:textId="1F6E31D2" w:rsidR="00701BC9" w:rsidRPr="000339A3" w:rsidRDefault="00701BC9" w:rsidP="00701BC9">
      <w:pPr>
        <w:pStyle w:val="SCslika"/>
        <w:rPr>
          <w:sz w:val="16"/>
          <w:szCs w:val="16"/>
          <w:lang w:eastAsia="en-GB"/>
        </w:rPr>
      </w:pPr>
      <w:r w:rsidRPr="000339A3">
        <w:rPr>
          <w:sz w:val="16"/>
          <w:szCs w:val="16"/>
        </w:rPr>
        <w:t xml:space="preserve">Vir: </w:t>
      </w:r>
      <w:r w:rsidRPr="000339A3">
        <w:rPr>
          <w:rStyle w:val="Sprotnaopomba-sklic"/>
          <w:sz w:val="16"/>
          <w:szCs w:val="16"/>
          <w:vertAlign w:val="baseline"/>
        </w:rPr>
        <w:t xml:space="preserve">Poročilo o stanju kmetijstva, živilstva, gozdarstva in ribištva v letu 2019. </w:t>
      </w:r>
    </w:p>
    <w:p w14:paraId="3634DBA6" w14:textId="77777777" w:rsidR="00701BC9" w:rsidRDefault="00701BC9" w:rsidP="007613FE">
      <w:pPr>
        <w:pStyle w:val="Odstavek1"/>
        <w:rPr>
          <w:highlight w:val="yellow"/>
        </w:rPr>
      </w:pPr>
    </w:p>
    <w:p w14:paraId="6B0746F5" w14:textId="0B0164E0" w:rsidR="00A37E13" w:rsidRDefault="00A37E13" w:rsidP="007613FE">
      <w:pPr>
        <w:pStyle w:val="Odstavek1"/>
        <w:rPr>
          <w:lang w:eastAsia="en-US"/>
        </w:rPr>
      </w:pPr>
      <w:r w:rsidRPr="0047652B">
        <w:rPr>
          <w:lang w:eastAsia="en-US"/>
        </w:rPr>
        <w:t>Razmerje med indeksom cen živil in p</w:t>
      </w:r>
      <w:r w:rsidR="00E04A19">
        <w:rPr>
          <w:lang w:eastAsia="en-US"/>
        </w:rPr>
        <w:t>ij</w:t>
      </w:r>
      <w:r w:rsidRPr="0047652B">
        <w:rPr>
          <w:lang w:eastAsia="en-US"/>
        </w:rPr>
        <w:t xml:space="preserve">ač se je tako poslabšalo že </w:t>
      </w:r>
      <w:r>
        <w:rPr>
          <w:lang w:eastAsia="en-US"/>
        </w:rPr>
        <w:t>šesto</w:t>
      </w:r>
      <w:r w:rsidRPr="0047652B">
        <w:rPr>
          <w:lang w:eastAsia="en-US"/>
        </w:rPr>
        <w:t xml:space="preserve"> leto zapored, kar se občuti predvsem v delovno intenzivnih panogah. Na poslovni izid </w:t>
      </w:r>
      <w:r w:rsidR="00E04A19">
        <w:rPr>
          <w:lang w:eastAsia="en-US"/>
        </w:rPr>
        <w:t>ŽPI</w:t>
      </w:r>
      <w:r>
        <w:rPr>
          <w:lang w:eastAsia="en-US"/>
        </w:rPr>
        <w:t xml:space="preserve"> </w:t>
      </w:r>
      <w:r w:rsidRPr="0047652B">
        <w:rPr>
          <w:lang w:eastAsia="en-US"/>
        </w:rPr>
        <w:t xml:space="preserve">je </w:t>
      </w:r>
      <w:r>
        <w:rPr>
          <w:lang w:eastAsia="en-US"/>
        </w:rPr>
        <w:t xml:space="preserve">tako </w:t>
      </w:r>
      <w:r w:rsidRPr="0047652B">
        <w:rPr>
          <w:lang w:eastAsia="en-US"/>
        </w:rPr>
        <w:t>v letu 201</w:t>
      </w:r>
      <w:r>
        <w:rPr>
          <w:lang w:eastAsia="en-US"/>
        </w:rPr>
        <w:t>9</w:t>
      </w:r>
      <w:r w:rsidRPr="0047652B">
        <w:rPr>
          <w:lang w:eastAsia="en-US"/>
        </w:rPr>
        <w:t xml:space="preserve"> najbolj vplivalo </w:t>
      </w:r>
      <w:r>
        <w:rPr>
          <w:lang w:eastAsia="en-US"/>
        </w:rPr>
        <w:t>poslabšanje</w:t>
      </w:r>
      <w:r w:rsidRPr="0047652B">
        <w:rPr>
          <w:lang w:eastAsia="en-US"/>
        </w:rPr>
        <w:t xml:space="preserve"> cenovno-stroškovnih razmerij med živili in kmetijskimi surovinami, kar je posebej opazno v dejavnostih, kjer kmetijske surovine </w:t>
      </w:r>
      <w:r w:rsidR="00E04A19">
        <w:rPr>
          <w:lang w:eastAsia="en-US"/>
        </w:rPr>
        <w:t>domačega</w:t>
      </w:r>
      <w:r w:rsidRPr="0047652B">
        <w:rPr>
          <w:lang w:eastAsia="en-US"/>
        </w:rPr>
        <w:t xml:space="preserve"> porekla </w:t>
      </w:r>
      <w:r w:rsidR="00E04A19">
        <w:rPr>
          <w:lang w:eastAsia="en-US"/>
        </w:rPr>
        <w:t>predstavljajo</w:t>
      </w:r>
      <w:r w:rsidRPr="0047652B">
        <w:rPr>
          <w:lang w:eastAsia="en-US"/>
        </w:rPr>
        <w:t xml:space="preserve"> pomemben del stroškov v podjetjih.</w:t>
      </w:r>
    </w:p>
    <w:p w14:paraId="4F879C99" w14:textId="77777777" w:rsidR="00AE1F83" w:rsidRPr="0047652B" w:rsidRDefault="00AE1F83" w:rsidP="007613FE">
      <w:pPr>
        <w:pStyle w:val="Odstavek1"/>
        <w:rPr>
          <w:lang w:eastAsia="en-US"/>
        </w:rPr>
      </w:pPr>
    </w:p>
    <w:p w14:paraId="711F9953" w14:textId="77777777" w:rsidR="003406B9" w:rsidRPr="0047652B" w:rsidRDefault="003406B9" w:rsidP="007613FE">
      <w:pPr>
        <w:pStyle w:val="Odstavek1"/>
      </w:pPr>
    </w:p>
    <w:p w14:paraId="73D01087" w14:textId="603CAAB3" w:rsidR="003406B9" w:rsidRPr="009F3567" w:rsidRDefault="003406B9" w:rsidP="007E558D">
      <w:pPr>
        <w:pStyle w:val="Naslov2"/>
      </w:pPr>
      <w:bookmarkStart w:id="3196" w:name="_Toc86822612"/>
      <w:r w:rsidRPr="009F3567">
        <w:t>Poslovni rezultati živilskopredelovalne industrije</w:t>
      </w:r>
      <w:bookmarkEnd w:id="3196"/>
    </w:p>
    <w:p w14:paraId="10170D92" w14:textId="77777777" w:rsidR="003406B9" w:rsidRPr="0047652B" w:rsidRDefault="003406B9" w:rsidP="007613FE">
      <w:pPr>
        <w:spacing w:before="0" w:line="260" w:lineRule="atLeast"/>
        <w:rPr>
          <w:i/>
          <w:sz w:val="20"/>
          <w:szCs w:val="20"/>
          <w:lang w:eastAsia="en-US"/>
        </w:rPr>
      </w:pPr>
    </w:p>
    <w:p w14:paraId="5F705DB3" w14:textId="77777777" w:rsidR="003406B9" w:rsidRPr="00852E36" w:rsidRDefault="003406B9" w:rsidP="007E558D">
      <w:pPr>
        <w:pStyle w:val="Naslov3"/>
        <w:rPr>
          <w:lang w:eastAsia="en-US"/>
        </w:rPr>
      </w:pPr>
      <w:bookmarkStart w:id="3197" w:name="_Toc86822613"/>
      <w:r w:rsidRPr="00852E36">
        <w:rPr>
          <w:lang w:eastAsia="en-US"/>
        </w:rPr>
        <w:t>Poslovni rezultati celotne živilskopredelovalne panoge</w:t>
      </w:r>
      <w:bookmarkEnd w:id="3197"/>
    </w:p>
    <w:p w14:paraId="74C776B0" w14:textId="77777777" w:rsidR="003406B9" w:rsidRPr="0047652B" w:rsidRDefault="003406B9" w:rsidP="007613FE">
      <w:pPr>
        <w:spacing w:before="0" w:line="260" w:lineRule="atLeast"/>
        <w:rPr>
          <w:i/>
          <w:sz w:val="20"/>
          <w:szCs w:val="20"/>
          <w:lang w:eastAsia="en-US"/>
        </w:rPr>
      </w:pPr>
    </w:p>
    <w:p w14:paraId="5D3CB3D4" w14:textId="54E04AC0" w:rsidR="00CE7573" w:rsidRPr="007E558D" w:rsidRDefault="00CE7573" w:rsidP="007613FE">
      <w:pPr>
        <w:spacing w:before="0" w:line="260" w:lineRule="atLeast"/>
        <w:rPr>
          <w:szCs w:val="20"/>
          <w:lang w:eastAsia="en-US"/>
        </w:rPr>
      </w:pPr>
      <w:r w:rsidRPr="007E558D">
        <w:rPr>
          <w:szCs w:val="20"/>
          <w:lang w:eastAsia="en-US"/>
        </w:rPr>
        <w:t xml:space="preserve">Živilskopredelovalna podjetja so v letu 2019 upravljala z okoli 2,3 </w:t>
      </w:r>
      <w:r w:rsidR="00D53725" w:rsidRPr="007E558D">
        <w:rPr>
          <w:szCs w:val="20"/>
          <w:lang w:eastAsia="en-US"/>
        </w:rPr>
        <w:t>mrd</w:t>
      </w:r>
      <w:r w:rsidRPr="007E558D">
        <w:rPr>
          <w:szCs w:val="20"/>
          <w:lang w:eastAsia="en-US"/>
        </w:rPr>
        <w:t xml:space="preserve"> EUR bilančnih sredstev, kar je realno za 2,6 % več kot v predhodnem letu. Leto 2017 je bilo prvo po šestih letih, ko je vrednost sredstev realno nekoliko zrasla, medtem ko so se sredstva v letu 2018 ponovno realno zmanjšala. Pojav epidemije COVID-19 v letu 2020  ima za posledico nepredvidljive spremebe na trgih. Zaradi sprememb potršniških navad se je prodaja nekaterih proizvodov povečala, drugih pa zmanjšala. V tem času se je tudi zmanjšala prodaja hrane v restavracijah, na drugi strani a se je povečala prodaja hrane po spletu iz trgovin ter dostava hrane iz gostinskih obratov (</w:t>
      </w:r>
      <w:r w:rsidR="00F3225E" w:rsidRPr="007E558D">
        <w:rPr>
          <w:rStyle w:val="Hiperpovezava"/>
          <w:color w:val="000000" w:themeColor="text1"/>
          <w:szCs w:val="20"/>
          <w:u w:val="none"/>
        </w:rPr>
        <w:t>Inštitut za nutricionistiko</w:t>
      </w:r>
      <w:r w:rsidRPr="007E558D">
        <w:rPr>
          <w:bCs/>
          <w:szCs w:val="20"/>
          <w:lang w:eastAsia="en-US"/>
        </w:rPr>
        <w:t>, 2020).</w:t>
      </w:r>
    </w:p>
    <w:p w14:paraId="60A5ADBD" w14:textId="77777777" w:rsidR="003406B9" w:rsidRPr="007E558D" w:rsidRDefault="003406B9" w:rsidP="007613FE">
      <w:pPr>
        <w:spacing w:before="0" w:line="260" w:lineRule="atLeast"/>
        <w:rPr>
          <w:szCs w:val="20"/>
          <w:lang w:eastAsia="en-US"/>
        </w:rPr>
      </w:pPr>
    </w:p>
    <w:p w14:paraId="6BB7C26E" w14:textId="56C13B46" w:rsidR="00742ADC" w:rsidRPr="007E558D" w:rsidRDefault="00742ADC" w:rsidP="007613FE">
      <w:pPr>
        <w:spacing w:before="0" w:line="260" w:lineRule="atLeast"/>
        <w:rPr>
          <w:szCs w:val="20"/>
          <w:lang w:eastAsia="en-US"/>
        </w:rPr>
      </w:pPr>
      <w:r w:rsidRPr="007E558D">
        <w:rPr>
          <w:szCs w:val="20"/>
          <w:lang w:eastAsia="en-US"/>
        </w:rPr>
        <w:t>Kazalniki poslovanja ŽPI v obdobju 2014 do 2019 rastejo. Čisti prihodki od prodaje na domačem trgu med leti nihajo vendar ostajajo na približno enaki ravni</w:t>
      </w:r>
      <w:r w:rsidR="0069260C">
        <w:rPr>
          <w:szCs w:val="20"/>
          <w:lang w:eastAsia="en-US"/>
        </w:rPr>
        <w:t>,</w:t>
      </w:r>
      <w:r w:rsidRPr="007E558D">
        <w:rPr>
          <w:szCs w:val="20"/>
          <w:lang w:eastAsia="en-US"/>
        </w:rPr>
        <w:t xml:space="preserve">  povečujejo pa se čisti prihodki na tujem trgu in so v primerjavi z letom 2014 v letu 2019 zrasli za 36,9 %</w:t>
      </w:r>
      <w:r w:rsidRPr="007E558D">
        <w:rPr>
          <w:szCs w:val="20"/>
          <w:vertAlign w:val="superscript"/>
          <w:lang w:eastAsia="en-US"/>
        </w:rPr>
        <w:t>39</w:t>
      </w:r>
      <w:r w:rsidRPr="007E558D">
        <w:rPr>
          <w:szCs w:val="20"/>
          <w:lang w:eastAsia="en-US"/>
        </w:rPr>
        <w:t>. Izvozna usmerjenost konstantno raste in je bila najvišja v letu 2019 (29,6 %). Visok delež izvoza kaže na rast konkurenčnosti slovenske živilske industrije na tujih trgih, kar je ena od perspektivnih smeri razvoja slovenske živilske industrije.</w:t>
      </w:r>
    </w:p>
    <w:p w14:paraId="2B9B67A6" w14:textId="77777777" w:rsidR="00F3225E" w:rsidRPr="007E558D" w:rsidRDefault="00F3225E" w:rsidP="007613FE">
      <w:pPr>
        <w:spacing w:before="0" w:line="260" w:lineRule="atLeast"/>
        <w:rPr>
          <w:szCs w:val="20"/>
          <w:lang w:eastAsia="en-US"/>
        </w:rPr>
      </w:pPr>
    </w:p>
    <w:p w14:paraId="6AFBE5A8" w14:textId="53C43B23" w:rsidR="00742ADC" w:rsidRPr="007E558D" w:rsidRDefault="00742ADC" w:rsidP="007613FE">
      <w:pPr>
        <w:pStyle w:val="ZPtekst"/>
        <w:spacing w:before="0" w:line="260" w:lineRule="atLeast"/>
        <w:rPr>
          <w:szCs w:val="20"/>
          <w:lang w:eastAsia="en-US"/>
        </w:rPr>
      </w:pPr>
      <w:r w:rsidRPr="007E558D">
        <w:rPr>
          <w:szCs w:val="20"/>
          <w:lang w:eastAsia="en-US"/>
        </w:rPr>
        <w:t>Pozitivna sprememba je pri kazalniku dodane vrednosti na zaposlenega, ki je v letu 2019 znašala 41 tisoč EUR, kar je realno 4 % več v primerjavi s predhodnim letom. Celotna živilskopredelovalna panoga je v letu 2019 ustvarila realno za 8 % več skupne dodane vrednosti kot v predhodnem letu, a ker je bila rast zaposlenih nekoliko višja kot v letu prej, je to nekoliko zmanjšalo rast dodane vrednosti na zaposlenega.</w:t>
      </w:r>
    </w:p>
    <w:p w14:paraId="2A1D9BC9" w14:textId="38F4B66D" w:rsidR="007E558D" w:rsidRDefault="007E558D" w:rsidP="007613FE">
      <w:pPr>
        <w:pStyle w:val="ZPtekst"/>
        <w:spacing w:before="0" w:line="260" w:lineRule="atLeast"/>
        <w:rPr>
          <w:sz w:val="20"/>
          <w:szCs w:val="20"/>
          <w:lang w:eastAsia="en-US"/>
        </w:rPr>
      </w:pPr>
    </w:p>
    <w:p w14:paraId="1F0749EB" w14:textId="77777777" w:rsidR="007E558D" w:rsidRPr="0047652B" w:rsidRDefault="007E558D" w:rsidP="007613FE">
      <w:pPr>
        <w:pStyle w:val="ZPtekst"/>
        <w:spacing w:before="0" w:line="260" w:lineRule="atLeast"/>
        <w:rPr>
          <w:sz w:val="20"/>
          <w:szCs w:val="20"/>
        </w:rPr>
      </w:pPr>
    </w:p>
    <w:p w14:paraId="75E13280" w14:textId="77777777" w:rsidR="003406B9" w:rsidRDefault="003406B9" w:rsidP="007613FE">
      <w:pPr>
        <w:spacing w:before="0" w:line="260" w:lineRule="atLeast"/>
      </w:pPr>
    </w:p>
    <w:p w14:paraId="5B5B569A" w14:textId="034F799F" w:rsidR="003406B9" w:rsidRPr="00852E36" w:rsidRDefault="003406B9" w:rsidP="007E558D">
      <w:pPr>
        <w:pStyle w:val="Naslov3"/>
        <w:rPr>
          <w:lang w:eastAsia="en-US"/>
        </w:rPr>
      </w:pPr>
      <w:bookmarkStart w:id="3198" w:name="_Toc86822614"/>
      <w:r w:rsidRPr="00852E36">
        <w:rPr>
          <w:lang w:eastAsia="en-US"/>
        </w:rPr>
        <w:t>Poslovni rezultati po posameznih dejavnostih</w:t>
      </w:r>
      <w:bookmarkEnd w:id="3198"/>
      <w:r w:rsidRPr="00852E36">
        <w:rPr>
          <w:lang w:eastAsia="en-US"/>
        </w:rPr>
        <w:t xml:space="preserve"> </w:t>
      </w:r>
    </w:p>
    <w:p w14:paraId="0C562A4F" w14:textId="77777777" w:rsidR="00F3225E" w:rsidRDefault="00F3225E" w:rsidP="007613FE">
      <w:pPr>
        <w:pStyle w:val="1"/>
        <w:spacing w:before="0"/>
        <w:rPr>
          <w:u w:val="single"/>
          <w:lang w:eastAsia="en-US"/>
        </w:rPr>
      </w:pPr>
    </w:p>
    <w:p w14:paraId="5AB58F5A" w14:textId="688D35CF" w:rsidR="00510FE5" w:rsidRPr="007E558D" w:rsidRDefault="00510FE5" w:rsidP="007613FE">
      <w:pPr>
        <w:pStyle w:val="1"/>
        <w:spacing w:before="0"/>
        <w:rPr>
          <w:sz w:val="22"/>
          <w:szCs w:val="22"/>
          <w:u w:val="single"/>
          <w:lang w:eastAsia="en-US"/>
        </w:rPr>
      </w:pPr>
      <w:r w:rsidRPr="007E558D">
        <w:rPr>
          <w:sz w:val="22"/>
          <w:szCs w:val="22"/>
          <w:u w:val="single"/>
          <w:lang w:eastAsia="en-US"/>
        </w:rPr>
        <w:t>Prihodki</w:t>
      </w:r>
    </w:p>
    <w:p w14:paraId="64084FAA" w14:textId="40C6129B" w:rsidR="00B2017B" w:rsidRPr="007E558D" w:rsidRDefault="00510FE5" w:rsidP="007613FE">
      <w:pPr>
        <w:pStyle w:val="1"/>
        <w:spacing w:before="0"/>
        <w:rPr>
          <w:sz w:val="22"/>
          <w:szCs w:val="22"/>
          <w:lang w:eastAsia="en-US"/>
        </w:rPr>
      </w:pPr>
      <w:r w:rsidRPr="007E558D">
        <w:rPr>
          <w:sz w:val="22"/>
          <w:szCs w:val="22"/>
          <w:lang w:eastAsia="en-US"/>
        </w:rPr>
        <w:t>Sku</w:t>
      </w:r>
      <w:r w:rsidR="007773BD" w:rsidRPr="007E558D">
        <w:rPr>
          <w:sz w:val="22"/>
          <w:szCs w:val="22"/>
          <w:lang w:eastAsia="en-US"/>
        </w:rPr>
        <w:t>pni</w:t>
      </w:r>
      <w:r w:rsidRPr="007E558D">
        <w:rPr>
          <w:sz w:val="22"/>
          <w:szCs w:val="22"/>
          <w:lang w:eastAsia="en-US"/>
        </w:rPr>
        <w:t xml:space="preserve"> prihodki od prodaje živil in pijač (C 10 in C 11) so v letu 2019 znašali 2,315 </w:t>
      </w:r>
      <w:r w:rsidR="00D53725" w:rsidRPr="007E558D">
        <w:rPr>
          <w:sz w:val="22"/>
          <w:szCs w:val="22"/>
          <w:lang w:eastAsia="en-US"/>
        </w:rPr>
        <w:t>mrd</w:t>
      </w:r>
      <w:r w:rsidRPr="007E558D">
        <w:rPr>
          <w:sz w:val="22"/>
          <w:szCs w:val="22"/>
          <w:lang w:eastAsia="en-US"/>
        </w:rPr>
        <w:t xml:space="preserve">  EUR. Največji delež prihodkov je v letu 2019 prispeva mesnopredelovalna industrija (31,2 %). </w:t>
      </w:r>
      <w:r w:rsidRPr="007E558D" w:rsidDel="00B00A48">
        <w:rPr>
          <w:sz w:val="22"/>
          <w:szCs w:val="22"/>
          <w:lang w:eastAsia="en-US"/>
        </w:rPr>
        <w:t xml:space="preserve">Pekarstvo je z </w:t>
      </w:r>
      <w:r w:rsidRPr="007E558D">
        <w:rPr>
          <w:sz w:val="22"/>
          <w:szCs w:val="22"/>
          <w:lang w:eastAsia="en-US"/>
        </w:rPr>
        <w:t>16,4-odstotnim deležem ostala</w:t>
      </w:r>
      <w:r w:rsidRPr="007E558D" w:rsidDel="00B00A48">
        <w:rPr>
          <w:sz w:val="22"/>
          <w:szCs w:val="22"/>
          <w:lang w:eastAsia="en-US"/>
        </w:rPr>
        <w:t xml:space="preserve"> druga najpomembnejša dejavnost. </w:t>
      </w:r>
      <w:r w:rsidRPr="007E558D">
        <w:rPr>
          <w:sz w:val="22"/>
          <w:szCs w:val="22"/>
          <w:lang w:eastAsia="en-US"/>
        </w:rPr>
        <w:t xml:space="preserve">Mlečnopredelovalna industrija je s 16,1-odstotnim deležem tretja najpomembnejša dejavnost po prihodkih. </w:t>
      </w:r>
    </w:p>
    <w:p w14:paraId="015302DF" w14:textId="77777777" w:rsidR="00F3225E" w:rsidRPr="007E558D" w:rsidRDefault="00F3225E" w:rsidP="007613FE">
      <w:pPr>
        <w:pStyle w:val="1"/>
        <w:spacing w:before="0"/>
        <w:rPr>
          <w:sz w:val="22"/>
          <w:szCs w:val="22"/>
          <w:u w:val="single"/>
          <w:lang w:eastAsia="en-US"/>
        </w:rPr>
      </w:pPr>
    </w:p>
    <w:p w14:paraId="70DC9671" w14:textId="12A5E51B" w:rsidR="00510FE5" w:rsidRPr="007E558D" w:rsidRDefault="00510FE5" w:rsidP="007613FE">
      <w:pPr>
        <w:pStyle w:val="1"/>
        <w:spacing w:before="0"/>
        <w:rPr>
          <w:sz w:val="22"/>
          <w:szCs w:val="22"/>
          <w:u w:val="single"/>
          <w:lang w:eastAsia="en-US"/>
        </w:rPr>
      </w:pPr>
      <w:r w:rsidRPr="007E558D">
        <w:rPr>
          <w:sz w:val="22"/>
          <w:szCs w:val="22"/>
          <w:u w:val="single"/>
          <w:lang w:eastAsia="en-US"/>
        </w:rPr>
        <w:t>Dobiček</w:t>
      </w:r>
    </w:p>
    <w:p w14:paraId="47BC4FCE" w14:textId="0376AB16" w:rsidR="00510FE5" w:rsidRPr="007E558D" w:rsidRDefault="00510FE5" w:rsidP="007613FE">
      <w:pPr>
        <w:pStyle w:val="1"/>
        <w:spacing w:before="0"/>
        <w:rPr>
          <w:sz w:val="22"/>
          <w:szCs w:val="22"/>
          <w:lang w:eastAsia="en-US"/>
        </w:rPr>
      </w:pPr>
      <w:r w:rsidRPr="007E558D">
        <w:rPr>
          <w:sz w:val="22"/>
          <w:szCs w:val="22"/>
          <w:lang w:eastAsia="en-US"/>
        </w:rPr>
        <w:t>Po deležu v izkazanem čistem dobičku, ki je v letu 2019 pri proizvodnji živil in pijač znašal 111 mio EUR, je najdonosnejša dejavnost proizvodnja drugih prehrambenih izdelkov, ki je ustvarila 23 % celotne vrednosti dobička, sledita pivovarstvo (18,7 %) in predelava mesa (15,2 %).</w:t>
      </w:r>
      <w:r w:rsidR="005A1BE2" w:rsidRPr="007E558D">
        <w:rPr>
          <w:sz w:val="22"/>
          <w:szCs w:val="22"/>
          <w:lang w:eastAsia="en-US"/>
        </w:rPr>
        <w:t xml:space="preserve"> </w:t>
      </w:r>
      <w:r w:rsidRPr="007E558D">
        <w:rPr>
          <w:sz w:val="22"/>
          <w:szCs w:val="22"/>
          <w:lang w:eastAsia="en-US"/>
        </w:rPr>
        <w:t>Neto čisti dobiček na zaposlenega je v letu 2019 znašal 8.799 EUR (leta 2018: 7.108 EUR), kar je realno medletno povečanje za 22 %. Poleg kazalnika neto dobička se je izboljšal tudi kazalnik donosnosti prodaje (ROS), ki je prvič v analiziranem obdobju presegel 5 %. Izkazani neto čisti dobiček je v letu 2019 znašal 5,6 % prihodkov od prodaje (leta 2018: 4,6 %). Tudi donosnost sredstev (ROA) je bila v letu 2019 za dobro petino višja kot v predhodnem letu, in sicer je znašala 5,6 % (leta 2018: 4,6 %). Rast obeh kazalnikov dobičkovnosti je povezana z občutno rastjo izkazanega neto dobička v letu 2019.</w:t>
      </w:r>
    </w:p>
    <w:p w14:paraId="7A8E213D" w14:textId="77777777" w:rsidR="00A15A53" w:rsidRPr="007E558D" w:rsidRDefault="00A15A53" w:rsidP="007613FE">
      <w:pPr>
        <w:pStyle w:val="1"/>
        <w:spacing w:before="0"/>
        <w:rPr>
          <w:sz w:val="22"/>
          <w:szCs w:val="22"/>
          <w:lang w:eastAsia="en-US"/>
        </w:rPr>
      </w:pPr>
    </w:p>
    <w:p w14:paraId="1E4E7DE3" w14:textId="14B86C17" w:rsidR="00510FE5" w:rsidRPr="007E558D" w:rsidRDefault="00510FE5" w:rsidP="007613FE">
      <w:pPr>
        <w:pStyle w:val="1"/>
        <w:spacing w:before="0"/>
        <w:rPr>
          <w:sz w:val="22"/>
          <w:szCs w:val="22"/>
          <w:lang w:eastAsia="en-US"/>
        </w:rPr>
      </w:pPr>
      <w:r w:rsidRPr="007E558D">
        <w:rPr>
          <w:sz w:val="22"/>
          <w:szCs w:val="22"/>
          <w:lang w:eastAsia="en-US"/>
        </w:rPr>
        <w:t>Dobiček v dejavnosti predelava in konzerviranja sadja in zelenjave je v letu 2019 znašal 11,2 %. V letu 2019 so dejavnosti predelave in konzerviranja rib, pekarstvo, proizvodnja mesnih izdelkov ter proizvodnja brezalkoholnih pijač ustvarili 80 % izkazane čiste izgube.</w:t>
      </w:r>
    </w:p>
    <w:p w14:paraId="02175E9D" w14:textId="77777777" w:rsidR="0099244F" w:rsidRDefault="0099244F" w:rsidP="007613FE">
      <w:pPr>
        <w:pStyle w:val="1"/>
        <w:spacing w:before="0"/>
        <w:rPr>
          <w:lang w:eastAsia="en-US"/>
        </w:rPr>
      </w:pPr>
    </w:p>
    <w:p w14:paraId="7E3A5259" w14:textId="1B860C92" w:rsidR="005A1BE2" w:rsidRDefault="00701BC9" w:rsidP="007E558D">
      <w:pPr>
        <w:pStyle w:val="SCSlika0"/>
      </w:pPr>
      <w:bookmarkStart w:id="3199" w:name="_Toc86822760"/>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88117A">
        <w:rPr>
          <w:noProof/>
          <w:szCs w:val="16"/>
        </w:rPr>
        <w:t>88</w:t>
      </w:r>
      <w:r w:rsidRPr="009F3567">
        <w:rPr>
          <w:szCs w:val="16"/>
        </w:rPr>
        <w:fldChar w:fldCharType="end"/>
      </w:r>
      <w:r w:rsidRPr="009F3567">
        <w:rPr>
          <w:szCs w:val="16"/>
        </w:rPr>
        <w:t>:</w:t>
      </w:r>
      <w:r w:rsidRPr="009F3567">
        <w:rPr>
          <w:i/>
        </w:rPr>
        <w:t xml:space="preserve"> </w:t>
      </w:r>
      <w:r w:rsidR="005A1BE2" w:rsidRPr="007C08F4">
        <w:t xml:space="preserve">Neto dobiček/izguba </w:t>
      </w:r>
      <w:r w:rsidR="0099244F">
        <w:t>ŽPI</w:t>
      </w:r>
      <w:r w:rsidR="005A1BE2" w:rsidRPr="007C08F4">
        <w:t xml:space="preserve"> po dejavnostih (mio EUR); 2018 in 2019</w:t>
      </w:r>
      <w:bookmarkEnd w:id="3199"/>
    </w:p>
    <w:p w14:paraId="1E762123" w14:textId="77777777" w:rsidR="005A1BE2" w:rsidRDefault="005A1BE2" w:rsidP="005A1BE2">
      <w:pPr>
        <w:pStyle w:val="SCslika"/>
        <w:rPr>
          <w:szCs w:val="20"/>
          <w:lang w:eastAsia="en-GB"/>
        </w:rPr>
      </w:pPr>
      <w:r>
        <w:drawing>
          <wp:inline distT="0" distB="0" distL="0" distR="0" wp14:anchorId="5C066C6F" wp14:editId="7D7AD1C9">
            <wp:extent cx="5400000" cy="2289698"/>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000" cy="2289698"/>
                    </a:xfrm>
                    <a:prstGeom prst="rect">
                      <a:avLst/>
                    </a:prstGeom>
                    <a:noFill/>
                  </pic:spPr>
                </pic:pic>
              </a:graphicData>
            </a:graphic>
          </wp:inline>
        </w:drawing>
      </w:r>
    </w:p>
    <w:p w14:paraId="34E1F87C" w14:textId="0CB6DC7A" w:rsidR="005A1BE2" w:rsidRPr="001261D8" w:rsidRDefault="005A1BE2" w:rsidP="005A1BE2">
      <w:pPr>
        <w:pStyle w:val="SCslika"/>
        <w:rPr>
          <w:sz w:val="16"/>
          <w:szCs w:val="16"/>
          <w:lang w:eastAsia="en-GB"/>
        </w:rPr>
      </w:pPr>
      <w:r w:rsidRPr="001261D8">
        <w:rPr>
          <w:sz w:val="16"/>
          <w:szCs w:val="16"/>
        </w:rPr>
        <w:t xml:space="preserve">Vir: </w:t>
      </w:r>
      <w:r w:rsidRPr="001261D8">
        <w:rPr>
          <w:rStyle w:val="Sprotnaopomba-sklic"/>
          <w:sz w:val="16"/>
          <w:szCs w:val="16"/>
          <w:vertAlign w:val="baseline"/>
        </w:rPr>
        <w:t xml:space="preserve">Poročilo o stanju kmetijstva, živilstva, gozdarstva in ribištva v letu 2019. </w:t>
      </w:r>
    </w:p>
    <w:p w14:paraId="68D1EB90" w14:textId="75A89CC6" w:rsidR="00510FE5" w:rsidRPr="00EF1BAA" w:rsidRDefault="00510FE5" w:rsidP="00451314">
      <w:pPr>
        <w:pStyle w:val="1"/>
        <w:rPr>
          <w:sz w:val="22"/>
          <w:u w:val="single"/>
          <w:lang w:eastAsia="en-US"/>
        </w:rPr>
      </w:pPr>
      <w:r w:rsidRPr="00EF1BAA">
        <w:rPr>
          <w:sz w:val="22"/>
          <w:u w:val="single"/>
          <w:lang w:eastAsia="en-US"/>
        </w:rPr>
        <w:t>Produktivnost</w:t>
      </w:r>
    </w:p>
    <w:p w14:paraId="312A6C78" w14:textId="1B7C91D1" w:rsidR="00510FE5" w:rsidRPr="00EF1BAA" w:rsidRDefault="00510FE5" w:rsidP="007613FE">
      <w:pPr>
        <w:pStyle w:val="1"/>
        <w:spacing w:before="0"/>
        <w:rPr>
          <w:sz w:val="22"/>
          <w:lang w:eastAsia="en-US"/>
        </w:rPr>
      </w:pPr>
      <w:r w:rsidRPr="00EF1BAA">
        <w:rPr>
          <w:sz w:val="22"/>
          <w:lang w:eastAsia="en-US"/>
        </w:rPr>
        <w:t>Produktivnost, merjena s prihodki od prodaje na zaposlenega, je bila v letu 2019 realno komaj opazno višja kot v predhodnem letu (+0,3 %). V povprečju je zaposleni v živilskopredelovalni dejavnosti v letu 2019 ustvaril 158 tisoč EUR prihodkov. Produktivnost v živilskopredelovalni industriji sicer precej niha. Tako je v letu 2018 padla za okoli 3 % v primerjavi s predhodnim letom. V letu 2019 so najvišjo produktivnost dosegli pri proizvodnji rastlinskih olj in maščob (306,1 tisoč EUR), sledita proizvodnje krmil za živali  (295,7</w:t>
      </w:r>
      <w:r w:rsidR="0099244F" w:rsidRPr="00EF1BAA">
        <w:rPr>
          <w:sz w:val="22"/>
          <w:lang w:eastAsia="en-US"/>
        </w:rPr>
        <w:t xml:space="preserve"> </w:t>
      </w:r>
      <w:r w:rsidRPr="00EF1BAA">
        <w:rPr>
          <w:sz w:val="22"/>
          <w:lang w:eastAsia="en-US"/>
        </w:rPr>
        <w:t>tisoč</w:t>
      </w:r>
      <w:r w:rsidR="0099244F" w:rsidRPr="00EF1BAA">
        <w:rPr>
          <w:sz w:val="22"/>
          <w:lang w:eastAsia="en-US"/>
        </w:rPr>
        <w:t xml:space="preserve"> </w:t>
      </w:r>
      <w:r w:rsidRPr="00EF1BAA">
        <w:rPr>
          <w:sz w:val="22"/>
          <w:lang w:eastAsia="en-US"/>
        </w:rPr>
        <w:t>EUR) in pivovarstvo (246,7 tisoč EUR). Te tri dejavnosti se že nekaj let uvrščajo na vrh po kazalniku produktivnosti, kar je mogoče pripisati predvsem tehnološkim značilnostim proizvodnih procesov (avtomatizirana proizvodnja in nizka delovna intenzivnost).</w:t>
      </w:r>
    </w:p>
    <w:p w14:paraId="14F2CD01" w14:textId="77777777" w:rsidR="00F3225E" w:rsidRPr="0047652B" w:rsidRDefault="00F3225E" w:rsidP="007613FE">
      <w:pPr>
        <w:pStyle w:val="1"/>
        <w:spacing w:before="0"/>
        <w:rPr>
          <w:lang w:eastAsia="en-US"/>
        </w:rPr>
      </w:pPr>
    </w:p>
    <w:p w14:paraId="5A2DBCEC" w14:textId="08670410" w:rsidR="00510FE5" w:rsidRPr="00EF1BAA" w:rsidRDefault="00510FE5" w:rsidP="007613FE">
      <w:pPr>
        <w:pStyle w:val="1"/>
        <w:spacing w:before="0"/>
        <w:rPr>
          <w:sz w:val="22"/>
          <w:u w:val="single"/>
          <w:lang w:eastAsia="en-US"/>
        </w:rPr>
      </w:pPr>
      <w:r w:rsidRPr="00EF1BAA">
        <w:rPr>
          <w:sz w:val="22"/>
          <w:u w:val="single"/>
          <w:lang w:eastAsia="en-US"/>
        </w:rPr>
        <w:t>Dodana vrednost</w:t>
      </w:r>
    </w:p>
    <w:p w14:paraId="7D25E64C" w14:textId="4E8E2A11" w:rsidR="00510FE5" w:rsidRPr="00EF1BAA" w:rsidRDefault="00510FE5" w:rsidP="007613FE">
      <w:pPr>
        <w:pStyle w:val="1"/>
        <w:spacing w:before="0"/>
        <w:rPr>
          <w:sz w:val="22"/>
          <w:lang w:eastAsia="en-US"/>
        </w:rPr>
      </w:pPr>
      <w:r w:rsidRPr="00EF1BAA">
        <w:rPr>
          <w:sz w:val="22"/>
          <w:lang w:eastAsia="en-US"/>
        </w:rPr>
        <w:t>Dodana vrednosti v živilskopredelovalni panogi je v letu 2019 beležila le manjše spremembe med vodilnimi dejavnostmi (mesnopredlovalna industrija, pekarska dejavnost, proizvodnja drugih prehrambenih izdelkov, predelava mleka in pivovarstvo). V letu 2019 je  paznejša rast zaznana v mesnopredelovalni dejavnosti (okoli 25 %), S tem je mesnopredelovalna industrija utrdila vodilni položaj po deležu, ki ga je v preteklosti imela pekarska dejavnost; le-ta je v letu 2019 prispevala 22 % dodane vrednosti (leta 2018: 23 %). Tretja najpomembnejša dejavnost po prispevku k dodani vrednosti je proizvodnja drugih živilskih izdelkov (13 %). Z okoli 12-odstotnim deležem sledita dejavnosti predelava mleka in pivovarstvo.</w:t>
      </w:r>
    </w:p>
    <w:p w14:paraId="3EF09FA0" w14:textId="77777777" w:rsidR="00F3225E" w:rsidRPr="00EF1BAA" w:rsidRDefault="00F3225E" w:rsidP="007613FE">
      <w:pPr>
        <w:pStyle w:val="1"/>
        <w:spacing w:before="0"/>
        <w:rPr>
          <w:sz w:val="22"/>
          <w:lang w:eastAsia="en-US"/>
        </w:rPr>
      </w:pPr>
    </w:p>
    <w:p w14:paraId="5207834E" w14:textId="77777777" w:rsidR="00510FE5" w:rsidRPr="00EF1BAA" w:rsidRDefault="00510FE5" w:rsidP="007613FE">
      <w:pPr>
        <w:pStyle w:val="1"/>
        <w:spacing w:before="0"/>
        <w:rPr>
          <w:sz w:val="22"/>
          <w:u w:val="single"/>
          <w:lang w:eastAsia="en-US"/>
        </w:rPr>
      </w:pPr>
      <w:r w:rsidRPr="00EF1BAA">
        <w:rPr>
          <w:sz w:val="22"/>
          <w:u w:val="single"/>
          <w:lang w:eastAsia="en-US"/>
        </w:rPr>
        <w:t>Dodana vrednost na zaposlenega</w:t>
      </w:r>
    </w:p>
    <w:p w14:paraId="4B6686DE" w14:textId="3BB8E5A0" w:rsidR="00510FE5" w:rsidRDefault="00510FE5" w:rsidP="007613FE">
      <w:pPr>
        <w:pStyle w:val="1"/>
        <w:spacing w:before="0"/>
        <w:rPr>
          <w:sz w:val="22"/>
          <w:lang w:eastAsia="en-US"/>
        </w:rPr>
      </w:pPr>
      <w:r w:rsidRPr="00EF1BAA">
        <w:rPr>
          <w:sz w:val="22"/>
          <w:lang w:eastAsia="en-US"/>
        </w:rPr>
        <w:t>Zaposleni je v agregatu živilskopredelovalne industrije, v povprečju, v letu 2019 ustvaril 41 tisoč EUR dodane vrednosti, kar je realno za 5 % več kot v letu prej. V letu 2019 je na prvem mestu po dodani vrednosti na zaposlenega pivovarstvo s 106 tisoč EUR (+2% glede na 2018). V proizvodnji drugih prehrambnih izdelkov so ustvarili 58 tisoč EUR dodane vrednosti na zaposlenega (realno +0,4 % glede na 2018). Sledi predelava sadja in vrtnin z 54 tisoč EUR (-1% glede n aleto 2018). Pri predelavi mleka je dodana vrednsot na zaposlenega dosegla 47 tisoč EUR dodane vrednosti na zaposlenega (realno +6 % glede na leto 2018). Med dejavnosti z najnižjo dodano vrednostjo na zaposlenega se praviloma zaradi strukturnih značilnosti uvrščata dejavnosti predelava mesa in pekarstvo. V mesnopredelovalni industriji sicer že drugo leto ugotavljamo opaznejšo rast kazalnika (realno +5 %), tako da je v povprečju zaposleni ustvaril 38 tisoč EUR dodane vrednosti. Prav tako je za slabih 5 % realno v letu 2019 zrasla dodana vrednost na zaposlenega v pekarstvu, tako da je kazalnik dosegel 29 tisoč EUR.</w:t>
      </w:r>
    </w:p>
    <w:p w14:paraId="3F4E04E4" w14:textId="77777777" w:rsidR="00EF1BAA" w:rsidRPr="00EF1BAA" w:rsidRDefault="00EF1BAA" w:rsidP="007613FE">
      <w:pPr>
        <w:pStyle w:val="1"/>
        <w:spacing w:before="0"/>
        <w:rPr>
          <w:sz w:val="22"/>
          <w:lang w:eastAsia="en-US"/>
        </w:rPr>
      </w:pPr>
    </w:p>
    <w:p w14:paraId="4D2BBCD5" w14:textId="383902E2" w:rsidR="002B7243" w:rsidRDefault="002B7243" w:rsidP="007613FE">
      <w:pPr>
        <w:spacing w:before="0" w:line="260" w:lineRule="atLeast"/>
        <w:rPr>
          <w:sz w:val="20"/>
          <w:szCs w:val="20"/>
          <w:lang w:eastAsia="en-US"/>
        </w:rPr>
      </w:pPr>
    </w:p>
    <w:p w14:paraId="08F15E9C" w14:textId="64184F43" w:rsidR="002B7243" w:rsidRPr="00451314" w:rsidRDefault="002B7243" w:rsidP="00EF1BAA">
      <w:pPr>
        <w:pStyle w:val="Naslov2"/>
      </w:pPr>
      <w:bookmarkStart w:id="3200" w:name="_Toc86822615"/>
      <w:r w:rsidRPr="009F3567">
        <w:t xml:space="preserve">Izvozna usmerjenost </w:t>
      </w:r>
      <w:r w:rsidR="00307A17">
        <w:t>živilskopredelovalne industrije</w:t>
      </w:r>
      <w:bookmarkEnd w:id="3200"/>
      <w:r w:rsidR="00307A17" w:rsidRPr="009F3567" w:rsidDel="00072786">
        <w:t xml:space="preserve"> </w:t>
      </w:r>
    </w:p>
    <w:p w14:paraId="2B2B7FB2" w14:textId="0F6AB17E" w:rsidR="002B7243" w:rsidRPr="0047652B" w:rsidRDefault="002B7243" w:rsidP="00EF1BAA">
      <w:pPr>
        <w:rPr>
          <w:lang w:eastAsia="en-US"/>
        </w:rPr>
      </w:pPr>
      <w:r w:rsidRPr="0047652B">
        <w:rPr>
          <w:lang w:eastAsia="en-US"/>
        </w:rPr>
        <w:t xml:space="preserve">V povprečju so živilskopredelovalna podjetja izboljšala izvozno usmerjenost v obdobju </w:t>
      </w:r>
      <w:r w:rsidR="00053207">
        <w:rPr>
          <w:lang w:eastAsia="en-US"/>
        </w:rPr>
        <w:t>2014-2019</w:t>
      </w:r>
      <w:r w:rsidRPr="0047652B">
        <w:rPr>
          <w:lang w:eastAsia="en-US"/>
        </w:rPr>
        <w:t xml:space="preserve"> za </w:t>
      </w:r>
      <w:r w:rsidR="00053207">
        <w:rPr>
          <w:lang w:eastAsia="en-US"/>
        </w:rPr>
        <w:t>6,4</w:t>
      </w:r>
      <w:r w:rsidRPr="0047652B">
        <w:rPr>
          <w:lang w:eastAsia="en-US"/>
        </w:rPr>
        <w:t xml:space="preserve"> odstotnih točk (</w:t>
      </w:r>
      <w:r w:rsidR="00053207">
        <w:rPr>
          <w:lang w:eastAsia="en-US"/>
        </w:rPr>
        <w:t>2014</w:t>
      </w:r>
      <w:r w:rsidRPr="0047652B">
        <w:rPr>
          <w:lang w:eastAsia="en-US"/>
        </w:rPr>
        <w:t>: 22</w:t>
      </w:r>
      <w:r w:rsidR="00053207">
        <w:rPr>
          <w:lang w:eastAsia="en-US"/>
        </w:rPr>
        <w:t>,2</w:t>
      </w:r>
      <w:r w:rsidRPr="0047652B">
        <w:rPr>
          <w:lang w:eastAsia="en-US"/>
        </w:rPr>
        <w:t xml:space="preserve"> %, </w:t>
      </w:r>
      <w:r w:rsidR="00053207">
        <w:rPr>
          <w:lang w:eastAsia="en-US"/>
        </w:rPr>
        <w:t>2019</w:t>
      </w:r>
      <w:r w:rsidRPr="0047652B">
        <w:rPr>
          <w:lang w:eastAsia="en-US"/>
        </w:rPr>
        <w:t xml:space="preserve">: </w:t>
      </w:r>
      <w:r w:rsidR="00053207">
        <w:rPr>
          <w:lang w:eastAsia="en-US"/>
        </w:rPr>
        <w:t>29,6</w:t>
      </w:r>
      <w:r w:rsidRPr="0047652B">
        <w:rPr>
          <w:lang w:eastAsia="en-US"/>
        </w:rPr>
        <w:t xml:space="preserve"> %). Kljub vsemu je izvozna usmerjenost, ki se meri z deležem prihodkov od izvoza v celotnih prihodkih od prodaje, še vedno pod povprečjem slovenskih predelovalnih podjetij. Predelovalne dejavnosti (C) so namreč leta </w:t>
      </w:r>
      <w:r w:rsidR="00053207">
        <w:rPr>
          <w:lang w:eastAsia="en-US"/>
        </w:rPr>
        <w:t>2019</w:t>
      </w:r>
      <w:r w:rsidRPr="0047652B">
        <w:rPr>
          <w:lang w:eastAsia="en-US"/>
        </w:rPr>
        <w:t xml:space="preserve"> z izvozom ustvarile kar </w:t>
      </w:r>
      <w:r w:rsidR="00053207">
        <w:rPr>
          <w:lang w:eastAsia="en-US"/>
        </w:rPr>
        <w:t>72</w:t>
      </w:r>
      <w:r w:rsidRPr="0047652B">
        <w:rPr>
          <w:lang w:eastAsia="en-US"/>
        </w:rPr>
        <w:t xml:space="preserve"> % vseh prihodkov od izvoza. </w:t>
      </w:r>
      <w:r w:rsidR="00053207" w:rsidRPr="00053207">
        <w:rPr>
          <w:lang w:eastAsia="en-US"/>
        </w:rPr>
        <w:t xml:space="preserve">To kaže na pomembne strukturne spremembe, ki lahko nakazujejo zaostrene pogoje na slovenskem trgu z živili, zato so se podjetja strateško preusmerila na tuje trge. </w:t>
      </w:r>
    </w:p>
    <w:p w14:paraId="092C8428" w14:textId="2C027504" w:rsidR="00841B76" w:rsidRDefault="00841B76" w:rsidP="00EF1BAA">
      <w:pPr>
        <w:rPr>
          <w:lang w:eastAsia="en-US"/>
        </w:rPr>
      </w:pPr>
      <w:r w:rsidRPr="00CF63DC">
        <w:rPr>
          <w:lang w:eastAsia="en-US"/>
        </w:rPr>
        <w:t>Po deležu prihodko</w:t>
      </w:r>
      <w:r>
        <w:rPr>
          <w:lang w:eastAsia="en-US"/>
        </w:rPr>
        <w:t>v od prodaje na tujih trgih se</w:t>
      </w:r>
      <w:r w:rsidRPr="00CF63DC">
        <w:rPr>
          <w:lang w:eastAsia="en-US"/>
        </w:rPr>
        <w:t xml:space="preserve"> v zadnjih </w:t>
      </w:r>
      <w:r>
        <w:rPr>
          <w:lang w:eastAsia="en-US"/>
        </w:rPr>
        <w:t>letih</w:t>
      </w:r>
      <w:r w:rsidRPr="00CF63DC">
        <w:rPr>
          <w:lang w:eastAsia="en-US"/>
        </w:rPr>
        <w:t xml:space="preserve"> najvišje uvršča proizvodnja drugih prehrambnih izdelkov. </w:t>
      </w:r>
      <w:r>
        <w:rPr>
          <w:lang w:eastAsia="en-US"/>
        </w:rPr>
        <w:t xml:space="preserve">V letu 2019  je delež te panoge v celotnem izvozu ŽPI znašal 24,4 </w:t>
      </w:r>
      <w:r w:rsidRPr="00CF63DC">
        <w:rPr>
          <w:lang w:eastAsia="en-US"/>
        </w:rPr>
        <w:t>%.</w:t>
      </w:r>
      <w:r>
        <w:rPr>
          <w:lang w:eastAsia="en-US"/>
        </w:rPr>
        <w:t xml:space="preserve"> Druga in tretja izvozna dejavnost sta bili mesnopredelovalna industrija (</w:t>
      </w:r>
      <w:r w:rsidRPr="00CF63DC">
        <w:rPr>
          <w:lang w:eastAsia="en-US"/>
        </w:rPr>
        <w:t>2</w:t>
      </w:r>
      <w:r>
        <w:rPr>
          <w:lang w:eastAsia="en-US"/>
        </w:rPr>
        <w:t>4,6 %) in predelava mleka (23 %).</w:t>
      </w:r>
    </w:p>
    <w:p w14:paraId="16444E54" w14:textId="611041B5" w:rsidR="002B7243" w:rsidRPr="0047652B" w:rsidRDefault="002B7243" w:rsidP="00EF1BAA">
      <w:pPr>
        <w:rPr>
          <w:lang w:eastAsia="en-US"/>
        </w:rPr>
      </w:pPr>
      <w:r w:rsidRPr="0047652B">
        <w:rPr>
          <w:lang w:eastAsia="en-US"/>
        </w:rPr>
        <w:t xml:space="preserve">Enako kot v predhodnih letih je tudi v letu </w:t>
      </w:r>
      <w:r w:rsidR="00841B76">
        <w:rPr>
          <w:lang w:eastAsia="en-US"/>
        </w:rPr>
        <w:t>2019</w:t>
      </w:r>
      <w:r w:rsidRPr="0047652B">
        <w:rPr>
          <w:lang w:eastAsia="en-US"/>
        </w:rPr>
        <w:t xml:space="preserve"> največji delež prihodkov od izvoza v celotnih prihodkih od prodaje </w:t>
      </w:r>
      <w:r w:rsidR="00841B76">
        <w:rPr>
          <w:lang w:eastAsia="en-US"/>
        </w:rPr>
        <w:t xml:space="preserve">v posamezni panogi </w:t>
      </w:r>
      <w:r w:rsidRPr="0047652B">
        <w:rPr>
          <w:lang w:eastAsia="en-US"/>
        </w:rPr>
        <w:t>ustvarila dejavnost proizvodnje drugih prehrambnih izdelkov (</w:t>
      </w:r>
      <w:r w:rsidR="00841B76">
        <w:rPr>
          <w:lang w:eastAsia="en-US"/>
        </w:rPr>
        <w:t>55,3</w:t>
      </w:r>
      <w:r w:rsidRPr="0047652B">
        <w:rPr>
          <w:lang w:eastAsia="en-US"/>
        </w:rPr>
        <w:t xml:space="preserve"> %). </w:t>
      </w:r>
      <w:r w:rsidR="00841B76">
        <w:rPr>
          <w:lang w:eastAsia="en-US"/>
        </w:rPr>
        <w:t>S</w:t>
      </w:r>
      <w:r w:rsidRPr="0047652B">
        <w:rPr>
          <w:lang w:eastAsia="en-US"/>
        </w:rPr>
        <w:t xml:space="preserve">ledita predelava mleka </w:t>
      </w:r>
      <w:r w:rsidR="00841B76">
        <w:rPr>
          <w:lang w:eastAsia="en-US"/>
        </w:rPr>
        <w:t>(42,1</w:t>
      </w:r>
      <w:r w:rsidRPr="0047652B">
        <w:rPr>
          <w:lang w:eastAsia="en-US"/>
        </w:rPr>
        <w:t> % prihodkov</w:t>
      </w:r>
      <w:r w:rsidR="00841B76">
        <w:rPr>
          <w:lang w:eastAsia="en-US"/>
        </w:rPr>
        <w:t>)</w:t>
      </w:r>
      <w:r w:rsidRPr="0047652B">
        <w:rPr>
          <w:lang w:eastAsia="en-US"/>
        </w:rPr>
        <w:t xml:space="preserve"> ter predelava sadja in vrtnin </w:t>
      </w:r>
      <w:r w:rsidR="00841B76">
        <w:rPr>
          <w:lang w:eastAsia="en-US"/>
        </w:rPr>
        <w:t xml:space="preserve">(39,5 % prihodkov). </w:t>
      </w:r>
      <w:r w:rsidRPr="0047652B">
        <w:rPr>
          <w:lang w:eastAsia="en-US"/>
        </w:rPr>
        <w:t xml:space="preserve">Izrazita rast izvozne usmerjenosti je bila ugotovljena v oljarstvu, ki </w:t>
      </w:r>
      <w:r w:rsidR="00841B76" w:rsidRPr="00841B76">
        <w:rPr>
          <w:lang w:eastAsia="en-US"/>
        </w:rPr>
        <w:t xml:space="preserve">je v letu 2019 na tujih trgih ustvarila 40 % svojih prihodkov (v letu 2018 le 26 %). </w:t>
      </w:r>
    </w:p>
    <w:p w14:paraId="4EC60C93" w14:textId="7B95B6D8" w:rsidR="002B7243" w:rsidRPr="0047652B" w:rsidRDefault="002B7243" w:rsidP="00EF1BAA">
      <w:pPr>
        <w:rPr>
          <w:lang w:eastAsia="en-US"/>
        </w:rPr>
      </w:pPr>
      <w:r>
        <w:rPr>
          <w:lang w:eastAsia="en-US"/>
        </w:rPr>
        <w:t>V obdobju</w:t>
      </w:r>
      <w:r w:rsidRPr="0047652B">
        <w:rPr>
          <w:lang w:eastAsia="en-US"/>
        </w:rPr>
        <w:t xml:space="preserve"> </w:t>
      </w:r>
      <w:r w:rsidR="00053207">
        <w:rPr>
          <w:lang w:eastAsia="en-US"/>
        </w:rPr>
        <w:t>2015-2019</w:t>
      </w:r>
      <w:r w:rsidRPr="0047652B">
        <w:rPr>
          <w:lang w:eastAsia="en-US"/>
        </w:rPr>
        <w:t xml:space="preserve"> so se prihodki od prodaje na tujih trgih povečali za</w:t>
      </w:r>
      <w:r w:rsidR="00053207">
        <w:rPr>
          <w:lang w:eastAsia="en-US"/>
        </w:rPr>
        <w:t>36,9</w:t>
      </w:r>
      <w:r w:rsidRPr="0047652B">
        <w:rPr>
          <w:lang w:eastAsia="en-US"/>
        </w:rPr>
        <w:t xml:space="preserve"> %</w:t>
      </w:r>
      <w:r w:rsidR="00053207">
        <w:rPr>
          <w:lang w:eastAsia="en-US"/>
        </w:rPr>
        <w:t xml:space="preserve"> in so v letu 2019 znašali 686,1 mio evrov</w:t>
      </w:r>
      <w:r w:rsidRPr="0047652B">
        <w:rPr>
          <w:lang w:eastAsia="en-US"/>
        </w:rPr>
        <w:t xml:space="preserve">. </w:t>
      </w:r>
    </w:p>
    <w:p w14:paraId="75D5AD99" w14:textId="77777777" w:rsidR="00EB536B" w:rsidRDefault="00EB536B" w:rsidP="007613FE">
      <w:pPr>
        <w:spacing w:before="0" w:line="260" w:lineRule="atLeast"/>
        <w:rPr>
          <w:sz w:val="20"/>
          <w:szCs w:val="20"/>
          <w:lang w:eastAsia="en-US"/>
        </w:rPr>
      </w:pPr>
    </w:p>
    <w:p w14:paraId="46074AF2" w14:textId="61BD3B27" w:rsidR="00F067EF" w:rsidRPr="003C76BE" w:rsidRDefault="006845C5" w:rsidP="00EF1BAA">
      <w:pPr>
        <w:pStyle w:val="Naslov2"/>
      </w:pPr>
      <w:bookmarkStart w:id="3201" w:name="_Toc86822616"/>
      <w:r w:rsidRPr="003C76BE">
        <w:t>Potrebe po financiranju</w:t>
      </w:r>
      <w:r w:rsidR="005B0B0D">
        <w:t xml:space="preserve"> in</w:t>
      </w:r>
      <w:r w:rsidRPr="003C76BE">
        <w:t xml:space="preserve"> f</w:t>
      </w:r>
      <w:r w:rsidR="00F067EF" w:rsidRPr="003C76BE">
        <w:t xml:space="preserve">inančna vrzel v </w:t>
      </w:r>
      <w:r w:rsidR="005D06F0" w:rsidRPr="003C76BE">
        <w:t>ŽPI</w:t>
      </w:r>
      <w:r w:rsidR="00F067EF" w:rsidRPr="003C76BE">
        <w:t xml:space="preserve"> v Sloveniji</w:t>
      </w:r>
      <w:bookmarkEnd w:id="3201"/>
    </w:p>
    <w:p w14:paraId="20D30DB1" w14:textId="77777777" w:rsidR="00F067EF" w:rsidRDefault="00F067EF" w:rsidP="007613FE">
      <w:pPr>
        <w:spacing w:before="0" w:line="260" w:lineRule="atLeast"/>
        <w:rPr>
          <w:sz w:val="20"/>
          <w:szCs w:val="20"/>
        </w:rPr>
      </w:pPr>
    </w:p>
    <w:p w14:paraId="1B716F6C" w14:textId="34ECD36C" w:rsidR="008B0AA8" w:rsidRDefault="008B0AA8" w:rsidP="00B51933">
      <w:r>
        <w:t>Iz raziskave (</w:t>
      </w:r>
      <w:r w:rsidRPr="005B2A49">
        <w:t>fi compass</w:t>
      </w:r>
      <w:r>
        <w:t>, 2020) izhaja, da so se bruto investicije v ŽPI po letu 2015 povečale in dosegle 205 mio evrov v letu 2017. Ta rast je sledila padcu bruto investicij v obodbju 2008–2015 (-59 %)</w:t>
      </w:r>
      <w:r w:rsidRPr="00AE4DFA">
        <w:t xml:space="preserve">, ki je bil posledica gospodarske krize. Naložbe v sektorju </w:t>
      </w:r>
      <w:r>
        <w:t>so bile usmerjene zlasti v</w:t>
      </w:r>
      <w:r w:rsidRPr="00AE4DFA">
        <w:t xml:space="preserve"> posodobitev opreme, strojev in naprav, </w:t>
      </w:r>
      <w:r>
        <w:t>n</w:t>
      </w:r>
      <w:r w:rsidRPr="00AE4DFA">
        <w:t>aložb</w:t>
      </w:r>
      <w:r>
        <w:t>e</w:t>
      </w:r>
      <w:r w:rsidRPr="00AE4DFA">
        <w:t xml:space="preserve"> za ublažitev </w:t>
      </w:r>
      <w:r>
        <w:t>in prilagajanje podnebnim</w:t>
      </w:r>
      <w:r w:rsidRPr="00AE4DFA">
        <w:t xml:space="preserve"> sprememb</w:t>
      </w:r>
      <w:r>
        <w:t>am</w:t>
      </w:r>
      <w:r w:rsidRPr="00AE4DFA">
        <w:t xml:space="preserve"> in </w:t>
      </w:r>
      <w:r>
        <w:t xml:space="preserve">naložbe v </w:t>
      </w:r>
      <w:r w:rsidRPr="00AE4DFA">
        <w:t>povečanje proizvodnih zmogljivosti</w:t>
      </w:r>
      <w:r>
        <w:t>. ter</w:t>
      </w:r>
      <w:r w:rsidRPr="00AE4DFA">
        <w:t xml:space="preserve"> tudi </w:t>
      </w:r>
      <w:r>
        <w:t xml:space="preserve">v </w:t>
      </w:r>
      <w:r w:rsidRPr="00AE4DFA">
        <w:t>razvoj novih izdelkov, namenjen nišnim izdelkom za lokalne potrošnike in vstop</w:t>
      </w:r>
      <w:r>
        <w:t>u</w:t>
      </w:r>
      <w:r w:rsidRPr="00AE4DFA">
        <w:t xml:space="preserve"> na nove geografske trge.</w:t>
      </w:r>
      <w:r>
        <w:t xml:space="preserve"> N</w:t>
      </w:r>
      <w:r w:rsidRPr="00456D23">
        <w:t xml:space="preserve">aložbena podpora iz </w:t>
      </w:r>
      <w:r>
        <w:t>PRP</w:t>
      </w:r>
      <w:r w:rsidRPr="00456D23">
        <w:t xml:space="preserve"> </w:t>
      </w:r>
      <w:r>
        <w:t xml:space="preserve">2014–2020 je </w:t>
      </w:r>
      <w:r w:rsidRPr="00456D23">
        <w:t xml:space="preserve">pozitivno vplivala na </w:t>
      </w:r>
      <w:r>
        <w:t xml:space="preserve">investicijske </w:t>
      </w:r>
      <w:r w:rsidRPr="00456D23">
        <w:t xml:space="preserve">odločitve mnogih </w:t>
      </w:r>
      <w:r>
        <w:t>živilskopredelovalnih</w:t>
      </w:r>
      <w:r w:rsidRPr="00456D23">
        <w:t xml:space="preserve"> podjetij, zlasti ma</w:t>
      </w:r>
      <w:r>
        <w:t>jhn</w:t>
      </w:r>
      <w:r w:rsidRPr="00456D23">
        <w:t>ih</w:t>
      </w:r>
      <w:r>
        <w:t>.</w:t>
      </w:r>
    </w:p>
    <w:p w14:paraId="5AB0F33A" w14:textId="77777777" w:rsidR="008B0AA8" w:rsidRDefault="008B0AA8" w:rsidP="00EF1BAA">
      <w:r>
        <w:t>Ž</w:t>
      </w:r>
      <w:r w:rsidRPr="00971B5C">
        <w:t>ivilsk</w:t>
      </w:r>
      <w:r>
        <w:t>opredelovalna podjetja večinoma zaprošajo</w:t>
      </w:r>
      <w:r w:rsidRPr="00971B5C">
        <w:t xml:space="preserve"> za kratkoročna posojila</w:t>
      </w:r>
      <w:r>
        <w:t>, tudi za finciranje naložb, kar</w:t>
      </w:r>
      <w:r w:rsidRPr="00971B5C">
        <w:t xml:space="preserve"> kaže</w:t>
      </w:r>
      <w:r>
        <w:t xml:space="preserve"> na težave teh</w:t>
      </w:r>
      <w:r w:rsidRPr="00971B5C">
        <w:t xml:space="preserve"> pri dostopu do posojil z daljšo ročnostjo</w:t>
      </w:r>
      <w:r>
        <w:t xml:space="preserve"> (</w:t>
      </w:r>
      <w:r w:rsidRPr="00035252">
        <w:rPr>
          <w:i/>
        </w:rPr>
        <w:t>fi compass</w:t>
      </w:r>
      <w:r>
        <w:t>, 2020)</w:t>
      </w:r>
      <w:r w:rsidRPr="00971B5C">
        <w:t>.</w:t>
      </w:r>
    </w:p>
    <w:p w14:paraId="516FE012" w14:textId="77777777" w:rsidR="008B0AA8" w:rsidRPr="00456D23" w:rsidRDefault="008B0AA8" w:rsidP="007613FE">
      <w:pPr>
        <w:spacing w:before="0" w:line="260" w:lineRule="atLeast"/>
        <w:rPr>
          <w:sz w:val="20"/>
          <w:szCs w:val="20"/>
        </w:rPr>
      </w:pPr>
    </w:p>
    <w:p w14:paraId="4BF3F0E0" w14:textId="62E4B6A6" w:rsidR="008B0AA8" w:rsidRDefault="008B0AA8" w:rsidP="00EF1BAA">
      <w:r w:rsidRPr="00551D9B">
        <w:rPr>
          <w:b/>
        </w:rPr>
        <w:t xml:space="preserve">Finančna vrzel v živilskopredelovalnem sektorju je ocenjena na 127,4 </w:t>
      </w:r>
      <w:r w:rsidR="00D53725">
        <w:rPr>
          <w:b/>
        </w:rPr>
        <w:t>mio</w:t>
      </w:r>
      <w:r w:rsidRPr="00551D9B">
        <w:rPr>
          <w:b/>
        </w:rPr>
        <w:t xml:space="preserve"> EUR</w:t>
      </w:r>
      <w:r w:rsidRPr="00456D23">
        <w:t xml:space="preserve">. Majhna podjetja (&lt;50 zaposlenih) imajo največ težav pri dostopu do finančnih sredstev, zlasti </w:t>
      </w:r>
      <w:r>
        <w:t>do</w:t>
      </w:r>
      <w:r w:rsidRPr="00456D23">
        <w:t xml:space="preserve"> dolgoročnih posojil</w:t>
      </w:r>
      <w:r>
        <w:t>. Zanje znaša ocenjena finančna vrzel 110,9 mio EUR</w:t>
      </w:r>
      <w:r w:rsidRPr="00456D23">
        <w:t xml:space="preserve">. </w:t>
      </w:r>
      <w:r>
        <w:t xml:space="preserve">Med žvilsko predelovalnimi podjetji, ki so zaprosila za posojila, je bilo zavrnejnih 11 % vlog, hkrati pa </w:t>
      </w:r>
      <w:r w:rsidRPr="00456D23">
        <w:t>10</w:t>
      </w:r>
      <w:r>
        <w:t xml:space="preserve"> </w:t>
      </w:r>
      <w:r w:rsidRPr="00456D23">
        <w:t xml:space="preserve">% </w:t>
      </w:r>
      <w:r>
        <w:t>živilskopredelovalnih</w:t>
      </w:r>
      <w:r w:rsidRPr="00456D23">
        <w:t xml:space="preserve"> </w:t>
      </w:r>
      <w:r>
        <w:t>podjetij ne zaprosijo banke za posojilo</w:t>
      </w:r>
      <w:r w:rsidRPr="00456D23">
        <w:t xml:space="preserve"> zaradi </w:t>
      </w:r>
      <w:r>
        <w:t>bojazni</w:t>
      </w:r>
      <w:r w:rsidRPr="00456D23">
        <w:t xml:space="preserve"> pred zavrnitvijo.</w:t>
      </w:r>
      <w:r>
        <w:t xml:space="preserve"> (</w:t>
      </w:r>
      <w:r w:rsidRPr="00035252">
        <w:rPr>
          <w:i/>
        </w:rPr>
        <w:t>fi compass</w:t>
      </w:r>
      <w:r>
        <w:t>, 2020)</w:t>
      </w:r>
    </w:p>
    <w:p w14:paraId="27BC937A" w14:textId="5E99705A" w:rsidR="008B0AA8" w:rsidRDefault="008B0AA8" w:rsidP="00EF1BAA">
      <w:r>
        <w:t>Slabša poslovna uspešnost</w:t>
      </w:r>
      <w:r w:rsidRPr="00456D23">
        <w:t xml:space="preserve"> številnih živilsk</w:t>
      </w:r>
      <w:r>
        <w:t>opredelovalnih</w:t>
      </w:r>
      <w:r w:rsidRPr="00456D23">
        <w:t xml:space="preserve"> podjetij sproža vprašanja o</w:t>
      </w:r>
      <w:r>
        <w:t xml:space="preserve"> zmožnosti odplačevanja posojil ter tveganju, ki ga predstavljajo za banke. </w:t>
      </w:r>
      <w:r w:rsidRPr="00456D23">
        <w:t xml:space="preserve">Posledično imajo banke omejen interes za posojanje malim podjetjem v tem sektorju. Drugi dejavniki </w:t>
      </w:r>
      <w:r>
        <w:t xml:space="preserve">finančne </w:t>
      </w:r>
      <w:r w:rsidRPr="00456D23">
        <w:t>vrzeli živilsk</w:t>
      </w:r>
      <w:r>
        <w:t>opredelovalnih</w:t>
      </w:r>
      <w:r w:rsidRPr="00456D23">
        <w:t xml:space="preserve"> podjetij vključujejo pomanjkanje zavarovanja, pomanjkanje kreditne zgodovine</w:t>
      </w:r>
      <w:r>
        <w:t xml:space="preserve"> in</w:t>
      </w:r>
      <w:r w:rsidRPr="00456D23">
        <w:t xml:space="preserve"> obremenjujoč postopek zaprosila za posojilo</w:t>
      </w:r>
      <w:r>
        <w:t>.</w:t>
      </w:r>
      <w:r w:rsidRPr="00456D23">
        <w:t xml:space="preserve"> Poleg tega so pogoji posojila pogosto neugodni in niso prilagojeni posebnostim </w:t>
      </w:r>
      <w:r>
        <w:t>živilskopredelovalnega</w:t>
      </w:r>
      <w:r w:rsidRPr="00456D23">
        <w:t xml:space="preserve"> sektorja. </w:t>
      </w:r>
      <w:r>
        <w:t>(</w:t>
      </w:r>
      <w:r w:rsidRPr="00035252">
        <w:rPr>
          <w:i/>
        </w:rPr>
        <w:t>fi compass</w:t>
      </w:r>
      <w:r>
        <w:t>, 2020)</w:t>
      </w:r>
    </w:p>
    <w:p w14:paraId="08726DAA" w14:textId="77777777" w:rsidR="008B0AA8" w:rsidRDefault="008B0AA8" w:rsidP="007613FE">
      <w:pPr>
        <w:spacing w:before="0" w:line="260" w:lineRule="atLeast"/>
        <w:rPr>
          <w:sz w:val="20"/>
          <w:szCs w:val="20"/>
        </w:rPr>
      </w:pPr>
    </w:p>
    <w:p w14:paraId="28E5CB08" w14:textId="5B028326" w:rsidR="008B0AA8" w:rsidRPr="00FA1850" w:rsidRDefault="008B0AA8" w:rsidP="00EF1BAA">
      <w:pPr>
        <w:pStyle w:val="SCSlika0"/>
      </w:pPr>
      <w:bookmarkStart w:id="3202" w:name="_Toc86822761"/>
      <w:r w:rsidRPr="00FA1850">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89</w:t>
      </w:r>
      <w:r w:rsidR="009F2591">
        <w:rPr>
          <w:noProof/>
        </w:rPr>
        <w:fldChar w:fldCharType="end"/>
      </w:r>
      <w:r w:rsidRPr="00FA1850">
        <w:t xml:space="preserve">: Finančna vrzel v živilskopredelovalnem sektorju glede na produkt, v mio EUR in </w:t>
      </w:r>
      <w:r>
        <w:t>deležu</w:t>
      </w:r>
      <w:r w:rsidRPr="00FA1850">
        <w:t>, Slovenija, 2018</w:t>
      </w:r>
      <w:bookmarkEnd w:id="3202"/>
    </w:p>
    <w:p w14:paraId="12AAB532" w14:textId="77777777" w:rsidR="008B0AA8" w:rsidRDefault="008B0AA8" w:rsidP="008B0AA8">
      <w:pPr>
        <w:spacing w:before="0" w:line="276" w:lineRule="auto"/>
        <w:rPr>
          <w:sz w:val="20"/>
          <w:szCs w:val="20"/>
        </w:rPr>
      </w:pPr>
      <w:r>
        <w:rPr>
          <w:noProof/>
          <w:lang w:eastAsia="sl-SI"/>
        </w:rPr>
        <w:drawing>
          <wp:inline distT="0" distB="0" distL="0" distR="0" wp14:anchorId="2C1107C0" wp14:editId="2463214D">
            <wp:extent cx="5664200" cy="2438400"/>
            <wp:effectExtent l="0" t="0" r="12700" b="0"/>
            <wp:docPr id="1631865538" name="Grafikon 1631865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39F5F6FD" w14:textId="77777777" w:rsidR="008B0AA8" w:rsidRPr="00852E36" w:rsidRDefault="008B0AA8" w:rsidP="008B0AA8">
      <w:pPr>
        <w:spacing w:before="0" w:line="276" w:lineRule="auto"/>
        <w:rPr>
          <w:sz w:val="16"/>
          <w:szCs w:val="16"/>
        </w:rPr>
      </w:pPr>
      <w:r w:rsidRPr="00852E36">
        <w:rPr>
          <w:sz w:val="16"/>
          <w:szCs w:val="16"/>
        </w:rPr>
        <w:t xml:space="preserve">Vir: </w:t>
      </w:r>
      <w:r w:rsidRPr="001362F9">
        <w:rPr>
          <w:i/>
          <w:sz w:val="16"/>
          <w:szCs w:val="16"/>
        </w:rPr>
        <w:t>fi compass</w:t>
      </w:r>
      <w:r>
        <w:rPr>
          <w:sz w:val="16"/>
          <w:szCs w:val="16"/>
        </w:rPr>
        <w:t xml:space="preserve"> (2020). </w:t>
      </w:r>
    </w:p>
    <w:p w14:paraId="6A653983" w14:textId="77777777" w:rsidR="008B0AA8" w:rsidRDefault="008B0AA8" w:rsidP="007613FE">
      <w:pPr>
        <w:pStyle w:val="Odstavek1"/>
      </w:pPr>
    </w:p>
    <w:p w14:paraId="3271FA08" w14:textId="5C76BEBA" w:rsidR="00EB536B" w:rsidRPr="00821CEE" w:rsidRDefault="00821CEE" w:rsidP="00EF1BAA">
      <w:pPr>
        <w:pStyle w:val="Naslov2"/>
        <w:rPr>
          <w:u w:val="single"/>
        </w:rPr>
      </w:pPr>
      <w:bookmarkStart w:id="3203" w:name="_Toc86822617"/>
      <w:r w:rsidRPr="008B0AA8">
        <w:t>Investicije</w:t>
      </w:r>
      <w:r w:rsidR="00EB536B" w:rsidRPr="008B0AA8">
        <w:t xml:space="preserve"> v ŽPI </w:t>
      </w:r>
      <w:r w:rsidRPr="008B0AA8">
        <w:t>preko</w:t>
      </w:r>
      <w:r w:rsidR="00EB536B" w:rsidRPr="008B0AA8">
        <w:t xml:space="preserve"> PRP </w:t>
      </w:r>
      <w:r w:rsidR="003C76BE" w:rsidRPr="00821CEE">
        <w:t>2007–2013 in PRP 2014-2020</w:t>
      </w:r>
      <w:bookmarkEnd w:id="3203"/>
    </w:p>
    <w:p w14:paraId="7E03CBB4" w14:textId="2114C036" w:rsidR="00EB536B" w:rsidRDefault="00EB536B" w:rsidP="007613FE">
      <w:pPr>
        <w:pStyle w:val="Odstavek1"/>
        <w:rPr>
          <w:b/>
          <w:i/>
          <w:u w:val="single"/>
        </w:rPr>
      </w:pPr>
    </w:p>
    <w:p w14:paraId="25A635EC" w14:textId="2C286326" w:rsidR="00F16C65" w:rsidRPr="0092558B" w:rsidRDefault="00F16C65" w:rsidP="007613FE">
      <w:pPr>
        <w:pStyle w:val="Odstavek1"/>
      </w:pPr>
      <w:r w:rsidRPr="0092558B">
        <w:t>Naložbe v osnovna sredstva v predelavo oz. trženje kmetijskih proizvodov so bila v zadnjih dveh programskih obdobjih 2007–2013 in 2014–2020 spodbujen</w:t>
      </w:r>
      <w:r w:rsidR="008B387B">
        <w:t>e</w:t>
      </w:r>
      <w:r w:rsidRPr="0092558B">
        <w:t xml:space="preserve"> tudi zaradi nepovratnih sredstev programa razvoja podeželja. </w:t>
      </w:r>
    </w:p>
    <w:p w14:paraId="21547724" w14:textId="77777777" w:rsidR="007E3EFC" w:rsidRDefault="007E3EFC" w:rsidP="007613FE">
      <w:pPr>
        <w:pStyle w:val="Odstavek1"/>
      </w:pPr>
    </w:p>
    <w:p w14:paraId="3AF689F0" w14:textId="77777777" w:rsidR="00D624E0" w:rsidRDefault="006C2146" w:rsidP="007613FE">
      <w:pPr>
        <w:pStyle w:val="Odstavek1"/>
      </w:pPr>
      <w:r w:rsidRPr="006C2146">
        <w:rPr>
          <w:rFonts w:eastAsiaTheme="minorHAnsi"/>
          <w:lang w:eastAsia="en-US"/>
        </w:rPr>
        <w:t xml:space="preserve">V programskem obdobju 2007–2013 je bilo s sredstvi PRP 2007–2013 </w:t>
      </w:r>
      <w:r w:rsidR="00E50B61">
        <w:rPr>
          <w:rFonts w:eastAsiaTheme="minorHAnsi"/>
          <w:lang w:eastAsia="en-US"/>
        </w:rPr>
        <w:t xml:space="preserve">v okviru ukrepa 123 Dodajanje vrednosti kmetijskim in gozdarskih proizvodov </w:t>
      </w:r>
      <w:r w:rsidR="00F16C65" w:rsidRPr="006C2146">
        <w:t xml:space="preserve">sofinanciranih 539 naložb v osnovna sredstva </w:t>
      </w:r>
      <w:r w:rsidR="00E50B61">
        <w:t xml:space="preserve">v ŽPI </w:t>
      </w:r>
      <w:r w:rsidR="00F16C65" w:rsidRPr="006C2146">
        <w:t>v skupni višini 83.260.014,49 evrov, pri čemer je povprečen izplačan znesek na odobreno vlogo znašal 154.471 evrov</w:t>
      </w:r>
      <w:r w:rsidR="005645BE" w:rsidRPr="006C2146">
        <w:t xml:space="preserve"> </w:t>
      </w:r>
      <w:r w:rsidRPr="006C2146">
        <w:t>(</w:t>
      </w:r>
      <w:r w:rsidR="005645BE" w:rsidRPr="006C2146">
        <w:t>za kmetije 79.868 evrov</w:t>
      </w:r>
      <w:r>
        <w:t xml:space="preserve"> in </w:t>
      </w:r>
      <w:r w:rsidR="005645BE" w:rsidRPr="006C2146">
        <w:t>za podjetja 259.438 evrov na vlogo</w:t>
      </w:r>
      <w:r w:rsidRPr="006C2146">
        <w:t>)</w:t>
      </w:r>
      <w:r w:rsidR="00F16C65" w:rsidRPr="006C2146">
        <w:t>.</w:t>
      </w:r>
      <w:r>
        <w:t xml:space="preserve"> </w:t>
      </w:r>
      <w:r w:rsidR="008B387B">
        <w:t>Izplačanih</w:t>
      </w:r>
      <w:r>
        <w:t xml:space="preserve"> je bilo 223 </w:t>
      </w:r>
      <w:r w:rsidRPr="0082708B">
        <w:t xml:space="preserve">vlog </w:t>
      </w:r>
      <w:r>
        <w:t xml:space="preserve">kmetij in 315 </w:t>
      </w:r>
      <w:r w:rsidRPr="0082708B">
        <w:t xml:space="preserve">vlog </w:t>
      </w:r>
      <w:r>
        <w:t>p</w:t>
      </w:r>
      <w:r w:rsidR="008B387B">
        <w:t>odjetij. Največ nepovratnih sredstev je bilo izplačanih mikro podjetjem in kmetijam (38 %), sledijo majhna podjetja (24 %), srednje velika podjetja (22 %) in velika podjetja (16 %).</w:t>
      </w:r>
    </w:p>
    <w:p w14:paraId="0EC7A227" w14:textId="4A8A694D" w:rsidR="008B0AA8" w:rsidRDefault="008B387B" w:rsidP="007613FE">
      <w:pPr>
        <w:pStyle w:val="Odstavek1"/>
      </w:pPr>
      <w:r>
        <w:t xml:space="preserve"> </w:t>
      </w:r>
    </w:p>
    <w:p w14:paraId="77726D53" w14:textId="5E19D52B" w:rsidR="008B0AA8" w:rsidRDefault="007E3EFC" w:rsidP="007613FE">
      <w:pPr>
        <w:pStyle w:val="Odstavek1"/>
      </w:pPr>
      <w:r w:rsidRPr="007E3EFC">
        <w:t xml:space="preserve">Celotna vrednost </w:t>
      </w:r>
      <w:r w:rsidR="006C2146">
        <w:t xml:space="preserve">sofinanciranih </w:t>
      </w:r>
      <w:r w:rsidRPr="007E3EFC">
        <w:t xml:space="preserve">naložb je </w:t>
      </w:r>
      <w:r w:rsidR="006C2146">
        <w:t xml:space="preserve">znašala </w:t>
      </w:r>
      <w:r w:rsidRPr="007E3EFC">
        <w:t>323</w:t>
      </w:r>
      <w:r w:rsidR="006C2146">
        <w:t>,</w:t>
      </w:r>
      <w:r w:rsidRPr="007E3EFC">
        <w:t>1</w:t>
      </w:r>
      <w:r w:rsidR="006C2146">
        <w:t xml:space="preserve"> mio</w:t>
      </w:r>
      <w:r w:rsidRPr="007E3EFC">
        <w:t xml:space="preserve"> </w:t>
      </w:r>
      <w:r w:rsidR="006C2146">
        <w:t>evrov</w:t>
      </w:r>
      <w:r w:rsidR="008B387B">
        <w:t>, pri čemer je bila v</w:t>
      </w:r>
      <w:r w:rsidR="008B0AA8">
        <w:t>ečina</w:t>
      </w:r>
      <w:r w:rsidR="008B0AA8" w:rsidRPr="00DD161D">
        <w:t xml:space="preserve"> </w:t>
      </w:r>
      <w:r w:rsidR="008B0AA8">
        <w:t>namenjena za r</w:t>
      </w:r>
      <w:r w:rsidR="008B0AA8" w:rsidRPr="00DD161D">
        <w:t>ekonstrukcije, dozidave in preureditve proizvodnje ter za nakup strojne opreme</w:t>
      </w:r>
      <w:r w:rsidR="008B0AA8">
        <w:t>. Najvišje v</w:t>
      </w:r>
      <w:r w:rsidR="008B0AA8" w:rsidRPr="0026160B">
        <w:t>rednosti celotnih naložb</w:t>
      </w:r>
      <w:r w:rsidR="008B0AA8">
        <w:t xml:space="preserve"> so bile pri predelavi mesa. </w:t>
      </w:r>
      <w:r w:rsidR="008B0AA8" w:rsidRPr="0082708B">
        <w:t>Največ sredstev je bilo izplačano v sektorju pijače (24</w:t>
      </w:r>
      <w:r w:rsidR="008B0AA8">
        <w:t xml:space="preserve"> </w:t>
      </w:r>
      <w:r w:rsidR="008B0AA8" w:rsidRPr="0082708B">
        <w:t>%), sledi sektor meso in užitni klavnični proizvodi (22 %) ter mleko in mlečni izdelki (15 %).</w:t>
      </w:r>
      <w:r w:rsidR="008B0AA8">
        <w:t xml:space="preserve"> </w:t>
      </w:r>
    </w:p>
    <w:p w14:paraId="1E963D7F" w14:textId="77777777" w:rsidR="008B387B" w:rsidRDefault="008B387B" w:rsidP="007613FE">
      <w:pPr>
        <w:pStyle w:val="Odstavek1"/>
      </w:pPr>
    </w:p>
    <w:p w14:paraId="6F528089" w14:textId="2DB78B5A" w:rsidR="00F16C65" w:rsidRDefault="007E3EFC" w:rsidP="007613FE">
      <w:pPr>
        <w:pStyle w:val="Odstavek1"/>
      </w:pPr>
      <w:r w:rsidRPr="007E3EFC">
        <w:t xml:space="preserve">Naložbe so pozitivno vplivale na </w:t>
      </w:r>
      <w:r w:rsidR="006C2146">
        <w:t>zvišanje</w:t>
      </w:r>
      <w:r w:rsidRPr="007E3EFC">
        <w:t xml:space="preserve"> </w:t>
      </w:r>
      <w:r w:rsidR="006C2146">
        <w:t xml:space="preserve">BDV, in sicer </w:t>
      </w:r>
      <w:r w:rsidRPr="007E3EFC">
        <w:t>v gospodarskih družbah</w:t>
      </w:r>
      <w:r w:rsidR="006C2146">
        <w:t xml:space="preserve"> v povprečju </w:t>
      </w:r>
      <w:r w:rsidR="006C2146" w:rsidRPr="007E3EFC">
        <w:t xml:space="preserve">za 0,6 mio </w:t>
      </w:r>
      <w:r w:rsidR="006C2146">
        <w:t>EUR/družbo</w:t>
      </w:r>
      <w:r w:rsidR="006C2146" w:rsidRPr="007E3EFC">
        <w:t xml:space="preserve">, </w:t>
      </w:r>
      <w:r w:rsidR="006C2146">
        <w:t>v zadrugah</w:t>
      </w:r>
      <w:r w:rsidR="006C2146" w:rsidRPr="007E3EFC">
        <w:t xml:space="preserve"> za 0,5 mio</w:t>
      </w:r>
      <w:r w:rsidR="006C2146">
        <w:t xml:space="preserve"> EUR/zadrugo ter na kmetijah za </w:t>
      </w:r>
      <w:r w:rsidRPr="007E3EFC">
        <w:t>5</w:t>
      </w:r>
      <w:r w:rsidR="00E50B61">
        <w:t>,4 tisoč</w:t>
      </w:r>
      <w:r w:rsidRPr="007E3EFC">
        <w:t xml:space="preserve"> </w:t>
      </w:r>
      <w:r>
        <w:t>EUR</w:t>
      </w:r>
      <w:r w:rsidR="006C2146">
        <w:t xml:space="preserve">/kmetijo. </w:t>
      </w:r>
    </w:p>
    <w:p w14:paraId="1AAB8E5E" w14:textId="238C7161" w:rsidR="008B387B" w:rsidRPr="003D2E71" w:rsidRDefault="008B387B" w:rsidP="007613FE">
      <w:pPr>
        <w:pStyle w:val="Odstavek1"/>
      </w:pPr>
      <w:r w:rsidRPr="003D2E71">
        <w:t xml:space="preserve">V programskem obdobju 2014-2020 je bila v okviru podukrepa M04.2 Naložbe v predelavo, trženje oz. razvoj kmetijskih proizvodov do 30. 4. 2020 odobrena </w:t>
      </w:r>
      <w:r w:rsidR="00206918" w:rsidRPr="003D2E71">
        <w:t>301</w:t>
      </w:r>
      <w:r w:rsidRPr="003D2E71">
        <w:t xml:space="preserve"> vlog</w:t>
      </w:r>
      <w:r w:rsidR="00206918" w:rsidRPr="003D2E71">
        <w:t>a</w:t>
      </w:r>
      <w:r w:rsidRPr="003D2E71">
        <w:t xml:space="preserve"> za naložbe, katerih celotna vrednost znaša </w:t>
      </w:r>
      <w:r w:rsidR="00206918" w:rsidRPr="003D2E71">
        <w:t>165</w:t>
      </w:r>
      <w:r w:rsidR="00D771B5" w:rsidRPr="003D2E71">
        <w:t>.</w:t>
      </w:r>
      <w:r w:rsidR="00206918" w:rsidRPr="003D2E71">
        <w:t>562</w:t>
      </w:r>
      <w:r w:rsidR="00D771B5" w:rsidRPr="003D2E71">
        <w:t>.</w:t>
      </w:r>
      <w:r w:rsidR="00206918" w:rsidRPr="003D2E71">
        <w:t>598</w:t>
      </w:r>
      <w:r w:rsidRPr="003D2E71" w:rsidDel="0080308B">
        <w:t xml:space="preserve"> </w:t>
      </w:r>
      <w:r w:rsidR="004E0036" w:rsidRPr="003D2E71">
        <w:t xml:space="preserve">evrov. Povprečna višina odobrenih sredstev na vlogo je 158.908 evrov, povprečna vrednost naložbe na odobreno vlogo pa 550.042 evrov. </w:t>
      </w:r>
    </w:p>
    <w:p w14:paraId="7C3629BE" w14:textId="77777777" w:rsidR="00501D81" w:rsidRDefault="00501D81" w:rsidP="007613FE">
      <w:pPr>
        <w:pStyle w:val="Odstavek1"/>
      </w:pPr>
    </w:p>
    <w:p w14:paraId="56D5D7FA" w14:textId="77777777" w:rsidR="00E50B61" w:rsidRDefault="00E50B61" w:rsidP="007613FE">
      <w:pPr>
        <w:pStyle w:val="Odstavek1"/>
      </w:pPr>
      <w:r>
        <w:t>N</w:t>
      </w:r>
      <w:r w:rsidRPr="009B331F">
        <w:t xml:space="preserve">ajveč sredstev </w:t>
      </w:r>
      <w:r>
        <w:t>je bilo odobrenih za nakup</w:t>
      </w:r>
      <w:r w:rsidRPr="009B331F">
        <w:t xml:space="preserve"> opreme (6</w:t>
      </w:r>
      <w:r>
        <w:t>1</w:t>
      </w:r>
      <w:r w:rsidRPr="009B331F">
        <w:t xml:space="preserve"> % </w:t>
      </w:r>
      <w:r>
        <w:t xml:space="preserve">vseh </w:t>
      </w:r>
      <w:r w:rsidRPr="009B331F">
        <w:t>odob</w:t>
      </w:r>
      <w:r>
        <w:t>renih sredstev) ter za novogradnje objektov (32</w:t>
      </w:r>
      <w:r w:rsidRPr="009B331F">
        <w:t xml:space="preserve"> %).</w:t>
      </w:r>
      <w:r>
        <w:t xml:space="preserve"> 7 % sredstev je bilo odobrenih za rekonstrukcije objektov, investicijsko vzdrževanje, ureditev dovoznih površin, naložbe v obnovljive vire energije in za ostale splošne stroške. </w:t>
      </w:r>
    </w:p>
    <w:p w14:paraId="294F9462" w14:textId="424F19BE" w:rsidR="00E50B61" w:rsidRDefault="00E50B61" w:rsidP="007613FE">
      <w:pPr>
        <w:pStyle w:val="Odstavek1"/>
      </w:pPr>
    </w:p>
    <w:p w14:paraId="7DC267D7" w14:textId="0D425505" w:rsidR="002E4D69" w:rsidRPr="002E4D69" w:rsidRDefault="002E4D69" w:rsidP="00EF1BAA">
      <w:pPr>
        <w:pStyle w:val="SCSlika0"/>
      </w:pPr>
      <w:bookmarkStart w:id="3204" w:name="_Toc86822762"/>
      <w:r w:rsidRPr="00FA1850">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90</w:t>
      </w:r>
      <w:r w:rsidR="00072AFA">
        <w:rPr>
          <w:noProof/>
        </w:rPr>
        <w:fldChar w:fldCharType="end"/>
      </w:r>
      <w:r w:rsidRPr="00FA1850">
        <w:t xml:space="preserve">: </w:t>
      </w:r>
      <w:r w:rsidRPr="002E4D69">
        <w:rPr>
          <w:lang w:val="en-US"/>
        </w:rPr>
        <w:t>Delež odobrenih sredstev</w:t>
      </w:r>
      <w:r w:rsidRPr="002E4D69">
        <w:t xml:space="preserve"> glede na vrsto naložbe v okviru podukrepa M04.2 PRP 2014-2020, stanje 30.4.2020</w:t>
      </w:r>
      <w:bookmarkEnd w:id="3204"/>
      <w:r w:rsidRPr="002E4D69">
        <w:t xml:space="preserve"> </w:t>
      </w:r>
    </w:p>
    <w:p w14:paraId="70AC0015" w14:textId="4318099D" w:rsidR="00E50B61" w:rsidRDefault="00E50B61" w:rsidP="001C6C2C">
      <w:pPr>
        <w:spacing w:before="0" w:line="276" w:lineRule="auto"/>
        <w:rPr>
          <w:sz w:val="20"/>
          <w:szCs w:val="20"/>
        </w:rPr>
      </w:pPr>
      <w:r>
        <w:rPr>
          <w:noProof/>
          <w:lang w:eastAsia="sl-SI"/>
        </w:rPr>
        <w:drawing>
          <wp:inline distT="0" distB="0" distL="0" distR="0" wp14:anchorId="0C359C5D" wp14:editId="1BD1CF9C">
            <wp:extent cx="5486400" cy="2484120"/>
            <wp:effectExtent l="0" t="0" r="0" b="1143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DB3468C" w14:textId="13DC3E43" w:rsidR="00E50B61" w:rsidRPr="003A2226" w:rsidRDefault="002E4D69" w:rsidP="001C6C2C">
      <w:pPr>
        <w:spacing w:before="0" w:line="276" w:lineRule="auto"/>
        <w:rPr>
          <w:sz w:val="16"/>
          <w:szCs w:val="16"/>
        </w:rPr>
      </w:pPr>
      <w:r w:rsidRPr="003A2226">
        <w:rPr>
          <w:sz w:val="16"/>
          <w:szCs w:val="16"/>
        </w:rPr>
        <w:t>Vir: MKGP.</w:t>
      </w:r>
    </w:p>
    <w:p w14:paraId="72F79CD6" w14:textId="77777777" w:rsidR="002E4D69" w:rsidRDefault="002E4D69" w:rsidP="007613FE">
      <w:pPr>
        <w:pStyle w:val="Odstavek1"/>
      </w:pPr>
    </w:p>
    <w:p w14:paraId="34CBB422" w14:textId="5DE66E5A" w:rsidR="00F31A60" w:rsidRDefault="00CD3C2A" w:rsidP="007613FE">
      <w:pPr>
        <w:pStyle w:val="Odstavek1"/>
      </w:pPr>
      <w:r w:rsidRPr="00CD3C2A">
        <w:t>Glede na celotno vrednost naložb je največ podprtih naložb v dejavnosti vino (kjer je tudi največ podprtih vlog) - 19 % celotne vrednosti podprtih naložb predstavljajo naložbe v dejavnosti vino, sledijo naložbe v dejavnosti goveje meso (14 %), mleko (13 %), prašičje meso ter žita in proizvodi mlinske industrije (po 8 %) ter naložbe v dejavnosti zelenjava (7 %). Največje povprečne vrednosti naložb so pri dejavnostih meso drugo (2.568.455 evrov), sadje oreški (1.194.592 evrov), testenine (1.153.369 evrov), prašičje meso (1.062.702 evrov), jajca (979.796 evrov), mleko (734.398 evrov) in goveje meso (723.117 evrov).</w:t>
      </w:r>
    </w:p>
    <w:p w14:paraId="79B31879" w14:textId="5FE56671" w:rsidR="001C36FF" w:rsidRDefault="001C36FF" w:rsidP="007613FE">
      <w:pPr>
        <w:pStyle w:val="Odstavek1"/>
      </w:pPr>
    </w:p>
    <w:p w14:paraId="2C0D9B9A" w14:textId="5D2161AB" w:rsidR="00B2017B" w:rsidRPr="002E4D69" w:rsidRDefault="00B2017B" w:rsidP="00EF1BAA">
      <w:pPr>
        <w:pStyle w:val="SCSlika0"/>
      </w:pPr>
      <w:bookmarkStart w:id="3205" w:name="_Toc86822763"/>
      <w:r w:rsidRPr="00FA1850">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91</w:t>
      </w:r>
      <w:r w:rsidR="00072AFA">
        <w:rPr>
          <w:noProof/>
        </w:rPr>
        <w:fldChar w:fldCharType="end"/>
      </w:r>
      <w:r w:rsidRPr="00FA1850">
        <w:t xml:space="preserve">: </w:t>
      </w:r>
      <w:r>
        <w:rPr>
          <w:lang w:val="en-US"/>
        </w:rPr>
        <w:t>Število odobrenih vlog in povprečna vrednost naložbe na odobreno vlogo</w:t>
      </w:r>
      <w:r w:rsidRPr="002E4D69">
        <w:t xml:space="preserve"> glede na </w:t>
      </w:r>
      <w:r>
        <w:t>dejavnost</w:t>
      </w:r>
      <w:r w:rsidRPr="002E4D69">
        <w:t xml:space="preserve"> </w:t>
      </w:r>
      <w:r>
        <w:t xml:space="preserve">naložbe </w:t>
      </w:r>
      <w:r w:rsidRPr="002E4D69">
        <w:t>v okviru podukrepa M04.2 PRP 2014-2020, stanje 30.4.2020</w:t>
      </w:r>
      <w:bookmarkEnd w:id="3205"/>
      <w:r w:rsidRPr="002E4D69">
        <w:t xml:space="preserve"> </w:t>
      </w:r>
    </w:p>
    <w:p w14:paraId="7E97E366" w14:textId="31E3D3C2" w:rsidR="001C36FF" w:rsidRDefault="001C36FF" w:rsidP="007613FE">
      <w:pPr>
        <w:pStyle w:val="Odstavek1"/>
      </w:pPr>
    </w:p>
    <w:p w14:paraId="0C3F8109" w14:textId="0633B23D" w:rsidR="00986EEA" w:rsidRDefault="00986EEA" w:rsidP="004E0036">
      <w:pPr>
        <w:spacing w:before="0" w:line="276" w:lineRule="auto"/>
        <w:rPr>
          <w:sz w:val="20"/>
          <w:szCs w:val="20"/>
        </w:rPr>
      </w:pPr>
      <w:r w:rsidRPr="00986EEA">
        <w:rPr>
          <w:noProof/>
          <w:sz w:val="20"/>
          <w:szCs w:val="20"/>
          <w:lang w:eastAsia="sl-SI"/>
        </w:rPr>
        <w:drawing>
          <wp:inline distT="0" distB="0" distL="0" distR="0" wp14:anchorId="767A0BA4" wp14:editId="64E643E7">
            <wp:extent cx="5760720" cy="43586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0720" cy="4358640"/>
                    </a:xfrm>
                    <a:prstGeom prst="rect">
                      <a:avLst/>
                    </a:prstGeom>
                  </pic:spPr>
                </pic:pic>
              </a:graphicData>
            </a:graphic>
          </wp:inline>
        </w:drawing>
      </w:r>
    </w:p>
    <w:p w14:paraId="5261B0AD" w14:textId="5D7603DC" w:rsidR="00CD3C2A" w:rsidRPr="003A2226" w:rsidRDefault="00CD3C2A" w:rsidP="00CD3C2A">
      <w:pPr>
        <w:spacing w:before="0" w:line="276" w:lineRule="auto"/>
        <w:rPr>
          <w:sz w:val="16"/>
          <w:szCs w:val="16"/>
        </w:rPr>
      </w:pPr>
      <w:r w:rsidRPr="003A2226">
        <w:rPr>
          <w:sz w:val="16"/>
          <w:szCs w:val="16"/>
        </w:rPr>
        <w:t xml:space="preserve">Vir: MKGP. </w:t>
      </w:r>
    </w:p>
    <w:p w14:paraId="53754842" w14:textId="77777777" w:rsidR="00515BF6" w:rsidRDefault="00515BF6" w:rsidP="007613FE">
      <w:pPr>
        <w:spacing w:before="0" w:line="260" w:lineRule="atLeast"/>
        <w:rPr>
          <w:sz w:val="20"/>
          <w:szCs w:val="20"/>
        </w:rPr>
      </w:pPr>
    </w:p>
    <w:p w14:paraId="021051F2" w14:textId="51A4BA10" w:rsidR="00F31A60" w:rsidRPr="00EF1BAA" w:rsidRDefault="00F31A60" w:rsidP="007613FE">
      <w:pPr>
        <w:spacing w:before="0" w:line="260" w:lineRule="atLeast"/>
        <w:rPr>
          <w:szCs w:val="20"/>
        </w:rPr>
      </w:pPr>
      <w:r w:rsidRPr="00EF1BAA">
        <w:rPr>
          <w:szCs w:val="20"/>
        </w:rPr>
        <w:t>Med upravičenci prevladujejo mikro podjetja (64 %), glede na statusno obliko pa je največ podjetij (49 %), sledijo</w:t>
      </w:r>
      <w:r w:rsidR="00D73045" w:rsidRPr="00EF1BAA">
        <w:rPr>
          <w:szCs w:val="20"/>
        </w:rPr>
        <w:t xml:space="preserve"> kmetije</w:t>
      </w:r>
      <w:r w:rsidRPr="00EF1BAA">
        <w:rPr>
          <w:szCs w:val="20"/>
        </w:rPr>
        <w:t>, ki se ukvarjajo s predelavo ali trženje</w:t>
      </w:r>
      <w:r w:rsidR="007A011A" w:rsidRPr="00EF1BAA">
        <w:rPr>
          <w:szCs w:val="20"/>
        </w:rPr>
        <w:t>m</w:t>
      </w:r>
      <w:r w:rsidRPr="00EF1BAA">
        <w:rPr>
          <w:szCs w:val="20"/>
        </w:rPr>
        <w:t xml:space="preserve"> kmetijskih proizvodov (34 %) ter nosilci kmetije z dopolnilno dejavnostjo (17 %). </w:t>
      </w:r>
    </w:p>
    <w:p w14:paraId="272F9839" w14:textId="77777777" w:rsidR="00F31A60" w:rsidRPr="00EF1BAA" w:rsidRDefault="00F31A60" w:rsidP="007613FE">
      <w:pPr>
        <w:spacing w:before="0" w:line="260" w:lineRule="atLeast"/>
        <w:rPr>
          <w:szCs w:val="20"/>
        </w:rPr>
      </w:pPr>
    </w:p>
    <w:p w14:paraId="57CA2EAA" w14:textId="2D9193DB" w:rsidR="00F31A60" w:rsidRPr="00EF1BAA" w:rsidRDefault="00F31A60" w:rsidP="007613FE">
      <w:pPr>
        <w:spacing w:before="0" w:line="260" w:lineRule="atLeast"/>
        <w:rPr>
          <w:szCs w:val="20"/>
        </w:rPr>
      </w:pPr>
      <w:r w:rsidRPr="00EF1BAA">
        <w:rPr>
          <w:szCs w:val="20"/>
        </w:rPr>
        <w:t xml:space="preserve">Z vidika vira vhodnih surovin je bilo 52 % vlog odobrenih za kmetijstvo (vir vhodne surovine je lastna proizvodnja), sledita živilska industrija (vir vhodne surovine je odkup od drugih subjektov) - 36 % odobrenih vlog ter mešani sektor (vir vhodne surovine je lastna proizvodnja in odkup) s 12 % odobrenih vlog. </w:t>
      </w:r>
    </w:p>
    <w:p w14:paraId="44E20BE1" w14:textId="77777777" w:rsidR="00A15A53" w:rsidRPr="00EF1BAA" w:rsidRDefault="00A15A53" w:rsidP="007613FE">
      <w:pPr>
        <w:spacing w:before="0" w:line="260" w:lineRule="atLeast"/>
        <w:rPr>
          <w:szCs w:val="20"/>
        </w:rPr>
      </w:pPr>
    </w:p>
    <w:p w14:paraId="1C90DD60" w14:textId="6C2463E9" w:rsidR="00701BC9" w:rsidRPr="00EF1BAA" w:rsidRDefault="007137C5" w:rsidP="007613FE">
      <w:pPr>
        <w:spacing w:before="0" w:line="260" w:lineRule="atLeast"/>
        <w:rPr>
          <w:szCs w:val="20"/>
        </w:rPr>
      </w:pPr>
      <w:r w:rsidRPr="00EF1BAA">
        <w:rPr>
          <w:szCs w:val="20"/>
        </w:rPr>
        <w:t>Med odobrenimi vlogami v okviru podukrepa M04.2 je 35 % odobrenih vlog za naložbe v ekološko predelavo</w:t>
      </w:r>
      <w:r w:rsidR="0068471E" w:rsidRPr="00EF1BAA">
        <w:rPr>
          <w:szCs w:val="20"/>
        </w:rPr>
        <w:t xml:space="preserve"> oz.</w:t>
      </w:r>
      <w:r w:rsidRPr="00EF1BAA">
        <w:rPr>
          <w:szCs w:val="20"/>
        </w:rPr>
        <w:t xml:space="preserve"> 37 % vseh odobrenih sredstev</w:t>
      </w:r>
      <w:r w:rsidR="0068471E" w:rsidRPr="00EF1BAA">
        <w:rPr>
          <w:szCs w:val="20"/>
        </w:rPr>
        <w:t xml:space="preserve"> je namenjenih naložbam v ekološko predelavo</w:t>
      </w:r>
      <w:r w:rsidRPr="00EF1BAA">
        <w:rPr>
          <w:szCs w:val="20"/>
        </w:rPr>
        <w:t xml:space="preserve">. </w:t>
      </w:r>
      <w:r w:rsidR="0068471E" w:rsidRPr="00EF1BAA">
        <w:rPr>
          <w:szCs w:val="20"/>
        </w:rPr>
        <w:t>Povprečna vrednost naložbe v ekološko predelavo je za 6 % višja od povprečne vrednosti naložb v predelavo, ki ni ekološka.</w:t>
      </w:r>
    </w:p>
    <w:p w14:paraId="5BC6613E" w14:textId="77777777" w:rsidR="008949F4" w:rsidRPr="0047652B" w:rsidRDefault="008949F4" w:rsidP="007613FE">
      <w:pPr>
        <w:spacing w:before="0" w:line="260" w:lineRule="atLeast"/>
        <w:rPr>
          <w:sz w:val="20"/>
          <w:szCs w:val="20"/>
          <w:lang w:eastAsia="en-US"/>
        </w:rPr>
      </w:pPr>
    </w:p>
    <w:p w14:paraId="648D7777" w14:textId="44659882" w:rsidR="003406B9" w:rsidRPr="009F3567" w:rsidRDefault="003406B9" w:rsidP="005C6188">
      <w:pPr>
        <w:pStyle w:val="Naslov2"/>
      </w:pPr>
      <w:bookmarkStart w:id="3206" w:name="_Toc86822618"/>
      <w:r w:rsidRPr="009F3567">
        <w:t xml:space="preserve">Dopolnilne dejavnosti </w:t>
      </w:r>
      <w:r w:rsidR="00127DF7" w:rsidRPr="00127DF7">
        <w:t xml:space="preserve">predelave primarnih kmetijskih pridelkov </w:t>
      </w:r>
      <w:r w:rsidRPr="009F3567">
        <w:t>na kmetijah</w:t>
      </w:r>
      <w:bookmarkEnd w:id="3206"/>
    </w:p>
    <w:p w14:paraId="7126EA5D" w14:textId="77777777" w:rsidR="00EF1BAA" w:rsidRDefault="00EF1BAA" w:rsidP="007613FE">
      <w:pPr>
        <w:spacing w:before="0" w:line="260" w:lineRule="atLeast"/>
        <w:rPr>
          <w:sz w:val="20"/>
          <w:szCs w:val="20"/>
        </w:rPr>
      </w:pPr>
    </w:p>
    <w:p w14:paraId="323EADA4" w14:textId="5A2FA702" w:rsidR="003406B9" w:rsidRPr="0047652B" w:rsidRDefault="003406B9" w:rsidP="00EF1BAA">
      <w:r w:rsidRPr="0047652B">
        <w:t xml:space="preserve">Na kmetijah se večina predelave kmetijskih pridelkov in prodaje kmetijskih proizvodov opravlja kot dopolnilna dejavnost na kmetiji. Dopolnilne dejavnosti kmetom omogočajo boljšo rabo proizvodnih zmogljivosti in delovnih moči kmetije ter pridobivanje dodatnega dohodka na kmetiji. Za opravljanje dopolnilne dejavnosti predelava </w:t>
      </w:r>
      <w:r w:rsidR="009F55C8">
        <w:t xml:space="preserve">kmetijskih pridelkov </w:t>
      </w:r>
      <w:r w:rsidRPr="0047652B">
        <w:t>mora kmetija v koledarskem letu pridelati najmanj 50 % količin lastnih surovin, do 50 % količin surovin pa lahko dokupi z drugih kmetij.</w:t>
      </w:r>
      <w:r w:rsidR="003B41F6">
        <w:t xml:space="preserve"> Kmetija lahko predelane pridelke potroši v okviru lastnega turizma na kmetiji, ki je gostinska dejavnost ali j</w:t>
      </w:r>
      <w:r w:rsidR="00073827">
        <w:t>ih proda drugi kmetiji, ki opravlja turizem</w:t>
      </w:r>
      <w:r w:rsidR="00073827" w:rsidRPr="00073827">
        <w:t xml:space="preserve"> na kmetiji, ki je gostinska dejavnost</w:t>
      </w:r>
      <w:r w:rsidR="003B41F6" w:rsidRPr="00073827">
        <w:t xml:space="preserve"> </w:t>
      </w:r>
      <w:r w:rsidR="003B41F6">
        <w:t xml:space="preserve">dejavnostjo. </w:t>
      </w:r>
    </w:p>
    <w:p w14:paraId="4F65647A" w14:textId="7EA664D5" w:rsidR="003406B9" w:rsidRPr="0047652B" w:rsidRDefault="003406B9" w:rsidP="00EF1BAA">
      <w:r w:rsidRPr="0047652B">
        <w:t xml:space="preserve">Če kmetije opravljajo le predelavo lastnih pridelkov, jo lahko v okviru dopolnilne dejavnosti opravljajo kot majhen obseg prve stopnje predelave lastnih kmetijskih in gozdarskih pridelkov oziroma proizvajajo določene izdelke. </w:t>
      </w:r>
    </w:p>
    <w:p w14:paraId="62F787E4" w14:textId="12EA5824" w:rsidR="003406B9" w:rsidRDefault="0060013F" w:rsidP="00EF1BAA">
      <w:r w:rsidRPr="0060013F">
        <w:t>Po stanju na dan 29. 7. 2020 je imelo v Sloveniji dovoljenje za opravljanje dopolnilne dejavnosti 4.</w:t>
      </w:r>
      <w:r>
        <w:t>928</w:t>
      </w:r>
      <w:r w:rsidRPr="0060013F">
        <w:t xml:space="preserve"> kmetij</w:t>
      </w:r>
      <w:r w:rsidR="003406B9" w:rsidRPr="0047652B">
        <w:t>.</w:t>
      </w:r>
      <w:r w:rsidR="003406B9" w:rsidRPr="0047652B">
        <w:rPr>
          <w:rStyle w:val="Sprotnaopomba-sklic"/>
        </w:rPr>
        <w:footnoteReference w:id="22"/>
      </w:r>
      <w:r w:rsidR="003406B9" w:rsidRPr="0047652B">
        <w:t xml:space="preserve"> Skupaj se na teh kmetijah opravlja </w:t>
      </w:r>
      <w:r w:rsidR="00A448D2">
        <w:t>20.119</w:t>
      </w:r>
      <w:r w:rsidR="003406B9" w:rsidRPr="0047652B">
        <w:t xml:space="preserve"> različnih vrst dopolnilnih dejavnosti, od tega je </w:t>
      </w:r>
      <w:r w:rsidR="00B54CEC">
        <w:t>4.404</w:t>
      </w:r>
      <w:r w:rsidR="003406B9" w:rsidRPr="0047652B">
        <w:t xml:space="preserve"> dopolnilnih dejavnosti predelava primarnih kmetijskih pridelkov. V povprečju se na kmetijah opravljajo</w:t>
      </w:r>
      <w:r w:rsidR="00AD606E">
        <w:t xml:space="preserve"> po</w:t>
      </w:r>
      <w:r w:rsidR="003406B9" w:rsidRPr="0047652B">
        <w:t xml:space="preserve"> štiri dopolnilne dejavnosti.</w:t>
      </w:r>
    </w:p>
    <w:p w14:paraId="247D4646" w14:textId="57E42AE5" w:rsidR="003406B9" w:rsidRPr="0047652B" w:rsidRDefault="003406B9" w:rsidP="00EF1BAA">
      <w:r w:rsidRPr="0047652B">
        <w:t xml:space="preserve">Kmetije, ki opravljajo dopolnilne dejavnosti iz skupine predelava primarnih kmetijskih pridelkov, imajo povprečno 14,26 ha </w:t>
      </w:r>
      <w:r w:rsidR="00687C6E">
        <w:t>KZU</w:t>
      </w:r>
      <w:r w:rsidRPr="0047652B">
        <w:t xml:space="preserve">. Kmetije redijo povprečno 16,74 GVŽ/ha. Kmetije, ki opravljajo dopolnilne dejavnosti na OMD, imajo povprečno 13,40 ha </w:t>
      </w:r>
      <w:r w:rsidR="00687C6E">
        <w:t>KZU</w:t>
      </w:r>
      <w:r w:rsidRPr="0047652B">
        <w:t xml:space="preserve"> in redijo povprečno 15,98 GVŽ/ha.</w:t>
      </w:r>
      <w:r w:rsidR="00AD606E" w:rsidRPr="00AD606E">
        <w:t xml:space="preserve"> </w:t>
      </w:r>
      <w:r w:rsidR="00F02CB4">
        <w:t>Iz teh podatkov</w:t>
      </w:r>
      <w:r w:rsidR="00717E72">
        <w:t xml:space="preserve"> je razvidno, </w:t>
      </w:r>
      <w:r w:rsidR="00687C6E">
        <w:t xml:space="preserve">da </w:t>
      </w:r>
      <w:r w:rsidR="00717E72">
        <w:t>se p</w:t>
      </w:r>
      <w:r w:rsidR="00AD606E" w:rsidRPr="0047652B">
        <w:t xml:space="preserve">redelava kmetijskih pridelkov opravlja na </w:t>
      </w:r>
      <w:r w:rsidR="00717E72">
        <w:t>večjih</w:t>
      </w:r>
      <w:r w:rsidR="00AD606E" w:rsidRPr="0047652B">
        <w:t xml:space="preserve"> kmetijah</w:t>
      </w:r>
      <w:r w:rsidR="00217122">
        <w:t>.</w:t>
      </w:r>
      <w:r w:rsidR="006A1DB3">
        <w:t xml:space="preserve"> </w:t>
      </w:r>
      <w:r w:rsidR="006A1DB3" w:rsidRPr="006A1DB3">
        <w:t xml:space="preserve">Interes za opravljanje dopolnilh dejavnosti predelave kmetijskh proizvodov se stalno povečuje. Tri četrtine teh dejavnosti </w:t>
      </w:r>
      <w:r w:rsidR="00A3233A">
        <w:t xml:space="preserve">predelava </w:t>
      </w:r>
      <w:r w:rsidR="006A1DB3" w:rsidRPr="006A1DB3">
        <w:t>se opravlja na OMD</w:t>
      </w:r>
      <w:r w:rsidR="006A1DB3">
        <w:t xml:space="preserve">. </w:t>
      </w:r>
    </w:p>
    <w:p w14:paraId="446F11CB" w14:textId="62833EC7" w:rsidR="003406B9" w:rsidRPr="0047652B" w:rsidRDefault="003406B9" w:rsidP="00EF1BAA">
      <w:r w:rsidRPr="0047652B">
        <w:t xml:space="preserve">Iz analize naložbenih ukrepov PRP </w:t>
      </w:r>
      <w:r w:rsidR="00217122">
        <w:t>izhaja</w:t>
      </w:r>
      <w:r w:rsidRPr="0047652B">
        <w:t xml:space="preserve">, da </w:t>
      </w:r>
      <w:r w:rsidR="00B6239E">
        <w:t>vrednost podprtih</w:t>
      </w:r>
      <w:r w:rsidRPr="0047652B">
        <w:t xml:space="preserve"> naložb </w:t>
      </w:r>
      <w:r w:rsidR="00217122">
        <w:t xml:space="preserve">v </w:t>
      </w:r>
      <w:r w:rsidR="00217122" w:rsidRPr="0047652B">
        <w:t xml:space="preserve">predelavo ali trženje teh kmetijskih proizvodov </w:t>
      </w:r>
      <w:r w:rsidR="00B6239E">
        <w:t>ni sorazmer</w:t>
      </w:r>
      <w:r w:rsidR="00217122">
        <w:t>n</w:t>
      </w:r>
      <w:r w:rsidR="00B6239E">
        <w:t>a</w:t>
      </w:r>
      <w:r w:rsidR="00217122">
        <w:t xml:space="preserve"> </w:t>
      </w:r>
      <w:r w:rsidR="00B6239E">
        <w:t xml:space="preserve">vrednosti podprtih </w:t>
      </w:r>
      <w:r w:rsidR="00217122">
        <w:t xml:space="preserve">naložb </w:t>
      </w:r>
      <w:r w:rsidRPr="0047652B">
        <w:t xml:space="preserve">v posamezno osnovno kmetijsko proizvodnjo. </w:t>
      </w:r>
      <w:r w:rsidR="00B6239E">
        <w:t>Medtem ko je delež c</w:t>
      </w:r>
      <w:r w:rsidR="00E87F19">
        <w:t>elotne</w:t>
      </w:r>
      <w:r w:rsidR="00B6239E">
        <w:t xml:space="preserve"> vrednost</w:t>
      </w:r>
      <w:r w:rsidR="00687C6E">
        <w:t>i</w:t>
      </w:r>
      <w:r w:rsidR="00B6239E">
        <w:t xml:space="preserve"> podprtih </w:t>
      </w:r>
      <w:r w:rsidRPr="0047652B">
        <w:t xml:space="preserve">naložb v proizvodnjo mleka </w:t>
      </w:r>
      <w:r w:rsidR="00B6239E">
        <w:t xml:space="preserve">v okviru podukrepa M04.1 znašal 28 % celotne vrednosti </w:t>
      </w:r>
      <w:r w:rsidR="00687C6E">
        <w:t xml:space="preserve">vseh podprtih </w:t>
      </w:r>
      <w:r w:rsidR="00B6239E">
        <w:t>naložb, je znašal delež</w:t>
      </w:r>
      <w:r w:rsidRPr="0047652B">
        <w:t xml:space="preserve"> naložb v predelavo ali trženje mleka</w:t>
      </w:r>
      <w:r w:rsidR="00B6239E">
        <w:t xml:space="preserve"> v okviru podukrepa M04.2 le 7 % celotne vrednosti </w:t>
      </w:r>
      <w:r w:rsidR="00687C6E">
        <w:t xml:space="preserve">vseh podprtih </w:t>
      </w:r>
      <w:r w:rsidR="00B6239E">
        <w:t>naložb</w:t>
      </w:r>
      <w:r w:rsidRPr="0047652B">
        <w:t xml:space="preserve">. </w:t>
      </w:r>
    </w:p>
    <w:p w14:paraId="740A7162" w14:textId="77777777" w:rsidR="003406B9" w:rsidRPr="0047652B" w:rsidRDefault="003406B9" w:rsidP="007613FE">
      <w:pPr>
        <w:spacing w:before="0" w:line="260" w:lineRule="atLeast"/>
        <w:rPr>
          <w:sz w:val="20"/>
          <w:szCs w:val="20"/>
        </w:rPr>
      </w:pPr>
    </w:p>
    <w:p w14:paraId="08C96508" w14:textId="53189CF2" w:rsidR="003406B9" w:rsidRPr="00451314" w:rsidRDefault="003406B9" w:rsidP="00EF1BAA">
      <w:pPr>
        <w:pStyle w:val="SCPreglednica"/>
      </w:pPr>
      <w:bookmarkStart w:id="3207" w:name="_Toc86822666"/>
      <w:r w:rsidRPr="00451314">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28</w:t>
      </w:r>
      <w:r w:rsidR="009F2591">
        <w:rPr>
          <w:noProof/>
        </w:rPr>
        <w:fldChar w:fldCharType="end"/>
      </w:r>
      <w:r w:rsidRPr="00451314">
        <w:t xml:space="preserve">: </w:t>
      </w:r>
      <w:r w:rsidR="003059B6" w:rsidRPr="00451314">
        <w:t>Število dovoljenj za opravljanje najpogostejših dopolniln</w:t>
      </w:r>
      <w:r w:rsidR="00874771" w:rsidRPr="00451314">
        <w:t>ih</w:t>
      </w:r>
      <w:r w:rsidR="003059B6" w:rsidRPr="00451314">
        <w:t xml:space="preserve"> dejavnosti p</w:t>
      </w:r>
      <w:r w:rsidRPr="00451314">
        <w:t>redelava primarnih kmetijskih pridelkov</w:t>
      </w:r>
      <w:bookmarkEnd w:id="3207"/>
    </w:p>
    <w:tbl>
      <w:tblPr>
        <w:tblW w:w="8931" w:type="dxa"/>
        <w:tblInd w:w="-5" w:type="dxa"/>
        <w:tblLayout w:type="fixed"/>
        <w:tblCellMar>
          <w:left w:w="70" w:type="dxa"/>
          <w:right w:w="70" w:type="dxa"/>
        </w:tblCellMar>
        <w:tblLook w:val="04A0" w:firstRow="1" w:lastRow="0" w:firstColumn="1" w:lastColumn="0" w:noHBand="0" w:noVBand="1"/>
      </w:tblPr>
      <w:tblGrid>
        <w:gridCol w:w="4253"/>
        <w:gridCol w:w="1701"/>
        <w:gridCol w:w="1701"/>
        <w:gridCol w:w="1276"/>
      </w:tblGrid>
      <w:tr w:rsidR="00307A17" w:rsidRPr="00307A17" w14:paraId="5B6D7FC4" w14:textId="77777777" w:rsidTr="00451314">
        <w:trPr>
          <w:trHeight w:val="504"/>
        </w:trPr>
        <w:tc>
          <w:tcPr>
            <w:tcW w:w="4253"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2374639B" w14:textId="6459447F" w:rsidR="00B54CEC" w:rsidRPr="00451314" w:rsidRDefault="00307A17" w:rsidP="00B54CEC">
            <w:pPr>
              <w:spacing w:before="0" w:line="240" w:lineRule="auto"/>
              <w:rPr>
                <w:bCs/>
                <w:color w:val="000000"/>
                <w:sz w:val="18"/>
                <w:szCs w:val="18"/>
                <w:lang w:eastAsia="sl-SI"/>
              </w:rPr>
            </w:pPr>
            <w:r w:rsidRPr="00451314">
              <w:rPr>
                <w:bCs/>
                <w:color w:val="000000"/>
                <w:sz w:val="18"/>
                <w:szCs w:val="18"/>
                <w:lang w:eastAsia="sl-SI"/>
              </w:rPr>
              <w:t>Vrsta dopolnilne dejavnosti</w:t>
            </w:r>
          </w:p>
        </w:tc>
        <w:tc>
          <w:tcPr>
            <w:tcW w:w="1701" w:type="dxa"/>
            <w:tcBorders>
              <w:top w:val="single" w:sz="4" w:space="0" w:color="auto"/>
              <w:left w:val="nil"/>
              <w:bottom w:val="single" w:sz="4" w:space="0" w:color="auto"/>
              <w:right w:val="single" w:sz="4" w:space="0" w:color="auto"/>
            </w:tcBorders>
            <w:shd w:val="clear" w:color="000000" w:fill="C6D9F1"/>
            <w:vAlign w:val="center"/>
            <w:hideMark/>
          </w:tcPr>
          <w:p w14:paraId="431E09CD" w14:textId="4EAAF8E6" w:rsidR="00B54CEC" w:rsidRPr="00F3427A" w:rsidRDefault="00307A17" w:rsidP="00B54CEC">
            <w:pPr>
              <w:spacing w:before="0" w:line="240" w:lineRule="auto"/>
              <w:jc w:val="center"/>
              <w:rPr>
                <w:color w:val="000000"/>
                <w:sz w:val="18"/>
                <w:szCs w:val="18"/>
                <w:lang w:eastAsia="sl-SI"/>
              </w:rPr>
            </w:pPr>
            <w:r>
              <w:rPr>
                <w:color w:val="000000"/>
                <w:sz w:val="18"/>
                <w:szCs w:val="18"/>
                <w:lang w:eastAsia="sl-SI"/>
              </w:rPr>
              <w:t xml:space="preserve">Število na dan </w:t>
            </w:r>
            <w:r w:rsidR="00B54CEC" w:rsidRPr="00F3427A">
              <w:rPr>
                <w:color w:val="000000"/>
                <w:sz w:val="18"/>
                <w:szCs w:val="18"/>
                <w:lang w:eastAsia="sl-SI"/>
              </w:rPr>
              <w:t>1.1.2015</w:t>
            </w:r>
          </w:p>
        </w:tc>
        <w:tc>
          <w:tcPr>
            <w:tcW w:w="1701" w:type="dxa"/>
            <w:tcBorders>
              <w:top w:val="single" w:sz="4" w:space="0" w:color="auto"/>
              <w:left w:val="nil"/>
              <w:bottom w:val="single" w:sz="4" w:space="0" w:color="auto"/>
              <w:right w:val="single" w:sz="4" w:space="0" w:color="auto"/>
            </w:tcBorders>
            <w:shd w:val="clear" w:color="000000" w:fill="C6D9F1"/>
            <w:vAlign w:val="center"/>
            <w:hideMark/>
          </w:tcPr>
          <w:p w14:paraId="726AC4CD" w14:textId="7E45BCD1" w:rsidR="00B54CEC" w:rsidRPr="00307A17" w:rsidRDefault="00307A17" w:rsidP="00A635F7">
            <w:pPr>
              <w:spacing w:before="0" w:line="240" w:lineRule="auto"/>
              <w:jc w:val="center"/>
              <w:rPr>
                <w:color w:val="000000"/>
                <w:sz w:val="18"/>
                <w:szCs w:val="18"/>
                <w:lang w:eastAsia="sl-SI"/>
              </w:rPr>
            </w:pPr>
            <w:r>
              <w:rPr>
                <w:color w:val="000000"/>
                <w:sz w:val="18"/>
                <w:szCs w:val="18"/>
                <w:lang w:eastAsia="sl-SI"/>
              </w:rPr>
              <w:t xml:space="preserve">Število na dan </w:t>
            </w:r>
            <w:r w:rsidR="00A635F7">
              <w:rPr>
                <w:color w:val="000000"/>
                <w:sz w:val="18"/>
                <w:szCs w:val="18"/>
                <w:lang w:eastAsia="sl-SI"/>
              </w:rPr>
              <w:t xml:space="preserve">29. 7. </w:t>
            </w:r>
            <w:r w:rsidR="003059B6" w:rsidRPr="00307A17">
              <w:rPr>
                <w:color w:val="000000"/>
                <w:sz w:val="18"/>
                <w:szCs w:val="18"/>
                <w:lang w:eastAsia="sl-SI"/>
              </w:rPr>
              <w:t>.</w:t>
            </w:r>
            <w:r w:rsidR="00B54CEC" w:rsidRPr="00307A17">
              <w:rPr>
                <w:color w:val="000000"/>
                <w:sz w:val="18"/>
                <w:szCs w:val="18"/>
                <w:lang w:eastAsia="sl-SI"/>
              </w:rPr>
              <w:t>2020</w:t>
            </w:r>
          </w:p>
        </w:tc>
        <w:tc>
          <w:tcPr>
            <w:tcW w:w="1276" w:type="dxa"/>
            <w:tcBorders>
              <w:top w:val="single" w:sz="4" w:space="0" w:color="auto"/>
              <w:left w:val="nil"/>
              <w:bottom w:val="single" w:sz="4" w:space="0" w:color="auto"/>
              <w:right w:val="single" w:sz="4" w:space="0" w:color="auto"/>
            </w:tcBorders>
            <w:shd w:val="clear" w:color="000000" w:fill="C6D9F1"/>
            <w:vAlign w:val="center"/>
            <w:hideMark/>
          </w:tcPr>
          <w:p w14:paraId="050CE9AF" w14:textId="00E2E912" w:rsidR="00B54CEC" w:rsidRPr="00307A17" w:rsidRDefault="00307A17" w:rsidP="00F3427A">
            <w:pPr>
              <w:spacing w:before="0" w:line="240" w:lineRule="auto"/>
              <w:jc w:val="center"/>
              <w:rPr>
                <w:color w:val="000000"/>
                <w:sz w:val="18"/>
                <w:szCs w:val="18"/>
                <w:lang w:eastAsia="sl-SI"/>
              </w:rPr>
            </w:pPr>
            <w:r w:rsidRPr="00307A17">
              <w:rPr>
                <w:color w:val="000000"/>
                <w:sz w:val="18"/>
                <w:szCs w:val="18"/>
                <w:lang w:eastAsia="sl-SI"/>
              </w:rPr>
              <w:t>Indeks 2020/2015</w:t>
            </w:r>
          </w:p>
        </w:tc>
      </w:tr>
      <w:tr w:rsidR="00307A17" w:rsidRPr="00B54CEC" w14:paraId="096BF1DF"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2CB6DF4"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predelava in konzerviranje sadja in zelenjave</w:t>
            </w:r>
          </w:p>
        </w:tc>
        <w:tc>
          <w:tcPr>
            <w:tcW w:w="1701" w:type="dxa"/>
            <w:tcBorders>
              <w:top w:val="nil"/>
              <w:left w:val="nil"/>
              <w:bottom w:val="single" w:sz="4" w:space="0" w:color="auto"/>
              <w:right w:val="single" w:sz="4" w:space="0" w:color="auto"/>
            </w:tcBorders>
            <w:shd w:val="clear" w:color="auto" w:fill="auto"/>
            <w:noWrap/>
            <w:vAlign w:val="center"/>
            <w:hideMark/>
          </w:tcPr>
          <w:p w14:paraId="2145E4C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689</w:t>
            </w:r>
          </w:p>
        </w:tc>
        <w:tc>
          <w:tcPr>
            <w:tcW w:w="1701" w:type="dxa"/>
            <w:tcBorders>
              <w:top w:val="nil"/>
              <w:left w:val="nil"/>
              <w:bottom w:val="single" w:sz="4" w:space="0" w:color="auto"/>
              <w:right w:val="single" w:sz="4" w:space="0" w:color="auto"/>
            </w:tcBorders>
            <w:shd w:val="clear" w:color="auto" w:fill="auto"/>
            <w:noWrap/>
            <w:vAlign w:val="center"/>
            <w:hideMark/>
          </w:tcPr>
          <w:p w14:paraId="1165CC6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748</w:t>
            </w:r>
          </w:p>
        </w:tc>
        <w:tc>
          <w:tcPr>
            <w:tcW w:w="1276" w:type="dxa"/>
            <w:tcBorders>
              <w:top w:val="nil"/>
              <w:left w:val="nil"/>
              <w:bottom w:val="single" w:sz="4" w:space="0" w:color="auto"/>
              <w:right w:val="single" w:sz="4" w:space="0" w:color="auto"/>
            </w:tcBorders>
            <w:shd w:val="clear" w:color="auto" w:fill="auto"/>
            <w:noWrap/>
            <w:vAlign w:val="center"/>
            <w:hideMark/>
          </w:tcPr>
          <w:p w14:paraId="095E8048"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109</w:t>
            </w:r>
          </w:p>
        </w:tc>
      </w:tr>
      <w:tr w:rsidR="00307A17" w:rsidRPr="00B54CEC" w14:paraId="03FDB3AD"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D2AB5D5"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sadnih in zelenjavnih sokov</w:t>
            </w:r>
          </w:p>
        </w:tc>
        <w:tc>
          <w:tcPr>
            <w:tcW w:w="1701" w:type="dxa"/>
            <w:tcBorders>
              <w:top w:val="nil"/>
              <w:left w:val="nil"/>
              <w:bottom w:val="single" w:sz="4" w:space="0" w:color="auto"/>
              <w:right w:val="single" w:sz="4" w:space="0" w:color="auto"/>
            </w:tcBorders>
            <w:shd w:val="clear" w:color="auto" w:fill="auto"/>
            <w:noWrap/>
            <w:vAlign w:val="center"/>
            <w:hideMark/>
          </w:tcPr>
          <w:p w14:paraId="3A8E5A3C"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319</w:t>
            </w:r>
          </w:p>
        </w:tc>
        <w:tc>
          <w:tcPr>
            <w:tcW w:w="1701" w:type="dxa"/>
            <w:tcBorders>
              <w:top w:val="nil"/>
              <w:left w:val="nil"/>
              <w:bottom w:val="single" w:sz="4" w:space="0" w:color="auto"/>
              <w:right w:val="single" w:sz="4" w:space="0" w:color="auto"/>
            </w:tcBorders>
            <w:shd w:val="clear" w:color="auto" w:fill="auto"/>
            <w:noWrap/>
            <w:vAlign w:val="center"/>
            <w:hideMark/>
          </w:tcPr>
          <w:p w14:paraId="02288FE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556</w:t>
            </w:r>
          </w:p>
        </w:tc>
        <w:tc>
          <w:tcPr>
            <w:tcW w:w="1276" w:type="dxa"/>
            <w:tcBorders>
              <w:top w:val="nil"/>
              <w:left w:val="nil"/>
              <w:bottom w:val="single" w:sz="4" w:space="0" w:color="auto"/>
              <w:right w:val="single" w:sz="4" w:space="0" w:color="auto"/>
            </w:tcBorders>
            <w:shd w:val="clear" w:color="auto" w:fill="auto"/>
            <w:noWrap/>
            <w:vAlign w:val="center"/>
            <w:hideMark/>
          </w:tcPr>
          <w:p w14:paraId="69267905"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174</w:t>
            </w:r>
          </w:p>
        </w:tc>
      </w:tr>
      <w:tr w:rsidR="00307A17" w:rsidRPr="00B54CEC" w14:paraId="0A43C89A"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6E2ABD2"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zakol živali in predelava mesa</w:t>
            </w:r>
          </w:p>
        </w:tc>
        <w:tc>
          <w:tcPr>
            <w:tcW w:w="1701" w:type="dxa"/>
            <w:tcBorders>
              <w:top w:val="nil"/>
              <w:left w:val="nil"/>
              <w:bottom w:val="single" w:sz="4" w:space="0" w:color="auto"/>
              <w:right w:val="single" w:sz="4" w:space="0" w:color="auto"/>
            </w:tcBorders>
            <w:shd w:val="clear" w:color="auto" w:fill="auto"/>
            <w:noWrap/>
            <w:vAlign w:val="center"/>
            <w:hideMark/>
          </w:tcPr>
          <w:p w14:paraId="30E66511"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288</w:t>
            </w:r>
          </w:p>
        </w:tc>
        <w:tc>
          <w:tcPr>
            <w:tcW w:w="1701" w:type="dxa"/>
            <w:tcBorders>
              <w:top w:val="nil"/>
              <w:left w:val="nil"/>
              <w:bottom w:val="single" w:sz="4" w:space="0" w:color="auto"/>
              <w:right w:val="single" w:sz="4" w:space="0" w:color="auto"/>
            </w:tcBorders>
            <w:shd w:val="clear" w:color="auto" w:fill="auto"/>
            <w:noWrap/>
            <w:vAlign w:val="center"/>
            <w:hideMark/>
          </w:tcPr>
          <w:p w14:paraId="11C0057C"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465</w:t>
            </w:r>
          </w:p>
        </w:tc>
        <w:tc>
          <w:tcPr>
            <w:tcW w:w="1276" w:type="dxa"/>
            <w:tcBorders>
              <w:top w:val="nil"/>
              <w:left w:val="nil"/>
              <w:bottom w:val="single" w:sz="4" w:space="0" w:color="auto"/>
              <w:right w:val="single" w:sz="4" w:space="0" w:color="auto"/>
            </w:tcBorders>
            <w:shd w:val="clear" w:color="auto" w:fill="auto"/>
            <w:noWrap/>
            <w:vAlign w:val="center"/>
            <w:hideMark/>
          </w:tcPr>
          <w:p w14:paraId="0E9F2464"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161</w:t>
            </w:r>
          </w:p>
        </w:tc>
      </w:tr>
      <w:tr w:rsidR="00307A17" w:rsidRPr="00B54CEC" w14:paraId="1F783CBB"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5737F3B"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kisa</w:t>
            </w:r>
          </w:p>
        </w:tc>
        <w:tc>
          <w:tcPr>
            <w:tcW w:w="1701" w:type="dxa"/>
            <w:tcBorders>
              <w:top w:val="nil"/>
              <w:left w:val="nil"/>
              <w:bottom w:val="single" w:sz="4" w:space="0" w:color="auto"/>
              <w:right w:val="single" w:sz="4" w:space="0" w:color="auto"/>
            </w:tcBorders>
            <w:shd w:val="clear" w:color="auto" w:fill="auto"/>
            <w:noWrap/>
            <w:vAlign w:val="center"/>
            <w:hideMark/>
          </w:tcPr>
          <w:p w14:paraId="1AE4D89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201</w:t>
            </w:r>
          </w:p>
        </w:tc>
        <w:tc>
          <w:tcPr>
            <w:tcW w:w="1701" w:type="dxa"/>
            <w:tcBorders>
              <w:top w:val="nil"/>
              <w:left w:val="nil"/>
              <w:bottom w:val="single" w:sz="4" w:space="0" w:color="auto"/>
              <w:right w:val="single" w:sz="4" w:space="0" w:color="auto"/>
            </w:tcBorders>
            <w:shd w:val="clear" w:color="auto" w:fill="auto"/>
            <w:noWrap/>
            <w:vAlign w:val="center"/>
            <w:hideMark/>
          </w:tcPr>
          <w:p w14:paraId="58570B99"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341</w:t>
            </w:r>
          </w:p>
        </w:tc>
        <w:tc>
          <w:tcPr>
            <w:tcW w:w="1276" w:type="dxa"/>
            <w:tcBorders>
              <w:top w:val="nil"/>
              <w:left w:val="nil"/>
              <w:bottom w:val="single" w:sz="4" w:space="0" w:color="auto"/>
              <w:right w:val="single" w:sz="4" w:space="0" w:color="auto"/>
            </w:tcBorders>
            <w:shd w:val="clear" w:color="auto" w:fill="auto"/>
            <w:noWrap/>
            <w:vAlign w:val="center"/>
            <w:hideMark/>
          </w:tcPr>
          <w:p w14:paraId="1E64E37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170</w:t>
            </w:r>
          </w:p>
        </w:tc>
      </w:tr>
      <w:tr w:rsidR="00307A17" w:rsidRPr="00B54CEC" w14:paraId="367164B9"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2BE913F"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žganih pijač</w:t>
            </w:r>
          </w:p>
        </w:tc>
        <w:tc>
          <w:tcPr>
            <w:tcW w:w="1701" w:type="dxa"/>
            <w:tcBorders>
              <w:top w:val="nil"/>
              <w:left w:val="nil"/>
              <w:bottom w:val="single" w:sz="4" w:space="0" w:color="auto"/>
              <w:right w:val="single" w:sz="4" w:space="0" w:color="auto"/>
            </w:tcBorders>
            <w:shd w:val="clear" w:color="auto" w:fill="auto"/>
            <w:noWrap/>
            <w:vAlign w:val="center"/>
            <w:hideMark/>
          </w:tcPr>
          <w:p w14:paraId="43D70A6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294</w:t>
            </w:r>
          </w:p>
        </w:tc>
        <w:tc>
          <w:tcPr>
            <w:tcW w:w="1701" w:type="dxa"/>
            <w:tcBorders>
              <w:top w:val="nil"/>
              <w:left w:val="nil"/>
              <w:bottom w:val="single" w:sz="4" w:space="0" w:color="auto"/>
              <w:right w:val="single" w:sz="4" w:space="0" w:color="auto"/>
            </w:tcBorders>
            <w:shd w:val="clear" w:color="auto" w:fill="auto"/>
            <w:noWrap/>
            <w:vAlign w:val="center"/>
            <w:hideMark/>
          </w:tcPr>
          <w:p w14:paraId="2BB62C0B"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339</w:t>
            </w:r>
          </w:p>
        </w:tc>
        <w:tc>
          <w:tcPr>
            <w:tcW w:w="1276" w:type="dxa"/>
            <w:tcBorders>
              <w:top w:val="nil"/>
              <w:left w:val="nil"/>
              <w:bottom w:val="single" w:sz="4" w:space="0" w:color="auto"/>
              <w:right w:val="single" w:sz="4" w:space="0" w:color="auto"/>
            </w:tcBorders>
            <w:shd w:val="clear" w:color="auto" w:fill="auto"/>
            <w:noWrap/>
            <w:vAlign w:val="center"/>
            <w:hideMark/>
          </w:tcPr>
          <w:p w14:paraId="06C45EB1"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115</w:t>
            </w:r>
          </w:p>
        </w:tc>
      </w:tr>
      <w:tr w:rsidR="00307A17" w:rsidRPr="00B54CEC" w14:paraId="5147040F"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731DE6E"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rastlinskega olja in predelava semen oljnih rastlin</w:t>
            </w:r>
          </w:p>
        </w:tc>
        <w:tc>
          <w:tcPr>
            <w:tcW w:w="1701" w:type="dxa"/>
            <w:tcBorders>
              <w:top w:val="nil"/>
              <w:left w:val="nil"/>
              <w:bottom w:val="single" w:sz="4" w:space="0" w:color="auto"/>
              <w:right w:val="single" w:sz="4" w:space="0" w:color="auto"/>
            </w:tcBorders>
            <w:shd w:val="clear" w:color="auto" w:fill="auto"/>
            <w:noWrap/>
            <w:vAlign w:val="center"/>
            <w:hideMark/>
          </w:tcPr>
          <w:p w14:paraId="0F2EF7E8"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93</w:t>
            </w:r>
          </w:p>
        </w:tc>
        <w:tc>
          <w:tcPr>
            <w:tcW w:w="1701" w:type="dxa"/>
            <w:tcBorders>
              <w:top w:val="nil"/>
              <w:left w:val="nil"/>
              <w:bottom w:val="single" w:sz="4" w:space="0" w:color="auto"/>
              <w:right w:val="single" w:sz="4" w:space="0" w:color="auto"/>
            </w:tcBorders>
            <w:shd w:val="clear" w:color="auto" w:fill="auto"/>
            <w:noWrap/>
            <w:vAlign w:val="center"/>
            <w:hideMark/>
          </w:tcPr>
          <w:p w14:paraId="17E93FD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319</w:t>
            </w:r>
          </w:p>
        </w:tc>
        <w:tc>
          <w:tcPr>
            <w:tcW w:w="1276" w:type="dxa"/>
            <w:tcBorders>
              <w:top w:val="nil"/>
              <w:left w:val="nil"/>
              <w:bottom w:val="single" w:sz="4" w:space="0" w:color="auto"/>
              <w:right w:val="single" w:sz="4" w:space="0" w:color="auto"/>
            </w:tcBorders>
            <w:shd w:val="clear" w:color="auto" w:fill="auto"/>
            <w:noWrap/>
            <w:vAlign w:val="center"/>
            <w:hideMark/>
          </w:tcPr>
          <w:p w14:paraId="6A441784"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343</w:t>
            </w:r>
          </w:p>
        </w:tc>
      </w:tr>
      <w:tr w:rsidR="00307A17" w:rsidRPr="00B54CEC" w14:paraId="09726ADE"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C739CE0"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predelava mleka</w:t>
            </w:r>
          </w:p>
        </w:tc>
        <w:tc>
          <w:tcPr>
            <w:tcW w:w="1701" w:type="dxa"/>
            <w:tcBorders>
              <w:top w:val="nil"/>
              <w:left w:val="nil"/>
              <w:bottom w:val="single" w:sz="4" w:space="0" w:color="auto"/>
              <w:right w:val="single" w:sz="4" w:space="0" w:color="auto"/>
            </w:tcBorders>
            <w:shd w:val="clear" w:color="auto" w:fill="auto"/>
            <w:noWrap/>
            <w:vAlign w:val="center"/>
            <w:hideMark/>
          </w:tcPr>
          <w:p w14:paraId="6A5606A7"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191</w:t>
            </w:r>
          </w:p>
        </w:tc>
        <w:tc>
          <w:tcPr>
            <w:tcW w:w="1701" w:type="dxa"/>
            <w:tcBorders>
              <w:top w:val="nil"/>
              <w:left w:val="nil"/>
              <w:bottom w:val="single" w:sz="4" w:space="0" w:color="auto"/>
              <w:right w:val="single" w:sz="4" w:space="0" w:color="auto"/>
            </w:tcBorders>
            <w:shd w:val="clear" w:color="auto" w:fill="auto"/>
            <w:noWrap/>
            <w:vAlign w:val="center"/>
            <w:hideMark/>
          </w:tcPr>
          <w:p w14:paraId="014A273D"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293</w:t>
            </w:r>
          </w:p>
        </w:tc>
        <w:tc>
          <w:tcPr>
            <w:tcW w:w="1276" w:type="dxa"/>
            <w:tcBorders>
              <w:top w:val="nil"/>
              <w:left w:val="nil"/>
              <w:bottom w:val="single" w:sz="4" w:space="0" w:color="auto"/>
              <w:right w:val="single" w:sz="4" w:space="0" w:color="auto"/>
            </w:tcBorders>
            <w:shd w:val="clear" w:color="auto" w:fill="auto"/>
            <w:noWrap/>
            <w:vAlign w:val="center"/>
            <w:hideMark/>
          </w:tcPr>
          <w:p w14:paraId="14CFF839"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153</w:t>
            </w:r>
          </w:p>
        </w:tc>
      </w:tr>
      <w:tr w:rsidR="00307A17" w:rsidRPr="00B54CEC" w14:paraId="1E2217E7"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57A828F"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peka kruha in potic ter peciva in slaščic</w:t>
            </w:r>
          </w:p>
        </w:tc>
        <w:tc>
          <w:tcPr>
            <w:tcW w:w="1701" w:type="dxa"/>
            <w:tcBorders>
              <w:top w:val="nil"/>
              <w:left w:val="nil"/>
              <w:bottom w:val="single" w:sz="4" w:space="0" w:color="auto"/>
              <w:right w:val="single" w:sz="4" w:space="0" w:color="auto"/>
            </w:tcBorders>
            <w:shd w:val="clear" w:color="auto" w:fill="auto"/>
            <w:noWrap/>
            <w:vAlign w:val="center"/>
            <w:hideMark/>
          </w:tcPr>
          <w:p w14:paraId="47EF50B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322</w:t>
            </w:r>
          </w:p>
        </w:tc>
        <w:tc>
          <w:tcPr>
            <w:tcW w:w="1701" w:type="dxa"/>
            <w:tcBorders>
              <w:top w:val="nil"/>
              <w:left w:val="nil"/>
              <w:bottom w:val="single" w:sz="4" w:space="0" w:color="auto"/>
              <w:right w:val="single" w:sz="4" w:space="0" w:color="auto"/>
            </w:tcBorders>
            <w:shd w:val="clear" w:color="auto" w:fill="auto"/>
            <w:noWrap/>
            <w:vAlign w:val="center"/>
            <w:hideMark/>
          </w:tcPr>
          <w:p w14:paraId="42F998B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270</w:t>
            </w:r>
          </w:p>
        </w:tc>
        <w:tc>
          <w:tcPr>
            <w:tcW w:w="1276" w:type="dxa"/>
            <w:tcBorders>
              <w:top w:val="nil"/>
              <w:left w:val="nil"/>
              <w:bottom w:val="single" w:sz="4" w:space="0" w:color="auto"/>
              <w:right w:val="single" w:sz="4" w:space="0" w:color="auto"/>
            </w:tcBorders>
            <w:shd w:val="clear" w:color="auto" w:fill="auto"/>
            <w:noWrap/>
            <w:vAlign w:val="center"/>
            <w:hideMark/>
          </w:tcPr>
          <w:p w14:paraId="7C63DCFF"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84</w:t>
            </w:r>
          </w:p>
        </w:tc>
      </w:tr>
      <w:tr w:rsidR="00307A17" w:rsidRPr="00B54CEC" w14:paraId="55FFA905" w14:textId="77777777" w:rsidTr="00451314">
        <w:trPr>
          <w:trHeight w:val="296"/>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CFBB6BC" w14:textId="77777777" w:rsidR="00B54CEC" w:rsidRPr="00B54CEC" w:rsidRDefault="00B54CEC" w:rsidP="00B54CEC">
            <w:pPr>
              <w:spacing w:before="0" w:line="240" w:lineRule="auto"/>
              <w:jc w:val="left"/>
              <w:rPr>
                <w:color w:val="000000"/>
                <w:sz w:val="18"/>
                <w:szCs w:val="18"/>
                <w:lang w:eastAsia="sl-SI"/>
              </w:rPr>
            </w:pPr>
            <w:r w:rsidRPr="00B54CEC">
              <w:rPr>
                <w:color w:val="000000"/>
                <w:sz w:val="18"/>
                <w:szCs w:val="18"/>
                <w:lang w:eastAsia="sl-SI"/>
              </w:rPr>
              <w:t>proizvodnja moke in drugih mlevskih izdelkov</w:t>
            </w:r>
          </w:p>
        </w:tc>
        <w:tc>
          <w:tcPr>
            <w:tcW w:w="1701" w:type="dxa"/>
            <w:tcBorders>
              <w:top w:val="nil"/>
              <w:left w:val="nil"/>
              <w:bottom w:val="single" w:sz="4" w:space="0" w:color="auto"/>
              <w:right w:val="single" w:sz="4" w:space="0" w:color="auto"/>
            </w:tcBorders>
            <w:shd w:val="clear" w:color="auto" w:fill="auto"/>
            <w:noWrap/>
            <w:vAlign w:val="center"/>
            <w:hideMark/>
          </w:tcPr>
          <w:p w14:paraId="7F9E1E83"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173</w:t>
            </w:r>
          </w:p>
        </w:tc>
        <w:tc>
          <w:tcPr>
            <w:tcW w:w="1701" w:type="dxa"/>
            <w:tcBorders>
              <w:top w:val="nil"/>
              <w:left w:val="nil"/>
              <w:bottom w:val="single" w:sz="4" w:space="0" w:color="auto"/>
              <w:right w:val="single" w:sz="4" w:space="0" w:color="auto"/>
            </w:tcBorders>
            <w:shd w:val="clear" w:color="auto" w:fill="auto"/>
            <w:noWrap/>
            <w:vAlign w:val="center"/>
            <w:hideMark/>
          </w:tcPr>
          <w:p w14:paraId="70058E15"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251</w:t>
            </w:r>
          </w:p>
        </w:tc>
        <w:tc>
          <w:tcPr>
            <w:tcW w:w="1276" w:type="dxa"/>
            <w:tcBorders>
              <w:top w:val="nil"/>
              <w:left w:val="nil"/>
              <w:bottom w:val="single" w:sz="4" w:space="0" w:color="auto"/>
              <w:right w:val="single" w:sz="4" w:space="0" w:color="auto"/>
            </w:tcBorders>
            <w:shd w:val="clear" w:color="auto" w:fill="auto"/>
            <w:noWrap/>
            <w:vAlign w:val="center"/>
            <w:hideMark/>
          </w:tcPr>
          <w:p w14:paraId="2028BDA2" w14:textId="77777777" w:rsidR="00B54CEC" w:rsidRPr="00B54CEC" w:rsidRDefault="00B54CEC" w:rsidP="00B54CEC">
            <w:pPr>
              <w:spacing w:before="0" w:line="240" w:lineRule="auto"/>
              <w:jc w:val="center"/>
              <w:rPr>
                <w:color w:val="000000"/>
                <w:sz w:val="18"/>
                <w:szCs w:val="18"/>
                <w:lang w:eastAsia="sl-SI"/>
              </w:rPr>
            </w:pPr>
            <w:r w:rsidRPr="00B54CEC">
              <w:rPr>
                <w:color w:val="000000"/>
                <w:sz w:val="18"/>
                <w:szCs w:val="18"/>
                <w:lang w:eastAsia="sl-SI"/>
              </w:rPr>
              <w:t>145</w:t>
            </w:r>
          </w:p>
        </w:tc>
      </w:tr>
    </w:tbl>
    <w:p w14:paraId="6B863278" w14:textId="75DF30BF" w:rsidR="00B54CEC" w:rsidRPr="00451314" w:rsidRDefault="00307A17" w:rsidP="003406B9">
      <w:pPr>
        <w:spacing w:before="0" w:line="276" w:lineRule="auto"/>
        <w:ind w:left="425" w:hanging="425"/>
        <w:rPr>
          <w:sz w:val="16"/>
          <w:szCs w:val="20"/>
          <w:lang w:eastAsia="en-US"/>
        </w:rPr>
      </w:pPr>
      <w:r w:rsidRPr="00451314">
        <w:rPr>
          <w:sz w:val="16"/>
          <w:szCs w:val="20"/>
          <w:lang w:eastAsia="en-US"/>
        </w:rPr>
        <w:t>Vir: MKGP.</w:t>
      </w:r>
    </w:p>
    <w:p w14:paraId="3BE00A42" w14:textId="77777777" w:rsidR="00307A17" w:rsidRDefault="00307A17" w:rsidP="007613FE">
      <w:pPr>
        <w:spacing w:before="0" w:line="260" w:lineRule="atLeast"/>
        <w:rPr>
          <w:sz w:val="20"/>
          <w:szCs w:val="20"/>
        </w:rPr>
      </w:pPr>
    </w:p>
    <w:p w14:paraId="1511954B" w14:textId="77777777" w:rsidR="003406B9" w:rsidRPr="00EF1BAA" w:rsidRDefault="003406B9" w:rsidP="007613FE">
      <w:pPr>
        <w:spacing w:before="0" w:line="260" w:lineRule="atLeast"/>
        <w:rPr>
          <w:szCs w:val="22"/>
        </w:rPr>
      </w:pPr>
      <w:r w:rsidRPr="00EF1BAA">
        <w:rPr>
          <w:szCs w:val="22"/>
        </w:rPr>
        <w:t xml:space="preserve">V zadnjih dveh letih se je povečalo število dejavnosti proizvodnje rastlinskega olja in predelave semen oljnih rastlin. </w:t>
      </w:r>
    </w:p>
    <w:p w14:paraId="301345D9" w14:textId="77777777" w:rsidR="00E7393F" w:rsidRPr="00EF1BAA" w:rsidRDefault="00E7393F" w:rsidP="007613FE">
      <w:pPr>
        <w:spacing w:before="0" w:line="260" w:lineRule="atLeast"/>
        <w:rPr>
          <w:szCs w:val="22"/>
          <w:lang w:eastAsia="en-US"/>
        </w:rPr>
      </w:pPr>
    </w:p>
    <w:p w14:paraId="6E6B5FEF" w14:textId="597FA592" w:rsidR="003406B9" w:rsidRPr="00EF1BAA" w:rsidRDefault="003406B9" w:rsidP="005C6188">
      <w:pPr>
        <w:pStyle w:val="Naslov2"/>
      </w:pPr>
      <w:bookmarkStart w:id="3208" w:name="_Toc86822619"/>
      <w:r w:rsidRPr="00EF1BAA">
        <w:t>Ključne ugotovitve</w:t>
      </w:r>
      <w:bookmarkEnd w:id="3208"/>
    </w:p>
    <w:p w14:paraId="284C4651" w14:textId="77777777" w:rsidR="003406B9" w:rsidRPr="00EF1BAA" w:rsidRDefault="003406B9" w:rsidP="007613FE">
      <w:pPr>
        <w:spacing w:before="0" w:line="260" w:lineRule="atLeast"/>
        <w:rPr>
          <w:szCs w:val="22"/>
          <w:lang w:eastAsia="en-US"/>
        </w:rPr>
      </w:pPr>
    </w:p>
    <w:p w14:paraId="3D5418A4" w14:textId="77777777" w:rsidR="005B3E9B" w:rsidRDefault="00586A30"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V obdobju </w:t>
      </w:r>
      <w:r w:rsidR="00510FE5" w:rsidRPr="00EF1BAA">
        <w:rPr>
          <w:rFonts w:ascii="Arial" w:hAnsi="Arial"/>
          <w:sz w:val="22"/>
          <w:szCs w:val="22"/>
        </w:rPr>
        <w:t>201</w:t>
      </w:r>
      <w:r w:rsidR="000D0720" w:rsidRPr="00EF1BAA">
        <w:rPr>
          <w:rFonts w:ascii="Arial" w:hAnsi="Arial"/>
          <w:sz w:val="22"/>
          <w:szCs w:val="22"/>
        </w:rPr>
        <w:t>4</w:t>
      </w:r>
      <w:r w:rsidR="00510FE5" w:rsidRPr="00EF1BAA">
        <w:rPr>
          <w:rFonts w:ascii="Arial" w:hAnsi="Arial"/>
          <w:sz w:val="22"/>
          <w:szCs w:val="22"/>
        </w:rPr>
        <w:t>-2019</w:t>
      </w:r>
      <w:r w:rsidRPr="00EF1BAA">
        <w:rPr>
          <w:rFonts w:ascii="Arial" w:hAnsi="Arial"/>
          <w:sz w:val="22"/>
          <w:szCs w:val="22"/>
        </w:rPr>
        <w:t xml:space="preserve"> je izkazano stabilnejše poslovanje ŽPI. </w:t>
      </w:r>
      <w:r w:rsidR="000D0720" w:rsidRPr="00EF1BAA">
        <w:rPr>
          <w:rFonts w:ascii="Arial" w:hAnsi="Arial"/>
          <w:sz w:val="22"/>
          <w:szCs w:val="22"/>
          <w:lang w:eastAsia="en-US"/>
        </w:rPr>
        <w:t xml:space="preserve">Številni kazalniki poslovanja podjetij ŽPI, kot so čisti prihodki na tujem trgu, zaposlenost in obseg izplačanih plač izkazujejo izboljšanje poslovanja celotne panoge. </w:t>
      </w:r>
    </w:p>
    <w:p w14:paraId="31B0028A" w14:textId="3227D646" w:rsidR="00586A30" w:rsidRPr="00EF1BAA" w:rsidRDefault="000D0720"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Na račun rasti števila zaposlenih pa se je zmanjšala produktivnost. Tako produktivnost kot tudi dodana vrednost na zaposlenega se v letu 2019 še vedno nista vrnili na raven pred gospodarsko-finančno krizo iz </w:t>
      </w:r>
      <w:r w:rsidR="00B3164C" w:rsidRPr="00EF1BAA">
        <w:rPr>
          <w:rFonts w:ascii="Arial" w:hAnsi="Arial"/>
          <w:sz w:val="22"/>
          <w:szCs w:val="22"/>
        </w:rPr>
        <w:t xml:space="preserve">l. </w:t>
      </w:r>
      <w:r w:rsidRPr="00EF1BAA">
        <w:rPr>
          <w:rFonts w:ascii="Arial" w:hAnsi="Arial"/>
          <w:sz w:val="22"/>
          <w:szCs w:val="22"/>
        </w:rPr>
        <w:t xml:space="preserve">2008. </w:t>
      </w:r>
    </w:p>
    <w:p w14:paraId="62DEC724" w14:textId="791BDCC6" w:rsidR="00F12C8C" w:rsidRPr="00EF1BAA" w:rsidRDefault="00F76D5C" w:rsidP="007613FE">
      <w:pPr>
        <w:pStyle w:val="Odstavekseznama"/>
        <w:numPr>
          <w:ilvl w:val="0"/>
          <w:numId w:val="75"/>
        </w:numPr>
        <w:spacing w:before="0" w:line="260" w:lineRule="atLeast"/>
        <w:ind w:left="426" w:hanging="284"/>
        <w:rPr>
          <w:rFonts w:ascii="Arial" w:hAnsi="Arial"/>
          <w:sz w:val="22"/>
          <w:szCs w:val="22"/>
          <w:lang w:eastAsia="en-US"/>
        </w:rPr>
      </w:pPr>
      <w:r w:rsidRPr="00EF1BAA">
        <w:rPr>
          <w:rFonts w:ascii="Arial" w:hAnsi="Arial"/>
          <w:sz w:val="22"/>
          <w:szCs w:val="22"/>
        </w:rPr>
        <w:t>Medtem ko č</w:t>
      </w:r>
      <w:r w:rsidR="00F12C8C" w:rsidRPr="00EF1BAA">
        <w:rPr>
          <w:rFonts w:ascii="Arial" w:hAnsi="Arial"/>
          <w:sz w:val="22"/>
          <w:szCs w:val="22"/>
        </w:rPr>
        <w:t xml:space="preserve">isti prihodki od prodaje na domačem trgu stagnirajo, </w:t>
      </w:r>
      <w:r w:rsidRPr="00EF1BAA">
        <w:rPr>
          <w:rFonts w:ascii="Arial" w:hAnsi="Arial"/>
          <w:sz w:val="22"/>
          <w:szCs w:val="22"/>
        </w:rPr>
        <w:t xml:space="preserve">se povečujejo </w:t>
      </w:r>
      <w:r w:rsidR="00F12C8C" w:rsidRPr="00EF1BAA">
        <w:rPr>
          <w:rFonts w:ascii="Arial" w:hAnsi="Arial"/>
          <w:sz w:val="22"/>
          <w:szCs w:val="22"/>
        </w:rPr>
        <w:t xml:space="preserve">čisti prihodki </w:t>
      </w:r>
      <w:r w:rsidRPr="00EF1BAA">
        <w:rPr>
          <w:rFonts w:ascii="Arial" w:hAnsi="Arial"/>
          <w:sz w:val="22"/>
          <w:szCs w:val="22"/>
        </w:rPr>
        <w:t xml:space="preserve">od prodaje </w:t>
      </w:r>
      <w:r w:rsidR="00F12C8C" w:rsidRPr="00EF1BAA">
        <w:rPr>
          <w:rFonts w:ascii="Arial" w:hAnsi="Arial"/>
          <w:sz w:val="22"/>
          <w:szCs w:val="22"/>
        </w:rPr>
        <w:t xml:space="preserve">na tujem trgu. </w:t>
      </w:r>
      <w:r w:rsidR="006B101E" w:rsidRPr="00EF1BAA">
        <w:rPr>
          <w:rFonts w:ascii="Arial" w:hAnsi="Arial"/>
          <w:sz w:val="22"/>
          <w:szCs w:val="22"/>
        </w:rPr>
        <w:t>Rast</w:t>
      </w:r>
      <w:r w:rsidR="00F12C8C" w:rsidRPr="00EF1BAA">
        <w:rPr>
          <w:rFonts w:ascii="Arial" w:hAnsi="Arial"/>
          <w:sz w:val="22"/>
          <w:szCs w:val="22"/>
        </w:rPr>
        <w:t xml:space="preserve"> izvoza kaže na rast konkurenčnosti slovenske </w:t>
      </w:r>
      <w:r w:rsidRPr="00EF1BAA">
        <w:rPr>
          <w:rFonts w:ascii="Arial" w:hAnsi="Arial"/>
          <w:sz w:val="22"/>
          <w:szCs w:val="22"/>
        </w:rPr>
        <w:t>ŽPI</w:t>
      </w:r>
      <w:r w:rsidR="00F12C8C" w:rsidRPr="00EF1BAA">
        <w:rPr>
          <w:rFonts w:ascii="Arial" w:hAnsi="Arial"/>
          <w:sz w:val="22"/>
          <w:szCs w:val="22"/>
        </w:rPr>
        <w:t xml:space="preserve"> na tujih trgih. Hkrati je izvoz nepredelanih kmetijskih surovin (mleko, živo govedo in prašiči) relativno visok</w:t>
      </w:r>
      <w:r w:rsidR="00B3164C" w:rsidRPr="00EF1BAA">
        <w:rPr>
          <w:rFonts w:ascii="Arial" w:hAnsi="Arial"/>
          <w:sz w:val="22"/>
          <w:szCs w:val="22"/>
        </w:rPr>
        <w:t>,</w:t>
      </w:r>
      <w:r w:rsidR="00F12C8C" w:rsidRPr="00EF1BAA">
        <w:rPr>
          <w:rFonts w:ascii="Arial" w:hAnsi="Arial"/>
          <w:sz w:val="22"/>
          <w:szCs w:val="22"/>
        </w:rPr>
        <w:t xml:space="preserve"> kar kaže na možnost</w:t>
      </w:r>
      <w:r w:rsidR="00B3164C" w:rsidRPr="00EF1BAA">
        <w:rPr>
          <w:rFonts w:ascii="Arial" w:hAnsi="Arial"/>
          <w:sz w:val="22"/>
          <w:szCs w:val="22"/>
        </w:rPr>
        <w:t>i</w:t>
      </w:r>
      <w:r w:rsidR="00F12C8C" w:rsidRPr="00EF1BAA">
        <w:rPr>
          <w:rFonts w:ascii="Arial" w:hAnsi="Arial"/>
          <w:sz w:val="22"/>
          <w:szCs w:val="22"/>
        </w:rPr>
        <w:t xml:space="preserve"> predelave teh surovin v Sloveniji in </w:t>
      </w:r>
      <w:r w:rsidRPr="00EF1BAA">
        <w:rPr>
          <w:rFonts w:ascii="Arial" w:hAnsi="Arial"/>
          <w:sz w:val="22"/>
          <w:szCs w:val="22"/>
        </w:rPr>
        <w:t>r</w:t>
      </w:r>
      <w:r w:rsidR="00610C3A" w:rsidRPr="00EF1BAA">
        <w:rPr>
          <w:rFonts w:ascii="Arial" w:hAnsi="Arial"/>
          <w:sz w:val="22"/>
          <w:szCs w:val="22"/>
        </w:rPr>
        <w:t>azvoj domačih</w:t>
      </w:r>
      <w:r w:rsidRPr="00EF1BAA">
        <w:rPr>
          <w:rFonts w:ascii="Arial" w:hAnsi="Arial"/>
          <w:sz w:val="22"/>
          <w:szCs w:val="22"/>
        </w:rPr>
        <w:t xml:space="preserve"> </w:t>
      </w:r>
      <w:r w:rsidR="00F12C8C" w:rsidRPr="00EF1BAA">
        <w:rPr>
          <w:rFonts w:ascii="Arial" w:hAnsi="Arial"/>
          <w:sz w:val="22"/>
          <w:szCs w:val="22"/>
        </w:rPr>
        <w:t xml:space="preserve">verig vrednosti. </w:t>
      </w:r>
    </w:p>
    <w:p w14:paraId="0F09B17B" w14:textId="5F0F2A31" w:rsidR="006B101E" w:rsidRPr="00EF1BAA" w:rsidRDefault="006B101E"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Zaradi manjše domače proizvodnje na določenih sektorjih, nepovezanosti primarnih proizvajalcev in višjih cen domačih kmetijskih surovin se ŽPI sooča s pomanjkanjem surovine, zaradi česar je odvisna od uvoza le-teh. </w:t>
      </w:r>
    </w:p>
    <w:p w14:paraId="6D41CC0A" w14:textId="657B6D40" w:rsidR="006B101E" w:rsidRPr="00EF1BAA" w:rsidRDefault="006B101E"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Kljub zavedanju o nujnosti</w:t>
      </w:r>
      <w:r w:rsidR="002E44F9" w:rsidRPr="00EF1BAA">
        <w:rPr>
          <w:rFonts w:ascii="Arial" w:hAnsi="Arial"/>
          <w:sz w:val="22"/>
          <w:szCs w:val="22"/>
        </w:rPr>
        <w:t xml:space="preserve"> povezovanja v verige vrednosti in zagotavljanja stabilne pridelave na območju države ni konkretnih rezultatov </w:t>
      </w:r>
      <w:r w:rsidR="00722CD0" w:rsidRPr="00EF1BAA">
        <w:rPr>
          <w:rFonts w:ascii="Arial" w:hAnsi="Arial"/>
          <w:sz w:val="22"/>
          <w:szCs w:val="22"/>
        </w:rPr>
        <w:t xml:space="preserve">povezovanja </w:t>
      </w:r>
      <w:r w:rsidR="002E44F9" w:rsidRPr="00EF1BAA">
        <w:rPr>
          <w:rFonts w:ascii="Arial" w:hAnsi="Arial"/>
          <w:sz w:val="22"/>
          <w:szCs w:val="22"/>
        </w:rPr>
        <w:t xml:space="preserve">ŽPI z domačimi </w:t>
      </w:r>
      <w:r w:rsidR="00722CD0" w:rsidRPr="00EF1BAA">
        <w:rPr>
          <w:rFonts w:ascii="Arial" w:hAnsi="Arial"/>
          <w:sz w:val="22"/>
          <w:szCs w:val="22"/>
        </w:rPr>
        <w:t>proizvajalci kmetijskih proizvodov na lokalnem trgu.</w:t>
      </w:r>
      <w:r w:rsidR="002E44F9" w:rsidRPr="00EF1BAA">
        <w:rPr>
          <w:rFonts w:ascii="Arial" w:hAnsi="Arial"/>
          <w:sz w:val="22"/>
          <w:szCs w:val="22"/>
        </w:rPr>
        <w:t xml:space="preserve"> </w:t>
      </w:r>
    </w:p>
    <w:p w14:paraId="6428B6E9" w14:textId="6098D5E7" w:rsidR="00162258" w:rsidRPr="00EF1BAA" w:rsidRDefault="00736BA0"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Povečuje </w:t>
      </w:r>
      <w:r w:rsidR="00586A30" w:rsidRPr="00EF1BAA">
        <w:rPr>
          <w:rFonts w:ascii="Arial" w:hAnsi="Arial"/>
          <w:sz w:val="22"/>
          <w:szCs w:val="22"/>
        </w:rPr>
        <w:t xml:space="preserve">se predelava kmetijskih pridelkov v </w:t>
      </w:r>
      <w:r w:rsidRPr="00EF1BAA">
        <w:rPr>
          <w:rFonts w:ascii="Arial" w:hAnsi="Arial"/>
          <w:sz w:val="22"/>
          <w:szCs w:val="22"/>
        </w:rPr>
        <w:t xml:space="preserve">okviru </w:t>
      </w:r>
      <w:r w:rsidR="00586A30" w:rsidRPr="00EF1BAA">
        <w:rPr>
          <w:rFonts w:ascii="Arial" w:hAnsi="Arial"/>
          <w:sz w:val="22"/>
          <w:szCs w:val="22"/>
        </w:rPr>
        <w:t>dopolniln</w:t>
      </w:r>
      <w:r w:rsidR="00B3164C" w:rsidRPr="00EF1BAA">
        <w:rPr>
          <w:rFonts w:ascii="Arial" w:hAnsi="Arial"/>
          <w:sz w:val="22"/>
          <w:szCs w:val="22"/>
        </w:rPr>
        <w:t>e</w:t>
      </w:r>
      <w:r w:rsidR="00586A30" w:rsidRPr="00EF1BAA">
        <w:rPr>
          <w:rFonts w:ascii="Arial" w:hAnsi="Arial"/>
          <w:sz w:val="22"/>
          <w:szCs w:val="22"/>
        </w:rPr>
        <w:t xml:space="preserve"> dejavnost</w:t>
      </w:r>
      <w:r w:rsidR="00B3164C" w:rsidRPr="00EF1BAA">
        <w:rPr>
          <w:rFonts w:ascii="Arial" w:hAnsi="Arial"/>
          <w:sz w:val="22"/>
          <w:szCs w:val="22"/>
        </w:rPr>
        <w:t>i</w:t>
      </w:r>
      <w:r w:rsidR="00586A30" w:rsidRPr="00EF1BAA">
        <w:rPr>
          <w:rFonts w:ascii="Arial" w:hAnsi="Arial"/>
          <w:sz w:val="22"/>
          <w:szCs w:val="22"/>
        </w:rPr>
        <w:t xml:space="preserve"> na kmetij</w:t>
      </w:r>
      <w:r w:rsidRPr="00EF1BAA">
        <w:rPr>
          <w:rFonts w:ascii="Arial" w:hAnsi="Arial"/>
          <w:sz w:val="22"/>
          <w:szCs w:val="22"/>
        </w:rPr>
        <w:t xml:space="preserve">ah, kar prinaša priložnost </w:t>
      </w:r>
      <w:r w:rsidR="00586A30" w:rsidRPr="00EF1BAA">
        <w:rPr>
          <w:rFonts w:ascii="Arial" w:hAnsi="Arial"/>
          <w:sz w:val="22"/>
          <w:szCs w:val="22"/>
        </w:rPr>
        <w:t>z vidika dodajanja vrednosti kmetijskim proizvodom in dodatn</w:t>
      </w:r>
      <w:r w:rsidRPr="00EF1BAA">
        <w:rPr>
          <w:rFonts w:ascii="Arial" w:hAnsi="Arial"/>
          <w:sz w:val="22"/>
          <w:szCs w:val="22"/>
        </w:rPr>
        <w:t>ega</w:t>
      </w:r>
      <w:r w:rsidR="00586A30" w:rsidRPr="00EF1BAA">
        <w:rPr>
          <w:rFonts w:ascii="Arial" w:hAnsi="Arial"/>
          <w:sz w:val="22"/>
          <w:szCs w:val="22"/>
        </w:rPr>
        <w:t xml:space="preserve"> vir</w:t>
      </w:r>
      <w:r w:rsidRPr="00EF1BAA">
        <w:rPr>
          <w:rFonts w:ascii="Arial" w:hAnsi="Arial"/>
          <w:sz w:val="22"/>
          <w:szCs w:val="22"/>
        </w:rPr>
        <w:t>a</w:t>
      </w:r>
      <w:r w:rsidR="00586A30" w:rsidRPr="00EF1BAA">
        <w:rPr>
          <w:rFonts w:ascii="Arial" w:hAnsi="Arial"/>
          <w:sz w:val="22"/>
          <w:szCs w:val="22"/>
        </w:rPr>
        <w:t xml:space="preserve"> dohodka na kmetiji.</w:t>
      </w:r>
    </w:p>
    <w:p w14:paraId="66224AFF" w14:textId="6252EE09" w:rsidR="00B3164C" w:rsidRPr="00EF1BAA" w:rsidRDefault="003000F3"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Naložbena podpora iz PRP 2014–2020 je pozitivno vplivala na investicijske odločitve, zlasti mikro in majhnih, pri čemer so bile naložbe usmerjene zlasti v nakup nove opreme, strojev in naprav, kar kaže na tehnološko posodabljanje sektorja. </w:t>
      </w:r>
    </w:p>
    <w:p w14:paraId="5002BFB2" w14:textId="6BE9B97A" w:rsidR="0012770D" w:rsidRPr="00EF1BAA" w:rsidRDefault="0012770D"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Počasneje se izvajajo procesi racionalizacije in prestrukturiranja v smeri razvoja inovativnih proizvodov, ki bi ustrezali novim trendom (zdrava prehrana prilagojena hitremu načinu življenja ter novi prehrambeni in drugi proizvodi kot npr. biorazgradljiva embalaža)</w:t>
      </w:r>
      <w:r w:rsidR="00B3164C" w:rsidRPr="00EF1BAA">
        <w:rPr>
          <w:rFonts w:ascii="Arial" w:hAnsi="Arial"/>
          <w:sz w:val="22"/>
          <w:szCs w:val="22"/>
        </w:rPr>
        <w:t>, digitalizacije, učinkovite rabe energije in krožnega gospodarstva</w:t>
      </w:r>
      <w:r w:rsidRPr="00EF1BAA">
        <w:rPr>
          <w:rFonts w:ascii="Arial" w:hAnsi="Arial"/>
          <w:sz w:val="22"/>
          <w:szCs w:val="22"/>
        </w:rPr>
        <w:t>.</w:t>
      </w:r>
    </w:p>
    <w:p w14:paraId="11764ED6" w14:textId="69706D8F" w:rsidR="0012770D" w:rsidRPr="00EF1BAA" w:rsidRDefault="0012770D"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Produktivnost, merjena s prihodki od prodaje na zaposlenega</w:t>
      </w:r>
      <w:r w:rsidR="00B3164C" w:rsidRPr="00EF1BAA">
        <w:rPr>
          <w:rFonts w:ascii="Arial" w:hAnsi="Arial"/>
          <w:sz w:val="22"/>
          <w:szCs w:val="22"/>
        </w:rPr>
        <w:t>,</w:t>
      </w:r>
      <w:r w:rsidRPr="00EF1BAA">
        <w:rPr>
          <w:rFonts w:ascii="Arial" w:hAnsi="Arial"/>
          <w:sz w:val="22"/>
          <w:szCs w:val="22"/>
        </w:rPr>
        <w:t xml:space="preserve"> je v </w:t>
      </w:r>
      <w:r w:rsidR="00B3164C" w:rsidRPr="00EF1BAA">
        <w:rPr>
          <w:rFonts w:ascii="Arial" w:hAnsi="Arial"/>
          <w:sz w:val="22"/>
          <w:szCs w:val="22"/>
        </w:rPr>
        <w:t>ŽPI</w:t>
      </w:r>
      <w:r w:rsidRPr="00EF1BAA">
        <w:rPr>
          <w:rFonts w:ascii="Arial" w:hAnsi="Arial"/>
          <w:sz w:val="22"/>
          <w:szCs w:val="22"/>
        </w:rPr>
        <w:t xml:space="preserve"> v povprečju nižja kot v ostalih predelovalnih dejavnostih, zato bodo potrebna dodatna vlaganja in dodatni napori za dvig produktivnost v živilskopredelovalni industriji (digitalizacija, učinkovita raba energije, krožno gospodarstvo).</w:t>
      </w:r>
    </w:p>
    <w:p w14:paraId="2EE4037A" w14:textId="73C5BE3F" w:rsidR="00F12C8C" w:rsidRPr="00EF1BAA" w:rsidRDefault="00F12C8C"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Živilskopredelovalna podjetja </w:t>
      </w:r>
      <w:r w:rsidR="00301906" w:rsidRPr="00EF1BAA">
        <w:rPr>
          <w:rFonts w:ascii="Arial" w:hAnsi="Arial"/>
          <w:sz w:val="22"/>
          <w:szCs w:val="22"/>
        </w:rPr>
        <w:t xml:space="preserve">tudi </w:t>
      </w:r>
      <w:r w:rsidR="00C65E69" w:rsidRPr="00EF1BAA">
        <w:rPr>
          <w:rFonts w:ascii="Arial" w:hAnsi="Arial"/>
          <w:sz w:val="22"/>
          <w:szCs w:val="22"/>
        </w:rPr>
        <w:t>z</w:t>
      </w:r>
      <w:r w:rsidR="00301906" w:rsidRPr="00EF1BAA">
        <w:rPr>
          <w:rFonts w:ascii="Arial" w:hAnsi="Arial"/>
          <w:sz w:val="22"/>
          <w:szCs w:val="22"/>
        </w:rPr>
        <w:t xml:space="preserve">a financiranje naložb </w:t>
      </w:r>
      <w:r w:rsidRPr="00EF1BAA">
        <w:rPr>
          <w:rFonts w:ascii="Arial" w:hAnsi="Arial"/>
          <w:sz w:val="22"/>
          <w:szCs w:val="22"/>
        </w:rPr>
        <w:t xml:space="preserve">večinoma zaprošajo za kratkoročna posojila, </w:t>
      </w:r>
      <w:r w:rsidR="00301906" w:rsidRPr="00EF1BAA">
        <w:rPr>
          <w:rFonts w:ascii="Arial" w:hAnsi="Arial"/>
          <w:sz w:val="22"/>
          <w:szCs w:val="22"/>
        </w:rPr>
        <w:t xml:space="preserve">kar kaže na težave </w:t>
      </w:r>
      <w:r w:rsidRPr="00EF1BAA">
        <w:rPr>
          <w:rFonts w:ascii="Arial" w:hAnsi="Arial"/>
          <w:sz w:val="22"/>
          <w:szCs w:val="22"/>
        </w:rPr>
        <w:t>pri dostopu do posojil z daljšo ročnostjo</w:t>
      </w:r>
      <w:r w:rsidR="00877627" w:rsidRPr="00EF1BAA">
        <w:rPr>
          <w:rFonts w:ascii="Arial" w:hAnsi="Arial"/>
          <w:sz w:val="22"/>
          <w:szCs w:val="22"/>
        </w:rPr>
        <w:t xml:space="preserve">, predvsem za majhna podjetja. </w:t>
      </w:r>
    </w:p>
    <w:p w14:paraId="49241256" w14:textId="1CB1FD5D" w:rsidR="00510FE5" w:rsidRPr="00EF1BAA" w:rsidRDefault="00301906"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 xml:space="preserve">Delež naložb v predelavo ali trženje kmetijskih proizvodov na kmetiji ni sorazmeren deležu naložb </w:t>
      </w:r>
      <w:r w:rsidR="00A466BB" w:rsidRPr="00EF1BAA">
        <w:rPr>
          <w:rFonts w:ascii="Arial" w:hAnsi="Arial"/>
          <w:sz w:val="22"/>
          <w:szCs w:val="22"/>
        </w:rPr>
        <w:t xml:space="preserve">v </w:t>
      </w:r>
      <w:r w:rsidRPr="00EF1BAA">
        <w:rPr>
          <w:rFonts w:ascii="Arial" w:hAnsi="Arial"/>
          <w:sz w:val="22"/>
          <w:szCs w:val="22"/>
        </w:rPr>
        <w:t xml:space="preserve">osnovno kmetijsko proizvodnjo, kar </w:t>
      </w:r>
      <w:r w:rsidR="00A466BB" w:rsidRPr="00EF1BAA">
        <w:rPr>
          <w:rFonts w:ascii="Arial" w:hAnsi="Arial"/>
          <w:sz w:val="22"/>
          <w:szCs w:val="22"/>
        </w:rPr>
        <w:t>predstavlja</w:t>
      </w:r>
      <w:r w:rsidRPr="00EF1BAA">
        <w:rPr>
          <w:rFonts w:ascii="Arial" w:hAnsi="Arial"/>
          <w:sz w:val="22"/>
          <w:szCs w:val="22"/>
        </w:rPr>
        <w:t xml:space="preserve"> </w:t>
      </w:r>
      <w:r w:rsidR="00A466BB" w:rsidRPr="00EF1BAA">
        <w:rPr>
          <w:rFonts w:ascii="Arial" w:hAnsi="Arial"/>
          <w:sz w:val="22"/>
          <w:szCs w:val="22"/>
        </w:rPr>
        <w:t>ne</w:t>
      </w:r>
      <w:r w:rsidRPr="00EF1BAA">
        <w:rPr>
          <w:rFonts w:ascii="Arial" w:hAnsi="Arial"/>
          <w:sz w:val="22"/>
          <w:szCs w:val="22"/>
        </w:rPr>
        <w:t xml:space="preserve">izkoriščen potencial za </w:t>
      </w:r>
      <w:r w:rsidR="00A466BB" w:rsidRPr="00EF1BAA">
        <w:rPr>
          <w:rFonts w:ascii="Arial" w:hAnsi="Arial"/>
          <w:sz w:val="22"/>
          <w:szCs w:val="22"/>
        </w:rPr>
        <w:t xml:space="preserve">predelavo ali trženje </w:t>
      </w:r>
      <w:r w:rsidRPr="00EF1BAA">
        <w:rPr>
          <w:rFonts w:ascii="Arial" w:hAnsi="Arial"/>
          <w:sz w:val="22"/>
          <w:szCs w:val="22"/>
        </w:rPr>
        <w:t>izdelk</w:t>
      </w:r>
      <w:r w:rsidR="00A466BB" w:rsidRPr="00EF1BAA">
        <w:rPr>
          <w:rFonts w:ascii="Arial" w:hAnsi="Arial"/>
          <w:sz w:val="22"/>
          <w:szCs w:val="22"/>
        </w:rPr>
        <w:t>ov z</w:t>
      </w:r>
      <w:r w:rsidRPr="00EF1BAA">
        <w:rPr>
          <w:rFonts w:ascii="Arial" w:hAnsi="Arial"/>
          <w:sz w:val="22"/>
          <w:szCs w:val="22"/>
        </w:rPr>
        <w:t xml:space="preserve"> višj</w:t>
      </w:r>
      <w:r w:rsidR="00A466BB" w:rsidRPr="00EF1BAA">
        <w:rPr>
          <w:rFonts w:ascii="Arial" w:hAnsi="Arial"/>
          <w:sz w:val="22"/>
          <w:szCs w:val="22"/>
        </w:rPr>
        <w:t>o</w:t>
      </w:r>
      <w:r w:rsidRPr="00EF1BAA">
        <w:rPr>
          <w:rFonts w:ascii="Arial" w:hAnsi="Arial"/>
          <w:sz w:val="22"/>
          <w:szCs w:val="22"/>
        </w:rPr>
        <w:t xml:space="preserve"> dodan</w:t>
      </w:r>
      <w:r w:rsidR="00A466BB" w:rsidRPr="00EF1BAA">
        <w:rPr>
          <w:rFonts w:ascii="Arial" w:hAnsi="Arial"/>
          <w:sz w:val="22"/>
          <w:szCs w:val="22"/>
        </w:rPr>
        <w:t>o vrednostjo</w:t>
      </w:r>
      <w:r w:rsidRPr="00EF1BAA">
        <w:rPr>
          <w:rFonts w:ascii="Arial" w:hAnsi="Arial"/>
          <w:sz w:val="22"/>
          <w:szCs w:val="22"/>
        </w:rPr>
        <w:t xml:space="preserve">. </w:t>
      </w:r>
    </w:p>
    <w:p w14:paraId="32C68E70" w14:textId="67E34DB0" w:rsidR="00CF22DF" w:rsidRPr="00EF1BAA" w:rsidRDefault="00B3164C"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P</w:t>
      </w:r>
      <w:r w:rsidR="00CF22DF" w:rsidRPr="00EF1BAA">
        <w:rPr>
          <w:rFonts w:ascii="Arial" w:hAnsi="Arial"/>
          <w:sz w:val="22"/>
          <w:szCs w:val="22"/>
        </w:rPr>
        <w:t>odprt</w:t>
      </w:r>
      <w:r w:rsidRPr="00EF1BAA">
        <w:rPr>
          <w:rFonts w:ascii="Arial" w:hAnsi="Arial"/>
          <w:sz w:val="22"/>
          <w:szCs w:val="22"/>
        </w:rPr>
        <w:t>e</w:t>
      </w:r>
      <w:r w:rsidR="00CF22DF" w:rsidRPr="00EF1BAA">
        <w:rPr>
          <w:rFonts w:ascii="Arial" w:hAnsi="Arial"/>
          <w:sz w:val="22"/>
          <w:szCs w:val="22"/>
        </w:rPr>
        <w:t xml:space="preserve"> naložb </w:t>
      </w:r>
      <w:r w:rsidR="00970AE5" w:rsidRPr="00EF1BAA">
        <w:rPr>
          <w:rFonts w:ascii="Arial" w:hAnsi="Arial"/>
          <w:sz w:val="22"/>
          <w:szCs w:val="22"/>
        </w:rPr>
        <w:t xml:space="preserve">na OMD - </w:t>
      </w:r>
      <w:r w:rsidR="00CF22DF" w:rsidRPr="00EF1BAA">
        <w:rPr>
          <w:rFonts w:ascii="Arial" w:hAnsi="Arial"/>
          <w:sz w:val="22"/>
          <w:szCs w:val="22"/>
        </w:rPr>
        <w:t>gorsk</w:t>
      </w:r>
      <w:r w:rsidR="00970AE5" w:rsidRPr="00EF1BAA">
        <w:rPr>
          <w:rFonts w:ascii="Arial" w:hAnsi="Arial"/>
          <w:sz w:val="22"/>
          <w:szCs w:val="22"/>
        </w:rPr>
        <w:t>a</w:t>
      </w:r>
      <w:r w:rsidR="00CF22DF" w:rsidRPr="00EF1BAA">
        <w:rPr>
          <w:rFonts w:ascii="Arial" w:hAnsi="Arial"/>
          <w:sz w:val="22"/>
          <w:szCs w:val="22"/>
        </w:rPr>
        <w:t xml:space="preserve"> območj</w:t>
      </w:r>
      <w:r w:rsidR="00970AE5" w:rsidRPr="00EF1BAA">
        <w:rPr>
          <w:rFonts w:ascii="Arial" w:hAnsi="Arial"/>
          <w:sz w:val="22"/>
          <w:szCs w:val="22"/>
        </w:rPr>
        <w:t>a</w:t>
      </w:r>
      <w:r w:rsidR="00CF22DF" w:rsidRPr="00EF1BAA">
        <w:rPr>
          <w:rFonts w:ascii="Arial" w:hAnsi="Arial"/>
          <w:sz w:val="22"/>
          <w:szCs w:val="22"/>
        </w:rPr>
        <w:t xml:space="preserve"> in v sektorji</w:t>
      </w:r>
      <w:r w:rsidR="00970AE5" w:rsidRPr="00EF1BAA">
        <w:rPr>
          <w:rFonts w:ascii="Arial" w:hAnsi="Arial"/>
          <w:sz w:val="22"/>
          <w:szCs w:val="22"/>
        </w:rPr>
        <w:t>h</w:t>
      </w:r>
      <w:r w:rsidR="00CF22DF" w:rsidRPr="00EF1BAA">
        <w:rPr>
          <w:rFonts w:ascii="Arial" w:hAnsi="Arial"/>
          <w:sz w:val="22"/>
          <w:szCs w:val="22"/>
        </w:rPr>
        <w:t xml:space="preserve"> z nižjo stopnjo samooskrbe predstavlja</w:t>
      </w:r>
      <w:r w:rsidRPr="00EF1BAA">
        <w:rPr>
          <w:rFonts w:ascii="Arial" w:hAnsi="Arial"/>
          <w:sz w:val="22"/>
          <w:szCs w:val="22"/>
        </w:rPr>
        <w:t>jo</w:t>
      </w:r>
      <w:r w:rsidR="00CF22DF" w:rsidRPr="00EF1BAA">
        <w:rPr>
          <w:rFonts w:ascii="Arial" w:hAnsi="Arial"/>
          <w:sz w:val="22"/>
          <w:szCs w:val="22"/>
        </w:rPr>
        <w:t xml:space="preserve"> </w:t>
      </w:r>
      <w:r w:rsidR="003B41F6" w:rsidRPr="00EF1BAA">
        <w:rPr>
          <w:rFonts w:ascii="Arial" w:hAnsi="Arial"/>
          <w:sz w:val="22"/>
          <w:szCs w:val="22"/>
        </w:rPr>
        <w:t xml:space="preserve">manjši delež glede na celotno vrednost podprtih naložb v okviru PRP 2014-2020. </w:t>
      </w:r>
    </w:p>
    <w:p w14:paraId="17F8EB20" w14:textId="39B01D32" w:rsidR="00C37E12" w:rsidRPr="00EF1BAA" w:rsidRDefault="007A46C0" w:rsidP="007613FE">
      <w:pPr>
        <w:pStyle w:val="Odstavekseznama"/>
        <w:numPr>
          <w:ilvl w:val="0"/>
          <w:numId w:val="75"/>
        </w:numPr>
        <w:spacing w:before="0" w:line="260" w:lineRule="atLeast"/>
        <w:ind w:left="426" w:hanging="284"/>
        <w:rPr>
          <w:rFonts w:ascii="Arial" w:hAnsi="Arial"/>
          <w:sz w:val="22"/>
          <w:szCs w:val="22"/>
        </w:rPr>
      </w:pPr>
      <w:r w:rsidRPr="00EF1BAA">
        <w:rPr>
          <w:rFonts w:ascii="Arial" w:hAnsi="Arial"/>
          <w:sz w:val="22"/>
          <w:szCs w:val="22"/>
        </w:rPr>
        <w:t>Približno</w:t>
      </w:r>
      <w:r w:rsidR="0068471E" w:rsidRPr="00EF1BAA">
        <w:rPr>
          <w:rFonts w:ascii="Arial" w:hAnsi="Arial"/>
          <w:sz w:val="22"/>
          <w:szCs w:val="22"/>
        </w:rPr>
        <w:t xml:space="preserve"> tretjina odobrenih sredstev v okviru podukrepa M04.2 je namenjena naložbam v ekološko predelavo</w:t>
      </w:r>
      <w:r w:rsidR="00D040FD" w:rsidRPr="00EF1BAA">
        <w:rPr>
          <w:rFonts w:ascii="Arial" w:hAnsi="Arial"/>
          <w:sz w:val="22"/>
          <w:szCs w:val="22"/>
        </w:rPr>
        <w:t xml:space="preserve"> ali trženje</w:t>
      </w:r>
      <w:r w:rsidR="0068471E" w:rsidRPr="00EF1BAA">
        <w:rPr>
          <w:rFonts w:ascii="Arial" w:hAnsi="Arial"/>
          <w:sz w:val="22"/>
          <w:szCs w:val="22"/>
        </w:rPr>
        <w:t>, pri čemer pa je njihova vrednost mal</w:t>
      </w:r>
      <w:r w:rsidR="00D040FD" w:rsidRPr="00EF1BAA">
        <w:rPr>
          <w:rFonts w:ascii="Arial" w:hAnsi="Arial"/>
          <w:sz w:val="22"/>
          <w:szCs w:val="22"/>
        </w:rPr>
        <w:t>o</w:t>
      </w:r>
      <w:r w:rsidR="0068471E" w:rsidRPr="00EF1BAA">
        <w:rPr>
          <w:rFonts w:ascii="Arial" w:hAnsi="Arial"/>
          <w:sz w:val="22"/>
          <w:szCs w:val="22"/>
        </w:rPr>
        <w:t xml:space="preserve"> višja od vrednosti drugih naložb v predelavo</w:t>
      </w:r>
      <w:r w:rsidR="00D040FD" w:rsidRPr="00EF1BAA">
        <w:rPr>
          <w:rFonts w:ascii="Arial" w:hAnsi="Arial"/>
          <w:sz w:val="22"/>
          <w:szCs w:val="22"/>
        </w:rPr>
        <w:t xml:space="preserve"> ali trženje</w:t>
      </w:r>
      <w:r w:rsidR="0068471E" w:rsidRPr="00EF1BAA">
        <w:rPr>
          <w:rFonts w:ascii="Arial" w:hAnsi="Arial"/>
          <w:sz w:val="22"/>
          <w:szCs w:val="22"/>
        </w:rPr>
        <w:t xml:space="preserve">. </w:t>
      </w:r>
    </w:p>
    <w:p w14:paraId="55BDC67F" w14:textId="77777777" w:rsidR="000A44F0" w:rsidRPr="000A44F0" w:rsidRDefault="000A44F0" w:rsidP="007613FE">
      <w:pPr>
        <w:spacing w:before="0" w:line="260" w:lineRule="atLeast"/>
      </w:pPr>
    </w:p>
    <w:p w14:paraId="3BB55918" w14:textId="77777777" w:rsidR="003406B9" w:rsidRPr="0047652B" w:rsidRDefault="003406B9" w:rsidP="007613FE">
      <w:pPr>
        <w:pStyle w:val="Odstavekseznama"/>
        <w:spacing w:before="0" w:line="260" w:lineRule="atLeast"/>
        <w:ind w:left="426"/>
        <w:rPr>
          <w:rFonts w:ascii="Arial" w:hAnsi="Arial"/>
          <w:lang w:eastAsia="en-US"/>
        </w:rPr>
      </w:pPr>
    </w:p>
    <w:p w14:paraId="0AD08387" w14:textId="77777777" w:rsidR="00954B88" w:rsidRDefault="00954B88">
      <w:pPr>
        <w:spacing w:before="0" w:after="200" w:line="276" w:lineRule="auto"/>
        <w:jc w:val="left"/>
        <w:rPr>
          <w:rFonts w:eastAsia="Calibri"/>
          <w:b/>
          <w:sz w:val="28"/>
          <w:szCs w:val="28"/>
          <w:lang w:eastAsia="en-US"/>
        </w:rPr>
      </w:pPr>
      <w:r>
        <w:rPr>
          <w:sz w:val="28"/>
          <w:szCs w:val="28"/>
        </w:rPr>
        <w:br w:type="page"/>
      </w:r>
    </w:p>
    <w:p w14:paraId="0BFA2C4E" w14:textId="455CB05E" w:rsidR="003406B9" w:rsidRDefault="00006AD8" w:rsidP="005C6188">
      <w:pPr>
        <w:pStyle w:val="Naslov1"/>
      </w:pPr>
      <w:bookmarkStart w:id="3209" w:name="_Toc86822620"/>
      <w:r>
        <w:t>T</w:t>
      </w:r>
      <w:r w:rsidRPr="00006AD8">
        <w:t>rgovinska bilanca z agro-živilskimi proizvodi</w:t>
      </w:r>
      <w:bookmarkEnd w:id="3209"/>
    </w:p>
    <w:p w14:paraId="3353BBA9" w14:textId="77777777" w:rsidR="003406B9" w:rsidRDefault="003406B9" w:rsidP="007613FE">
      <w:pPr>
        <w:pStyle w:val="1"/>
        <w:spacing w:before="0"/>
      </w:pPr>
    </w:p>
    <w:p w14:paraId="7C2E19BB" w14:textId="47D3F946" w:rsidR="0055789D" w:rsidRPr="00451314" w:rsidRDefault="0055789D" w:rsidP="005C6188">
      <w:pPr>
        <w:pStyle w:val="Naslov2"/>
      </w:pPr>
      <w:bookmarkStart w:id="3210" w:name="_Toc86822621"/>
      <w:r w:rsidRPr="00451314">
        <w:t xml:space="preserve">Trgovinska bilanca kmetijskih proizvodov po skupinah blaga </w:t>
      </w:r>
      <w:r w:rsidR="009C194F">
        <w:t>(C.30)</w:t>
      </w:r>
      <w:bookmarkEnd w:id="3210"/>
    </w:p>
    <w:p w14:paraId="280C85F2" w14:textId="74E55190" w:rsidR="0055789D" w:rsidRPr="0047652B" w:rsidRDefault="0055789D" w:rsidP="007613FE">
      <w:pPr>
        <w:pStyle w:val="1"/>
        <w:spacing w:before="0"/>
      </w:pPr>
    </w:p>
    <w:p w14:paraId="037B67B7" w14:textId="78C19151" w:rsidR="00F238AB" w:rsidRPr="005C6188" w:rsidRDefault="00F238AB" w:rsidP="007613FE">
      <w:pPr>
        <w:pStyle w:val="ZPtekst"/>
        <w:spacing w:before="0" w:line="260" w:lineRule="atLeast"/>
        <w:rPr>
          <w:szCs w:val="20"/>
        </w:rPr>
      </w:pPr>
      <w:r w:rsidRPr="005C6188">
        <w:rPr>
          <w:szCs w:val="20"/>
        </w:rPr>
        <w:t>V obdobju 2007</w:t>
      </w:r>
      <w:r w:rsidR="00F6748E" w:rsidRPr="005C6188">
        <w:rPr>
          <w:szCs w:val="20"/>
        </w:rPr>
        <w:t>-2019</w:t>
      </w:r>
      <w:r w:rsidRPr="005C6188">
        <w:rPr>
          <w:szCs w:val="20"/>
        </w:rPr>
        <w:t xml:space="preserve"> je bila pozitivna zunanjetrgovinska bilanca pri živih živalih, izdelkih iz mesa ter oljnih semenih in plodovih. Povečal se je presežek v skupini izdelki iz mesa, ki se povečuje po največjem padcu od leta 2012. Največji primanjkljaj je bil pri mesu in drugih klavničnih proizvodih, sadju, vrtninah, izdelkih iz žit ter izdelkih iz vrtnin in sadja. </w:t>
      </w:r>
      <w:r w:rsidR="005A59A3">
        <w:rPr>
          <w:szCs w:val="20"/>
        </w:rPr>
        <w:t xml:space="preserve">Skupna zunanjetrgovinska bilanca je sicer kljub izboljševanju izvozne konkurenčnosti slovenske ŽPI negativna, kar pomeni, da se uvozi več agro-živilskih proizvodov, kot se jih izvozi.  </w:t>
      </w:r>
    </w:p>
    <w:p w14:paraId="30467FF1" w14:textId="77777777" w:rsidR="00F238AB" w:rsidRDefault="00F238AB" w:rsidP="007613FE">
      <w:pPr>
        <w:pStyle w:val="ZPtekst"/>
        <w:spacing w:before="0" w:line="260" w:lineRule="atLeast"/>
        <w:rPr>
          <w:sz w:val="20"/>
          <w:szCs w:val="20"/>
        </w:rPr>
      </w:pPr>
    </w:p>
    <w:p w14:paraId="1BA71DB0" w14:textId="050FBBF1" w:rsidR="00F238AB" w:rsidRDefault="00C438DF" w:rsidP="005C6188">
      <w:pPr>
        <w:pStyle w:val="SCSlika0"/>
      </w:pPr>
      <w:bookmarkStart w:id="3211" w:name="_Toc86822764"/>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92</w:t>
      </w:r>
      <w:r w:rsidR="009F2591">
        <w:rPr>
          <w:noProof/>
        </w:rPr>
        <w:fldChar w:fldCharType="end"/>
      </w:r>
      <w:r w:rsidR="00F238AB" w:rsidRPr="009F3567">
        <w:t>:</w:t>
      </w:r>
      <w:r w:rsidR="00F238AB" w:rsidRPr="009F3567">
        <w:rPr>
          <w:i/>
        </w:rPr>
        <w:t xml:space="preserve"> </w:t>
      </w:r>
      <w:r w:rsidR="00F238AB" w:rsidRPr="009F3567">
        <w:t xml:space="preserve">Zunanjetrgovinska bilanca agroživilstva po tarifnih skupinah </w:t>
      </w:r>
      <w:r w:rsidR="00F6748E">
        <w:t>v obdobjih 2007</w:t>
      </w:r>
      <w:r w:rsidR="00307A17">
        <w:t>–</w:t>
      </w:r>
      <w:r w:rsidR="00F6748E">
        <w:t>2013 in 2014</w:t>
      </w:r>
      <w:r w:rsidR="00307A17">
        <w:t>–</w:t>
      </w:r>
      <w:r w:rsidR="00F6748E">
        <w:t xml:space="preserve">2019, v </w:t>
      </w:r>
      <w:r w:rsidR="00F238AB" w:rsidRPr="009F3567">
        <w:t xml:space="preserve">mio </w:t>
      </w:r>
      <w:r w:rsidR="00F238AB" w:rsidRPr="00687C6E">
        <w:t>EUR (</w:t>
      </w:r>
      <w:r w:rsidR="00F238AB" w:rsidRPr="001261D8">
        <w:t>kazalnik stanja C.30)</w:t>
      </w:r>
      <w:bookmarkEnd w:id="3211"/>
    </w:p>
    <w:p w14:paraId="740DFB52" w14:textId="64E2E874" w:rsidR="00E77924" w:rsidRPr="00E77924" w:rsidRDefault="00E77924" w:rsidP="00E77924">
      <w:r>
        <w:rPr>
          <w:noProof/>
          <w:lang w:eastAsia="sl-SI"/>
        </w:rPr>
        <w:drawing>
          <wp:inline distT="0" distB="0" distL="0" distR="0" wp14:anchorId="6FFC9FDA" wp14:editId="159DCAA3">
            <wp:extent cx="4572000" cy="4941405"/>
            <wp:effectExtent l="0" t="0" r="0" b="12065"/>
            <wp:docPr id="1631865536" name="Grafikon 1631865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8DC8B41" w14:textId="190DE068" w:rsidR="00F238AB" w:rsidRPr="005A1BE2" w:rsidRDefault="00F238AB" w:rsidP="00451314">
      <w:pPr>
        <w:pStyle w:val="SCslika"/>
        <w:rPr>
          <w:szCs w:val="16"/>
        </w:rPr>
      </w:pPr>
      <w:r w:rsidRPr="00451314">
        <w:rPr>
          <w:sz w:val="16"/>
          <w:szCs w:val="16"/>
        </w:rPr>
        <w:t>Vir: SURS</w:t>
      </w:r>
      <w:r w:rsidR="00701BC9">
        <w:rPr>
          <w:sz w:val="16"/>
          <w:szCs w:val="16"/>
        </w:rPr>
        <w:t xml:space="preserve">. </w:t>
      </w:r>
    </w:p>
    <w:p w14:paraId="073EAFF7" w14:textId="77777777" w:rsidR="005C6188" w:rsidRDefault="005C6188" w:rsidP="007613FE">
      <w:pPr>
        <w:pStyle w:val="ZPtekst"/>
        <w:spacing w:before="0" w:line="260" w:lineRule="atLeast"/>
        <w:rPr>
          <w:szCs w:val="20"/>
        </w:rPr>
      </w:pPr>
    </w:p>
    <w:p w14:paraId="5614AB6C" w14:textId="1510C0B0" w:rsidR="00EF1C53" w:rsidRPr="005C6188" w:rsidRDefault="00422F49" w:rsidP="007613FE">
      <w:pPr>
        <w:pStyle w:val="ZPtekst"/>
        <w:spacing w:before="0" w:line="260" w:lineRule="atLeast"/>
        <w:rPr>
          <w:szCs w:val="20"/>
        </w:rPr>
      </w:pPr>
      <w:r w:rsidRPr="005C6188">
        <w:rPr>
          <w:szCs w:val="20"/>
        </w:rPr>
        <w:t>Vrednost kmetijsko-živilske trgovine se je v obdobju 2010-2020 razen letnih izjem (leti 2013 in 2014) ves</w:t>
      </w:r>
      <w:r w:rsidR="005B3E9B">
        <w:rPr>
          <w:szCs w:val="20"/>
        </w:rPr>
        <w:t xml:space="preserve"> </w:t>
      </w:r>
      <w:r w:rsidRPr="005C6188">
        <w:rPr>
          <w:szCs w:val="20"/>
        </w:rPr>
        <w:t xml:space="preserve">čas povečevala, tako znotraj EU kot tudi zunaj EU območja. </w:t>
      </w:r>
    </w:p>
    <w:p w14:paraId="534C6D86" w14:textId="412E219D" w:rsidR="007077A1" w:rsidRDefault="00EF1C53" w:rsidP="00275988">
      <w:pPr>
        <w:pStyle w:val="SCSlika0"/>
        <w:rPr>
          <w:sz w:val="20"/>
          <w:szCs w:val="20"/>
        </w:rPr>
      </w:pPr>
      <w:bookmarkStart w:id="3212" w:name="_Toc86822765"/>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93</w:t>
      </w:r>
      <w:r w:rsidR="009F2591">
        <w:rPr>
          <w:noProof/>
        </w:rPr>
        <w:fldChar w:fldCharType="end"/>
      </w:r>
      <w:r w:rsidRPr="009F3567">
        <w:t>:</w:t>
      </w:r>
      <w:r w:rsidRPr="009F3567">
        <w:rPr>
          <w:i/>
        </w:rPr>
        <w:t xml:space="preserve"> </w:t>
      </w:r>
      <w:r>
        <w:t xml:space="preserve">Skupna vrednost kmetijsko-živilske trgovine znotraj/zunaj EU v obdobju 2010-2020, v mrd EUR </w:t>
      </w:r>
      <w:r w:rsidRPr="00687C6E">
        <w:t xml:space="preserve"> (</w:t>
      </w:r>
      <w:r w:rsidRPr="001261D8">
        <w:t>kazalnik stanja C.30)</w:t>
      </w:r>
      <w:bookmarkEnd w:id="3212"/>
    </w:p>
    <w:p w14:paraId="31BF3394" w14:textId="7442C58B" w:rsidR="007077A1" w:rsidRDefault="00422F49" w:rsidP="005C6188">
      <w:r>
        <w:rPr>
          <w:noProof/>
          <w:lang w:eastAsia="sl-SI"/>
        </w:rPr>
        <w:drawing>
          <wp:inline distT="0" distB="0" distL="0" distR="0" wp14:anchorId="39A1ABFD" wp14:editId="416DBC5B">
            <wp:extent cx="6012873" cy="3211280"/>
            <wp:effectExtent l="0" t="0" r="6985" b="8255"/>
            <wp:docPr id="24169621" name="Slika 2416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23145" cy="3216766"/>
                    </a:xfrm>
                    <a:prstGeom prst="rect">
                      <a:avLst/>
                    </a:prstGeom>
                    <a:noFill/>
                  </pic:spPr>
                </pic:pic>
              </a:graphicData>
            </a:graphic>
          </wp:inline>
        </w:drawing>
      </w:r>
    </w:p>
    <w:p w14:paraId="03142061" w14:textId="3E78D316" w:rsidR="007077A1" w:rsidRPr="005B2A49" w:rsidRDefault="007077A1" w:rsidP="007613FE">
      <w:pPr>
        <w:pStyle w:val="ZPtekst"/>
        <w:spacing w:before="0" w:line="260" w:lineRule="atLeast"/>
        <w:rPr>
          <w:i/>
          <w:sz w:val="18"/>
          <w:szCs w:val="20"/>
        </w:rPr>
      </w:pPr>
      <w:r w:rsidRPr="005B2A49">
        <w:rPr>
          <w:i/>
          <w:sz w:val="18"/>
          <w:szCs w:val="20"/>
        </w:rPr>
        <w:t>Vir: DG-AGRI, Indicator Dashboard (kazalnik stanja C.30:  Kmetijski uvoz in izvoz (I.06)</w:t>
      </w:r>
      <w:r w:rsidR="00EF1C53">
        <w:rPr>
          <w:i/>
          <w:sz w:val="18"/>
          <w:szCs w:val="20"/>
        </w:rPr>
        <w:t xml:space="preserve">; </w:t>
      </w:r>
      <w:r w:rsidR="00EF1C53" w:rsidRPr="00EF1C53">
        <w:rPr>
          <w:i/>
          <w:sz w:val="18"/>
          <w:szCs w:val="20"/>
        </w:rPr>
        <w:t>https://agridata.ec.europa.eu/extensions/DashboardIndicators/DataExplorer.html</w:t>
      </w:r>
      <w:r w:rsidR="00EF1C53" w:rsidRPr="005B2A49">
        <w:rPr>
          <w:i/>
          <w:sz w:val="18"/>
          <w:szCs w:val="20"/>
        </w:rPr>
        <w:t>)</w:t>
      </w:r>
    </w:p>
    <w:p w14:paraId="128F14A5" w14:textId="77777777" w:rsidR="007077A1" w:rsidRDefault="007077A1" w:rsidP="007613FE">
      <w:pPr>
        <w:pStyle w:val="ZPtekst"/>
        <w:spacing w:before="0" w:line="260" w:lineRule="atLeast"/>
        <w:rPr>
          <w:sz w:val="20"/>
          <w:szCs w:val="20"/>
        </w:rPr>
      </w:pPr>
    </w:p>
    <w:p w14:paraId="2C26A936" w14:textId="773230CF" w:rsidR="00102C15" w:rsidRDefault="00102C15" w:rsidP="005C6188">
      <w:pPr>
        <w:pStyle w:val="SCPreglednica"/>
      </w:pPr>
      <w:bookmarkStart w:id="3213" w:name="_Toc86822667"/>
      <w:r w:rsidRPr="00451314">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29</w:t>
      </w:r>
      <w:r w:rsidR="009F2591">
        <w:rPr>
          <w:noProof/>
        </w:rPr>
        <w:fldChar w:fldCharType="end"/>
      </w:r>
      <w:r w:rsidRPr="00451314">
        <w:t xml:space="preserve">: </w:t>
      </w:r>
      <w:r>
        <w:t>Skupna vrednost kmetijsko-živilske trgovine, po posameznih letih v obdobju 2010-2020, v mrd EUR</w:t>
      </w:r>
      <w:bookmarkEnd w:id="3213"/>
    </w:p>
    <w:p w14:paraId="53D97EAD" w14:textId="39E8AF71" w:rsidR="00102C15" w:rsidRDefault="00102C15" w:rsidP="007613FE">
      <w:pPr>
        <w:pStyle w:val="ZPtekst"/>
        <w:spacing w:before="0" w:line="260" w:lineRule="atLeast"/>
        <w:rPr>
          <w:sz w:val="20"/>
          <w:szCs w:val="20"/>
        </w:rPr>
      </w:pPr>
      <w:r w:rsidRPr="00102C15">
        <w:rPr>
          <w:noProof/>
          <w:lang w:eastAsia="sl-SI"/>
        </w:rPr>
        <w:drawing>
          <wp:inline distT="0" distB="0" distL="0" distR="0" wp14:anchorId="05FE0F99" wp14:editId="6F8D4C40">
            <wp:extent cx="5760720" cy="2162613"/>
            <wp:effectExtent l="0" t="0" r="0" b="9525"/>
            <wp:docPr id="24169623" name="Slika 241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2162613"/>
                    </a:xfrm>
                    <a:prstGeom prst="rect">
                      <a:avLst/>
                    </a:prstGeom>
                    <a:noFill/>
                    <a:ln>
                      <a:noFill/>
                    </a:ln>
                  </pic:spPr>
                </pic:pic>
              </a:graphicData>
            </a:graphic>
          </wp:inline>
        </w:drawing>
      </w:r>
    </w:p>
    <w:p w14:paraId="79045370" w14:textId="77777777" w:rsidR="00102C15" w:rsidRPr="005B2A49" w:rsidRDefault="00102C15" w:rsidP="00102C15">
      <w:pPr>
        <w:pStyle w:val="ZPtekst"/>
        <w:spacing w:before="0" w:line="260" w:lineRule="atLeast"/>
        <w:rPr>
          <w:i/>
          <w:sz w:val="18"/>
          <w:szCs w:val="20"/>
        </w:rPr>
      </w:pPr>
      <w:r w:rsidRPr="005B2A49">
        <w:rPr>
          <w:i/>
          <w:sz w:val="18"/>
          <w:szCs w:val="20"/>
        </w:rPr>
        <w:t>Vir: DG-AGRI, Indicator Dashboard (kazalnik stanja C.30:  Kmetijski uvoz in izvoz (I.06)</w:t>
      </w:r>
      <w:r>
        <w:rPr>
          <w:i/>
          <w:sz w:val="18"/>
          <w:szCs w:val="20"/>
        </w:rPr>
        <w:t xml:space="preserve">; </w:t>
      </w:r>
      <w:r w:rsidRPr="00EF1C53">
        <w:rPr>
          <w:i/>
          <w:sz w:val="18"/>
          <w:szCs w:val="20"/>
        </w:rPr>
        <w:t>https://agridata.ec.europa.eu/extensions/DashboardIndicators/DataExplorer.html</w:t>
      </w:r>
      <w:r w:rsidRPr="005B2A49">
        <w:rPr>
          <w:i/>
          <w:sz w:val="18"/>
          <w:szCs w:val="20"/>
        </w:rPr>
        <w:t>)</w:t>
      </w:r>
    </w:p>
    <w:p w14:paraId="26773E70" w14:textId="7CC7CCC8" w:rsidR="00102C15" w:rsidRDefault="00102C15" w:rsidP="007613FE">
      <w:pPr>
        <w:pStyle w:val="ZPtekst"/>
        <w:spacing w:before="0" w:line="260" w:lineRule="atLeast"/>
        <w:rPr>
          <w:sz w:val="20"/>
          <w:szCs w:val="20"/>
        </w:rPr>
      </w:pPr>
    </w:p>
    <w:p w14:paraId="18080966" w14:textId="77777777" w:rsidR="00102C15" w:rsidRDefault="00102C15" w:rsidP="007613FE">
      <w:pPr>
        <w:pStyle w:val="ZPtekst"/>
        <w:spacing w:before="0" w:line="260" w:lineRule="atLeast"/>
        <w:rPr>
          <w:sz w:val="20"/>
          <w:szCs w:val="20"/>
        </w:rPr>
      </w:pPr>
    </w:p>
    <w:p w14:paraId="3698D739" w14:textId="5CFF0E26" w:rsidR="00301C1C" w:rsidRPr="005C6188" w:rsidRDefault="00301C1C" w:rsidP="00B558B1">
      <w:r w:rsidRPr="005C6188">
        <w:t>Svetovne cene kmetijskih proizvodov se zaradi odprtosti trgov prelivajo na raven domačih cen, kar povzroča cenovne pritiske in zahteve po zagotavljanju zadostnih količin proizvodov v obdobjih povpraševanja. Cene kmetijskih in živilskih proizvodov v Sloveniji so podvržene razmeram na tujih trgih in se prilagajajo uvoznim cenam.</w:t>
      </w:r>
      <w:r w:rsidR="00925249">
        <w:t xml:space="preserve"> </w:t>
      </w:r>
    </w:p>
    <w:p w14:paraId="313680C4" w14:textId="77777777" w:rsidR="00301C1C" w:rsidRPr="005C6188" w:rsidRDefault="00301C1C" w:rsidP="00B558B1"/>
    <w:p w14:paraId="03DF7A18" w14:textId="24127F39" w:rsidR="00925249" w:rsidRDefault="00925249" w:rsidP="00B558B1">
      <w:r>
        <w:t xml:space="preserve">Trgovinska bilanca z agro-živilskimi proizvodi je </w:t>
      </w:r>
      <w:r w:rsidR="005A59A3">
        <w:t xml:space="preserve">– kot že omenjeno – </w:t>
      </w:r>
      <w:r>
        <w:t xml:space="preserve">negativna, kar pomeni, da je izvoz agro-živilskih proizvodov manjši od uvoza. Izvozna usmerjenost agro-živilske panoge se sicer postopno povečuje, kar kaže na povečevanje njene konkurenčnosti na tujih trgih. </w:t>
      </w:r>
      <w:r w:rsidRPr="009F3567">
        <w:t xml:space="preserve">Zunanjetrgovinska bilanca agroživilstva po tarifnih skupinah </w:t>
      </w:r>
      <w:r>
        <w:t xml:space="preserve">v obdobju 2007–2019 pokaže, da se izvažajo predvsem žive živali in izdelki iz mesa, torej predvsem surovina, </w:t>
      </w:r>
      <w:r w:rsidRPr="005C6188">
        <w:t xml:space="preserve">kar je slabost z vidika doseganja višje dodane vrednosti izvoza. </w:t>
      </w:r>
      <w:r>
        <w:t xml:space="preserve">Hkrati </w:t>
      </w:r>
      <w:r w:rsidR="000B1D1C">
        <w:t xml:space="preserve">pa </w:t>
      </w:r>
      <w:r>
        <w:t xml:space="preserve">to dejstvo </w:t>
      </w:r>
      <w:r w:rsidR="000B1D1C">
        <w:t xml:space="preserve">in pa negativna trgovinska bilanca </w:t>
      </w:r>
      <w:r>
        <w:t>nakazuje</w:t>
      </w:r>
      <w:r w:rsidR="000B1D1C">
        <w:t>ta</w:t>
      </w:r>
      <w:r>
        <w:t xml:space="preserve"> na verjetno nezadostno povezanost kmetijske pridelave in predelave v S</w:t>
      </w:r>
      <w:r w:rsidR="000B1D1C">
        <w:t xml:space="preserve">loveniji.   </w:t>
      </w:r>
    </w:p>
    <w:p w14:paraId="67E25EE0" w14:textId="77777777" w:rsidR="000B1D1C" w:rsidRDefault="000B1D1C" w:rsidP="007613FE">
      <w:pPr>
        <w:pStyle w:val="ZPtekst"/>
        <w:spacing w:before="0" w:line="260" w:lineRule="atLeast"/>
        <w:rPr>
          <w:szCs w:val="20"/>
        </w:rPr>
      </w:pPr>
    </w:p>
    <w:p w14:paraId="5D054F54" w14:textId="34735B4B" w:rsidR="003D5D84" w:rsidRPr="005C6188" w:rsidRDefault="003D5D84" w:rsidP="007613FE">
      <w:pPr>
        <w:pStyle w:val="ZPtekst"/>
        <w:spacing w:before="0" w:line="260" w:lineRule="atLeast"/>
        <w:rPr>
          <w:szCs w:val="20"/>
        </w:rPr>
      </w:pPr>
      <w:r w:rsidRPr="005C6188">
        <w:rPr>
          <w:szCs w:val="20"/>
        </w:rPr>
        <w:t xml:space="preserve">Blagovna menjava z agroživilskimi proizvodi se je v letu 2019 povečala za 5,6 % in je presegla 4 </w:t>
      </w:r>
      <w:r w:rsidR="00D53725" w:rsidRPr="005C6188">
        <w:rPr>
          <w:szCs w:val="20"/>
        </w:rPr>
        <w:t>mrd</w:t>
      </w:r>
      <w:r w:rsidRPr="005C6188">
        <w:rPr>
          <w:szCs w:val="20"/>
        </w:rPr>
        <w:t xml:space="preserve"> EUR. Na večjo blagovno menjavo sta vplivala večji izvoz in uvoz, pri čemer se je izvoz povečal glede na leto 2018 za 7 %, uvoz pa za 5 %. V letu 2019 je znašala pokritost uvoza z izvozom 59,0 %. Delež zunanje trgovine z agroživilskimi proizvodi je v letu 2019 pripseval 6,0 % k skupni blagovni menjavi Slovenije z vsemi proizvodi.</w:t>
      </w:r>
    </w:p>
    <w:p w14:paraId="236FD4F4" w14:textId="3B9B865E" w:rsidR="003D5D84" w:rsidRPr="0047652B" w:rsidRDefault="003D5D84" w:rsidP="007613FE">
      <w:pPr>
        <w:pStyle w:val="ZPtekst"/>
        <w:spacing w:before="0" w:line="260" w:lineRule="atLeast"/>
        <w:rPr>
          <w:sz w:val="20"/>
          <w:szCs w:val="20"/>
        </w:rPr>
      </w:pPr>
    </w:p>
    <w:p w14:paraId="144963EB" w14:textId="54104A1D" w:rsidR="003D5D84" w:rsidRDefault="003D5D84" w:rsidP="005C6188">
      <w:pPr>
        <w:pStyle w:val="SCPreglednica"/>
      </w:pPr>
      <w:bookmarkStart w:id="3214" w:name="_Toc86822668"/>
      <w:r w:rsidRPr="009F3567">
        <w:t xml:space="preserve">Tabela </w:t>
      </w:r>
      <w:r w:rsidR="00451314">
        <w:rPr>
          <w:noProof/>
        </w:rPr>
        <w:fldChar w:fldCharType="begin"/>
      </w:r>
      <w:r w:rsidR="00451314">
        <w:rPr>
          <w:noProof/>
        </w:rPr>
        <w:instrText xml:space="preserve"> SEQ Tabela \* ARABIC </w:instrText>
      </w:r>
      <w:r w:rsidR="00451314">
        <w:rPr>
          <w:noProof/>
        </w:rPr>
        <w:fldChar w:fldCharType="separate"/>
      </w:r>
      <w:r w:rsidR="0088117A">
        <w:rPr>
          <w:noProof/>
        </w:rPr>
        <w:t>30</w:t>
      </w:r>
      <w:r w:rsidR="00451314">
        <w:rPr>
          <w:noProof/>
        </w:rPr>
        <w:fldChar w:fldCharType="end"/>
      </w:r>
      <w:r w:rsidRPr="009F3567">
        <w:t xml:space="preserve">: Blagovna menjava agroživilskih proizvodov; </w:t>
      </w:r>
      <w:r>
        <w:t>2015-2019</w:t>
      </w:r>
      <w:bookmarkEnd w:id="3214"/>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521"/>
        <w:gridCol w:w="750"/>
        <w:gridCol w:w="749"/>
        <w:gridCol w:w="749"/>
        <w:gridCol w:w="749"/>
        <w:gridCol w:w="749"/>
        <w:gridCol w:w="695"/>
      </w:tblGrid>
      <w:tr w:rsidR="003D5D84" w:rsidRPr="00DC3E16" w14:paraId="6E0E8F92" w14:textId="77777777" w:rsidTr="004C5161">
        <w:trPr>
          <w:trHeight w:val="227"/>
          <w:jc w:val="center"/>
        </w:trPr>
        <w:tc>
          <w:tcPr>
            <w:tcW w:w="2522" w:type="pct"/>
            <w:shd w:val="clear" w:color="auto" w:fill="C6D9F1" w:themeFill="text2" w:themeFillTint="33"/>
            <w:tcMar>
              <w:left w:w="57" w:type="dxa"/>
              <w:right w:w="57" w:type="dxa"/>
            </w:tcMar>
            <w:vAlign w:val="bottom"/>
          </w:tcPr>
          <w:p w14:paraId="5E8AE897" w14:textId="77777777" w:rsidR="003D5D84" w:rsidRPr="00DC3E16" w:rsidRDefault="003D5D84" w:rsidP="003D5D84">
            <w:pPr>
              <w:spacing w:before="0" w:line="276" w:lineRule="auto"/>
              <w:rPr>
                <w:b/>
                <w:sz w:val="16"/>
                <w:szCs w:val="16"/>
              </w:rPr>
            </w:pPr>
          </w:p>
        </w:tc>
        <w:tc>
          <w:tcPr>
            <w:tcW w:w="418" w:type="pct"/>
            <w:shd w:val="clear" w:color="auto" w:fill="C6D9F1" w:themeFill="text2" w:themeFillTint="33"/>
            <w:tcMar>
              <w:left w:w="57" w:type="dxa"/>
              <w:right w:w="57" w:type="dxa"/>
            </w:tcMar>
            <w:vAlign w:val="bottom"/>
          </w:tcPr>
          <w:p w14:paraId="1209C7DE" w14:textId="77777777" w:rsidR="003D5D84" w:rsidRPr="00DC3E16" w:rsidRDefault="003D5D84" w:rsidP="003D5D84">
            <w:pPr>
              <w:spacing w:before="0" w:line="276" w:lineRule="auto"/>
              <w:rPr>
                <w:b/>
                <w:sz w:val="16"/>
                <w:szCs w:val="16"/>
              </w:rPr>
            </w:pPr>
            <w:r w:rsidRPr="00DC3E16">
              <w:rPr>
                <w:b/>
                <w:sz w:val="16"/>
                <w:szCs w:val="16"/>
              </w:rPr>
              <w:t>2015</w:t>
            </w:r>
          </w:p>
        </w:tc>
        <w:tc>
          <w:tcPr>
            <w:tcW w:w="418" w:type="pct"/>
            <w:shd w:val="clear" w:color="auto" w:fill="C6D9F1" w:themeFill="text2" w:themeFillTint="33"/>
            <w:tcMar>
              <w:left w:w="57" w:type="dxa"/>
              <w:right w:w="57" w:type="dxa"/>
            </w:tcMar>
            <w:vAlign w:val="bottom"/>
          </w:tcPr>
          <w:p w14:paraId="1C454F6A" w14:textId="77777777" w:rsidR="003D5D84" w:rsidRPr="00DC3E16" w:rsidRDefault="003D5D84" w:rsidP="003D5D84">
            <w:pPr>
              <w:spacing w:before="0" w:line="276" w:lineRule="auto"/>
              <w:rPr>
                <w:b/>
                <w:sz w:val="16"/>
                <w:szCs w:val="16"/>
              </w:rPr>
            </w:pPr>
            <w:r w:rsidRPr="00DC3E16">
              <w:rPr>
                <w:b/>
                <w:sz w:val="16"/>
                <w:szCs w:val="16"/>
              </w:rPr>
              <w:t>2016</w:t>
            </w:r>
          </w:p>
        </w:tc>
        <w:tc>
          <w:tcPr>
            <w:tcW w:w="418" w:type="pct"/>
            <w:shd w:val="clear" w:color="auto" w:fill="C6D9F1" w:themeFill="text2" w:themeFillTint="33"/>
            <w:vAlign w:val="bottom"/>
          </w:tcPr>
          <w:p w14:paraId="2A045F17" w14:textId="77777777" w:rsidR="003D5D84" w:rsidRPr="00DC3E16" w:rsidRDefault="003D5D84" w:rsidP="003D5D84">
            <w:pPr>
              <w:spacing w:before="0" w:line="276" w:lineRule="auto"/>
              <w:rPr>
                <w:b/>
                <w:sz w:val="16"/>
                <w:szCs w:val="16"/>
              </w:rPr>
            </w:pPr>
            <w:r w:rsidRPr="00DC3E16">
              <w:rPr>
                <w:b/>
                <w:sz w:val="16"/>
                <w:szCs w:val="16"/>
              </w:rPr>
              <w:t>2017</w:t>
            </w:r>
          </w:p>
        </w:tc>
        <w:tc>
          <w:tcPr>
            <w:tcW w:w="418" w:type="pct"/>
            <w:shd w:val="clear" w:color="auto" w:fill="C6D9F1" w:themeFill="text2" w:themeFillTint="33"/>
            <w:vAlign w:val="bottom"/>
          </w:tcPr>
          <w:p w14:paraId="04C0B712" w14:textId="77777777" w:rsidR="003D5D84" w:rsidRPr="00DC3E16" w:rsidRDefault="003D5D84" w:rsidP="003D5D84">
            <w:pPr>
              <w:spacing w:before="0" w:line="276" w:lineRule="auto"/>
              <w:rPr>
                <w:b/>
                <w:sz w:val="16"/>
                <w:szCs w:val="16"/>
              </w:rPr>
            </w:pPr>
            <w:r w:rsidRPr="00DC3E16">
              <w:rPr>
                <w:b/>
                <w:sz w:val="16"/>
                <w:szCs w:val="16"/>
              </w:rPr>
              <w:t>2018</w:t>
            </w:r>
          </w:p>
        </w:tc>
        <w:tc>
          <w:tcPr>
            <w:tcW w:w="418" w:type="pct"/>
            <w:shd w:val="clear" w:color="auto" w:fill="C6D9F1" w:themeFill="text2" w:themeFillTint="33"/>
            <w:vAlign w:val="bottom"/>
          </w:tcPr>
          <w:p w14:paraId="703BEC7A" w14:textId="77777777" w:rsidR="003D5D84" w:rsidRPr="00DC3E16" w:rsidRDefault="003D5D84" w:rsidP="003D5D84">
            <w:pPr>
              <w:spacing w:before="0" w:line="276" w:lineRule="auto"/>
              <w:rPr>
                <w:b/>
                <w:sz w:val="16"/>
                <w:szCs w:val="16"/>
              </w:rPr>
            </w:pPr>
            <w:r w:rsidRPr="00DC3E16">
              <w:rPr>
                <w:b/>
                <w:sz w:val="16"/>
                <w:szCs w:val="16"/>
              </w:rPr>
              <w:t>2019*</w:t>
            </w:r>
          </w:p>
        </w:tc>
        <w:tc>
          <w:tcPr>
            <w:tcW w:w="388" w:type="pct"/>
            <w:shd w:val="clear" w:color="auto" w:fill="C6D9F1" w:themeFill="text2" w:themeFillTint="33"/>
            <w:tcMar>
              <w:left w:w="57" w:type="dxa"/>
              <w:right w:w="57" w:type="dxa"/>
            </w:tcMar>
            <w:vAlign w:val="bottom"/>
          </w:tcPr>
          <w:p w14:paraId="45EBF457" w14:textId="77777777" w:rsidR="003D5D84" w:rsidRPr="00DC3E16" w:rsidRDefault="003D5D84" w:rsidP="003D5D84">
            <w:pPr>
              <w:spacing w:before="0" w:line="276" w:lineRule="auto"/>
              <w:rPr>
                <w:b/>
                <w:sz w:val="16"/>
                <w:szCs w:val="16"/>
              </w:rPr>
            </w:pPr>
            <w:r w:rsidRPr="00DC3E16">
              <w:rPr>
                <w:b/>
                <w:sz w:val="16"/>
                <w:szCs w:val="16"/>
              </w:rPr>
              <w:t>Indeks</w:t>
            </w:r>
          </w:p>
          <w:p w14:paraId="0809765D" w14:textId="77777777" w:rsidR="003D5D84" w:rsidRPr="00DC3E16" w:rsidRDefault="003D5D84" w:rsidP="003D5D84">
            <w:pPr>
              <w:spacing w:before="0" w:line="276" w:lineRule="auto"/>
              <w:rPr>
                <w:b/>
                <w:sz w:val="16"/>
                <w:szCs w:val="16"/>
              </w:rPr>
            </w:pPr>
            <w:r w:rsidRPr="00DC3E16">
              <w:rPr>
                <w:b/>
                <w:sz w:val="16"/>
                <w:szCs w:val="16"/>
              </w:rPr>
              <w:t>2019/18</w:t>
            </w:r>
          </w:p>
        </w:tc>
      </w:tr>
      <w:tr w:rsidR="003D5D84" w:rsidRPr="00DC3E16" w14:paraId="1B361B4E" w14:textId="77777777" w:rsidTr="004C5161">
        <w:trPr>
          <w:trHeight w:val="227"/>
          <w:jc w:val="center"/>
        </w:trPr>
        <w:tc>
          <w:tcPr>
            <w:tcW w:w="2522" w:type="pct"/>
            <w:shd w:val="clear" w:color="auto" w:fill="C6D9F1" w:themeFill="text2" w:themeFillTint="33"/>
            <w:tcMar>
              <w:left w:w="57" w:type="dxa"/>
              <w:right w:w="57" w:type="dxa"/>
            </w:tcMar>
            <w:vAlign w:val="bottom"/>
          </w:tcPr>
          <w:p w14:paraId="3FA6C050" w14:textId="77777777" w:rsidR="003D5D84" w:rsidRPr="00DC3E16" w:rsidRDefault="003D5D84" w:rsidP="003D5D84">
            <w:pPr>
              <w:spacing w:before="0" w:line="276" w:lineRule="auto"/>
              <w:rPr>
                <w:sz w:val="16"/>
                <w:szCs w:val="16"/>
              </w:rPr>
            </w:pPr>
            <w:r w:rsidRPr="00DC3E16">
              <w:rPr>
                <w:sz w:val="16"/>
                <w:szCs w:val="16"/>
              </w:rPr>
              <w:t>Blagovna menjava agroživilstva (mio EUR)</w:t>
            </w:r>
          </w:p>
        </w:tc>
        <w:tc>
          <w:tcPr>
            <w:tcW w:w="418" w:type="pct"/>
            <w:shd w:val="clear" w:color="auto" w:fill="C6D9F1" w:themeFill="text2" w:themeFillTint="33"/>
            <w:tcMar>
              <w:left w:w="57" w:type="dxa"/>
              <w:right w:w="57" w:type="dxa"/>
            </w:tcMar>
            <w:vAlign w:val="bottom"/>
          </w:tcPr>
          <w:p w14:paraId="7B2C82AB" w14:textId="77777777" w:rsidR="003D5D84" w:rsidRPr="00DC3E16" w:rsidRDefault="003D5D84" w:rsidP="003D5D84">
            <w:pPr>
              <w:spacing w:before="0" w:line="276" w:lineRule="auto"/>
              <w:rPr>
                <w:sz w:val="16"/>
                <w:szCs w:val="16"/>
              </w:rPr>
            </w:pPr>
            <w:r w:rsidRPr="00DC3E16">
              <w:rPr>
                <w:sz w:val="16"/>
                <w:szCs w:val="16"/>
              </w:rPr>
              <w:t>3.157,5</w:t>
            </w:r>
          </w:p>
        </w:tc>
        <w:tc>
          <w:tcPr>
            <w:tcW w:w="418" w:type="pct"/>
            <w:shd w:val="clear" w:color="auto" w:fill="C6D9F1" w:themeFill="text2" w:themeFillTint="33"/>
            <w:tcMar>
              <w:left w:w="57" w:type="dxa"/>
              <w:right w:w="57" w:type="dxa"/>
            </w:tcMar>
            <w:vAlign w:val="bottom"/>
          </w:tcPr>
          <w:p w14:paraId="759DD081" w14:textId="77777777" w:rsidR="003D5D84" w:rsidRPr="00DC3E16" w:rsidRDefault="003D5D84" w:rsidP="003D5D84">
            <w:pPr>
              <w:spacing w:before="0" w:line="276" w:lineRule="auto"/>
              <w:rPr>
                <w:sz w:val="16"/>
                <w:szCs w:val="16"/>
              </w:rPr>
            </w:pPr>
            <w:r w:rsidRPr="00DC3E16">
              <w:rPr>
                <w:sz w:val="16"/>
                <w:szCs w:val="16"/>
              </w:rPr>
              <w:t>3.319,0</w:t>
            </w:r>
          </w:p>
        </w:tc>
        <w:tc>
          <w:tcPr>
            <w:tcW w:w="418" w:type="pct"/>
            <w:shd w:val="clear" w:color="auto" w:fill="C6D9F1" w:themeFill="text2" w:themeFillTint="33"/>
            <w:vAlign w:val="bottom"/>
          </w:tcPr>
          <w:p w14:paraId="4254E4C4" w14:textId="77777777" w:rsidR="003D5D84" w:rsidRPr="00DC3E16" w:rsidRDefault="003D5D84" w:rsidP="003D5D84">
            <w:pPr>
              <w:spacing w:before="0" w:line="276" w:lineRule="auto"/>
              <w:rPr>
                <w:sz w:val="16"/>
                <w:szCs w:val="16"/>
              </w:rPr>
            </w:pPr>
            <w:r w:rsidRPr="00DC3E16">
              <w:rPr>
                <w:sz w:val="16"/>
                <w:szCs w:val="16"/>
              </w:rPr>
              <w:t>3.602,1</w:t>
            </w:r>
          </w:p>
        </w:tc>
        <w:tc>
          <w:tcPr>
            <w:tcW w:w="418" w:type="pct"/>
            <w:shd w:val="clear" w:color="auto" w:fill="C6D9F1" w:themeFill="text2" w:themeFillTint="33"/>
            <w:vAlign w:val="bottom"/>
          </w:tcPr>
          <w:p w14:paraId="4DD90F70" w14:textId="77777777" w:rsidR="003D5D84" w:rsidRPr="00DC3E16" w:rsidRDefault="003D5D84" w:rsidP="003D5D84">
            <w:pPr>
              <w:spacing w:before="0" w:line="276" w:lineRule="auto"/>
              <w:rPr>
                <w:sz w:val="16"/>
                <w:szCs w:val="16"/>
              </w:rPr>
            </w:pPr>
            <w:r w:rsidRPr="00DC3E16">
              <w:rPr>
                <w:sz w:val="16"/>
                <w:szCs w:val="16"/>
              </w:rPr>
              <w:t>3.868,0</w:t>
            </w:r>
          </w:p>
        </w:tc>
        <w:tc>
          <w:tcPr>
            <w:tcW w:w="418" w:type="pct"/>
            <w:shd w:val="clear" w:color="auto" w:fill="C6D9F1" w:themeFill="text2" w:themeFillTint="33"/>
            <w:vAlign w:val="bottom"/>
          </w:tcPr>
          <w:p w14:paraId="1B322C88" w14:textId="77777777" w:rsidR="003D5D84" w:rsidRPr="00DC3E16" w:rsidRDefault="003D5D84" w:rsidP="003D5D84">
            <w:pPr>
              <w:spacing w:before="0" w:line="276" w:lineRule="auto"/>
              <w:rPr>
                <w:sz w:val="16"/>
                <w:szCs w:val="16"/>
              </w:rPr>
            </w:pPr>
            <w:r w:rsidRPr="00DC3E16">
              <w:rPr>
                <w:sz w:val="16"/>
                <w:szCs w:val="16"/>
              </w:rPr>
              <w:t>4.085,3</w:t>
            </w:r>
          </w:p>
        </w:tc>
        <w:tc>
          <w:tcPr>
            <w:tcW w:w="388" w:type="pct"/>
            <w:shd w:val="clear" w:color="auto" w:fill="C6D9F1" w:themeFill="text2" w:themeFillTint="33"/>
            <w:tcMar>
              <w:left w:w="57" w:type="dxa"/>
              <w:right w:w="57" w:type="dxa"/>
            </w:tcMar>
            <w:vAlign w:val="bottom"/>
          </w:tcPr>
          <w:p w14:paraId="6EE32602" w14:textId="77777777" w:rsidR="003D5D84" w:rsidRPr="00DC3E16" w:rsidRDefault="003D5D84" w:rsidP="003D5D84">
            <w:pPr>
              <w:spacing w:before="0" w:line="276" w:lineRule="auto"/>
              <w:rPr>
                <w:sz w:val="16"/>
                <w:szCs w:val="16"/>
              </w:rPr>
            </w:pPr>
            <w:r w:rsidRPr="00DC3E16">
              <w:rPr>
                <w:sz w:val="16"/>
                <w:szCs w:val="16"/>
              </w:rPr>
              <w:t>105,6</w:t>
            </w:r>
          </w:p>
        </w:tc>
      </w:tr>
      <w:tr w:rsidR="003D5D84" w:rsidRPr="00DC3E16" w14:paraId="5A5EC0D5" w14:textId="77777777" w:rsidTr="004C5161">
        <w:trPr>
          <w:trHeight w:val="227"/>
          <w:jc w:val="center"/>
        </w:trPr>
        <w:tc>
          <w:tcPr>
            <w:tcW w:w="2522" w:type="pct"/>
            <w:shd w:val="clear" w:color="auto" w:fill="auto"/>
            <w:tcMar>
              <w:left w:w="57" w:type="dxa"/>
              <w:right w:w="57" w:type="dxa"/>
            </w:tcMar>
            <w:vAlign w:val="bottom"/>
          </w:tcPr>
          <w:p w14:paraId="05C24D7D" w14:textId="77777777" w:rsidR="003D5D84" w:rsidRPr="00DC3E16" w:rsidRDefault="003D5D84" w:rsidP="003D5D84">
            <w:pPr>
              <w:spacing w:before="0" w:line="276" w:lineRule="auto"/>
              <w:rPr>
                <w:sz w:val="16"/>
                <w:szCs w:val="16"/>
              </w:rPr>
            </w:pPr>
            <w:r w:rsidRPr="00DC3E16">
              <w:rPr>
                <w:sz w:val="16"/>
                <w:szCs w:val="16"/>
              </w:rPr>
              <w:t>– izvoz (mio EUR)</w:t>
            </w:r>
          </w:p>
        </w:tc>
        <w:tc>
          <w:tcPr>
            <w:tcW w:w="418" w:type="pct"/>
            <w:shd w:val="clear" w:color="auto" w:fill="auto"/>
            <w:tcMar>
              <w:left w:w="57" w:type="dxa"/>
              <w:right w:w="57" w:type="dxa"/>
            </w:tcMar>
            <w:vAlign w:val="bottom"/>
          </w:tcPr>
          <w:p w14:paraId="0A237933" w14:textId="77777777" w:rsidR="003D5D84" w:rsidRPr="00DC3E16" w:rsidRDefault="003D5D84" w:rsidP="003D5D84">
            <w:pPr>
              <w:spacing w:before="0" w:line="276" w:lineRule="auto"/>
              <w:rPr>
                <w:sz w:val="16"/>
                <w:szCs w:val="16"/>
              </w:rPr>
            </w:pPr>
            <w:r w:rsidRPr="00DC3E16">
              <w:rPr>
                <w:sz w:val="16"/>
                <w:szCs w:val="16"/>
              </w:rPr>
              <w:t>1.060,1</w:t>
            </w:r>
          </w:p>
        </w:tc>
        <w:tc>
          <w:tcPr>
            <w:tcW w:w="418" w:type="pct"/>
            <w:shd w:val="clear" w:color="auto" w:fill="auto"/>
            <w:tcMar>
              <w:left w:w="57" w:type="dxa"/>
              <w:right w:w="57" w:type="dxa"/>
            </w:tcMar>
            <w:vAlign w:val="bottom"/>
          </w:tcPr>
          <w:p w14:paraId="0DED4344" w14:textId="77777777" w:rsidR="003D5D84" w:rsidRPr="00DC3E16" w:rsidRDefault="003D5D84" w:rsidP="003D5D84">
            <w:pPr>
              <w:spacing w:before="0" w:line="276" w:lineRule="auto"/>
              <w:rPr>
                <w:sz w:val="16"/>
                <w:szCs w:val="16"/>
              </w:rPr>
            </w:pPr>
            <w:r w:rsidRPr="00DC3E16">
              <w:rPr>
                <w:sz w:val="16"/>
                <w:szCs w:val="16"/>
              </w:rPr>
              <w:t>1.137,6</w:t>
            </w:r>
          </w:p>
        </w:tc>
        <w:tc>
          <w:tcPr>
            <w:tcW w:w="418" w:type="pct"/>
            <w:shd w:val="clear" w:color="auto" w:fill="auto"/>
            <w:vAlign w:val="bottom"/>
          </w:tcPr>
          <w:p w14:paraId="623A41D9" w14:textId="77777777" w:rsidR="003D5D84" w:rsidRPr="00DC3E16" w:rsidRDefault="003D5D84" w:rsidP="003D5D84">
            <w:pPr>
              <w:spacing w:before="0" w:line="276" w:lineRule="auto"/>
              <w:rPr>
                <w:sz w:val="16"/>
                <w:szCs w:val="16"/>
              </w:rPr>
            </w:pPr>
            <w:r w:rsidRPr="00DC3E16">
              <w:rPr>
                <w:sz w:val="16"/>
                <w:szCs w:val="16"/>
              </w:rPr>
              <w:t>1.270,5</w:t>
            </w:r>
          </w:p>
        </w:tc>
        <w:tc>
          <w:tcPr>
            <w:tcW w:w="418" w:type="pct"/>
            <w:shd w:val="clear" w:color="auto" w:fill="auto"/>
            <w:vAlign w:val="bottom"/>
          </w:tcPr>
          <w:p w14:paraId="6FFCF9DF" w14:textId="77777777" w:rsidR="003D5D84" w:rsidRPr="00DC3E16" w:rsidRDefault="003D5D84" w:rsidP="003D5D84">
            <w:pPr>
              <w:spacing w:before="0" w:line="276" w:lineRule="auto"/>
              <w:rPr>
                <w:sz w:val="16"/>
                <w:szCs w:val="16"/>
              </w:rPr>
            </w:pPr>
            <w:r w:rsidRPr="00DC3E16">
              <w:rPr>
                <w:sz w:val="16"/>
                <w:szCs w:val="16"/>
              </w:rPr>
              <w:t>1.415,5</w:t>
            </w:r>
          </w:p>
        </w:tc>
        <w:tc>
          <w:tcPr>
            <w:tcW w:w="418" w:type="pct"/>
            <w:shd w:val="clear" w:color="auto" w:fill="auto"/>
            <w:vAlign w:val="bottom"/>
          </w:tcPr>
          <w:p w14:paraId="570ACA42" w14:textId="77777777" w:rsidR="003D5D84" w:rsidRPr="00DC3E16" w:rsidRDefault="003D5D84" w:rsidP="003D5D84">
            <w:pPr>
              <w:spacing w:before="0" w:line="276" w:lineRule="auto"/>
              <w:rPr>
                <w:sz w:val="16"/>
                <w:szCs w:val="16"/>
              </w:rPr>
            </w:pPr>
            <w:r w:rsidRPr="00DC3E16">
              <w:rPr>
                <w:sz w:val="16"/>
                <w:szCs w:val="16"/>
              </w:rPr>
              <w:t>1.515,6</w:t>
            </w:r>
          </w:p>
        </w:tc>
        <w:tc>
          <w:tcPr>
            <w:tcW w:w="388" w:type="pct"/>
            <w:shd w:val="clear" w:color="auto" w:fill="auto"/>
            <w:tcMar>
              <w:left w:w="57" w:type="dxa"/>
              <w:right w:w="57" w:type="dxa"/>
            </w:tcMar>
            <w:vAlign w:val="bottom"/>
          </w:tcPr>
          <w:p w14:paraId="53FE35B2" w14:textId="77777777" w:rsidR="003D5D84" w:rsidRPr="00DC3E16" w:rsidRDefault="003D5D84" w:rsidP="003D5D84">
            <w:pPr>
              <w:spacing w:before="0" w:line="276" w:lineRule="auto"/>
              <w:rPr>
                <w:sz w:val="16"/>
                <w:szCs w:val="16"/>
              </w:rPr>
            </w:pPr>
            <w:r w:rsidRPr="00DC3E16">
              <w:rPr>
                <w:sz w:val="16"/>
                <w:szCs w:val="16"/>
              </w:rPr>
              <w:t>107,1</w:t>
            </w:r>
          </w:p>
        </w:tc>
      </w:tr>
      <w:tr w:rsidR="003D5D84" w:rsidRPr="00DC3E16" w14:paraId="74E14DB3" w14:textId="77777777" w:rsidTr="004C5161">
        <w:trPr>
          <w:trHeight w:val="227"/>
          <w:jc w:val="center"/>
        </w:trPr>
        <w:tc>
          <w:tcPr>
            <w:tcW w:w="2522" w:type="pct"/>
            <w:shd w:val="clear" w:color="auto" w:fill="C6D9F1" w:themeFill="text2" w:themeFillTint="33"/>
            <w:tcMar>
              <w:left w:w="57" w:type="dxa"/>
              <w:right w:w="57" w:type="dxa"/>
            </w:tcMar>
            <w:vAlign w:val="bottom"/>
          </w:tcPr>
          <w:p w14:paraId="00189D0D" w14:textId="77777777" w:rsidR="003D5D84" w:rsidRPr="00DC3E16" w:rsidRDefault="003D5D84" w:rsidP="003D5D84">
            <w:pPr>
              <w:spacing w:before="0" w:line="276" w:lineRule="auto"/>
              <w:rPr>
                <w:sz w:val="16"/>
                <w:szCs w:val="16"/>
              </w:rPr>
            </w:pPr>
            <w:r w:rsidRPr="00DC3E16">
              <w:rPr>
                <w:sz w:val="16"/>
                <w:szCs w:val="16"/>
              </w:rPr>
              <w:t>– uvoz (mio EUR)</w:t>
            </w:r>
          </w:p>
        </w:tc>
        <w:tc>
          <w:tcPr>
            <w:tcW w:w="418" w:type="pct"/>
            <w:shd w:val="clear" w:color="auto" w:fill="C6D9F1" w:themeFill="text2" w:themeFillTint="33"/>
            <w:tcMar>
              <w:left w:w="57" w:type="dxa"/>
              <w:right w:w="57" w:type="dxa"/>
            </w:tcMar>
            <w:vAlign w:val="bottom"/>
          </w:tcPr>
          <w:p w14:paraId="4B4D9DE4" w14:textId="77777777" w:rsidR="003D5D84" w:rsidRPr="00DC3E16" w:rsidRDefault="003D5D84" w:rsidP="003D5D84">
            <w:pPr>
              <w:spacing w:before="0" w:line="276" w:lineRule="auto"/>
              <w:rPr>
                <w:sz w:val="16"/>
                <w:szCs w:val="16"/>
              </w:rPr>
            </w:pPr>
            <w:r w:rsidRPr="00DC3E16">
              <w:rPr>
                <w:sz w:val="16"/>
                <w:szCs w:val="16"/>
              </w:rPr>
              <w:t>2.097,4</w:t>
            </w:r>
          </w:p>
        </w:tc>
        <w:tc>
          <w:tcPr>
            <w:tcW w:w="418" w:type="pct"/>
            <w:shd w:val="clear" w:color="auto" w:fill="C6D9F1" w:themeFill="text2" w:themeFillTint="33"/>
            <w:tcMar>
              <w:left w:w="57" w:type="dxa"/>
              <w:right w:w="57" w:type="dxa"/>
            </w:tcMar>
            <w:vAlign w:val="bottom"/>
          </w:tcPr>
          <w:p w14:paraId="7BAF0712" w14:textId="77777777" w:rsidR="003D5D84" w:rsidRPr="00DC3E16" w:rsidRDefault="003D5D84" w:rsidP="003D5D84">
            <w:pPr>
              <w:spacing w:before="0" w:line="276" w:lineRule="auto"/>
              <w:rPr>
                <w:sz w:val="16"/>
                <w:szCs w:val="16"/>
              </w:rPr>
            </w:pPr>
            <w:r w:rsidRPr="00DC3E16">
              <w:rPr>
                <w:sz w:val="16"/>
                <w:szCs w:val="16"/>
              </w:rPr>
              <w:t>2.181,3</w:t>
            </w:r>
          </w:p>
        </w:tc>
        <w:tc>
          <w:tcPr>
            <w:tcW w:w="418" w:type="pct"/>
            <w:shd w:val="clear" w:color="auto" w:fill="C6D9F1" w:themeFill="text2" w:themeFillTint="33"/>
            <w:vAlign w:val="bottom"/>
          </w:tcPr>
          <w:p w14:paraId="04AF43D1" w14:textId="77777777" w:rsidR="003D5D84" w:rsidRPr="00DC3E16" w:rsidRDefault="003D5D84" w:rsidP="003D5D84">
            <w:pPr>
              <w:spacing w:before="0" w:line="276" w:lineRule="auto"/>
              <w:rPr>
                <w:sz w:val="16"/>
                <w:szCs w:val="16"/>
              </w:rPr>
            </w:pPr>
            <w:r w:rsidRPr="00DC3E16">
              <w:rPr>
                <w:sz w:val="16"/>
                <w:szCs w:val="16"/>
              </w:rPr>
              <w:t>2.331,6</w:t>
            </w:r>
          </w:p>
        </w:tc>
        <w:tc>
          <w:tcPr>
            <w:tcW w:w="418" w:type="pct"/>
            <w:shd w:val="clear" w:color="auto" w:fill="C6D9F1" w:themeFill="text2" w:themeFillTint="33"/>
            <w:vAlign w:val="bottom"/>
          </w:tcPr>
          <w:p w14:paraId="52C94938" w14:textId="77777777" w:rsidR="003D5D84" w:rsidRPr="00DC3E16" w:rsidRDefault="003D5D84" w:rsidP="003D5D84">
            <w:pPr>
              <w:spacing w:before="0" w:line="276" w:lineRule="auto"/>
              <w:rPr>
                <w:sz w:val="16"/>
                <w:szCs w:val="16"/>
              </w:rPr>
            </w:pPr>
            <w:r w:rsidRPr="00DC3E16">
              <w:rPr>
                <w:sz w:val="16"/>
                <w:szCs w:val="16"/>
              </w:rPr>
              <w:t>2.452,5</w:t>
            </w:r>
          </w:p>
        </w:tc>
        <w:tc>
          <w:tcPr>
            <w:tcW w:w="418" w:type="pct"/>
            <w:shd w:val="clear" w:color="auto" w:fill="C6D9F1" w:themeFill="text2" w:themeFillTint="33"/>
            <w:vAlign w:val="bottom"/>
          </w:tcPr>
          <w:p w14:paraId="0F0ACE33" w14:textId="77777777" w:rsidR="003D5D84" w:rsidRPr="00DC3E16" w:rsidRDefault="003D5D84" w:rsidP="003D5D84">
            <w:pPr>
              <w:spacing w:before="0" w:line="276" w:lineRule="auto"/>
              <w:rPr>
                <w:sz w:val="16"/>
                <w:szCs w:val="16"/>
              </w:rPr>
            </w:pPr>
            <w:r w:rsidRPr="00DC3E16">
              <w:rPr>
                <w:sz w:val="16"/>
                <w:szCs w:val="16"/>
              </w:rPr>
              <w:t>2.569,8</w:t>
            </w:r>
          </w:p>
        </w:tc>
        <w:tc>
          <w:tcPr>
            <w:tcW w:w="388" w:type="pct"/>
            <w:shd w:val="clear" w:color="auto" w:fill="C6D9F1" w:themeFill="text2" w:themeFillTint="33"/>
            <w:tcMar>
              <w:left w:w="57" w:type="dxa"/>
              <w:right w:w="57" w:type="dxa"/>
            </w:tcMar>
            <w:vAlign w:val="bottom"/>
          </w:tcPr>
          <w:p w14:paraId="2C9540BD" w14:textId="77777777" w:rsidR="003D5D84" w:rsidRPr="00DC3E16" w:rsidRDefault="003D5D84" w:rsidP="003D5D84">
            <w:pPr>
              <w:spacing w:before="0" w:line="276" w:lineRule="auto"/>
              <w:rPr>
                <w:sz w:val="16"/>
                <w:szCs w:val="16"/>
              </w:rPr>
            </w:pPr>
            <w:r w:rsidRPr="00DC3E16">
              <w:rPr>
                <w:sz w:val="16"/>
                <w:szCs w:val="16"/>
              </w:rPr>
              <w:t>104,8</w:t>
            </w:r>
          </w:p>
        </w:tc>
      </w:tr>
      <w:tr w:rsidR="003D5D84" w:rsidRPr="00DC3E16" w14:paraId="334EEFD3" w14:textId="77777777" w:rsidTr="004C5161">
        <w:trPr>
          <w:trHeight w:val="227"/>
          <w:jc w:val="center"/>
        </w:trPr>
        <w:tc>
          <w:tcPr>
            <w:tcW w:w="2522" w:type="pct"/>
            <w:shd w:val="clear" w:color="auto" w:fill="C6D9F1" w:themeFill="text2" w:themeFillTint="33"/>
            <w:tcMar>
              <w:left w:w="57" w:type="dxa"/>
              <w:right w:w="57" w:type="dxa"/>
            </w:tcMar>
            <w:vAlign w:val="bottom"/>
          </w:tcPr>
          <w:p w14:paraId="026ED154" w14:textId="77777777" w:rsidR="003D5D84" w:rsidRPr="00DC3E16" w:rsidRDefault="003D5D84" w:rsidP="003D5D84">
            <w:pPr>
              <w:spacing w:before="0" w:line="276" w:lineRule="auto"/>
              <w:rPr>
                <w:sz w:val="16"/>
                <w:szCs w:val="16"/>
              </w:rPr>
            </w:pPr>
            <w:r w:rsidRPr="00DC3E16">
              <w:rPr>
                <w:sz w:val="16"/>
                <w:szCs w:val="16"/>
              </w:rPr>
              <w:t>– bilanca (mio EUR)</w:t>
            </w:r>
          </w:p>
        </w:tc>
        <w:tc>
          <w:tcPr>
            <w:tcW w:w="418" w:type="pct"/>
            <w:shd w:val="clear" w:color="auto" w:fill="C6D9F1" w:themeFill="text2" w:themeFillTint="33"/>
            <w:tcMar>
              <w:left w:w="57" w:type="dxa"/>
              <w:right w:w="57" w:type="dxa"/>
            </w:tcMar>
            <w:vAlign w:val="bottom"/>
          </w:tcPr>
          <w:p w14:paraId="70613C62" w14:textId="77777777" w:rsidR="003D5D84" w:rsidRPr="00DC3E16" w:rsidRDefault="003D5D84" w:rsidP="003D5D84">
            <w:pPr>
              <w:spacing w:before="0" w:line="276" w:lineRule="auto"/>
              <w:rPr>
                <w:sz w:val="16"/>
                <w:szCs w:val="16"/>
              </w:rPr>
            </w:pPr>
            <w:r w:rsidRPr="00DC3E16">
              <w:rPr>
                <w:sz w:val="16"/>
                <w:szCs w:val="16"/>
              </w:rPr>
              <w:t>–1.037,3</w:t>
            </w:r>
          </w:p>
        </w:tc>
        <w:tc>
          <w:tcPr>
            <w:tcW w:w="418" w:type="pct"/>
            <w:shd w:val="clear" w:color="auto" w:fill="C6D9F1" w:themeFill="text2" w:themeFillTint="33"/>
            <w:tcMar>
              <w:left w:w="57" w:type="dxa"/>
              <w:right w:w="57" w:type="dxa"/>
            </w:tcMar>
            <w:vAlign w:val="bottom"/>
          </w:tcPr>
          <w:p w14:paraId="5D5676A2" w14:textId="77777777" w:rsidR="003D5D84" w:rsidRPr="00DC3E16" w:rsidRDefault="003D5D84" w:rsidP="003D5D84">
            <w:pPr>
              <w:spacing w:before="0" w:line="276" w:lineRule="auto"/>
              <w:rPr>
                <w:sz w:val="16"/>
                <w:szCs w:val="16"/>
              </w:rPr>
            </w:pPr>
            <w:r w:rsidRPr="00DC3E16">
              <w:rPr>
                <w:sz w:val="16"/>
                <w:szCs w:val="16"/>
              </w:rPr>
              <w:t>–1.043,7</w:t>
            </w:r>
          </w:p>
        </w:tc>
        <w:tc>
          <w:tcPr>
            <w:tcW w:w="418" w:type="pct"/>
            <w:shd w:val="clear" w:color="auto" w:fill="C6D9F1" w:themeFill="text2" w:themeFillTint="33"/>
            <w:vAlign w:val="bottom"/>
          </w:tcPr>
          <w:p w14:paraId="59121F82" w14:textId="77777777" w:rsidR="003D5D84" w:rsidRPr="00DC3E16" w:rsidRDefault="003D5D84" w:rsidP="003D5D84">
            <w:pPr>
              <w:spacing w:before="0" w:line="276" w:lineRule="auto"/>
              <w:rPr>
                <w:sz w:val="16"/>
                <w:szCs w:val="16"/>
              </w:rPr>
            </w:pPr>
            <w:r w:rsidRPr="00DC3E16">
              <w:rPr>
                <w:sz w:val="16"/>
                <w:szCs w:val="16"/>
              </w:rPr>
              <w:t>–1.061,1</w:t>
            </w:r>
          </w:p>
        </w:tc>
        <w:tc>
          <w:tcPr>
            <w:tcW w:w="418" w:type="pct"/>
            <w:shd w:val="clear" w:color="auto" w:fill="C6D9F1" w:themeFill="text2" w:themeFillTint="33"/>
            <w:vAlign w:val="bottom"/>
          </w:tcPr>
          <w:p w14:paraId="274FA554" w14:textId="77777777" w:rsidR="003D5D84" w:rsidRPr="00DC3E16" w:rsidRDefault="003D5D84" w:rsidP="003D5D84">
            <w:pPr>
              <w:spacing w:before="0" w:line="276" w:lineRule="auto"/>
              <w:rPr>
                <w:sz w:val="16"/>
                <w:szCs w:val="16"/>
              </w:rPr>
            </w:pPr>
            <w:r w:rsidRPr="00DC3E16">
              <w:rPr>
                <w:sz w:val="16"/>
                <w:szCs w:val="16"/>
              </w:rPr>
              <w:t>–1.037,1</w:t>
            </w:r>
          </w:p>
        </w:tc>
        <w:tc>
          <w:tcPr>
            <w:tcW w:w="418" w:type="pct"/>
            <w:shd w:val="clear" w:color="auto" w:fill="C6D9F1" w:themeFill="text2" w:themeFillTint="33"/>
            <w:vAlign w:val="bottom"/>
          </w:tcPr>
          <w:p w14:paraId="35865EF5" w14:textId="77777777" w:rsidR="003D5D84" w:rsidRPr="00DC3E16" w:rsidRDefault="003D5D84" w:rsidP="003D5D84">
            <w:pPr>
              <w:spacing w:before="0" w:line="276" w:lineRule="auto"/>
              <w:rPr>
                <w:sz w:val="16"/>
                <w:szCs w:val="16"/>
              </w:rPr>
            </w:pPr>
            <w:r w:rsidRPr="00DC3E16">
              <w:rPr>
                <w:sz w:val="16"/>
                <w:szCs w:val="16"/>
              </w:rPr>
              <w:t>–1.054,2</w:t>
            </w:r>
          </w:p>
        </w:tc>
        <w:tc>
          <w:tcPr>
            <w:tcW w:w="388" w:type="pct"/>
            <w:shd w:val="clear" w:color="auto" w:fill="C6D9F1" w:themeFill="text2" w:themeFillTint="33"/>
            <w:tcMar>
              <w:left w:w="57" w:type="dxa"/>
              <w:right w:w="57" w:type="dxa"/>
            </w:tcMar>
            <w:vAlign w:val="bottom"/>
          </w:tcPr>
          <w:p w14:paraId="7EF5B5DE" w14:textId="77777777" w:rsidR="003D5D84" w:rsidRPr="00DC3E16" w:rsidRDefault="003D5D84" w:rsidP="003D5D84">
            <w:pPr>
              <w:spacing w:before="0" w:line="276" w:lineRule="auto"/>
              <w:rPr>
                <w:sz w:val="16"/>
                <w:szCs w:val="16"/>
              </w:rPr>
            </w:pPr>
            <w:r w:rsidRPr="00DC3E16">
              <w:rPr>
                <w:sz w:val="16"/>
                <w:szCs w:val="16"/>
              </w:rPr>
              <w:t>101,7</w:t>
            </w:r>
          </w:p>
        </w:tc>
      </w:tr>
      <w:tr w:rsidR="003D5D84" w:rsidRPr="00DC3E16" w14:paraId="2577FE43" w14:textId="77777777" w:rsidTr="004C5161">
        <w:trPr>
          <w:trHeight w:val="227"/>
          <w:jc w:val="center"/>
        </w:trPr>
        <w:tc>
          <w:tcPr>
            <w:tcW w:w="2522" w:type="pct"/>
            <w:shd w:val="clear" w:color="auto" w:fill="C6D9F1" w:themeFill="text2" w:themeFillTint="33"/>
            <w:tcMar>
              <w:left w:w="57" w:type="dxa"/>
              <w:right w:w="57" w:type="dxa"/>
            </w:tcMar>
            <w:vAlign w:val="bottom"/>
          </w:tcPr>
          <w:p w14:paraId="765333F6" w14:textId="77777777" w:rsidR="003D5D84" w:rsidRPr="00DC3E16" w:rsidRDefault="003D5D84" w:rsidP="003D5D84">
            <w:pPr>
              <w:spacing w:before="0" w:line="276" w:lineRule="auto"/>
              <w:rPr>
                <w:sz w:val="16"/>
                <w:szCs w:val="16"/>
              </w:rPr>
            </w:pPr>
            <w:r w:rsidRPr="00DC3E16">
              <w:rPr>
                <w:sz w:val="16"/>
                <w:szCs w:val="16"/>
              </w:rPr>
              <w:t>Pokritost uvoza z izvozom (%)</w:t>
            </w:r>
          </w:p>
        </w:tc>
        <w:tc>
          <w:tcPr>
            <w:tcW w:w="418" w:type="pct"/>
            <w:shd w:val="clear" w:color="auto" w:fill="C6D9F1" w:themeFill="text2" w:themeFillTint="33"/>
            <w:tcMar>
              <w:left w:w="57" w:type="dxa"/>
              <w:right w:w="57" w:type="dxa"/>
            </w:tcMar>
            <w:vAlign w:val="bottom"/>
          </w:tcPr>
          <w:p w14:paraId="70FD5B0D" w14:textId="77777777" w:rsidR="003D5D84" w:rsidRPr="00DC3E16" w:rsidRDefault="003D5D84" w:rsidP="00451314">
            <w:pPr>
              <w:spacing w:before="0" w:line="276" w:lineRule="auto"/>
              <w:jc w:val="right"/>
              <w:rPr>
                <w:sz w:val="16"/>
                <w:szCs w:val="16"/>
              </w:rPr>
            </w:pPr>
            <w:r w:rsidRPr="00DC3E16">
              <w:rPr>
                <w:sz w:val="16"/>
                <w:szCs w:val="16"/>
              </w:rPr>
              <w:t>50,5</w:t>
            </w:r>
          </w:p>
        </w:tc>
        <w:tc>
          <w:tcPr>
            <w:tcW w:w="418" w:type="pct"/>
            <w:shd w:val="clear" w:color="auto" w:fill="C6D9F1" w:themeFill="text2" w:themeFillTint="33"/>
            <w:tcMar>
              <w:left w:w="57" w:type="dxa"/>
              <w:right w:w="57" w:type="dxa"/>
            </w:tcMar>
            <w:vAlign w:val="bottom"/>
          </w:tcPr>
          <w:p w14:paraId="429AF723" w14:textId="77777777" w:rsidR="003D5D84" w:rsidRPr="00DC3E16" w:rsidRDefault="003D5D84" w:rsidP="00451314">
            <w:pPr>
              <w:spacing w:before="0" w:line="276" w:lineRule="auto"/>
              <w:jc w:val="right"/>
              <w:rPr>
                <w:sz w:val="16"/>
                <w:szCs w:val="16"/>
              </w:rPr>
            </w:pPr>
            <w:r w:rsidRPr="00DC3E16">
              <w:rPr>
                <w:sz w:val="16"/>
                <w:szCs w:val="16"/>
              </w:rPr>
              <w:t>52,2</w:t>
            </w:r>
          </w:p>
        </w:tc>
        <w:tc>
          <w:tcPr>
            <w:tcW w:w="418" w:type="pct"/>
            <w:shd w:val="clear" w:color="auto" w:fill="C6D9F1" w:themeFill="text2" w:themeFillTint="33"/>
            <w:vAlign w:val="bottom"/>
          </w:tcPr>
          <w:p w14:paraId="4E07C578" w14:textId="77777777" w:rsidR="003D5D84" w:rsidRPr="00DC3E16" w:rsidRDefault="003D5D84" w:rsidP="00451314">
            <w:pPr>
              <w:spacing w:before="0" w:line="276" w:lineRule="auto"/>
              <w:jc w:val="right"/>
              <w:rPr>
                <w:sz w:val="16"/>
                <w:szCs w:val="16"/>
              </w:rPr>
            </w:pPr>
            <w:r w:rsidRPr="00DC3E16">
              <w:rPr>
                <w:sz w:val="16"/>
                <w:szCs w:val="16"/>
              </w:rPr>
              <w:t>54,5</w:t>
            </w:r>
          </w:p>
        </w:tc>
        <w:tc>
          <w:tcPr>
            <w:tcW w:w="418" w:type="pct"/>
            <w:shd w:val="clear" w:color="auto" w:fill="C6D9F1" w:themeFill="text2" w:themeFillTint="33"/>
            <w:vAlign w:val="bottom"/>
          </w:tcPr>
          <w:p w14:paraId="1B2F5893" w14:textId="77777777" w:rsidR="003D5D84" w:rsidRPr="00DC3E16" w:rsidRDefault="003D5D84" w:rsidP="00451314">
            <w:pPr>
              <w:spacing w:before="0" w:line="276" w:lineRule="auto"/>
              <w:jc w:val="right"/>
              <w:rPr>
                <w:sz w:val="16"/>
                <w:szCs w:val="16"/>
              </w:rPr>
            </w:pPr>
            <w:r w:rsidRPr="00DC3E16">
              <w:rPr>
                <w:sz w:val="16"/>
                <w:szCs w:val="16"/>
              </w:rPr>
              <w:t>57,7</w:t>
            </w:r>
          </w:p>
        </w:tc>
        <w:tc>
          <w:tcPr>
            <w:tcW w:w="418" w:type="pct"/>
            <w:shd w:val="clear" w:color="auto" w:fill="C6D9F1" w:themeFill="text2" w:themeFillTint="33"/>
            <w:vAlign w:val="bottom"/>
          </w:tcPr>
          <w:p w14:paraId="0265B9ED" w14:textId="77777777" w:rsidR="003D5D84" w:rsidRPr="00DC3E16" w:rsidRDefault="003D5D84" w:rsidP="00451314">
            <w:pPr>
              <w:spacing w:before="0" w:line="276" w:lineRule="auto"/>
              <w:jc w:val="right"/>
              <w:rPr>
                <w:sz w:val="16"/>
                <w:szCs w:val="16"/>
              </w:rPr>
            </w:pPr>
            <w:r w:rsidRPr="00DC3E16">
              <w:rPr>
                <w:sz w:val="16"/>
                <w:szCs w:val="16"/>
              </w:rPr>
              <w:t>59,0</w:t>
            </w:r>
          </w:p>
        </w:tc>
        <w:tc>
          <w:tcPr>
            <w:tcW w:w="388" w:type="pct"/>
            <w:shd w:val="clear" w:color="auto" w:fill="C6D9F1" w:themeFill="text2" w:themeFillTint="33"/>
            <w:tcMar>
              <w:left w:w="57" w:type="dxa"/>
              <w:right w:w="57" w:type="dxa"/>
            </w:tcMar>
            <w:vAlign w:val="bottom"/>
          </w:tcPr>
          <w:p w14:paraId="139A6742" w14:textId="77777777" w:rsidR="003D5D84" w:rsidRPr="00DC3E16" w:rsidRDefault="003D5D84" w:rsidP="003D5D84">
            <w:pPr>
              <w:spacing w:before="0" w:line="276" w:lineRule="auto"/>
              <w:rPr>
                <w:sz w:val="16"/>
                <w:szCs w:val="16"/>
              </w:rPr>
            </w:pPr>
          </w:p>
        </w:tc>
      </w:tr>
      <w:tr w:rsidR="003D5D84" w:rsidRPr="00DC3E16" w14:paraId="56644A2A" w14:textId="77777777" w:rsidTr="004C5161">
        <w:trPr>
          <w:trHeight w:val="227"/>
          <w:jc w:val="center"/>
        </w:trPr>
        <w:tc>
          <w:tcPr>
            <w:tcW w:w="2522" w:type="pct"/>
            <w:shd w:val="clear" w:color="auto" w:fill="C6D9F1" w:themeFill="text2" w:themeFillTint="33"/>
            <w:tcMar>
              <w:left w:w="57" w:type="dxa"/>
              <w:right w:w="57" w:type="dxa"/>
            </w:tcMar>
            <w:vAlign w:val="bottom"/>
          </w:tcPr>
          <w:p w14:paraId="07620C10" w14:textId="77777777" w:rsidR="003D5D84" w:rsidRPr="00DC3E16" w:rsidRDefault="003D5D84" w:rsidP="003D5D84">
            <w:pPr>
              <w:spacing w:before="0" w:line="276" w:lineRule="auto"/>
              <w:rPr>
                <w:sz w:val="16"/>
                <w:szCs w:val="16"/>
              </w:rPr>
            </w:pPr>
            <w:r w:rsidRPr="00DC3E16">
              <w:rPr>
                <w:sz w:val="16"/>
                <w:szCs w:val="16"/>
              </w:rPr>
              <w:t>Delež agroživilskih proizvodov v skupni blagovni menjavi (%)</w:t>
            </w:r>
          </w:p>
        </w:tc>
        <w:tc>
          <w:tcPr>
            <w:tcW w:w="418" w:type="pct"/>
            <w:shd w:val="clear" w:color="auto" w:fill="C6D9F1" w:themeFill="text2" w:themeFillTint="33"/>
            <w:tcMar>
              <w:left w:w="57" w:type="dxa"/>
              <w:right w:w="57" w:type="dxa"/>
            </w:tcMar>
            <w:vAlign w:val="bottom"/>
          </w:tcPr>
          <w:p w14:paraId="57756C5F" w14:textId="77777777" w:rsidR="003D5D84" w:rsidRPr="00DC3E16" w:rsidRDefault="003D5D84" w:rsidP="00451314">
            <w:pPr>
              <w:spacing w:before="0" w:line="276" w:lineRule="auto"/>
              <w:jc w:val="right"/>
              <w:rPr>
                <w:sz w:val="16"/>
                <w:szCs w:val="16"/>
              </w:rPr>
            </w:pPr>
            <w:r w:rsidRPr="00DC3E16">
              <w:rPr>
                <w:sz w:val="16"/>
                <w:szCs w:val="16"/>
              </w:rPr>
              <w:t>6,7</w:t>
            </w:r>
          </w:p>
        </w:tc>
        <w:tc>
          <w:tcPr>
            <w:tcW w:w="418" w:type="pct"/>
            <w:shd w:val="clear" w:color="auto" w:fill="C6D9F1" w:themeFill="text2" w:themeFillTint="33"/>
            <w:tcMar>
              <w:left w:w="57" w:type="dxa"/>
              <w:right w:w="57" w:type="dxa"/>
            </w:tcMar>
            <w:vAlign w:val="bottom"/>
          </w:tcPr>
          <w:p w14:paraId="4ECB58F2" w14:textId="77777777" w:rsidR="003D5D84" w:rsidRPr="00DC3E16" w:rsidRDefault="003D5D84" w:rsidP="00451314">
            <w:pPr>
              <w:spacing w:before="0" w:line="276" w:lineRule="auto"/>
              <w:jc w:val="right"/>
              <w:rPr>
                <w:sz w:val="16"/>
                <w:szCs w:val="16"/>
              </w:rPr>
            </w:pPr>
            <w:r w:rsidRPr="00DC3E16">
              <w:rPr>
                <w:sz w:val="16"/>
                <w:szCs w:val="16"/>
              </w:rPr>
              <w:t>6,8</w:t>
            </w:r>
          </w:p>
        </w:tc>
        <w:tc>
          <w:tcPr>
            <w:tcW w:w="418" w:type="pct"/>
            <w:shd w:val="clear" w:color="auto" w:fill="C6D9F1" w:themeFill="text2" w:themeFillTint="33"/>
            <w:vAlign w:val="bottom"/>
          </w:tcPr>
          <w:p w14:paraId="6A200CFC" w14:textId="77777777" w:rsidR="003D5D84" w:rsidRPr="00DC3E16" w:rsidRDefault="003D5D84" w:rsidP="00451314">
            <w:pPr>
              <w:spacing w:before="0" w:line="276" w:lineRule="auto"/>
              <w:jc w:val="right"/>
              <w:rPr>
                <w:sz w:val="16"/>
                <w:szCs w:val="16"/>
              </w:rPr>
            </w:pPr>
            <w:r w:rsidRPr="00DC3E16">
              <w:rPr>
                <w:sz w:val="16"/>
                <w:szCs w:val="16"/>
              </w:rPr>
              <w:t>6,4</w:t>
            </w:r>
          </w:p>
        </w:tc>
        <w:tc>
          <w:tcPr>
            <w:tcW w:w="418" w:type="pct"/>
            <w:shd w:val="clear" w:color="auto" w:fill="C6D9F1" w:themeFill="text2" w:themeFillTint="33"/>
            <w:vAlign w:val="bottom"/>
          </w:tcPr>
          <w:p w14:paraId="6A9F0DEA" w14:textId="77777777" w:rsidR="003D5D84" w:rsidRPr="00DC3E16" w:rsidRDefault="003D5D84" w:rsidP="00451314">
            <w:pPr>
              <w:spacing w:before="0" w:line="276" w:lineRule="auto"/>
              <w:jc w:val="right"/>
              <w:rPr>
                <w:sz w:val="16"/>
                <w:szCs w:val="16"/>
              </w:rPr>
            </w:pPr>
            <w:r w:rsidRPr="00DC3E16">
              <w:rPr>
                <w:sz w:val="16"/>
                <w:szCs w:val="16"/>
              </w:rPr>
              <w:t>6,3</w:t>
            </w:r>
          </w:p>
        </w:tc>
        <w:tc>
          <w:tcPr>
            <w:tcW w:w="418" w:type="pct"/>
            <w:shd w:val="clear" w:color="auto" w:fill="C6D9F1" w:themeFill="text2" w:themeFillTint="33"/>
            <w:vAlign w:val="bottom"/>
          </w:tcPr>
          <w:p w14:paraId="72E5B933" w14:textId="77777777" w:rsidR="003D5D84" w:rsidRPr="00DC3E16" w:rsidRDefault="003D5D84" w:rsidP="00451314">
            <w:pPr>
              <w:spacing w:before="0" w:line="276" w:lineRule="auto"/>
              <w:jc w:val="right"/>
              <w:rPr>
                <w:sz w:val="16"/>
                <w:szCs w:val="16"/>
              </w:rPr>
            </w:pPr>
            <w:r w:rsidRPr="00DC3E16">
              <w:rPr>
                <w:sz w:val="16"/>
                <w:szCs w:val="16"/>
              </w:rPr>
              <w:t>6,0</w:t>
            </w:r>
          </w:p>
        </w:tc>
        <w:tc>
          <w:tcPr>
            <w:tcW w:w="388" w:type="pct"/>
            <w:shd w:val="clear" w:color="auto" w:fill="C6D9F1" w:themeFill="text2" w:themeFillTint="33"/>
            <w:tcMar>
              <w:left w:w="57" w:type="dxa"/>
              <w:right w:w="57" w:type="dxa"/>
            </w:tcMar>
            <w:vAlign w:val="bottom"/>
          </w:tcPr>
          <w:p w14:paraId="71FEC8A5" w14:textId="77777777" w:rsidR="003D5D84" w:rsidRPr="00DC3E16" w:rsidRDefault="003D5D84" w:rsidP="003D5D84">
            <w:pPr>
              <w:spacing w:before="0" w:line="276" w:lineRule="auto"/>
              <w:rPr>
                <w:sz w:val="16"/>
                <w:szCs w:val="16"/>
              </w:rPr>
            </w:pPr>
          </w:p>
        </w:tc>
      </w:tr>
      <w:tr w:rsidR="003D5D84" w:rsidRPr="00DC3E16" w14:paraId="66C9234F" w14:textId="77777777" w:rsidTr="004C5161">
        <w:trPr>
          <w:trHeight w:val="227"/>
          <w:jc w:val="center"/>
        </w:trPr>
        <w:tc>
          <w:tcPr>
            <w:tcW w:w="2522" w:type="pct"/>
            <w:shd w:val="clear" w:color="auto" w:fill="C6D9F1" w:themeFill="text2" w:themeFillTint="33"/>
            <w:tcMar>
              <w:left w:w="57" w:type="dxa"/>
              <w:right w:w="57" w:type="dxa"/>
            </w:tcMar>
            <w:vAlign w:val="bottom"/>
          </w:tcPr>
          <w:p w14:paraId="607E2092" w14:textId="77777777" w:rsidR="003D5D84" w:rsidRPr="00DC3E16" w:rsidRDefault="003D5D84" w:rsidP="003D5D84">
            <w:pPr>
              <w:spacing w:before="0" w:line="276" w:lineRule="auto"/>
              <w:rPr>
                <w:sz w:val="16"/>
                <w:szCs w:val="16"/>
              </w:rPr>
            </w:pPr>
            <w:r w:rsidRPr="00DC3E16">
              <w:rPr>
                <w:sz w:val="16"/>
                <w:szCs w:val="16"/>
              </w:rPr>
              <w:t>Delež agroživilskih proizvodov v skupnem izvozu blaga (%)</w:t>
            </w:r>
          </w:p>
        </w:tc>
        <w:tc>
          <w:tcPr>
            <w:tcW w:w="418" w:type="pct"/>
            <w:shd w:val="clear" w:color="auto" w:fill="C6D9F1" w:themeFill="text2" w:themeFillTint="33"/>
            <w:tcMar>
              <w:left w:w="57" w:type="dxa"/>
              <w:right w:w="57" w:type="dxa"/>
            </w:tcMar>
            <w:vAlign w:val="bottom"/>
          </w:tcPr>
          <w:p w14:paraId="61B46FC8" w14:textId="77777777" w:rsidR="003D5D84" w:rsidRPr="00DC3E16" w:rsidRDefault="003D5D84" w:rsidP="00451314">
            <w:pPr>
              <w:spacing w:before="0" w:line="276" w:lineRule="auto"/>
              <w:jc w:val="right"/>
              <w:rPr>
                <w:sz w:val="16"/>
                <w:szCs w:val="16"/>
              </w:rPr>
            </w:pPr>
            <w:r w:rsidRPr="00DC3E16">
              <w:rPr>
                <w:sz w:val="16"/>
                <w:szCs w:val="16"/>
              </w:rPr>
              <w:t>4,4</w:t>
            </w:r>
          </w:p>
        </w:tc>
        <w:tc>
          <w:tcPr>
            <w:tcW w:w="418" w:type="pct"/>
            <w:shd w:val="clear" w:color="auto" w:fill="C6D9F1" w:themeFill="text2" w:themeFillTint="33"/>
            <w:tcMar>
              <w:left w:w="57" w:type="dxa"/>
              <w:right w:w="57" w:type="dxa"/>
            </w:tcMar>
            <w:vAlign w:val="bottom"/>
          </w:tcPr>
          <w:p w14:paraId="62313754" w14:textId="77777777" w:rsidR="003D5D84" w:rsidRPr="00DC3E16" w:rsidRDefault="003D5D84" w:rsidP="00451314">
            <w:pPr>
              <w:spacing w:before="0" w:line="276" w:lineRule="auto"/>
              <w:jc w:val="right"/>
              <w:rPr>
                <w:sz w:val="16"/>
                <w:szCs w:val="16"/>
              </w:rPr>
            </w:pPr>
            <w:r w:rsidRPr="00DC3E16">
              <w:rPr>
                <w:sz w:val="16"/>
                <w:szCs w:val="16"/>
              </w:rPr>
              <w:t>4,6</w:t>
            </w:r>
          </w:p>
        </w:tc>
        <w:tc>
          <w:tcPr>
            <w:tcW w:w="418" w:type="pct"/>
            <w:shd w:val="clear" w:color="auto" w:fill="C6D9F1" w:themeFill="text2" w:themeFillTint="33"/>
            <w:vAlign w:val="bottom"/>
          </w:tcPr>
          <w:p w14:paraId="15246C08" w14:textId="77777777" w:rsidR="003D5D84" w:rsidRPr="00DC3E16" w:rsidRDefault="003D5D84" w:rsidP="00451314">
            <w:pPr>
              <w:spacing w:before="0" w:line="276" w:lineRule="auto"/>
              <w:jc w:val="right"/>
              <w:rPr>
                <w:sz w:val="16"/>
                <w:szCs w:val="16"/>
              </w:rPr>
            </w:pPr>
            <w:r w:rsidRPr="00DC3E16">
              <w:rPr>
                <w:sz w:val="16"/>
                <w:szCs w:val="16"/>
              </w:rPr>
              <w:t>4,5</w:t>
            </w:r>
          </w:p>
        </w:tc>
        <w:tc>
          <w:tcPr>
            <w:tcW w:w="418" w:type="pct"/>
            <w:shd w:val="clear" w:color="auto" w:fill="C6D9F1" w:themeFill="text2" w:themeFillTint="33"/>
            <w:vAlign w:val="bottom"/>
          </w:tcPr>
          <w:p w14:paraId="31513291" w14:textId="77777777" w:rsidR="003D5D84" w:rsidRPr="00DC3E16" w:rsidRDefault="003D5D84" w:rsidP="00451314">
            <w:pPr>
              <w:spacing w:before="0" w:line="276" w:lineRule="auto"/>
              <w:jc w:val="right"/>
              <w:rPr>
                <w:sz w:val="16"/>
                <w:szCs w:val="16"/>
              </w:rPr>
            </w:pPr>
            <w:r w:rsidRPr="00DC3E16">
              <w:rPr>
                <w:sz w:val="16"/>
                <w:szCs w:val="16"/>
              </w:rPr>
              <w:t>4,6</w:t>
            </w:r>
          </w:p>
        </w:tc>
        <w:tc>
          <w:tcPr>
            <w:tcW w:w="418" w:type="pct"/>
            <w:shd w:val="clear" w:color="auto" w:fill="C6D9F1" w:themeFill="text2" w:themeFillTint="33"/>
            <w:vAlign w:val="bottom"/>
          </w:tcPr>
          <w:p w14:paraId="130DBF58" w14:textId="77777777" w:rsidR="003D5D84" w:rsidRPr="00DC3E16" w:rsidRDefault="003D5D84" w:rsidP="00451314">
            <w:pPr>
              <w:spacing w:before="0" w:line="276" w:lineRule="auto"/>
              <w:jc w:val="right"/>
              <w:rPr>
                <w:sz w:val="16"/>
                <w:szCs w:val="16"/>
              </w:rPr>
            </w:pPr>
            <w:r w:rsidRPr="00DC3E16">
              <w:rPr>
                <w:sz w:val="16"/>
                <w:szCs w:val="16"/>
              </w:rPr>
              <w:t>4,5</w:t>
            </w:r>
          </w:p>
        </w:tc>
        <w:tc>
          <w:tcPr>
            <w:tcW w:w="388" w:type="pct"/>
            <w:shd w:val="clear" w:color="auto" w:fill="C6D9F1" w:themeFill="text2" w:themeFillTint="33"/>
            <w:tcMar>
              <w:left w:w="57" w:type="dxa"/>
              <w:right w:w="57" w:type="dxa"/>
            </w:tcMar>
            <w:vAlign w:val="bottom"/>
          </w:tcPr>
          <w:p w14:paraId="11723E35" w14:textId="77777777" w:rsidR="003D5D84" w:rsidRPr="00DC3E16" w:rsidRDefault="003D5D84" w:rsidP="003D5D84">
            <w:pPr>
              <w:spacing w:before="0" w:line="276" w:lineRule="auto"/>
              <w:rPr>
                <w:sz w:val="16"/>
                <w:szCs w:val="16"/>
              </w:rPr>
            </w:pPr>
          </w:p>
        </w:tc>
      </w:tr>
      <w:tr w:rsidR="003D5D84" w:rsidRPr="00DC3E16" w14:paraId="69536569" w14:textId="77777777" w:rsidTr="004C5161">
        <w:trPr>
          <w:trHeight w:val="227"/>
          <w:jc w:val="center"/>
        </w:trPr>
        <w:tc>
          <w:tcPr>
            <w:tcW w:w="2522" w:type="pct"/>
            <w:shd w:val="clear" w:color="auto" w:fill="C6D9F1" w:themeFill="text2" w:themeFillTint="33"/>
            <w:tcMar>
              <w:left w:w="57" w:type="dxa"/>
              <w:right w:w="57" w:type="dxa"/>
            </w:tcMar>
            <w:vAlign w:val="bottom"/>
          </w:tcPr>
          <w:p w14:paraId="4D5C8669" w14:textId="77777777" w:rsidR="003D5D84" w:rsidRPr="00DC3E16" w:rsidRDefault="003D5D84" w:rsidP="003D5D84">
            <w:pPr>
              <w:spacing w:before="0" w:line="276" w:lineRule="auto"/>
              <w:rPr>
                <w:sz w:val="16"/>
                <w:szCs w:val="16"/>
              </w:rPr>
            </w:pPr>
            <w:r w:rsidRPr="00DC3E16">
              <w:rPr>
                <w:sz w:val="16"/>
                <w:szCs w:val="16"/>
              </w:rPr>
              <w:t>Delež agroživilskih proizvodov v skupnem uvozu blaga (%)</w:t>
            </w:r>
          </w:p>
        </w:tc>
        <w:tc>
          <w:tcPr>
            <w:tcW w:w="418" w:type="pct"/>
            <w:shd w:val="clear" w:color="auto" w:fill="C6D9F1" w:themeFill="text2" w:themeFillTint="33"/>
            <w:tcMar>
              <w:left w:w="57" w:type="dxa"/>
              <w:right w:w="57" w:type="dxa"/>
            </w:tcMar>
            <w:vAlign w:val="bottom"/>
          </w:tcPr>
          <w:p w14:paraId="719D3585" w14:textId="77777777" w:rsidR="003D5D84" w:rsidRPr="00DC3E16" w:rsidRDefault="003D5D84" w:rsidP="00451314">
            <w:pPr>
              <w:spacing w:before="0" w:line="276" w:lineRule="auto"/>
              <w:jc w:val="right"/>
              <w:rPr>
                <w:sz w:val="16"/>
                <w:szCs w:val="16"/>
              </w:rPr>
            </w:pPr>
            <w:r w:rsidRPr="00DC3E16">
              <w:rPr>
                <w:sz w:val="16"/>
                <w:szCs w:val="16"/>
              </w:rPr>
              <w:t>9,0</w:t>
            </w:r>
          </w:p>
        </w:tc>
        <w:tc>
          <w:tcPr>
            <w:tcW w:w="418" w:type="pct"/>
            <w:shd w:val="clear" w:color="auto" w:fill="C6D9F1" w:themeFill="text2" w:themeFillTint="33"/>
            <w:tcMar>
              <w:left w:w="57" w:type="dxa"/>
              <w:right w:w="57" w:type="dxa"/>
            </w:tcMar>
            <w:vAlign w:val="bottom"/>
          </w:tcPr>
          <w:p w14:paraId="371B252E" w14:textId="77777777" w:rsidR="003D5D84" w:rsidRPr="00DC3E16" w:rsidRDefault="003D5D84" w:rsidP="00451314">
            <w:pPr>
              <w:spacing w:before="0" w:line="276" w:lineRule="auto"/>
              <w:jc w:val="right"/>
              <w:rPr>
                <w:sz w:val="16"/>
                <w:szCs w:val="16"/>
              </w:rPr>
            </w:pPr>
            <w:r w:rsidRPr="00DC3E16">
              <w:rPr>
                <w:sz w:val="16"/>
                <w:szCs w:val="16"/>
              </w:rPr>
              <w:t>9,0</w:t>
            </w:r>
          </w:p>
        </w:tc>
        <w:tc>
          <w:tcPr>
            <w:tcW w:w="418" w:type="pct"/>
            <w:shd w:val="clear" w:color="auto" w:fill="C6D9F1" w:themeFill="text2" w:themeFillTint="33"/>
            <w:vAlign w:val="bottom"/>
          </w:tcPr>
          <w:p w14:paraId="276E24E9" w14:textId="77777777" w:rsidR="003D5D84" w:rsidRPr="00DC3E16" w:rsidRDefault="003D5D84" w:rsidP="00451314">
            <w:pPr>
              <w:spacing w:before="0" w:line="276" w:lineRule="auto"/>
              <w:jc w:val="right"/>
              <w:rPr>
                <w:sz w:val="16"/>
                <w:szCs w:val="16"/>
              </w:rPr>
            </w:pPr>
            <w:r w:rsidRPr="00DC3E16">
              <w:rPr>
                <w:sz w:val="16"/>
                <w:szCs w:val="16"/>
              </w:rPr>
              <w:t>8,4</w:t>
            </w:r>
          </w:p>
        </w:tc>
        <w:tc>
          <w:tcPr>
            <w:tcW w:w="418" w:type="pct"/>
            <w:shd w:val="clear" w:color="auto" w:fill="C6D9F1" w:themeFill="text2" w:themeFillTint="33"/>
            <w:vAlign w:val="bottom"/>
          </w:tcPr>
          <w:p w14:paraId="478AD842" w14:textId="77777777" w:rsidR="003D5D84" w:rsidRPr="00DC3E16" w:rsidRDefault="003D5D84" w:rsidP="00451314">
            <w:pPr>
              <w:spacing w:before="0" w:line="276" w:lineRule="auto"/>
              <w:jc w:val="right"/>
              <w:rPr>
                <w:sz w:val="16"/>
                <w:szCs w:val="16"/>
              </w:rPr>
            </w:pPr>
            <w:r w:rsidRPr="00DC3E16">
              <w:rPr>
                <w:sz w:val="16"/>
                <w:szCs w:val="16"/>
              </w:rPr>
              <w:t>8,0</w:t>
            </w:r>
          </w:p>
        </w:tc>
        <w:tc>
          <w:tcPr>
            <w:tcW w:w="418" w:type="pct"/>
            <w:shd w:val="clear" w:color="auto" w:fill="C6D9F1" w:themeFill="text2" w:themeFillTint="33"/>
            <w:vAlign w:val="bottom"/>
          </w:tcPr>
          <w:p w14:paraId="34973F1C" w14:textId="77777777" w:rsidR="003D5D84" w:rsidRPr="00DC3E16" w:rsidRDefault="003D5D84" w:rsidP="00451314">
            <w:pPr>
              <w:spacing w:before="0" w:line="276" w:lineRule="auto"/>
              <w:jc w:val="right"/>
              <w:rPr>
                <w:sz w:val="16"/>
                <w:szCs w:val="16"/>
              </w:rPr>
            </w:pPr>
            <w:r w:rsidRPr="00DC3E16">
              <w:rPr>
                <w:sz w:val="16"/>
                <w:szCs w:val="16"/>
              </w:rPr>
              <w:t>7,5</w:t>
            </w:r>
          </w:p>
        </w:tc>
        <w:tc>
          <w:tcPr>
            <w:tcW w:w="388" w:type="pct"/>
            <w:shd w:val="clear" w:color="auto" w:fill="C6D9F1" w:themeFill="text2" w:themeFillTint="33"/>
            <w:tcMar>
              <w:left w:w="57" w:type="dxa"/>
              <w:right w:w="57" w:type="dxa"/>
            </w:tcMar>
            <w:vAlign w:val="bottom"/>
          </w:tcPr>
          <w:p w14:paraId="295CD490" w14:textId="77777777" w:rsidR="003D5D84" w:rsidRPr="00DC3E16" w:rsidRDefault="003D5D84" w:rsidP="003D5D84">
            <w:pPr>
              <w:spacing w:before="0" w:line="276" w:lineRule="auto"/>
              <w:rPr>
                <w:sz w:val="16"/>
                <w:szCs w:val="16"/>
              </w:rPr>
            </w:pPr>
          </w:p>
        </w:tc>
      </w:tr>
    </w:tbl>
    <w:p w14:paraId="3F6669D3" w14:textId="77777777" w:rsidR="003D5D84" w:rsidRPr="00E94325" w:rsidRDefault="003D5D84" w:rsidP="00451314">
      <w:pPr>
        <w:pStyle w:val="1"/>
        <w:spacing w:before="0"/>
        <w:rPr>
          <w:szCs w:val="16"/>
        </w:rPr>
      </w:pPr>
      <w:r w:rsidRPr="00451314">
        <w:rPr>
          <w:sz w:val="16"/>
          <w:szCs w:val="16"/>
        </w:rPr>
        <w:t>* Začasni podatki.</w:t>
      </w:r>
    </w:p>
    <w:p w14:paraId="56F6A715" w14:textId="08FC0D11" w:rsidR="003D5D84" w:rsidRPr="00E94325" w:rsidRDefault="003D5D84" w:rsidP="00451314">
      <w:pPr>
        <w:pStyle w:val="1"/>
        <w:spacing w:before="0"/>
        <w:rPr>
          <w:szCs w:val="16"/>
        </w:rPr>
      </w:pPr>
      <w:r w:rsidRPr="00451314">
        <w:rPr>
          <w:sz w:val="16"/>
          <w:szCs w:val="16"/>
        </w:rPr>
        <w:t xml:space="preserve">Vir: SURS in </w:t>
      </w:r>
      <w:r w:rsidRPr="00307A17">
        <w:rPr>
          <w:sz w:val="16"/>
          <w:szCs w:val="16"/>
        </w:rPr>
        <w:t>Poročilo o stanju kmetijstva, živilstva, gozdarstva in ribištva v letu 2019</w:t>
      </w:r>
    </w:p>
    <w:p w14:paraId="5A0557AF" w14:textId="77777777" w:rsidR="003D5D84" w:rsidRDefault="003D5D84" w:rsidP="007613FE">
      <w:pPr>
        <w:pStyle w:val="Odstavek1"/>
      </w:pPr>
    </w:p>
    <w:p w14:paraId="50D72449" w14:textId="0745121B" w:rsidR="003D5D84" w:rsidRDefault="003D5D84" w:rsidP="005C6188">
      <w:pPr>
        <w:pStyle w:val="SCSlika0"/>
      </w:pPr>
      <w:bookmarkStart w:id="3215" w:name="_Toc86822766"/>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88117A">
        <w:rPr>
          <w:noProof/>
          <w:szCs w:val="16"/>
        </w:rPr>
        <w:t>94</w:t>
      </w:r>
      <w:r w:rsidRPr="009F3567">
        <w:rPr>
          <w:noProof/>
          <w:szCs w:val="16"/>
        </w:rPr>
        <w:fldChar w:fldCharType="end"/>
      </w:r>
      <w:r w:rsidRPr="009F3567">
        <w:rPr>
          <w:szCs w:val="16"/>
        </w:rPr>
        <w:t>:</w:t>
      </w:r>
      <w:r w:rsidRPr="009F3567">
        <w:rPr>
          <w:i/>
        </w:rPr>
        <w:t xml:space="preserve"> </w:t>
      </w:r>
      <w:r w:rsidRPr="009F3567">
        <w:t xml:space="preserve">Izvoz in uvoz ter zunanjetrgovinska bilanca agroživilskih proizvodov (mio EUR); </w:t>
      </w:r>
      <w:r>
        <w:t>2007</w:t>
      </w:r>
      <w:r w:rsidR="00307A17">
        <w:t>–</w:t>
      </w:r>
      <w:r>
        <w:t>2019</w:t>
      </w:r>
      <w:bookmarkEnd w:id="3215"/>
    </w:p>
    <w:p w14:paraId="6897F210" w14:textId="77777777" w:rsidR="003D5D84" w:rsidRDefault="003D5D84" w:rsidP="003D5D84">
      <w:r w:rsidRPr="00366CA0">
        <w:rPr>
          <w:noProof/>
          <w:lang w:eastAsia="sl-SI"/>
        </w:rPr>
        <w:drawing>
          <wp:inline distT="0" distB="0" distL="0" distR="0" wp14:anchorId="7E9F0B7D" wp14:editId="3688B5BE">
            <wp:extent cx="4752340" cy="248412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52340" cy="2484120"/>
                    </a:xfrm>
                    <a:prstGeom prst="rect">
                      <a:avLst/>
                    </a:prstGeom>
                    <a:noFill/>
                  </pic:spPr>
                </pic:pic>
              </a:graphicData>
            </a:graphic>
          </wp:inline>
        </w:drawing>
      </w:r>
    </w:p>
    <w:p w14:paraId="282E3F15" w14:textId="77777777" w:rsidR="003D5D84" w:rsidRPr="005E591B" w:rsidRDefault="003D5D84" w:rsidP="003D5D84">
      <w:pPr>
        <w:pStyle w:val="ZPpodnapis"/>
        <w:spacing w:before="0" w:after="0" w:line="276" w:lineRule="auto"/>
        <w:ind w:left="0" w:firstLine="0"/>
        <w:rPr>
          <w:szCs w:val="20"/>
        </w:rPr>
      </w:pPr>
      <w:r w:rsidRPr="005E591B">
        <w:rPr>
          <w:szCs w:val="20"/>
        </w:rPr>
        <w:t>Vir: SURS</w:t>
      </w:r>
      <w:r>
        <w:rPr>
          <w:szCs w:val="20"/>
        </w:rPr>
        <w:t xml:space="preserve"> in </w:t>
      </w:r>
      <w:r w:rsidRPr="00C53FDC">
        <w:rPr>
          <w:szCs w:val="16"/>
        </w:rPr>
        <w:t>Poročilo o stanju kmetijstva, živilstva, gozdarstva in ribištva v letu 201</w:t>
      </w:r>
      <w:r>
        <w:rPr>
          <w:szCs w:val="16"/>
        </w:rPr>
        <w:t>9</w:t>
      </w:r>
    </w:p>
    <w:p w14:paraId="18D71C93" w14:textId="77777777" w:rsidR="003D5D84" w:rsidRPr="0047652B" w:rsidRDefault="003D5D84" w:rsidP="007613FE">
      <w:pPr>
        <w:pStyle w:val="SCslika"/>
        <w:spacing w:before="0" w:after="0" w:line="260" w:lineRule="atLeast"/>
      </w:pPr>
    </w:p>
    <w:p w14:paraId="543833AF" w14:textId="3B71C14F" w:rsidR="003D5D84" w:rsidRPr="005C6188" w:rsidRDefault="00D22DB1" w:rsidP="007613FE">
      <w:pPr>
        <w:pStyle w:val="ZPtekst"/>
        <w:spacing w:before="0" w:line="260" w:lineRule="atLeast"/>
        <w:rPr>
          <w:szCs w:val="20"/>
        </w:rPr>
      </w:pPr>
      <w:r w:rsidRPr="005C6188">
        <w:rPr>
          <w:szCs w:val="20"/>
        </w:rPr>
        <w:t xml:space="preserve"> </w:t>
      </w:r>
    </w:p>
    <w:p w14:paraId="755B3802" w14:textId="77777777" w:rsidR="00D22DB1" w:rsidRPr="005C6188" w:rsidRDefault="00D22DB1" w:rsidP="007613FE">
      <w:pPr>
        <w:pStyle w:val="1"/>
        <w:spacing w:before="0"/>
        <w:rPr>
          <w:sz w:val="22"/>
          <w:u w:val="single"/>
        </w:rPr>
      </w:pPr>
    </w:p>
    <w:p w14:paraId="3FDCDC51" w14:textId="00F2956D" w:rsidR="003D5D84" w:rsidRPr="005C6188" w:rsidRDefault="003D5D84" w:rsidP="007613FE">
      <w:pPr>
        <w:pStyle w:val="1"/>
        <w:spacing w:before="0"/>
        <w:rPr>
          <w:i/>
          <w:sz w:val="22"/>
          <w:u w:val="single"/>
        </w:rPr>
      </w:pPr>
      <w:r w:rsidRPr="005C6188">
        <w:rPr>
          <w:sz w:val="22"/>
          <w:u w:val="single"/>
        </w:rPr>
        <w:t>Izvoz</w:t>
      </w:r>
    </w:p>
    <w:p w14:paraId="7DEFB9FF" w14:textId="57988FBC" w:rsidR="003D5D84" w:rsidRPr="005C6188" w:rsidRDefault="003D5D84" w:rsidP="007613FE">
      <w:pPr>
        <w:pStyle w:val="1"/>
        <w:spacing w:before="0"/>
        <w:rPr>
          <w:sz w:val="22"/>
        </w:rPr>
      </w:pPr>
      <w:r w:rsidRPr="005C6188">
        <w:rPr>
          <w:sz w:val="22"/>
        </w:rPr>
        <w:t>V letih 2014–2019 je znašal delež izvoza v države EU–28 okoli 75 %, delež izvoza v države nekdanje Jugoslavije ostaja pri 14 %, delež izvoza v druge države pa znaša okoli 10 %.</w:t>
      </w:r>
    </w:p>
    <w:p w14:paraId="70BF5702" w14:textId="77777777" w:rsidR="003D5D84" w:rsidRDefault="003D5D84" w:rsidP="007613FE">
      <w:pPr>
        <w:pStyle w:val="1"/>
        <w:spacing w:before="0"/>
        <w:rPr>
          <w:i/>
        </w:rPr>
      </w:pPr>
    </w:p>
    <w:p w14:paraId="16B2D607" w14:textId="6E863E46" w:rsidR="003D5D84" w:rsidRDefault="003D5D84" w:rsidP="005C6188">
      <w:pPr>
        <w:pStyle w:val="SCSlika0"/>
        <w:rPr>
          <w:i/>
          <w:sz w:val="24"/>
          <w:szCs w:val="20"/>
        </w:rPr>
      </w:pPr>
      <w:bookmarkStart w:id="3216" w:name="_Toc86822767"/>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95</w:t>
      </w:r>
      <w:r w:rsidR="009F2591">
        <w:rPr>
          <w:noProof/>
        </w:rPr>
        <w:fldChar w:fldCharType="end"/>
      </w:r>
      <w:r w:rsidRPr="009F3567">
        <w:t>:</w:t>
      </w:r>
      <w:r w:rsidRPr="009F3567">
        <w:rPr>
          <w:i/>
        </w:rPr>
        <w:t xml:space="preserve"> </w:t>
      </w:r>
      <w:r w:rsidRPr="009F3567">
        <w:t xml:space="preserve">Struktura izvoza in uvoza agroživilstva po skupinah držav; </w:t>
      </w:r>
      <w:r>
        <w:t>2014-2019</w:t>
      </w:r>
      <w:bookmarkEnd w:id="3216"/>
    </w:p>
    <w:p w14:paraId="65C98044" w14:textId="77777777" w:rsidR="003D5D84" w:rsidRPr="009F3567" w:rsidRDefault="003D5D84" w:rsidP="003D5D84">
      <w:pPr>
        <w:spacing w:before="0" w:line="276" w:lineRule="auto"/>
        <w:rPr>
          <w:i/>
          <w:sz w:val="24"/>
          <w:szCs w:val="20"/>
        </w:rPr>
      </w:pPr>
      <w:r w:rsidRPr="004F5B32">
        <w:rPr>
          <w:noProof/>
          <w:lang w:eastAsia="sl-SI"/>
        </w:rPr>
        <w:drawing>
          <wp:inline distT="0" distB="0" distL="0" distR="0" wp14:anchorId="6A36FF44" wp14:editId="5AEBC54B">
            <wp:extent cx="5247640" cy="2369379"/>
            <wp:effectExtent l="19050" t="19050" r="10160" b="1206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0">
                      <a:extLst>
                        <a:ext uri="{28A0092B-C50C-407E-A947-70E740481C1C}">
                          <a14:useLocalDpi xmlns:a14="http://schemas.microsoft.com/office/drawing/2010/main" val="0"/>
                        </a:ext>
                      </a:extLst>
                    </a:blip>
                    <a:srcRect t="2931"/>
                    <a:stretch/>
                  </pic:blipFill>
                  <pic:spPr bwMode="auto">
                    <a:xfrm>
                      <a:off x="0" y="0"/>
                      <a:ext cx="5252776" cy="23716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0D9886" w14:textId="7133130C" w:rsidR="003D5D84" w:rsidRPr="005E591B" w:rsidRDefault="003D5D84" w:rsidP="003D5D84">
      <w:pPr>
        <w:pStyle w:val="ZPpodnapis"/>
        <w:spacing w:before="0" w:after="0" w:line="276" w:lineRule="auto"/>
        <w:ind w:left="0" w:firstLine="0"/>
        <w:rPr>
          <w:szCs w:val="20"/>
        </w:rPr>
      </w:pPr>
      <w:r w:rsidRPr="00597DFB">
        <w:rPr>
          <w:szCs w:val="20"/>
        </w:rPr>
        <w:t xml:space="preserve">Vir: </w:t>
      </w:r>
      <w:r w:rsidRPr="00597DFB">
        <w:rPr>
          <w:szCs w:val="16"/>
        </w:rPr>
        <w:t>Poročilo</w:t>
      </w:r>
      <w:r w:rsidRPr="00C36861">
        <w:rPr>
          <w:szCs w:val="16"/>
        </w:rPr>
        <w:t xml:space="preserve"> o stanju kmetijstva, živilstva, gozdarstva in ribištva v letu 2019</w:t>
      </w:r>
    </w:p>
    <w:p w14:paraId="3AA0FFDB" w14:textId="77777777" w:rsidR="003D5D84" w:rsidRPr="0047652B" w:rsidRDefault="003D5D84" w:rsidP="007613FE">
      <w:pPr>
        <w:pStyle w:val="ZPtekst"/>
        <w:spacing w:before="0" w:line="260" w:lineRule="atLeast"/>
        <w:rPr>
          <w:sz w:val="20"/>
          <w:szCs w:val="20"/>
        </w:rPr>
      </w:pPr>
    </w:p>
    <w:p w14:paraId="4D8450B8" w14:textId="77777777" w:rsidR="003D5D84" w:rsidRPr="005C6188" w:rsidRDefault="003D5D84" w:rsidP="007613FE">
      <w:pPr>
        <w:pStyle w:val="1"/>
        <w:spacing w:before="0"/>
        <w:rPr>
          <w:i/>
          <w:sz w:val="22"/>
          <w:u w:val="single"/>
        </w:rPr>
      </w:pPr>
      <w:r w:rsidRPr="005C6188">
        <w:rPr>
          <w:sz w:val="22"/>
          <w:u w:val="single"/>
        </w:rPr>
        <w:t>Uvoz</w:t>
      </w:r>
    </w:p>
    <w:p w14:paraId="37383B92" w14:textId="1AF220C8" w:rsidR="003D5D84" w:rsidRPr="005C6188" w:rsidRDefault="003D5D84" w:rsidP="007613FE">
      <w:pPr>
        <w:pStyle w:val="1"/>
        <w:spacing w:before="0"/>
        <w:rPr>
          <w:sz w:val="22"/>
        </w:rPr>
      </w:pPr>
      <w:r w:rsidRPr="005C6188">
        <w:rPr>
          <w:sz w:val="22"/>
        </w:rPr>
        <w:t>V letih 2014–2019 ostaja struktura uvoza skoraj nespremenjena; delež uvoza iz EU–28 ostaja pri 85 %, delež uvoza iz drugih držav okoli 12 %, iz držav na območju nekdanje Jugoslavije pa je bilo uvoženih za okoli 3 % agroživilskih proizvodov.</w:t>
      </w:r>
    </w:p>
    <w:p w14:paraId="2D5450AF" w14:textId="15B6BE0D" w:rsidR="003D5D84" w:rsidRPr="005C6188" w:rsidRDefault="003D5D84" w:rsidP="007613FE">
      <w:pPr>
        <w:pStyle w:val="1"/>
        <w:spacing w:before="0"/>
        <w:rPr>
          <w:sz w:val="22"/>
        </w:rPr>
      </w:pPr>
    </w:p>
    <w:p w14:paraId="16A80226" w14:textId="1EA5A2E9" w:rsidR="003D5D84" w:rsidRPr="005C6188" w:rsidRDefault="003D5D84" w:rsidP="007613FE">
      <w:pPr>
        <w:pStyle w:val="1"/>
        <w:spacing w:before="0"/>
        <w:rPr>
          <w:sz w:val="22"/>
          <w:u w:val="single"/>
        </w:rPr>
      </w:pPr>
      <w:r w:rsidRPr="005C6188">
        <w:rPr>
          <w:sz w:val="22"/>
          <w:u w:val="single"/>
        </w:rPr>
        <w:t>Zunanjetrgovinska bilanca po državah v letu 2019</w:t>
      </w:r>
    </w:p>
    <w:p w14:paraId="7DF3F5A4" w14:textId="45EDA3F1" w:rsidR="003D5D84" w:rsidRPr="005C6188" w:rsidRDefault="003D5D84" w:rsidP="007613FE">
      <w:pPr>
        <w:pStyle w:val="1"/>
        <w:spacing w:before="0"/>
        <w:rPr>
          <w:sz w:val="22"/>
        </w:rPr>
      </w:pPr>
      <w:r w:rsidRPr="005C6188">
        <w:rPr>
          <w:sz w:val="22"/>
        </w:rPr>
        <w:t xml:space="preserve">V letu 2019 ostaja zunanjetrgovinska bilanca po skupinah držav nespremenjena. Primanjkljaj z državami EU–28 se je glede na predhodno leto povečal kljub hitrejši rasti izvoza v primerjavi z uvozom in je dosegel 1.047 </w:t>
      </w:r>
      <w:r w:rsidR="00D53725" w:rsidRPr="005C6188">
        <w:rPr>
          <w:sz w:val="22"/>
        </w:rPr>
        <w:t>mio</w:t>
      </w:r>
      <w:r w:rsidRPr="005C6188">
        <w:rPr>
          <w:sz w:val="22"/>
        </w:rPr>
        <w:t xml:space="preserve"> EUR. Blagovna menjava z državami na ozemlju nekdanje Jugoslavije je bila tudi v letu 2019 pozitivna (130 </w:t>
      </w:r>
      <w:r w:rsidR="00D53725" w:rsidRPr="005C6188">
        <w:rPr>
          <w:sz w:val="22"/>
        </w:rPr>
        <w:t>mio</w:t>
      </w:r>
      <w:r w:rsidRPr="005C6188">
        <w:rPr>
          <w:sz w:val="22"/>
        </w:rPr>
        <w:t xml:space="preserve"> EUR). Primanjkljaj v trgovini s tretjimi državami se je klljub povečanju izvoza in zmanjšanju uvoza zmanjšal za 4 % (s 143 </w:t>
      </w:r>
      <w:r w:rsidR="00D53725" w:rsidRPr="005C6188">
        <w:rPr>
          <w:sz w:val="22"/>
        </w:rPr>
        <w:t>mio</w:t>
      </w:r>
      <w:r w:rsidRPr="005C6188">
        <w:rPr>
          <w:sz w:val="22"/>
        </w:rPr>
        <w:t xml:space="preserve"> EUR v letu 2018 na 137 </w:t>
      </w:r>
      <w:r w:rsidR="00D53725" w:rsidRPr="005C6188">
        <w:rPr>
          <w:sz w:val="22"/>
        </w:rPr>
        <w:t>mio</w:t>
      </w:r>
      <w:r w:rsidRPr="005C6188">
        <w:rPr>
          <w:sz w:val="22"/>
        </w:rPr>
        <w:t xml:space="preserve"> EUR).</w:t>
      </w:r>
    </w:p>
    <w:p w14:paraId="48B72CF8" w14:textId="77777777" w:rsidR="00D22DB1" w:rsidRPr="005C6188" w:rsidRDefault="00D22DB1" w:rsidP="007613FE">
      <w:pPr>
        <w:pStyle w:val="1"/>
        <w:spacing w:before="0"/>
        <w:rPr>
          <w:sz w:val="22"/>
        </w:rPr>
      </w:pPr>
    </w:p>
    <w:p w14:paraId="1323A2A5" w14:textId="7FD61793" w:rsidR="003D5D84" w:rsidRPr="005C6188" w:rsidRDefault="003D5D84" w:rsidP="007613FE">
      <w:pPr>
        <w:pStyle w:val="1"/>
        <w:spacing w:before="0"/>
        <w:rPr>
          <w:sz w:val="22"/>
        </w:rPr>
      </w:pPr>
      <w:r w:rsidRPr="005C6188">
        <w:rPr>
          <w:sz w:val="22"/>
        </w:rPr>
        <w:t xml:space="preserve">Zunanjetrgovinska bilanca Slovenije z Nemčijo, Avstrijo in Poljsko je negativna, pozitivna pa z nekaterimi državami bivše Jugoslavije – Bosno in Hercegovino, Kosovom in Makedonijo. Trgovske verige, ki so del tujih trgovskih verig, uvažajo nekatere živilske proizvode iz držav EU preko svojih nabavnih poti. </w:t>
      </w:r>
    </w:p>
    <w:p w14:paraId="59235667" w14:textId="77777777" w:rsidR="003D5D84" w:rsidRDefault="003D5D84" w:rsidP="007613FE">
      <w:pPr>
        <w:spacing w:before="0" w:line="260" w:lineRule="atLeast"/>
        <w:rPr>
          <w:sz w:val="20"/>
          <w:szCs w:val="20"/>
        </w:rPr>
      </w:pPr>
    </w:p>
    <w:p w14:paraId="3BB68BAE" w14:textId="51468DC4" w:rsidR="003D5D84" w:rsidRPr="0047652B" w:rsidRDefault="003D5D84" w:rsidP="005C6188">
      <w:pPr>
        <w:pStyle w:val="SCSlika0"/>
        <w:rPr>
          <w:szCs w:val="20"/>
        </w:rPr>
      </w:pPr>
      <w:bookmarkStart w:id="3217" w:name="_Toc86822768"/>
      <w:r w:rsidRPr="009F3567">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96</w:t>
      </w:r>
      <w:r w:rsidR="009F2591">
        <w:rPr>
          <w:noProof/>
        </w:rPr>
        <w:fldChar w:fldCharType="end"/>
      </w:r>
      <w:r w:rsidRPr="009F3567">
        <w:t>:</w:t>
      </w:r>
      <w:r>
        <w:t xml:space="preserve"> Zunanjetrgovinska bilanca agroživilskih proizvodov po državah v letu </w:t>
      </w:r>
      <w:r w:rsidRPr="00515A40">
        <w:t>2018</w:t>
      </w:r>
      <w:bookmarkEnd w:id="3217"/>
      <w:r w:rsidRPr="00515A40">
        <w:rPr>
          <w:i/>
        </w:rPr>
        <w:t xml:space="preserve"> </w:t>
      </w:r>
    </w:p>
    <w:p w14:paraId="65195904" w14:textId="77777777" w:rsidR="003D5D84" w:rsidRPr="0047652B" w:rsidRDefault="003D5D84" w:rsidP="003D5D84">
      <w:pPr>
        <w:spacing w:before="0" w:line="276" w:lineRule="auto"/>
        <w:rPr>
          <w:sz w:val="20"/>
          <w:szCs w:val="20"/>
        </w:rPr>
      </w:pPr>
      <w:r w:rsidRPr="0047652B">
        <w:rPr>
          <w:noProof/>
          <w:sz w:val="20"/>
          <w:szCs w:val="20"/>
          <w:lang w:eastAsia="sl-SI"/>
        </w:rPr>
        <w:drawing>
          <wp:inline distT="0" distB="0" distL="0" distR="0" wp14:anchorId="5F6C8797" wp14:editId="619A9A39">
            <wp:extent cx="5760720" cy="3935730"/>
            <wp:effectExtent l="0" t="0" r="0" b="7620"/>
            <wp:docPr id="1631865356" name="Slika 163186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anca Slo-druge drzave.png"/>
                    <pic:cNvPicPr/>
                  </pic:nvPicPr>
                  <pic:blipFill>
                    <a:blip r:embed="rId131" cstate="email">
                      <a:extLst>
                        <a:ext uri="{28A0092B-C50C-407E-A947-70E740481C1C}">
                          <a14:useLocalDpi xmlns:a14="http://schemas.microsoft.com/office/drawing/2010/main"/>
                        </a:ext>
                      </a:extLst>
                    </a:blip>
                    <a:stretch>
                      <a:fillRect/>
                    </a:stretch>
                  </pic:blipFill>
                  <pic:spPr>
                    <a:xfrm>
                      <a:off x="0" y="0"/>
                      <a:ext cx="5760720" cy="3935730"/>
                    </a:xfrm>
                    <a:prstGeom prst="rect">
                      <a:avLst/>
                    </a:prstGeom>
                  </pic:spPr>
                </pic:pic>
              </a:graphicData>
            </a:graphic>
          </wp:inline>
        </w:drawing>
      </w:r>
    </w:p>
    <w:p w14:paraId="09A3E68D" w14:textId="5C2C6BB6" w:rsidR="003D5D84" w:rsidRPr="00451314" w:rsidRDefault="003D5D84" w:rsidP="00451314">
      <w:pPr>
        <w:pStyle w:val="ZPpodnapis"/>
        <w:rPr>
          <w:szCs w:val="16"/>
        </w:rPr>
      </w:pPr>
      <w:r w:rsidRPr="00F3427A">
        <w:rPr>
          <w:szCs w:val="16"/>
        </w:rPr>
        <w:t xml:space="preserve">Vir: </w:t>
      </w:r>
      <w:r w:rsidR="00307A17" w:rsidRPr="00451314">
        <w:rPr>
          <w:color w:val="000000" w:themeColor="text1"/>
          <w:szCs w:val="16"/>
        </w:rPr>
        <w:t>Kuhar,</w:t>
      </w:r>
      <w:r w:rsidR="00CD63B1" w:rsidRPr="00451314">
        <w:rPr>
          <w:color w:val="000000" w:themeColor="text1"/>
          <w:szCs w:val="16"/>
        </w:rPr>
        <w:t xml:space="preserve"> </w:t>
      </w:r>
      <w:r w:rsidR="00307A17" w:rsidRPr="00451314">
        <w:rPr>
          <w:color w:val="000000" w:themeColor="text1"/>
          <w:szCs w:val="16"/>
        </w:rPr>
        <w:t xml:space="preserve">2019: Gibanje realnih cen v živilski verigi, Analiza poslovanja živilske panoge v 2018. dostopno na: </w:t>
      </w:r>
      <w:hyperlink r:id="rId132" w:history="1">
        <w:r w:rsidR="00CD63B1" w:rsidRPr="00451314">
          <w:rPr>
            <w:rStyle w:val="Hiperpovezava"/>
            <w:szCs w:val="16"/>
          </w:rPr>
          <w:t>https://vrh-zkzp.gzs.si/Portals/Portal-Vrhzkzp/7.%20GZS_2019.pdf</w:t>
        </w:r>
      </w:hyperlink>
      <w:r w:rsidR="00CD63B1">
        <w:rPr>
          <w:szCs w:val="16"/>
        </w:rPr>
        <w:t xml:space="preserve"> </w:t>
      </w:r>
    </w:p>
    <w:p w14:paraId="3BA37725" w14:textId="25C5D7EF" w:rsidR="00301C1C" w:rsidRPr="005C6188" w:rsidRDefault="00301C1C" w:rsidP="007613FE">
      <w:pPr>
        <w:pStyle w:val="ZPtekst"/>
        <w:spacing w:before="0" w:line="260" w:lineRule="atLeast"/>
        <w:rPr>
          <w:szCs w:val="20"/>
        </w:rPr>
      </w:pPr>
      <w:r w:rsidRPr="005C6188">
        <w:rPr>
          <w:szCs w:val="20"/>
        </w:rPr>
        <w:t xml:space="preserve">Slovenija je neto uvoznica večine kmetijskih proizvodov, razen izdelkov iz skupin Izdelki iz mesa, Žive živali, Oljna semena in plodovi ter Mlečni izdelki, jajca in med. </w:t>
      </w:r>
    </w:p>
    <w:p w14:paraId="4C4110D0" w14:textId="77777777" w:rsidR="00CD63B1" w:rsidRDefault="00CD63B1" w:rsidP="007613FE">
      <w:pPr>
        <w:spacing w:before="0" w:line="260" w:lineRule="atLeast"/>
        <w:rPr>
          <w:b/>
          <w:bCs/>
          <w:sz w:val="20"/>
          <w:szCs w:val="20"/>
        </w:rPr>
      </w:pPr>
    </w:p>
    <w:p w14:paraId="7A72AFE5" w14:textId="27A40C4C" w:rsidR="003A2226" w:rsidRPr="009F3567" w:rsidRDefault="003D5D84" w:rsidP="006D4C94">
      <w:pPr>
        <w:pStyle w:val="Naslov2"/>
      </w:pPr>
      <w:bookmarkStart w:id="3218" w:name="_Toc86822622"/>
      <w:r>
        <w:t>S</w:t>
      </w:r>
      <w:r w:rsidR="003A2226">
        <w:t>amooskrb</w:t>
      </w:r>
      <w:r>
        <w:t>a</w:t>
      </w:r>
      <w:r w:rsidR="003A2226">
        <w:t xml:space="preserve"> s kmetijskimi proizvodi</w:t>
      </w:r>
      <w:bookmarkEnd w:id="3218"/>
    </w:p>
    <w:p w14:paraId="1CD2E8E4" w14:textId="77777777" w:rsidR="003A2226" w:rsidRPr="00F3427A" w:rsidRDefault="003A2226" w:rsidP="007613FE">
      <w:pPr>
        <w:pStyle w:val="1"/>
        <w:spacing w:before="0"/>
      </w:pPr>
    </w:p>
    <w:p w14:paraId="2BBC36C4" w14:textId="1B20213A" w:rsidR="00FE3970" w:rsidRPr="006D4C94" w:rsidRDefault="003A2226" w:rsidP="007613FE">
      <w:pPr>
        <w:pStyle w:val="1"/>
        <w:spacing w:before="0"/>
        <w:rPr>
          <w:sz w:val="22"/>
        </w:rPr>
      </w:pPr>
      <w:r w:rsidRPr="006D4C94">
        <w:rPr>
          <w:sz w:val="22"/>
        </w:rPr>
        <w:t xml:space="preserve">Slovenija s svojo pridelavo hrane in predelavo ne pokriva vseh domačih potreb. Obseg kmetijskih obdelovalnih površin je majhen, poleg tega pa je velik delež zemljišč na OMD. </w:t>
      </w:r>
      <w:r w:rsidR="00D22DB1" w:rsidRPr="006D4C94">
        <w:rPr>
          <w:sz w:val="22"/>
        </w:rPr>
        <w:t xml:space="preserve">Iz tega izhaja strateška usmeritev, </w:t>
      </w:r>
      <w:r w:rsidRPr="006D4C94">
        <w:rPr>
          <w:sz w:val="22"/>
        </w:rPr>
        <w:t xml:space="preserve">da se pridelavo rastlinske hrane za ljudi usmeri na njivah, živinoreja pa se preusmeri v hribovit, gričevnat svet ter na območja zaraščanja, saj ta območja niso primerna za poljedelstvo. </w:t>
      </w:r>
      <w:r w:rsidR="00FE3970" w:rsidRPr="006D4C94">
        <w:rPr>
          <w:sz w:val="22"/>
        </w:rPr>
        <w:t xml:space="preserve">V času kriz in nepredvidenih dogodkov lahko v sektorjih z večjim primanjkljajem pričakujemo oteženo preskrbo s surovinami za kmetijsko proizvodnjo in živili. </w:t>
      </w:r>
    </w:p>
    <w:p w14:paraId="5237B332" w14:textId="77777777" w:rsidR="00D22DB1" w:rsidRPr="006D4C94" w:rsidRDefault="00D22DB1" w:rsidP="007613FE">
      <w:pPr>
        <w:pStyle w:val="1"/>
        <w:spacing w:before="0"/>
        <w:rPr>
          <w:sz w:val="22"/>
        </w:rPr>
      </w:pPr>
    </w:p>
    <w:p w14:paraId="623D40AD" w14:textId="3900B2DD" w:rsidR="003A2226" w:rsidRPr="006D4C94" w:rsidRDefault="003A2226" w:rsidP="007613FE">
      <w:pPr>
        <w:pStyle w:val="1"/>
        <w:spacing w:before="0"/>
        <w:rPr>
          <w:sz w:val="22"/>
        </w:rPr>
      </w:pPr>
      <w:r w:rsidRPr="006D4C94">
        <w:rPr>
          <w:sz w:val="22"/>
        </w:rPr>
        <w:t>Prevladujoča kmetijska panoga v Sloveniji je živinoreja, posledično pa je tudi stopnja samooskrbe višja pri živalskih proizvodih kot pri rastlinskih proizvodih. Posebej izstopa prireja mleka, perutnine, govejega mesa. Na področju rastlinske pridelave pa izstopa pridelava vina in hmelja.</w:t>
      </w:r>
    </w:p>
    <w:p w14:paraId="62E7227C" w14:textId="198AE1EA" w:rsidR="003A2226" w:rsidRPr="006D4C94" w:rsidRDefault="003A2226" w:rsidP="007613FE">
      <w:pPr>
        <w:pStyle w:val="1"/>
        <w:spacing w:before="0"/>
        <w:rPr>
          <w:sz w:val="22"/>
        </w:rPr>
      </w:pPr>
      <w:r w:rsidRPr="006D4C94">
        <w:rPr>
          <w:sz w:val="22"/>
        </w:rPr>
        <w:t>Pokritost uvoza z izvozom je bila v letu 2019 59,0 %. Od leta 2014 do leta 2019 se je pokritost povečala za kar deset odstotnih točk.</w:t>
      </w:r>
    </w:p>
    <w:p w14:paraId="6A3F87E4" w14:textId="3AD7A527" w:rsidR="00CD63B1" w:rsidRDefault="00CD63B1" w:rsidP="007613FE">
      <w:pPr>
        <w:spacing w:before="0" w:line="260" w:lineRule="atLeast"/>
      </w:pPr>
    </w:p>
    <w:p w14:paraId="73254106" w14:textId="66538A98" w:rsidR="008C6F8F" w:rsidRDefault="00CD63B1" w:rsidP="006D4C94">
      <w:pPr>
        <w:pStyle w:val="SCSlika0"/>
        <w:rPr>
          <w:szCs w:val="16"/>
        </w:rPr>
      </w:pPr>
      <w:bookmarkStart w:id="3219" w:name="_Toc86822769"/>
      <w:r w:rsidRPr="009F3567">
        <w:rPr>
          <w:szCs w:val="16"/>
        </w:rPr>
        <w:t xml:space="preserve">Slika </w:t>
      </w:r>
      <w:r w:rsidRPr="009F3567">
        <w:rPr>
          <w:szCs w:val="16"/>
        </w:rPr>
        <w:fldChar w:fldCharType="begin"/>
      </w:r>
      <w:r w:rsidRPr="009F3567">
        <w:rPr>
          <w:szCs w:val="16"/>
        </w:rPr>
        <w:instrText xml:space="preserve"> SEQ Slika \* ARABIC </w:instrText>
      </w:r>
      <w:r w:rsidRPr="009F3567">
        <w:rPr>
          <w:szCs w:val="16"/>
        </w:rPr>
        <w:fldChar w:fldCharType="separate"/>
      </w:r>
      <w:r w:rsidR="0088117A">
        <w:rPr>
          <w:noProof/>
          <w:szCs w:val="16"/>
        </w:rPr>
        <w:t>97</w:t>
      </w:r>
      <w:r w:rsidRPr="009F3567">
        <w:rPr>
          <w:noProof/>
          <w:szCs w:val="16"/>
        </w:rPr>
        <w:fldChar w:fldCharType="end"/>
      </w:r>
      <w:r w:rsidRPr="009F3567">
        <w:rPr>
          <w:szCs w:val="16"/>
        </w:rPr>
        <w:t>:</w:t>
      </w:r>
      <w:r w:rsidRPr="00CD63B1">
        <w:rPr>
          <w:szCs w:val="16"/>
        </w:rPr>
        <w:t xml:space="preserve"> </w:t>
      </w:r>
      <w:r w:rsidRPr="00965506">
        <w:t xml:space="preserve">Stopnja samooskrbe s pridelanimi in predelanimi kmetijskimi proizvodi </w:t>
      </w:r>
      <w:r w:rsidRPr="00F3427A">
        <w:t>v obdobjih 2007</w:t>
      </w:r>
      <w:r>
        <w:t>–</w:t>
      </w:r>
      <w:r w:rsidRPr="00F3427A">
        <w:t>2013 in 2014</w:t>
      </w:r>
      <w:r>
        <w:t>–</w:t>
      </w:r>
      <w:r w:rsidRPr="00965506">
        <w:t>2019, v %</w:t>
      </w:r>
      <w:bookmarkEnd w:id="3219"/>
      <w:r>
        <w:rPr>
          <w:szCs w:val="16"/>
        </w:rPr>
        <w:t xml:space="preserve"> </w:t>
      </w:r>
    </w:p>
    <w:p w14:paraId="13959540" w14:textId="6E365A0F" w:rsidR="008C6F8F" w:rsidRDefault="00ED35F3" w:rsidP="003A2226">
      <w:pPr>
        <w:pStyle w:val="ZPtekst"/>
        <w:spacing w:before="0" w:line="276" w:lineRule="auto"/>
        <w:rPr>
          <w:szCs w:val="16"/>
        </w:rPr>
      </w:pPr>
      <w:r>
        <w:rPr>
          <w:noProof/>
          <w:szCs w:val="16"/>
          <w:lang w:eastAsia="sl-SI"/>
        </w:rPr>
        <w:drawing>
          <wp:inline distT="0" distB="0" distL="0" distR="0" wp14:anchorId="2D7288CA" wp14:editId="419797B1">
            <wp:extent cx="5726058" cy="6065520"/>
            <wp:effectExtent l="0" t="0" r="8255" b="0"/>
            <wp:docPr id="1631865367" name="Slika 163186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2811" cy="6072674"/>
                    </a:xfrm>
                    <a:prstGeom prst="rect">
                      <a:avLst/>
                    </a:prstGeom>
                    <a:noFill/>
                  </pic:spPr>
                </pic:pic>
              </a:graphicData>
            </a:graphic>
          </wp:inline>
        </w:drawing>
      </w:r>
    </w:p>
    <w:p w14:paraId="7AF99153" w14:textId="056D7F3E" w:rsidR="00F72EC7" w:rsidRPr="00451314" w:rsidRDefault="00813595" w:rsidP="003A2226">
      <w:pPr>
        <w:pStyle w:val="ZPtekst"/>
        <w:spacing w:before="0" w:line="276" w:lineRule="auto"/>
        <w:rPr>
          <w:sz w:val="16"/>
          <w:szCs w:val="16"/>
        </w:rPr>
      </w:pPr>
      <w:r w:rsidRPr="00451314">
        <w:rPr>
          <w:sz w:val="16"/>
          <w:szCs w:val="16"/>
        </w:rPr>
        <w:t xml:space="preserve">Vir: MKGP. </w:t>
      </w:r>
    </w:p>
    <w:p w14:paraId="2532BAF2" w14:textId="5A99F3D4" w:rsidR="003E4D1B" w:rsidRDefault="003E4D1B" w:rsidP="007613FE">
      <w:pPr>
        <w:pStyle w:val="ZPtekst"/>
        <w:spacing w:before="0" w:line="260" w:lineRule="atLeast"/>
        <w:rPr>
          <w:sz w:val="20"/>
          <w:szCs w:val="20"/>
        </w:rPr>
      </w:pPr>
    </w:p>
    <w:p w14:paraId="382FED04" w14:textId="0D17FCBB" w:rsidR="00F3427A" w:rsidRPr="00451314" w:rsidRDefault="00F3427A" w:rsidP="006D4C94">
      <w:pPr>
        <w:pStyle w:val="Naslov3"/>
      </w:pPr>
      <w:bookmarkStart w:id="3220" w:name="_Toc86822623"/>
      <w:r w:rsidRPr="00451314">
        <w:t xml:space="preserve">Pregled primanjkljajev </w:t>
      </w:r>
      <w:r w:rsidR="00AF590F">
        <w:t>oziroma</w:t>
      </w:r>
      <w:r w:rsidRPr="00451314">
        <w:t xml:space="preserve"> presežkov po posameznih skupinah kmetijskih proizvodov</w:t>
      </w:r>
      <w:bookmarkEnd w:id="3220"/>
    </w:p>
    <w:p w14:paraId="10FE1649" w14:textId="77777777" w:rsidR="00F3427A" w:rsidRDefault="00F3427A" w:rsidP="007613FE">
      <w:pPr>
        <w:pStyle w:val="ZPtekst"/>
        <w:spacing w:before="0" w:line="260" w:lineRule="atLeast"/>
        <w:rPr>
          <w:sz w:val="20"/>
          <w:szCs w:val="20"/>
        </w:rPr>
      </w:pPr>
    </w:p>
    <w:p w14:paraId="12D4006C" w14:textId="1F47CB79" w:rsidR="003D5D84" w:rsidRPr="006D4C94" w:rsidRDefault="00AC5499" w:rsidP="007613FE">
      <w:pPr>
        <w:spacing w:before="0" w:line="260" w:lineRule="atLeast"/>
        <w:rPr>
          <w:szCs w:val="20"/>
          <w:u w:val="single"/>
        </w:rPr>
      </w:pPr>
      <w:r w:rsidRPr="006D4C94">
        <w:rPr>
          <w:szCs w:val="20"/>
          <w:u w:val="single"/>
        </w:rPr>
        <w:t>Sadje</w:t>
      </w:r>
    </w:p>
    <w:p w14:paraId="4C82376F" w14:textId="2B2A090F" w:rsidR="00F3427A" w:rsidRPr="006D4C94" w:rsidRDefault="00F3427A" w:rsidP="007613FE">
      <w:pPr>
        <w:spacing w:before="0" w:line="260" w:lineRule="atLeast"/>
        <w:rPr>
          <w:bCs/>
          <w:szCs w:val="20"/>
        </w:rPr>
      </w:pPr>
      <w:r w:rsidRPr="006D4C94">
        <w:rPr>
          <w:bCs/>
          <w:szCs w:val="20"/>
        </w:rPr>
        <w:t xml:space="preserve">Pri sadju se je v obdobju 2014–2019 glede na obdobje 2007–2013 povečal tako uvoz, kot tudi izvoz. Izvožene količine so v obsegu pridelanih količin, uvožene količine pa v obsegu domače porabe. Stopnja samooskrbe se je v tem obdobju ob nespremenjeni porabi in manjšani pridelavi zmanjšala za 12 odstotnh točk na 48 %. </w:t>
      </w:r>
    </w:p>
    <w:p w14:paraId="492084C1" w14:textId="4F115ECA" w:rsidR="00F3427A" w:rsidRDefault="00F3427A" w:rsidP="007613FE">
      <w:pPr>
        <w:spacing w:before="0" w:line="260" w:lineRule="atLeast"/>
        <w:rPr>
          <w:sz w:val="20"/>
          <w:szCs w:val="20"/>
          <w:u w:val="single"/>
        </w:rPr>
      </w:pPr>
    </w:p>
    <w:p w14:paraId="686E442C" w14:textId="47105013" w:rsidR="00F3427A" w:rsidRPr="00F3427A" w:rsidRDefault="00F3427A" w:rsidP="006D4C94">
      <w:pPr>
        <w:pStyle w:val="SCSlika0"/>
        <w:rPr>
          <w:u w:val="single"/>
        </w:rPr>
      </w:pPr>
      <w:bookmarkStart w:id="3221" w:name="_Toc86822770"/>
      <w:r w:rsidRPr="00F3427A">
        <w:t xml:space="preserve">Slika </w:t>
      </w:r>
      <w:r w:rsidRPr="00F3427A">
        <w:fldChar w:fldCharType="begin"/>
      </w:r>
      <w:r w:rsidRPr="00875637">
        <w:instrText xml:space="preserve"> SEQ Slika \* ARABIC </w:instrText>
      </w:r>
      <w:r w:rsidRPr="00F3427A">
        <w:fldChar w:fldCharType="separate"/>
      </w:r>
      <w:r w:rsidR="0088117A">
        <w:rPr>
          <w:noProof/>
        </w:rPr>
        <w:t>98</w:t>
      </w:r>
      <w:r w:rsidRPr="00F3427A">
        <w:rPr>
          <w:noProof/>
        </w:rPr>
        <w:fldChar w:fldCharType="end"/>
      </w:r>
      <w:r w:rsidRPr="00F3427A">
        <w:t>:</w:t>
      </w:r>
      <w:r w:rsidR="0023520B" w:rsidRPr="00C37E12">
        <w:t xml:space="preserve"> Domača p</w:t>
      </w:r>
      <w:r w:rsidR="0023520B">
        <w:t>oraba</w:t>
      </w:r>
      <w:r w:rsidRPr="00451314">
        <w:t xml:space="preserve">, pridelava, uvoz in izvoz </w:t>
      </w:r>
      <w:r>
        <w:t xml:space="preserve">- </w:t>
      </w:r>
      <w:r w:rsidRPr="00451314">
        <w:t>sadj</w:t>
      </w:r>
      <w:r>
        <w:t>e</w:t>
      </w:r>
      <w:r w:rsidRPr="00F3427A">
        <w:t>, v tisoč t</w:t>
      </w:r>
      <w:bookmarkEnd w:id="3221"/>
    </w:p>
    <w:p w14:paraId="3033BF0E" w14:textId="2029ED0B" w:rsidR="00F3427A" w:rsidRDefault="00F3427A" w:rsidP="003D5D84">
      <w:pPr>
        <w:spacing w:before="0" w:line="276" w:lineRule="auto"/>
        <w:rPr>
          <w:sz w:val="20"/>
          <w:szCs w:val="20"/>
          <w:u w:val="single"/>
        </w:rPr>
      </w:pPr>
      <w:r>
        <w:rPr>
          <w:noProof/>
          <w:lang w:eastAsia="sl-SI"/>
        </w:rPr>
        <w:drawing>
          <wp:inline distT="0" distB="0" distL="0" distR="0" wp14:anchorId="6402CA59" wp14:editId="21DECC94">
            <wp:extent cx="2849880" cy="2217420"/>
            <wp:effectExtent l="0" t="0" r="7620" b="11430"/>
            <wp:docPr id="1631865540" name="Grafikon 1631865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37790D3" w14:textId="6DFD6FB7" w:rsidR="00F3427A" w:rsidRPr="00451314" w:rsidRDefault="00F3427A" w:rsidP="003D5D84">
      <w:pPr>
        <w:spacing w:before="0" w:line="276" w:lineRule="auto"/>
        <w:rPr>
          <w:sz w:val="16"/>
          <w:szCs w:val="16"/>
        </w:rPr>
      </w:pPr>
      <w:r w:rsidRPr="00451314">
        <w:rPr>
          <w:sz w:val="16"/>
          <w:szCs w:val="16"/>
        </w:rPr>
        <w:t xml:space="preserve">Vir: MKGP. </w:t>
      </w:r>
    </w:p>
    <w:p w14:paraId="1CEEBD73" w14:textId="77777777" w:rsidR="00F3427A" w:rsidRDefault="00F3427A" w:rsidP="007613FE">
      <w:pPr>
        <w:pStyle w:val="ZPtekst"/>
        <w:spacing w:before="0" w:line="260" w:lineRule="atLeast"/>
        <w:rPr>
          <w:sz w:val="20"/>
          <w:szCs w:val="20"/>
        </w:rPr>
      </w:pPr>
    </w:p>
    <w:p w14:paraId="691C68C1" w14:textId="77777777" w:rsidR="00B2104E" w:rsidRPr="006D4C94" w:rsidRDefault="00B2104E" w:rsidP="007613FE">
      <w:pPr>
        <w:pStyle w:val="ZPtekst"/>
        <w:spacing w:before="0" w:line="260" w:lineRule="atLeast"/>
        <w:rPr>
          <w:szCs w:val="20"/>
        </w:rPr>
      </w:pPr>
      <w:r w:rsidRPr="006D4C94">
        <w:rPr>
          <w:szCs w:val="20"/>
        </w:rPr>
        <w:t xml:space="preserve">Pri svežem sadju je letni primanjkljaj v višini 128 tisoč t, 3 tisoč t sadja za predelavo, 4 tisoč t zamrznjenega sadja, skoraj 2,5 tisoč t suhega sadja ter 26 tisoč t proizvodov iz sadja. Po posameznih vrsta sadja je: </w:t>
      </w:r>
    </w:p>
    <w:p w14:paraId="01EB9DD7" w14:textId="77777777" w:rsidR="00B2104E" w:rsidRPr="006D4C94" w:rsidRDefault="00B2104E" w:rsidP="007613FE">
      <w:pPr>
        <w:pStyle w:val="ZPtekst"/>
        <w:spacing w:before="0" w:line="260" w:lineRule="atLeast"/>
        <w:rPr>
          <w:szCs w:val="20"/>
        </w:rPr>
      </w:pPr>
      <w:r w:rsidRPr="006D4C94">
        <w:rPr>
          <w:szCs w:val="20"/>
        </w:rPr>
        <w:t xml:space="preserve">- 2.200 t presežka svežih jabolk in primanjkljaja 5.600 t jabolčnega soka, </w:t>
      </w:r>
    </w:p>
    <w:p w14:paraId="4712FFE5" w14:textId="77777777" w:rsidR="00B2104E" w:rsidRPr="006D4C94" w:rsidRDefault="00B2104E" w:rsidP="007613FE">
      <w:pPr>
        <w:pStyle w:val="ZPtekst"/>
        <w:spacing w:before="0" w:line="260" w:lineRule="atLeast"/>
        <w:rPr>
          <w:szCs w:val="20"/>
        </w:rPr>
      </w:pPr>
      <w:r w:rsidRPr="006D4C94">
        <w:rPr>
          <w:szCs w:val="20"/>
        </w:rPr>
        <w:t xml:space="preserve">- 2.300 t primanjkljaja svežih jagod in 11.200 t proizvodov iz jagod (marmelade, džemi…) ter </w:t>
      </w:r>
    </w:p>
    <w:p w14:paraId="3EEFD646" w14:textId="77777777" w:rsidR="00B2104E" w:rsidRPr="006D4C94" w:rsidRDefault="00B2104E" w:rsidP="007613FE">
      <w:pPr>
        <w:pStyle w:val="ZPtekst"/>
        <w:spacing w:before="0" w:line="260" w:lineRule="atLeast"/>
        <w:rPr>
          <w:szCs w:val="20"/>
        </w:rPr>
      </w:pPr>
      <w:r w:rsidRPr="006D4C94">
        <w:rPr>
          <w:szCs w:val="20"/>
        </w:rPr>
        <w:t>- 800 t primanjkljaja svežega jagodičja in 1.000 t zamrznjenega jagodičja.</w:t>
      </w:r>
    </w:p>
    <w:p w14:paraId="0980FEFC" w14:textId="52AC6848" w:rsidR="003D5D84" w:rsidRPr="006D4C94" w:rsidRDefault="003D5D84" w:rsidP="007613FE">
      <w:pPr>
        <w:spacing w:before="0" w:line="260" w:lineRule="atLeast"/>
        <w:rPr>
          <w:szCs w:val="20"/>
        </w:rPr>
      </w:pPr>
    </w:p>
    <w:p w14:paraId="2D89E479" w14:textId="08591810" w:rsidR="00B2104E" w:rsidRPr="006D4C94" w:rsidRDefault="00F3427A" w:rsidP="007613FE">
      <w:pPr>
        <w:spacing w:before="0" w:line="260" w:lineRule="atLeast"/>
        <w:rPr>
          <w:noProof/>
          <w:szCs w:val="20"/>
          <w:u w:val="single"/>
          <w:lang w:eastAsia="sl-SI"/>
        </w:rPr>
      </w:pPr>
      <w:r w:rsidRPr="006D4C94">
        <w:rPr>
          <w:noProof/>
          <w:szCs w:val="20"/>
          <w:u w:val="single"/>
          <w:lang w:eastAsia="sl-SI"/>
        </w:rPr>
        <w:t>Zelenjadnice</w:t>
      </w:r>
    </w:p>
    <w:p w14:paraId="0C8C0E0E" w14:textId="5B3BE0EC" w:rsidR="00F3427A" w:rsidRPr="006D4C94" w:rsidRDefault="00F3427A" w:rsidP="007613FE">
      <w:pPr>
        <w:spacing w:before="0" w:line="260" w:lineRule="atLeast"/>
        <w:rPr>
          <w:bCs/>
          <w:szCs w:val="20"/>
        </w:rPr>
      </w:pPr>
      <w:r w:rsidRPr="006D4C94">
        <w:rPr>
          <w:bCs/>
          <w:szCs w:val="20"/>
        </w:rPr>
        <w:t>Pri zelenjadnicah se je v obdobju 2014-2019 glede na obdobje 2007-2013 povečala pridelava za 39 %. Uvoz se je povečal za 11 %, izvoz za kar 52 %, pri čemer pa izvoz v obdobju 2014-2020 v celotni porabi predstavlja le 7 %. Stopnja samooskrbe se je pri povečanju porabe in pride</w:t>
      </w:r>
      <w:r w:rsidR="00B3164C" w:rsidRPr="006D4C94">
        <w:rPr>
          <w:bCs/>
          <w:szCs w:val="20"/>
        </w:rPr>
        <w:t>lave povečala za 4,2 odstotne t</w:t>
      </w:r>
      <w:r w:rsidRPr="006D4C94">
        <w:rPr>
          <w:bCs/>
          <w:szCs w:val="20"/>
        </w:rPr>
        <w:t>očke na 29 %.</w:t>
      </w:r>
    </w:p>
    <w:p w14:paraId="5CFCD5C8" w14:textId="6E3A3A06" w:rsidR="00F3427A" w:rsidRDefault="00F3427A" w:rsidP="007613FE">
      <w:pPr>
        <w:spacing w:before="0" w:line="260" w:lineRule="atLeast"/>
        <w:rPr>
          <w:noProof/>
          <w:sz w:val="20"/>
          <w:szCs w:val="20"/>
          <w:u w:val="single"/>
          <w:lang w:eastAsia="sl-SI"/>
        </w:rPr>
      </w:pPr>
    </w:p>
    <w:p w14:paraId="25433BD8" w14:textId="760B2103" w:rsidR="00F3427A" w:rsidRPr="00F3427A" w:rsidRDefault="00F3427A" w:rsidP="006D4C94">
      <w:pPr>
        <w:pStyle w:val="SCSlika0"/>
        <w:rPr>
          <w:u w:val="single"/>
        </w:rPr>
      </w:pPr>
      <w:bookmarkStart w:id="3222" w:name="_Toc86822771"/>
      <w:r w:rsidRPr="00F3427A">
        <w:t xml:space="preserve">Slika </w:t>
      </w:r>
      <w:r w:rsidRPr="00F3427A">
        <w:fldChar w:fldCharType="begin"/>
      </w:r>
      <w:r w:rsidRPr="00B42E90">
        <w:instrText xml:space="preserve"> SEQ Slika \* ARABIC </w:instrText>
      </w:r>
      <w:r w:rsidRPr="00F3427A">
        <w:fldChar w:fldCharType="separate"/>
      </w:r>
      <w:r w:rsidR="0088117A">
        <w:rPr>
          <w:noProof/>
        </w:rPr>
        <w:t>99</w:t>
      </w:r>
      <w:r w:rsidRPr="00F3427A">
        <w:rPr>
          <w:noProof/>
        </w:rPr>
        <w:fldChar w:fldCharType="end"/>
      </w:r>
      <w:r w:rsidRPr="00F3427A">
        <w:t>:</w:t>
      </w:r>
      <w:r w:rsidR="0023520B">
        <w:t xml:space="preserve"> Domača poraba</w:t>
      </w:r>
      <w:r w:rsidRPr="00B42E90">
        <w:t>, pridelava</w:t>
      </w:r>
      <w:r>
        <w:t>, uvoz in izvoz - zelenjadnice</w:t>
      </w:r>
      <w:r w:rsidRPr="00F3427A">
        <w:t>, v tisoč t</w:t>
      </w:r>
      <w:bookmarkEnd w:id="3222"/>
    </w:p>
    <w:p w14:paraId="4AD0F9E1" w14:textId="77777777" w:rsidR="00F3427A" w:rsidRDefault="00F3427A" w:rsidP="007613FE">
      <w:pPr>
        <w:spacing w:before="0" w:line="260" w:lineRule="atLeast"/>
        <w:rPr>
          <w:noProof/>
          <w:sz w:val="20"/>
          <w:szCs w:val="20"/>
          <w:u w:val="single"/>
          <w:lang w:eastAsia="sl-SI"/>
        </w:rPr>
      </w:pPr>
    </w:p>
    <w:p w14:paraId="0A28DB38" w14:textId="72C864B4" w:rsidR="00F3427A" w:rsidRPr="00451314" w:rsidRDefault="00F3427A" w:rsidP="003D5D84">
      <w:pPr>
        <w:spacing w:before="0" w:line="276" w:lineRule="auto"/>
        <w:rPr>
          <w:noProof/>
          <w:sz w:val="20"/>
          <w:szCs w:val="20"/>
          <w:u w:val="single"/>
          <w:lang w:eastAsia="sl-SI"/>
        </w:rPr>
      </w:pPr>
      <w:r>
        <w:rPr>
          <w:noProof/>
          <w:lang w:eastAsia="sl-SI"/>
        </w:rPr>
        <w:drawing>
          <wp:inline distT="0" distB="0" distL="0" distR="0" wp14:anchorId="0CCC346C" wp14:editId="2477A63D">
            <wp:extent cx="2772410" cy="2217420"/>
            <wp:effectExtent l="0" t="0" r="8890" b="11430"/>
            <wp:docPr id="1631865543" name="Grafikon 1631865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0A91FA2F" w14:textId="77777777" w:rsidR="00F3427A" w:rsidRPr="00B42E90" w:rsidRDefault="00F3427A" w:rsidP="00F3427A">
      <w:pPr>
        <w:spacing w:before="0" w:line="276" w:lineRule="auto"/>
        <w:rPr>
          <w:sz w:val="16"/>
          <w:szCs w:val="16"/>
        </w:rPr>
      </w:pPr>
      <w:r w:rsidRPr="00B42E90">
        <w:rPr>
          <w:sz w:val="16"/>
          <w:szCs w:val="16"/>
        </w:rPr>
        <w:t xml:space="preserve">Vir: MKGP. </w:t>
      </w:r>
    </w:p>
    <w:p w14:paraId="3BC7C639" w14:textId="77777777" w:rsidR="00F3427A" w:rsidRDefault="00F3427A" w:rsidP="007613FE">
      <w:pPr>
        <w:pStyle w:val="ZPtekst"/>
        <w:spacing w:before="0" w:line="260" w:lineRule="atLeast"/>
        <w:rPr>
          <w:bCs/>
          <w:sz w:val="20"/>
          <w:szCs w:val="20"/>
        </w:rPr>
      </w:pPr>
    </w:p>
    <w:p w14:paraId="78B6289F" w14:textId="77777777" w:rsidR="00B2104E" w:rsidRPr="006D4C94" w:rsidRDefault="00B2104E" w:rsidP="007613FE">
      <w:pPr>
        <w:pStyle w:val="ZPtekst"/>
        <w:spacing w:before="0" w:line="260" w:lineRule="atLeast"/>
        <w:rPr>
          <w:szCs w:val="20"/>
        </w:rPr>
      </w:pPr>
      <w:r w:rsidRPr="006D4C94">
        <w:rPr>
          <w:szCs w:val="20"/>
        </w:rPr>
        <w:t xml:space="preserve">Pri zelenjavi letno primanjkuje 88 tisoč t sveže, 10 tisoč t zamrznjene zelenjave ter 30 tisoč t proizvodov iz zelenjave letno. Od tega znaša primanjkljaj: </w:t>
      </w:r>
    </w:p>
    <w:p w14:paraId="7F4161BB" w14:textId="77777777" w:rsidR="00B2104E" w:rsidRPr="006D4C94" w:rsidRDefault="00B2104E" w:rsidP="007613FE">
      <w:pPr>
        <w:pStyle w:val="ZPtekst"/>
        <w:spacing w:before="0" w:line="260" w:lineRule="atLeast"/>
        <w:rPr>
          <w:szCs w:val="20"/>
        </w:rPr>
      </w:pPr>
      <w:r w:rsidRPr="006D4C94">
        <w:rPr>
          <w:szCs w:val="20"/>
        </w:rPr>
        <w:t xml:space="preserve">- 10.000 t svežega paradižnika in 9.100 t izdelkov iz paradižnika (pelati, omake, ketchup), </w:t>
      </w:r>
    </w:p>
    <w:p w14:paraId="0A4F3A73" w14:textId="77777777" w:rsidR="00B2104E" w:rsidRPr="006D4C94" w:rsidRDefault="00B2104E" w:rsidP="007613FE">
      <w:pPr>
        <w:pStyle w:val="ZPtekst"/>
        <w:spacing w:before="0" w:line="260" w:lineRule="atLeast"/>
        <w:rPr>
          <w:szCs w:val="20"/>
        </w:rPr>
      </w:pPr>
      <w:r w:rsidRPr="006D4C94">
        <w:rPr>
          <w:szCs w:val="20"/>
        </w:rPr>
        <w:t xml:space="preserve">- 9.000 t sveže paprike in 1.200 t proizvodov iz paprike (vložena paprika), </w:t>
      </w:r>
    </w:p>
    <w:p w14:paraId="1C81F677" w14:textId="77777777" w:rsidR="00B2104E" w:rsidRPr="006D4C94" w:rsidRDefault="00B2104E" w:rsidP="007613FE">
      <w:pPr>
        <w:pStyle w:val="ZPtekst"/>
        <w:spacing w:before="0" w:line="260" w:lineRule="atLeast"/>
        <w:rPr>
          <w:szCs w:val="20"/>
        </w:rPr>
      </w:pPr>
      <w:r w:rsidRPr="006D4C94">
        <w:rPr>
          <w:szCs w:val="20"/>
        </w:rPr>
        <w:t>- 4.000 t svežega zelja in 630 t pripravljenega zelja drugače kot v kisu in</w:t>
      </w:r>
    </w:p>
    <w:p w14:paraId="40D8FEE9" w14:textId="77777777" w:rsidR="00B2104E" w:rsidRPr="006D4C94" w:rsidRDefault="00B2104E" w:rsidP="007613FE">
      <w:pPr>
        <w:pStyle w:val="ZPtekst"/>
        <w:spacing w:before="0" w:line="260" w:lineRule="atLeast"/>
        <w:rPr>
          <w:szCs w:val="20"/>
        </w:rPr>
      </w:pPr>
      <w:r w:rsidRPr="006D4C94">
        <w:rPr>
          <w:szCs w:val="20"/>
        </w:rPr>
        <w:t xml:space="preserve">- 9.000 t sveže solate. </w:t>
      </w:r>
    </w:p>
    <w:p w14:paraId="3DA8414D" w14:textId="77777777" w:rsidR="00357B10" w:rsidRPr="006D4C94" w:rsidRDefault="00357B10" w:rsidP="007613FE">
      <w:pPr>
        <w:spacing w:before="0" w:line="260" w:lineRule="atLeast"/>
        <w:rPr>
          <w:bCs/>
          <w:szCs w:val="20"/>
          <w:u w:val="single"/>
        </w:rPr>
      </w:pPr>
    </w:p>
    <w:p w14:paraId="03690044" w14:textId="7B7C928C" w:rsidR="00B2104E" w:rsidRPr="006D4C94" w:rsidRDefault="00F3427A" w:rsidP="007613FE">
      <w:pPr>
        <w:spacing w:before="0" w:line="260" w:lineRule="atLeast"/>
        <w:rPr>
          <w:bCs/>
          <w:szCs w:val="20"/>
          <w:u w:val="single"/>
        </w:rPr>
      </w:pPr>
      <w:r w:rsidRPr="006D4C94">
        <w:rPr>
          <w:bCs/>
          <w:szCs w:val="20"/>
          <w:u w:val="single"/>
        </w:rPr>
        <w:t>Govedo</w:t>
      </w:r>
    </w:p>
    <w:p w14:paraId="4CAB1657" w14:textId="0D19FBF3" w:rsidR="0023520B" w:rsidRPr="006D4C94" w:rsidRDefault="00B2104E" w:rsidP="007613FE">
      <w:pPr>
        <w:spacing w:before="0" w:line="260" w:lineRule="atLeast"/>
        <w:rPr>
          <w:szCs w:val="20"/>
        </w:rPr>
      </w:pPr>
      <w:r w:rsidRPr="006D4C94">
        <w:rPr>
          <w:szCs w:val="20"/>
        </w:rPr>
        <w:t>Po vklj</w:t>
      </w:r>
      <w:r w:rsidR="00F3427A" w:rsidRPr="006D4C94">
        <w:rPr>
          <w:szCs w:val="20"/>
        </w:rPr>
        <w:t>u</w:t>
      </w:r>
      <w:r w:rsidRPr="006D4C94">
        <w:rPr>
          <w:szCs w:val="20"/>
        </w:rPr>
        <w:t>čitvi Slovenije v sk</w:t>
      </w:r>
      <w:r w:rsidR="00F3427A" w:rsidRPr="006D4C94">
        <w:rPr>
          <w:szCs w:val="20"/>
        </w:rPr>
        <w:t>u</w:t>
      </w:r>
      <w:r w:rsidRPr="006D4C94">
        <w:rPr>
          <w:szCs w:val="20"/>
        </w:rPr>
        <w:t xml:space="preserve">pni trg EU se je obseg zunanje trgovine z govedom močno povečal, ob tem so bile opazne tudi precejšnje spremembe v strukturi, zlasti pri izvozu. Izvoz se je preusmeril od izvoza mesa k neposrednemu izvozu živih živali. Čeprav je izvoz mesa in izdelkov v letu 2019 skoraj trikrat tolikšen kot pred desetletjem, delež izvoza živih živali še vedno ostaja velik. Uvoz pa se je od živih živali preusmeril k uvozu govejega mesa. Letno se uvozi 31.000 govejih živali, največ pri starosti 6 mesecev, na mesečnem nivoju je potrebno uvoziti približno 1.500 telet. </w:t>
      </w:r>
    </w:p>
    <w:p w14:paraId="5464D7A6" w14:textId="77777777" w:rsidR="0023520B" w:rsidRPr="006D4C94" w:rsidRDefault="00B2104E" w:rsidP="007613FE">
      <w:pPr>
        <w:pStyle w:val="ZPtekst"/>
        <w:spacing w:before="0" w:line="260" w:lineRule="atLeast"/>
        <w:rPr>
          <w:szCs w:val="20"/>
        </w:rPr>
      </w:pPr>
      <w:r w:rsidRPr="006D4C94">
        <w:rPr>
          <w:szCs w:val="20"/>
        </w:rPr>
        <w:t>V povprečju zadnjih 3 let je primanjkljaj</w:t>
      </w:r>
      <w:r w:rsidR="0023520B" w:rsidRPr="006D4C94">
        <w:rPr>
          <w:szCs w:val="20"/>
        </w:rPr>
        <w:t>:</w:t>
      </w:r>
    </w:p>
    <w:p w14:paraId="7FFB3429" w14:textId="77777777" w:rsidR="0023520B" w:rsidRPr="006D4C94" w:rsidRDefault="0023520B" w:rsidP="007613FE">
      <w:pPr>
        <w:pStyle w:val="ZPtekst"/>
        <w:spacing w:before="0" w:line="260" w:lineRule="atLeast"/>
        <w:rPr>
          <w:szCs w:val="20"/>
        </w:rPr>
      </w:pPr>
      <w:r w:rsidRPr="006D4C94">
        <w:rPr>
          <w:szCs w:val="20"/>
        </w:rPr>
        <w:t>-</w:t>
      </w:r>
      <w:r w:rsidR="00B2104E" w:rsidRPr="006D4C94">
        <w:rPr>
          <w:szCs w:val="20"/>
        </w:rPr>
        <w:t xml:space="preserve"> 23 tisoč goved (mase 160-300 kg) za nadaljnje pitanje, </w:t>
      </w:r>
    </w:p>
    <w:p w14:paraId="09326F64" w14:textId="77777777" w:rsidR="0023520B" w:rsidRPr="006D4C94" w:rsidRDefault="0023520B" w:rsidP="007613FE">
      <w:pPr>
        <w:pStyle w:val="ZPtekst"/>
        <w:spacing w:before="0" w:line="260" w:lineRule="atLeast"/>
        <w:rPr>
          <w:szCs w:val="20"/>
        </w:rPr>
      </w:pPr>
      <w:r w:rsidRPr="006D4C94">
        <w:rPr>
          <w:szCs w:val="20"/>
        </w:rPr>
        <w:t xml:space="preserve">- </w:t>
      </w:r>
      <w:r w:rsidR="00B2104E" w:rsidRPr="006D4C94">
        <w:rPr>
          <w:szCs w:val="20"/>
        </w:rPr>
        <w:t xml:space="preserve">3 tisoč t svežega ali ohlajenega ter </w:t>
      </w:r>
    </w:p>
    <w:p w14:paraId="2C43DED0" w14:textId="38B12AED" w:rsidR="00B2104E" w:rsidRPr="006D4C94" w:rsidRDefault="0023520B" w:rsidP="007613FE">
      <w:pPr>
        <w:pStyle w:val="ZPtekst"/>
        <w:spacing w:before="0" w:line="260" w:lineRule="atLeast"/>
        <w:rPr>
          <w:szCs w:val="20"/>
        </w:rPr>
      </w:pPr>
      <w:r w:rsidRPr="006D4C94">
        <w:rPr>
          <w:szCs w:val="20"/>
        </w:rPr>
        <w:t xml:space="preserve">- </w:t>
      </w:r>
      <w:r w:rsidR="00B2104E" w:rsidRPr="006D4C94">
        <w:rPr>
          <w:szCs w:val="20"/>
        </w:rPr>
        <w:t xml:space="preserve">2 tisoč t zamrznjenega govejega mesa. </w:t>
      </w:r>
    </w:p>
    <w:p w14:paraId="42C78F14" w14:textId="2B07D2A8" w:rsidR="00B2104E" w:rsidRPr="00D967FE" w:rsidRDefault="00B2104E" w:rsidP="007613FE">
      <w:pPr>
        <w:pStyle w:val="ZPtekst"/>
        <w:spacing w:before="0" w:line="260" w:lineRule="atLeast"/>
        <w:ind w:left="360"/>
        <w:rPr>
          <w:sz w:val="20"/>
          <w:szCs w:val="20"/>
        </w:rPr>
      </w:pPr>
    </w:p>
    <w:p w14:paraId="5D9A7267" w14:textId="492E2BF3" w:rsidR="008C4D3F" w:rsidRPr="00F3427A" w:rsidRDefault="008C4D3F" w:rsidP="006D4C94">
      <w:pPr>
        <w:pStyle w:val="SCSlika0"/>
        <w:rPr>
          <w:u w:val="single"/>
        </w:rPr>
      </w:pPr>
      <w:bookmarkStart w:id="3223" w:name="_Toc86822772"/>
      <w:r w:rsidRPr="00F3427A">
        <w:t xml:space="preserve">Slika </w:t>
      </w:r>
      <w:r w:rsidRPr="00F3427A">
        <w:fldChar w:fldCharType="begin"/>
      </w:r>
      <w:r w:rsidRPr="00B42E90">
        <w:instrText xml:space="preserve"> SEQ Slika \* ARABIC </w:instrText>
      </w:r>
      <w:r w:rsidRPr="00F3427A">
        <w:fldChar w:fldCharType="separate"/>
      </w:r>
      <w:r w:rsidR="0088117A">
        <w:rPr>
          <w:noProof/>
        </w:rPr>
        <w:t>100</w:t>
      </w:r>
      <w:r w:rsidRPr="00F3427A">
        <w:rPr>
          <w:noProof/>
        </w:rPr>
        <w:fldChar w:fldCharType="end"/>
      </w:r>
      <w:r w:rsidRPr="00F3427A">
        <w:t>:</w:t>
      </w:r>
      <w:r w:rsidR="0023520B">
        <w:t xml:space="preserve"> Domača poraba</w:t>
      </w:r>
      <w:r w:rsidRPr="00B42E90">
        <w:t xml:space="preserve">, </w:t>
      </w:r>
      <w:r w:rsidR="0023520B">
        <w:t>prireja mesa, izvoz in uvoz živih živali ter uvoz in izvoz mesa in izdelkov</w:t>
      </w:r>
      <w:r>
        <w:t xml:space="preserve"> – </w:t>
      </w:r>
      <w:r w:rsidRPr="009E52D9">
        <w:t>govedo, v tisoč</w:t>
      </w:r>
      <w:r w:rsidRPr="00F3427A">
        <w:t xml:space="preserve"> t</w:t>
      </w:r>
      <w:bookmarkEnd w:id="3223"/>
    </w:p>
    <w:p w14:paraId="12455983" w14:textId="77777777" w:rsidR="003D5D84" w:rsidRDefault="003D5D84" w:rsidP="003D5D84">
      <w:pPr>
        <w:spacing w:before="0" w:line="276" w:lineRule="auto"/>
        <w:rPr>
          <w:bCs/>
          <w:sz w:val="20"/>
          <w:szCs w:val="20"/>
        </w:rPr>
      </w:pPr>
      <w:r>
        <w:rPr>
          <w:noProof/>
          <w:lang w:eastAsia="sl-SI"/>
        </w:rPr>
        <w:drawing>
          <wp:inline distT="0" distB="0" distL="0" distR="0" wp14:anchorId="5BA325BE" wp14:editId="4CA326B1">
            <wp:extent cx="3835400" cy="2560320"/>
            <wp:effectExtent l="0" t="0" r="12700" b="1143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5263B34" w14:textId="77777777" w:rsidR="008C4D3F" w:rsidRPr="00B42E90" w:rsidRDefault="008C4D3F" w:rsidP="008C4D3F">
      <w:pPr>
        <w:spacing w:before="0" w:line="276" w:lineRule="auto"/>
        <w:rPr>
          <w:sz w:val="16"/>
          <w:szCs w:val="16"/>
        </w:rPr>
      </w:pPr>
      <w:r w:rsidRPr="00B42E90">
        <w:rPr>
          <w:sz w:val="16"/>
          <w:szCs w:val="16"/>
        </w:rPr>
        <w:t xml:space="preserve">Vir: MKGP. </w:t>
      </w:r>
    </w:p>
    <w:p w14:paraId="09879F0E" w14:textId="77777777" w:rsidR="003D5D84" w:rsidRDefault="003D5D84" w:rsidP="007613FE">
      <w:pPr>
        <w:pStyle w:val="Odstavek1"/>
      </w:pPr>
    </w:p>
    <w:p w14:paraId="32ED92DC" w14:textId="7DD8DFDD" w:rsidR="003D5D84" w:rsidRDefault="003D5D84" w:rsidP="007613FE">
      <w:pPr>
        <w:pStyle w:val="Odstavek1"/>
      </w:pPr>
      <w:r w:rsidRPr="00BB3A5C">
        <w:t xml:space="preserve">Pri </w:t>
      </w:r>
      <w:r>
        <w:t xml:space="preserve">govedu </w:t>
      </w:r>
      <w:r w:rsidRPr="00BB3A5C">
        <w:t>se je v obdobju 2014</w:t>
      </w:r>
      <w:r w:rsidR="008C4D3F">
        <w:t>–</w:t>
      </w:r>
      <w:r w:rsidRPr="00BB3A5C">
        <w:t>20</w:t>
      </w:r>
      <w:r w:rsidR="008C4D3F">
        <w:t>19</w:t>
      </w:r>
      <w:r w:rsidRPr="00BB3A5C">
        <w:t xml:space="preserve"> glede na obdobje 2007-2013 </w:t>
      </w:r>
      <w:r>
        <w:t>pri skoraj nespremenjeni domači prireji in porabi povečal uvoz mesa in mesnih izdelkov</w:t>
      </w:r>
      <w:r w:rsidRPr="00774A8C">
        <w:t xml:space="preserve"> </w:t>
      </w:r>
      <w:r>
        <w:t>za 53 %, manjše pa je bilo povečanje izvoza živih živali (za 19 %). V obdobju 2014</w:t>
      </w:r>
      <w:r w:rsidR="008C4D3F">
        <w:t>–</w:t>
      </w:r>
      <w:r>
        <w:t>20</w:t>
      </w:r>
      <w:r w:rsidR="008C4D3F">
        <w:t>19</w:t>
      </w:r>
      <w:r>
        <w:t xml:space="preserve"> je bil uvoz mesa in mesnih izdelkov za 68 % večji od izvoza mesa in mesnih izdelkov. Izvoz živih živali je bil za 67 % večji od </w:t>
      </w:r>
      <w:r w:rsidRPr="00816B16">
        <w:t>izvoza mesa in mesnih izdelkov</w:t>
      </w:r>
      <w:r>
        <w:t xml:space="preserve">. </w:t>
      </w:r>
      <w:r w:rsidRPr="002A20C5">
        <w:t xml:space="preserve">Čeprav je izvoz mesa in izdelkov v letu 2017 skoraj trikrat večji kot pred desetletjem, delež izvoza živih živali še vedno ostaja visok. Prav nasprotne so bile smeri sprememb pri uvozu, ki se je preusmeril od živih živali k mesu. </w:t>
      </w:r>
      <w:r>
        <w:t>Delež izvoza živih živali je skoraj tri krat večji kot uvoz živih živali.</w:t>
      </w:r>
      <w:r w:rsidRPr="00BB3A5C">
        <w:t xml:space="preserve"> Stopnja samooskrbe</w:t>
      </w:r>
      <w:r>
        <w:t xml:space="preserve"> se ni bistveno spremenila in je znašala 105 %. </w:t>
      </w:r>
    </w:p>
    <w:p w14:paraId="5F27D34B" w14:textId="77777777" w:rsidR="003D5D84" w:rsidRDefault="003D5D84" w:rsidP="007613FE">
      <w:pPr>
        <w:pStyle w:val="Odstavek1"/>
      </w:pPr>
    </w:p>
    <w:p w14:paraId="15E1C821" w14:textId="12FD1F06" w:rsidR="003D5D84" w:rsidRPr="00597DFB" w:rsidRDefault="008C4D3F" w:rsidP="007613FE">
      <w:pPr>
        <w:pStyle w:val="Odstavek1"/>
        <w:rPr>
          <w:u w:val="single"/>
        </w:rPr>
      </w:pPr>
      <w:r w:rsidRPr="00597DFB">
        <w:rPr>
          <w:u w:val="single"/>
        </w:rPr>
        <w:t>Pra</w:t>
      </w:r>
      <w:r w:rsidR="009E52D9">
        <w:rPr>
          <w:u w:val="single"/>
        </w:rPr>
        <w:t>šiči</w:t>
      </w:r>
    </w:p>
    <w:p w14:paraId="5001420C" w14:textId="06C5A3D4" w:rsidR="008C4D3F" w:rsidRPr="00BB3A5C" w:rsidRDefault="008C4D3F" w:rsidP="007613FE">
      <w:pPr>
        <w:pStyle w:val="Odstavek1"/>
      </w:pPr>
      <w:r w:rsidRPr="00BB3A5C">
        <w:t xml:space="preserve">Pri </w:t>
      </w:r>
      <w:r>
        <w:t xml:space="preserve">prašičih </w:t>
      </w:r>
      <w:r w:rsidRPr="00BB3A5C">
        <w:t>se je v obdobju 2014-20</w:t>
      </w:r>
      <w:r>
        <w:t>19</w:t>
      </w:r>
      <w:r w:rsidRPr="00BB3A5C">
        <w:t xml:space="preserve"> glede na obdobje 2007-2013 </w:t>
      </w:r>
      <w:r>
        <w:t xml:space="preserve">pri zmanjšanju domače prireje za 37 % za četrtino </w:t>
      </w:r>
      <w:r w:rsidRPr="00BB3A5C">
        <w:t xml:space="preserve">povečal </w:t>
      </w:r>
      <w:r>
        <w:t xml:space="preserve">uvoz I. stopnje predelave – mesa. Izvoz mesa iz izdelkov se je povečal za 37 %, ki pa v obdobju 2014-2019 predstavlja 22 % domače porabe. V obdobju 2014-2019 predstavlja uvoz I. stopnje predelave – mesa skoraj dva kratni obseg domače prireje, pri tem pa predstavlja je uvoz živih živali zelo majhen obseg (2,3 % porabe). </w:t>
      </w:r>
      <w:r w:rsidRPr="00BB3A5C">
        <w:t>Stopnja samooskrbe se je zmanjša</w:t>
      </w:r>
      <w:r>
        <w:t xml:space="preserve">la 18 odstotnih točk </w:t>
      </w:r>
      <w:r w:rsidRPr="00BB3A5C">
        <w:t xml:space="preserve">na </w:t>
      </w:r>
      <w:r>
        <w:t>37</w:t>
      </w:r>
      <w:r w:rsidRPr="00BB3A5C">
        <w:t xml:space="preserve"> %.</w:t>
      </w:r>
    </w:p>
    <w:p w14:paraId="298317B9" w14:textId="15762382" w:rsidR="00B2104E" w:rsidRDefault="00B2104E" w:rsidP="007613FE">
      <w:pPr>
        <w:pStyle w:val="Odstavek1"/>
      </w:pPr>
    </w:p>
    <w:p w14:paraId="4BCB2810" w14:textId="5B8D9596" w:rsidR="008C4D3F" w:rsidRPr="00F3427A" w:rsidRDefault="008C4D3F" w:rsidP="006D4C94">
      <w:pPr>
        <w:pStyle w:val="SCSlika0"/>
        <w:rPr>
          <w:u w:val="single"/>
        </w:rPr>
      </w:pPr>
      <w:bookmarkStart w:id="3224" w:name="_Toc86822773"/>
      <w:r w:rsidRPr="009E52D9">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101</w:t>
      </w:r>
      <w:r w:rsidR="00072AFA">
        <w:rPr>
          <w:noProof/>
        </w:rPr>
        <w:fldChar w:fldCharType="end"/>
      </w:r>
      <w:r w:rsidR="0023520B" w:rsidRPr="009E52D9">
        <w:t>: Domača poraba</w:t>
      </w:r>
      <w:r w:rsidR="0023520B" w:rsidRPr="00B73498">
        <w:t>, pri</w:t>
      </w:r>
      <w:r w:rsidR="0023520B" w:rsidRPr="009E52D9">
        <w:t>reja</w:t>
      </w:r>
      <w:r w:rsidRPr="009E52D9">
        <w:t>, uvoz in izvoz –</w:t>
      </w:r>
      <w:r w:rsidR="009E52D9" w:rsidRPr="00597DFB">
        <w:t>prašič</w:t>
      </w:r>
      <w:r w:rsidR="009E52D9" w:rsidRPr="009E52D9">
        <w:t>i</w:t>
      </w:r>
      <w:r w:rsidRPr="009E52D9">
        <w:t>, v tisoč t</w:t>
      </w:r>
      <w:bookmarkEnd w:id="3224"/>
    </w:p>
    <w:p w14:paraId="11C75256" w14:textId="7DC863C5" w:rsidR="003D5D84" w:rsidRPr="00797A13" w:rsidRDefault="003D5D84" w:rsidP="003D5D84">
      <w:pPr>
        <w:spacing w:before="0" w:line="276" w:lineRule="auto"/>
        <w:rPr>
          <w:bCs/>
          <w:sz w:val="20"/>
          <w:szCs w:val="20"/>
        </w:rPr>
      </w:pPr>
      <w:r>
        <w:rPr>
          <w:noProof/>
          <w:lang w:eastAsia="sl-SI"/>
        </w:rPr>
        <w:drawing>
          <wp:inline distT="0" distB="0" distL="0" distR="0" wp14:anchorId="1EBF84B0" wp14:editId="7FF2755A">
            <wp:extent cx="3757930" cy="2476500"/>
            <wp:effectExtent l="0" t="0" r="13970" b="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3791983" w14:textId="77777777" w:rsidR="008C4D3F" w:rsidRPr="00B42E90" w:rsidRDefault="008C4D3F" w:rsidP="008C4D3F">
      <w:pPr>
        <w:spacing w:before="0" w:line="276" w:lineRule="auto"/>
        <w:rPr>
          <w:sz w:val="16"/>
          <w:szCs w:val="16"/>
        </w:rPr>
      </w:pPr>
      <w:r w:rsidRPr="00B42E90">
        <w:rPr>
          <w:sz w:val="16"/>
          <w:szCs w:val="16"/>
        </w:rPr>
        <w:t xml:space="preserve">Vir: MKGP. </w:t>
      </w:r>
    </w:p>
    <w:p w14:paraId="26AE777F" w14:textId="6522B3A7" w:rsidR="003D5D84" w:rsidRDefault="003D5D84" w:rsidP="007613FE">
      <w:pPr>
        <w:pStyle w:val="Odstavek1"/>
      </w:pPr>
    </w:p>
    <w:p w14:paraId="6BA516D8" w14:textId="77777777" w:rsidR="008C4D3F" w:rsidRPr="00597DFB" w:rsidRDefault="008C4D3F" w:rsidP="007613FE">
      <w:pPr>
        <w:pStyle w:val="Odstavek1"/>
      </w:pPr>
      <w:r w:rsidRPr="00597DFB">
        <w:t>V povprečju primanjkuje 38 tisoč ton svežega ali ohlajenega ter 6 tisoč ton zmrznjenega prašičjega mesa.</w:t>
      </w:r>
    </w:p>
    <w:p w14:paraId="270C141B" w14:textId="77777777" w:rsidR="003D5D84" w:rsidRDefault="003D5D84" w:rsidP="007613FE">
      <w:pPr>
        <w:pStyle w:val="Odstavek1"/>
      </w:pPr>
    </w:p>
    <w:p w14:paraId="32943A63" w14:textId="5B53E3B8" w:rsidR="00B2104E" w:rsidRPr="00970036" w:rsidRDefault="0023520B" w:rsidP="007613FE">
      <w:pPr>
        <w:pStyle w:val="Odstavek1"/>
        <w:rPr>
          <w:u w:val="single"/>
        </w:rPr>
      </w:pPr>
      <w:r w:rsidRPr="00970036">
        <w:rPr>
          <w:u w:val="single"/>
        </w:rPr>
        <w:t>Mleko</w:t>
      </w:r>
    </w:p>
    <w:p w14:paraId="4DBCC5B1" w14:textId="77777777" w:rsidR="00AE036F" w:rsidRPr="006B101E" w:rsidRDefault="00AE036F" w:rsidP="007613FE">
      <w:pPr>
        <w:pStyle w:val="Odstavek1"/>
      </w:pPr>
      <w:r w:rsidRPr="000D0720">
        <w:t xml:space="preserve">V zadnjih nekaj letih obseg zunanje trgovine z mlekom narašča. V strukturi skupnega izvoza prevladuje izvoz surovega mleka. Po obdobju 2013-2015, ko je znašal okoli 60 %, se delež izvoza surovega mleka zmanjšuje in je leta 2019 znašal 51 %. S spremembami v lastništvu mlekarn so se spremenili tudi zunanjetrgovinski tokovi za posamezne kategorije mlečnih izdelkov. To se v zadnjih nekaj letih kaže na primer v izrazitem povečanju izvoza svežega konzumnega mleka, v katerem je zajeto tudi mleko za predelavo, ki se nato znova prikazuje predvsem kot večji uvoz sirov in skute. </w:t>
      </w:r>
    </w:p>
    <w:p w14:paraId="388CB5C5" w14:textId="77777777" w:rsidR="00AE1F83" w:rsidRDefault="00AE1F83" w:rsidP="007613FE">
      <w:pPr>
        <w:pStyle w:val="Odstavek1"/>
      </w:pPr>
    </w:p>
    <w:p w14:paraId="464CC1FB" w14:textId="51800D57" w:rsidR="0023520B" w:rsidRDefault="0023520B" w:rsidP="007613FE">
      <w:pPr>
        <w:pStyle w:val="Odstavek1"/>
      </w:pPr>
      <w:r>
        <w:t xml:space="preserve">Pri mleku se je v obdobju 2014-2019 </w:t>
      </w:r>
      <w:r w:rsidRPr="00797A13">
        <w:t>glede na obdobje 2007-2013</w:t>
      </w:r>
      <w:r>
        <w:t xml:space="preserve"> pri skoraj enaki količini proizvedenega mleka povečal izvoz surovega mleka za 15 %, uvoz surovega mleka pa se je zmanjšal za 60 %. Povečala sta se tako uvoz izdelkov (za 29 %), kot tudi izvoz izdelkov (za 28 %). </w:t>
      </w:r>
    </w:p>
    <w:p w14:paraId="7AE40B99" w14:textId="77777777" w:rsidR="00AE1F83" w:rsidRDefault="00AE1F83" w:rsidP="007613FE">
      <w:pPr>
        <w:pStyle w:val="Odstavek1"/>
      </w:pPr>
    </w:p>
    <w:p w14:paraId="09BA81BE" w14:textId="607EC8A3" w:rsidR="0023520B" w:rsidRDefault="0023520B" w:rsidP="007613FE">
      <w:pPr>
        <w:pStyle w:val="Odstavek1"/>
      </w:pPr>
      <w:r>
        <w:t xml:space="preserve">V obdobju 2014-2019 predstavlja izvoz surovega mleka kar 30 % vsega namolzenega mleka, uvoz surovega mleka pa le 2 %. </w:t>
      </w:r>
      <w:r w:rsidRPr="006F1906">
        <w:t>Uvoz mlečnih izdelkov predstavlja 35 % vsega namolzenega mleka in je za 13 odst</w:t>
      </w:r>
      <w:r w:rsidRPr="002B7243">
        <w:t>otnih točk večji od izvoza izdelkov.</w:t>
      </w:r>
      <w:r>
        <w:t xml:space="preserve"> </w:t>
      </w:r>
    </w:p>
    <w:p w14:paraId="39B5C62A" w14:textId="77777777" w:rsidR="00AE1F83" w:rsidRDefault="00AE1F83" w:rsidP="007613FE">
      <w:pPr>
        <w:pStyle w:val="Odstavek1"/>
      </w:pPr>
    </w:p>
    <w:p w14:paraId="53101B68" w14:textId="77777777" w:rsidR="0023520B" w:rsidRDefault="0023520B" w:rsidP="007613FE">
      <w:pPr>
        <w:pStyle w:val="Odstavek1"/>
      </w:pPr>
      <w:r>
        <w:t xml:space="preserve">Stopnja samooskrbe se je povečala za 10 odstotnih točk in znaša 128 %.  </w:t>
      </w:r>
    </w:p>
    <w:p w14:paraId="2BF84644" w14:textId="77777777" w:rsidR="0023520B" w:rsidRDefault="0023520B" w:rsidP="007613FE">
      <w:pPr>
        <w:pStyle w:val="Odstavek1"/>
      </w:pPr>
    </w:p>
    <w:p w14:paraId="32A69862" w14:textId="4C30FD9A" w:rsidR="0023520B" w:rsidRPr="00F3427A" w:rsidRDefault="0023520B" w:rsidP="006D4C94">
      <w:pPr>
        <w:pStyle w:val="SCSlika0"/>
        <w:rPr>
          <w:u w:val="single"/>
        </w:rPr>
      </w:pPr>
      <w:bookmarkStart w:id="3225" w:name="_Toc86822774"/>
      <w:r w:rsidRPr="00B42E90">
        <w:t xml:space="preserve">Slika </w:t>
      </w:r>
      <w:r w:rsidR="00072AFA">
        <w:rPr>
          <w:noProof/>
        </w:rPr>
        <w:fldChar w:fldCharType="begin"/>
      </w:r>
      <w:r w:rsidR="00072AFA">
        <w:rPr>
          <w:noProof/>
        </w:rPr>
        <w:instrText xml:space="preserve"> SEQ Slika \* ARABIC </w:instrText>
      </w:r>
      <w:r w:rsidR="00072AFA">
        <w:rPr>
          <w:noProof/>
        </w:rPr>
        <w:fldChar w:fldCharType="separate"/>
      </w:r>
      <w:r w:rsidR="0088117A">
        <w:rPr>
          <w:noProof/>
        </w:rPr>
        <w:t>102</w:t>
      </w:r>
      <w:r w:rsidR="00072AFA">
        <w:rPr>
          <w:noProof/>
        </w:rPr>
        <w:fldChar w:fldCharType="end"/>
      </w:r>
      <w:r w:rsidRPr="00B42E90">
        <w:t xml:space="preserve">: Domača pridelava, uvoz in izvoz – </w:t>
      </w:r>
      <w:r>
        <w:t>mleko</w:t>
      </w:r>
      <w:r w:rsidRPr="00B42E90">
        <w:t>, v tisoč t</w:t>
      </w:r>
      <w:bookmarkEnd w:id="3225"/>
    </w:p>
    <w:p w14:paraId="156C1CD6" w14:textId="043CF543" w:rsidR="003D5D84" w:rsidRDefault="003D5D84" w:rsidP="003D5D84">
      <w:pPr>
        <w:spacing w:before="0" w:line="276" w:lineRule="auto"/>
        <w:rPr>
          <w:bCs/>
          <w:sz w:val="20"/>
          <w:szCs w:val="20"/>
        </w:rPr>
      </w:pPr>
      <w:r>
        <w:rPr>
          <w:noProof/>
          <w:lang w:eastAsia="sl-SI"/>
        </w:rPr>
        <w:drawing>
          <wp:inline distT="0" distB="0" distL="0" distR="0" wp14:anchorId="4CF2BCA6" wp14:editId="11308DB2">
            <wp:extent cx="4602480" cy="2209800"/>
            <wp:effectExtent l="0" t="0" r="7620" b="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72EBB90" w14:textId="77777777" w:rsidR="0023520B" w:rsidRPr="00B42E90" w:rsidRDefault="0023520B" w:rsidP="0023520B">
      <w:pPr>
        <w:spacing w:before="0" w:line="276" w:lineRule="auto"/>
        <w:rPr>
          <w:sz w:val="16"/>
          <w:szCs w:val="16"/>
        </w:rPr>
      </w:pPr>
      <w:r w:rsidRPr="00B42E90">
        <w:rPr>
          <w:sz w:val="16"/>
          <w:szCs w:val="16"/>
        </w:rPr>
        <w:t xml:space="preserve">Vir: MKGP. </w:t>
      </w:r>
    </w:p>
    <w:p w14:paraId="6F9B0D17" w14:textId="38F935FF" w:rsidR="003D5D84" w:rsidRDefault="003D5D84" w:rsidP="003D5D84">
      <w:pPr>
        <w:spacing w:before="0" w:line="276" w:lineRule="auto"/>
        <w:rPr>
          <w:bCs/>
          <w:sz w:val="20"/>
          <w:szCs w:val="20"/>
        </w:rPr>
      </w:pPr>
    </w:p>
    <w:p w14:paraId="4B9942DD" w14:textId="6268D5F4" w:rsidR="00AE036F" w:rsidRDefault="00AE036F" w:rsidP="003D5D84">
      <w:pPr>
        <w:spacing w:before="0" w:line="276" w:lineRule="auto"/>
        <w:rPr>
          <w:bCs/>
          <w:sz w:val="20"/>
          <w:szCs w:val="20"/>
        </w:rPr>
      </w:pPr>
    </w:p>
    <w:p w14:paraId="30C93472" w14:textId="6734A029" w:rsidR="0023520B" w:rsidRPr="009F3567" w:rsidRDefault="0023520B" w:rsidP="006D4C94">
      <w:pPr>
        <w:pStyle w:val="Naslov2"/>
      </w:pPr>
      <w:bookmarkStart w:id="3226" w:name="_Toc86822624"/>
      <w:r w:rsidRPr="009F3567">
        <w:t>Ključne ugotovitve</w:t>
      </w:r>
      <w:bookmarkEnd w:id="3226"/>
    </w:p>
    <w:p w14:paraId="4AA16357" w14:textId="77777777" w:rsidR="00AE1F83" w:rsidRDefault="00AE1F83" w:rsidP="006249A0">
      <w:pPr>
        <w:pStyle w:val="Odstavekseznama"/>
        <w:spacing w:before="0" w:line="260" w:lineRule="atLeast"/>
        <w:ind w:left="426"/>
        <w:rPr>
          <w:rFonts w:ascii="Arial" w:hAnsi="Arial"/>
        </w:rPr>
      </w:pPr>
    </w:p>
    <w:p w14:paraId="32C77AF6" w14:textId="0AE9E922" w:rsidR="00687C6E" w:rsidRPr="006D4C94" w:rsidRDefault="00687C6E"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Z vključitvijo Slovenije v Evropsko unijo blagovna menjava agroživilstva v glavnem poteka z državami EU.</w:t>
      </w:r>
      <w:r w:rsidR="00B3164C" w:rsidRPr="006D4C94">
        <w:rPr>
          <w:rFonts w:ascii="Arial" w:hAnsi="Arial"/>
          <w:sz w:val="22"/>
        </w:rPr>
        <w:t xml:space="preserve"> Slovenija je neto uvoznica večine kmetijskih proizvodov.</w:t>
      </w:r>
    </w:p>
    <w:p w14:paraId="1C823DEB" w14:textId="50211F7C" w:rsidR="00AE036F" w:rsidRPr="006D4C94" w:rsidRDefault="00AE036F"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Na račun povečevanja izvozne aktivnosti se izboljšuje zunanjetrgovinska bilanca živilskih proizvodov. Pri izvozu osnovnih kmetijskih proizvodov prevladuje surovo mleko, sledi izvoz živih živali (prevladuje govedo), kar je </w:t>
      </w:r>
      <w:r w:rsidR="00B3164C" w:rsidRPr="006D4C94">
        <w:rPr>
          <w:rFonts w:ascii="Arial" w:hAnsi="Arial"/>
          <w:sz w:val="22"/>
        </w:rPr>
        <w:t>z vidika</w:t>
      </w:r>
      <w:r w:rsidRPr="006D4C94">
        <w:rPr>
          <w:rFonts w:ascii="Arial" w:hAnsi="Arial"/>
          <w:sz w:val="22"/>
        </w:rPr>
        <w:t xml:space="preserve"> dodane vrednosti</w:t>
      </w:r>
      <w:r w:rsidR="00B3164C" w:rsidRPr="006D4C94">
        <w:rPr>
          <w:rFonts w:ascii="Arial" w:hAnsi="Arial"/>
          <w:sz w:val="22"/>
        </w:rPr>
        <w:t xml:space="preserve"> neugodno</w:t>
      </w:r>
      <w:r w:rsidRPr="006D4C94">
        <w:rPr>
          <w:rFonts w:ascii="Arial" w:hAnsi="Arial"/>
          <w:sz w:val="22"/>
        </w:rPr>
        <w:t xml:space="preserve">. </w:t>
      </w:r>
    </w:p>
    <w:p w14:paraId="5858B531" w14:textId="77777777" w:rsidR="00B3164C" w:rsidRPr="006D4C94" w:rsidRDefault="00B3164C"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Kljub izkazani povečani izvozni naravnanosti kmetijske ter živilskopredelovalne industrije ni izkazana trajna izvozna usmerjenost, temelječa na povečanju dodane vrednosti. Zaradi neurejene horizontalne in vertikalne povezanosti kmetijske pridelave in predelave in s tem neusklajenega nastopa na tujih trgih je še vedno velik izvoz osnovnih kmetijskih proizvodov, kar ne omogoča doseganja višje dodane vrednosti izvoza. V Sloveniji se poleg potreb sodelovanja trgovcev s slovenskimi ponudniki hrane, kažejo potrebe po skladiščnih kapacitetah, skupnih zbirnih centrih, pakirnih linijah, hladilnicah ipd., s katerimi bi omogočili bolj racionalno proizvodnjo, večjo ekonomičnost pridelave, doseganje ekonomije obsega in tudi zagotavljanje kmetijskih proizvodov v daljšem časovnem obdobju (s skladiščenjem, hladilnicami). </w:t>
      </w:r>
    </w:p>
    <w:p w14:paraId="781C8C96" w14:textId="0482B17B" w:rsidR="00B3164C" w:rsidRPr="006D4C94" w:rsidRDefault="00B3164C"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V zadnjih letih beležimo preusmeritev od izvoza mesa k neposrednemu izvozu živih živali, torej od izvoza proizvodov z višjo dodano vrednostjo k izvozu osnovnih proizvodov oziroma surovin. </w:t>
      </w:r>
    </w:p>
    <w:p w14:paraId="24DF78D4" w14:textId="5460F637" w:rsidR="00B3164C" w:rsidRPr="006D4C94" w:rsidRDefault="00B3164C"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Glede na domačo pridelavo in potrošnjo beležimo primanjkljaj predvsem pri </w:t>
      </w:r>
      <w:r w:rsidR="0062445D" w:rsidRPr="006D4C94">
        <w:rPr>
          <w:rFonts w:ascii="Arial" w:hAnsi="Arial"/>
          <w:sz w:val="22"/>
        </w:rPr>
        <w:t xml:space="preserve">žitih, </w:t>
      </w:r>
      <w:r w:rsidRPr="006D4C94">
        <w:rPr>
          <w:rFonts w:ascii="Arial" w:hAnsi="Arial"/>
          <w:sz w:val="22"/>
        </w:rPr>
        <w:t xml:space="preserve">sadju, zelenjadnicah in prašičih. </w:t>
      </w:r>
    </w:p>
    <w:p w14:paraId="3BCACF6E" w14:textId="08707528" w:rsidR="00F238AB" w:rsidRPr="006D4C94" w:rsidRDefault="00F238AB"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Pri zelenjavi se </w:t>
      </w:r>
      <w:r w:rsidR="00C37E12" w:rsidRPr="006D4C94">
        <w:rPr>
          <w:rFonts w:ascii="Arial" w:hAnsi="Arial"/>
          <w:sz w:val="22"/>
        </w:rPr>
        <w:t xml:space="preserve">samooskrba </w:t>
      </w:r>
      <w:r w:rsidRPr="006D4C94">
        <w:rPr>
          <w:rFonts w:ascii="Arial" w:hAnsi="Arial"/>
          <w:sz w:val="22"/>
        </w:rPr>
        <w:t xml:space="preserve">ni bistveno povečala. Povečanje produktivnosti, konkurenčnosti in stabilnosti pridelave zelenjave se lahko zagotovi s postavitvijo rastlinjakov za hidroponsko celoletno pridelavo posameznih vrst zelenjave (vsaj 20 ha) in rastlinjakov za podaljšanje sezone pridelave, kjer pridelava poteka v tleh </w:t>
      </w:r>
    </w:p>
    <w:p w14:paraId="6CDFF962" w14:textId="596A2754" w:rsidR="00F238AB" w:rsidRPr="006D4C94" w:rsidRDefault="00F238AB"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V skladu s smernicami za krompir bo treba zagotavljati lasten semenski krompir ter povečati proizvodnjo mladega krompirja</w:t>
      </w:r>
      <w:r w:rsidR="00B3164C" w:rsidRPr="006D4C94">
        <w:rPr>
          <w:rFonts w:ascii="Arial" w:hAnsi="Arial"/>
          <w:sz w:val="22"/>
        </w:rPr>
        <w:t>.</w:t>
      </w:r>
    </w:p>
    <w:p w14:paraId="676F251A" w14:textId="0399FDF3" w:rsidR="00F238AB" w:rsidRPr="006D4C94" w:rsidRDefault="00F238AB"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Proizvodnja mleka za skoraj tretjino presega domačo porabo, kar podobno kot pri govejem mesu predstavlja težavo pri prodaji v času kriz in zapore trgov. </w:t>
      </w:r>
    </w:p>
    <w:p w14:paraId="3976E2EF" w14:textId="5D4B2D29" w:rsidR="00687C6E" w:rsidRPr="006D4C94" w:rsidRDefault="00687C6E"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 xml:space="preserve">Zaradi krize v prašičereji se niža samooskrba s prašičjim mesom. Kritična je prevelika odvisnost od uvoza prašičev mase pod 50 kg in </w:t>
      </w:r>
      <w:r w:rsidR="007E4EB7" w:rsidRPr="006D4C94">
        <w:rPr>
          <w:rFonts w:ascii="Arial" w:hAnsi="Arial"/>
          <w:sz w:val="22"/>
        </w:rPr>
        <w:t xml:space="preserve">govejih </w:t>
      </w:r>
      <w:r w:rsidRPr="006D4C94">
        <w:rPr>
          <w:rFonts w:ascii="Arial" w:hAnsi="Arial"/>
          <w:sz w:val="22"/>
        </w:rPr>
        <w:t>telet za nadaljnje pitanje.</w:t>
      </w:r>
    </w:p>
    <w:p w14:paraId="6496FA71" w14:textId="0985AC56" w:rsidR="005A0803" w:rsidRPr="006D4C94" w:rsidRDefault="005A0803"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Uvoz določenih živilskih proizvodov je odvisen tudi od lastniške strukture trgovskih verig v Sloveniji.</w:t>
      </w:r>
    </w:p>
    <w:p w14:paraId="15CB1F90" w14:textId="0A0D220C" w:rsidR="00894129" w:rsidRPr="006D4C94" w:rsidRDefault="00894129" w:rsidP="007613FE">
      <w:pPr>
        <w:pStyle w:val="Odstavekseznama"/>
        <w:numPr>
          <w:ilvl w:val="0"/>
          <w:numId w:val="75"/>
        </w:numPr>
        <w:spacing w:before="0" w:line="260" w:lineRule="atLeast"/>
        <w:ind w:left="426" w:hanging="284"/>
        <w:rPr>
          <w:rFonts w:ascii="Arial" w:hAnsi="Arial"/>
          <w:sz w:val="22"/>
        </w:rPr>
      </w:pPr>
      <w:r w:rsidRPr="006D4C94">
        <w:rPr>
          <w:rFonts w:ascii="Arial" w:hAnsi="Arial"/>
          <w:sz w:val="22"/>
        </w:rPr>
        <w:t>Ob izrednih razmerah na trgu (v primeru motenega delovanja notranjega trga EU in mednarodne trgovine</w:t>
      </w:r>
      <w:r w:rsidR="007E4EB7" w:rsidRPr="006D4C94">
        <w:rPr>
          <w:rFonts w:ascii="Arial" w:hAnsi="Arial"/>
          <w:sz w:val="22"/>
        </w:rPr>
        <w:t xml:space="preserve">, kot tudi v </w:t>
      </w:r>
      <w:r w:rsidRPr="006D4C94">
        <w:rPr>
          <w:rFonts w:ascii="Arial" w:hAnsi="Arial"/>
          <w:sz w:val="22"/>
        </w:rPr>
        <w:t>obdobju obsežne pandemije</w:t>
      </w:r>
      <w:r w:rsidR="007E4EB7" w:rsidRPr="006D4C94">
        <w:rPr>
          <w:rFonts w:ascii="Arial" w:hAnsi="Arial"/>
          <w:sz w:val="22"/>
        </w:rPr>
        <w:t>)</w:t>
      </w:r>
      <w:r w:rsidRPr="006D4C94">
        <w:rPr>
          <w:rFonts w:ascii="Arial" w:hAnsi="Arial"/>
          <w:sz w:val="22"/>
        </w:rPr>
        <w:t>, prihaja do zrušitve trgov</w:t>
      </w:r>
      <w:r w:rsidR="007E4EB7" w:rsidRPr="006D4C94">
        <w:rPr>
          <w:rFonts w:ascii="Arial" w:hAnsi="Arial"/>
          <w:sz w:val="22"/>
        </w:rPr>
        <w:t xml:space="preserve"> in do problemov pri preskrbi prebivalstva s hrano</w:t>
      </w:r>
      <w:r w:rsidRPr="006D4C94">
        <w:rPr>
          <w:rFonts w:ascii="Arial" w:hAnsi="Arial"/>
          <w:sz w:val="22"/>
        </w:rPr>
        <w:t>, kar povzroča izredne tržne razmere s presežki mleka in govejega mesa, po drugi strani pa pomanjkanjem v sektorjih z nizko samooskrbo (žita, sadje, zelenjava in prašičje meso).</w:t>
      </w:r>
    </w:p>
    <w:p w14:paraId="53E168A6" w14:textId="6D285B59" w:rsidR="003154B3" w:rsidRDefault="003154B3" w:rsidP="00FA3FBA">
      <w:pPr>
        <w:pStyle w:val="Odstavekseznama"/>
        <w:spacing w:before="0" w:line="260" w:lineRule="atLeast"/>
        <w:ind w:left="426"/>
        <w:rPr>
          <w:rFonts w:ascii="Arial" w:hAnsi="Arial"/>
        </w:rPr>
      </w:pPr>
    </w:p>
    <w:p w14:paraId="36D836AF" w14:textId="77777777" w:rsidR="00157FC2" w:rsidRPr="0047652B" w:rsidRDefault="00157FC2" w:rsidP="00FA3FBA">
      <w:pPr>
        <w:pStyle w:val="ZPtekst"/>
        <w:spacing w:before="0" w:line="260" w:lineRule="atLeast"/>
        <w:rPr>
          <w:sz w:val="20"/>
          <w:szCs w:val="20"/>
        </w:rPr>
      </w:pPr>
    </w:p>
    <w:p w14:paraId="318332E8" w14:textId="77777777" w:rsidR="00954B88" w:rsidRDefault="00954B88">
      <w:pPr>
        <w:spacing w:before="0" w:after="200" w:line="276" w:lineRule="auto"/>
        <w:jc w:val="left"/>
        <w:rPr>
          <w:rFonts w:eastAsia="Calibri"/>
          <w:b/>
          <w:sz w:val="28"/>
          <w:szCs w:val="28"/>
          <w:lang w:eastAsia="en-US"/>
        </w:rPr>
      </w:pPr>
      <w:bookmarkStart w:id="3227" w:name="_Toc51056932"/>
      <w:bookmarkStart w:id="3228" w:name="_Toc51058353"/>
      <w:bookmarkStart w:id="3229" w:name="_Toc51059770"/>
      <w:bookmarkStart w:id="3230" w:name="_Toc51061186"/>
      <w:bookmarkStart w:id="3231" w:name="_Toc51062602"/>
      <w:bookmarkStart w:id="3232" w:name="_Toc51064018"/>
      <w:bookmarkStart w:id="3233" w:name="_Toc51065451"/>
      <w:bookmarkStart w:id="3234" w:name="_Toc51066866"/>
      <w:bookmarkStart w:id="3235" w:name="_Toc51068914"/>
      <w:bookmarkStart w:id="3236" w:name="_Toc51105930"/>
      <w:bookmarkStart w:id="3237" w:name="_Toc51107358"/>
      <w:bookmarkStart w:id="3238" w:name="_Toc51109681"/>
      <w:bookmarkStart w:id="3239" w:name="_Toc51056933"/>
      <w:bookmarkStart w:id="3240" w:name="_Toc51058354"/>
      <w:bookmarkStart w:id="3241" w:name="_Toc51059771"/>
      <w:bookmarkStart w:id="3242" w:name="_Toc51061187"/>
      <w:bookmarkStart w:id="3243" w:name="_Toc51062603"/>
      <w:bookmarkStart w:id="3244" w:name="_Toc51064019"/>
      <w:bookmarkStart w:id="3245" w:name="_Toc51065452"/>
      <w:bookmarkStart w:id="3246" w:name="_Toc51066867"/>
      <w:bookmarkStart w:id="3247" w:name="_Toc51068915"/>
      <w:bookmarkStart w:id="3248" w:name="_Toc51105931"/>
      <w:bookmarkStart w:id="3249" w:name="_Toc51107359"/>
      <w:bookmarkStart w:id="3250" w:name="_Toc51109682"/>
      <w:bookmarkStart w:id="3251" w:name="_Toc51056935"/>
      <w:bookmarkStart w:id="3252" w:name="_Toc51058356"/>
      <w:bookmarkStart w:id="3253" w:name="_Toc51059773"/>
      <w:bookmarkStart w:id="3254" w:name="_Toc51061189"/>
      <w:bookmarkStart w:id="3255" w:name="_Toc51062605"/>
      <w:bookmarkStart w:id="3256" w:name="_Toc51064021"/>
      <w:bookmarkStart w:id="3257" w:name="_Toc51065454"/>
      <w:bookmarkStart w:id="3258" w:name="_Toc51066869"/>
      <w:bookmarkStart w:id="3259" w:name="_Toc51068917"/>
      <w:bookmarkStart w:id="3260" w:name="_Toc51105933"/>
      <w:bookmarkStart w:id="3261" w:name="_Toc51107361"/>
      <w:bookmarkStart w:id="3262" w:name="_Toc51109684"/>
      <w:bookmarkStart w:id="3263" w:name="_Toc51056937"/>
      <w:bookmarkStart w:id="3264" w:name="_Toc51058358"/>
      <w:bookmarkStart w:id="3265" w:name="_Toc51059775"/>
      <w:bookmarkStart w:id="3266" w:name="_Toc51061191"/>
      <w:bookmarkStart w:id="3267" w:name="_Toc51062607"/>
      <w:bookmarkStart w:id="3268" w:name="_Toc51064023"/>
      <w:bookmarkStart w:id="3269" w:name="_Toc51065456"/>
      <w:bookmarkStart w:id="3270" w:name="_Toc51066871"/>
      <w:bookmarkStart w:id="3271" w:name="_Toc51068919"/>
      <w:bookmarkStart w:id="3272" w:name="_Toc51105935"/>
      <w:bookmarkStart w:id="3273" w:name="_Toc51107363"/>
      <w:bookmarkStart w:id="3274" w:name="_Toc51109686"/>
      <w:bookmarkStart w:id="3275" w:name="_Toc51056939"/>
      <w:bookmarkStart w:id="3276" w:name="_Toc51058360"/>
      <w:bookmarkStart w:id="3277" w:name="_Toc51059777"/>
      <w:bookmarkStart w:id="3278" w:name="_Toc51061193"/>
      <w:bookmarkStart w:id="3279" w:name="_Toc51062609"/>
      <w:bookmarkStart w:id="3280" w:name="_Toc51064025"/>
      <w:bookmarkStart w:id="3281" w:name="_Toc51065458"/>
      <w:bookmarkStart w:id="3282" w:name="_Toc51066873"/>
      <w:bookmarkStart w:id="3283" w:name="_Toc51068921"/>
      <w:bookmarkStart w:id="3284" w:name="_Toc51105937"/>
      <w:bookmarkStart w:id="3285" w:name="_Toc51107365"/>
      <w:bookmarkStart w:id="3286" w:name="_Toc51109688"/>
      <w:bookmarkStart w:id="3287" w:name="_Toc51056941"/>
      <w:bookmarkStart w:id="3288" w:name="_Toc51058362"/>
      <w:bookmarkStart w:id="3289" w:name="_Toc51059779"/>
      <w:bookmarkStart w:id="3290" w:name="_Toc51061195"/>
      <w:bookmarkStart w:id="3291" w:name="_Toc51062611"/>
      <w:bookmarkStart w:id="3292" w:name="_Toc51064027"/>
      <w:bookmarkStart w:id="3293" w:name="_Toc51065460"/>
      <w:bookmarkStart w:id="3294" w:name="_Toc51066875"/>
      <w:bookmarkStart w:id="3295" w:name="_Toc51068923"/>
      <w:bookmarkStart w:id="3296" w:name="_Toc51105939"/>
      <w:bookmarkStart w:id="3297" w:name="_Toc51107367"/>
      <w:bookmarkStart w:id="3298" w:name="_Toc51109690"/>
      <w:bookmarkStart w:id="3299" w:name="_Toc51056943"/>
      <w:bookmarkStart w:id="3300" w:name="_Toc51058364"/>
      <w:bookmarkStart w:id="3301" w:name="_Toc51059781"/>
      <w:bookmarkStart w:id="3302" w:name="_Toc51061197"/>
      <w:bookmarkStart w:id="3303" w:name="_Toc51062613"/>
      <w:bookmarkStart w:id="3304" w:name="_Toc51064029"/>
      <w:bookmarkStart w:id="3305" w:name="_Toc51065462"/>
      <w:bookmarkStart w:id="3306" w:name="_Toc51066877"/>
      <w:bookmarkStart w:id="3307" w:name="_Toc51068925"/>
      <w:bookmarkStart w:id="3308" w:name="_Toc51105941"/>
      <w:bookmarkStart w:id="3309" w:name="_Toc51107369"/>
      <w:bookmarkStart w:id="3310" w:name="_Toc51109692"/>
      <w:bookmarkStart w:id="3311" w:name="_Toc51056945"/>
      <w:bookmarkStart w:id="3312" w:name="_Toc51058366"/>
      <w:bookmarkStart w:id="3313" w:name="_Toc51059783"/>
      <w:bookmarkStart w:id="3314" w:name="_Toc51061199"/>
      <w:bookmarkStart w:id="3315" w:name="_Toc51062615"/>
      <w:bookmarkStart w:id="3316" w:name="_Toc51064031"/>
      <w:bookmarkStart w:id="3317" w:name="_Toc51065464"/>
      <w:bookmarkStart w:id="3318" w:name="_Toc51066879"/>
      <w:bookmarkStart w:id="3319" w:name="_Toc51068927"/>
      <w:bookmarkStart w:id="3320" w:name="_Toc51105943"/>
      <w:bookmarkStart w:id="3321" w:name="_Toc51107371"/>
      <w:bookmarkStart w:id="3322" w:name="_Toc51109694"/>
      <w:bookmarkStart w:id="3323" w:name="_Toc51056947"/>
      <w:bookmarkStart w:id="3324" w:name="_Toc51058368"/>
      <w:bookmarkStart w:id="3325" w:name="_Toc51059785"/>
      <w:bookmarkStart w:id="3326" w:name="_Toc51061201"/>
      <w:bookmarkStart w:id="3327" w:name="_Toc51062617"/>
      <w:bookmarkStart w:id="3328" w:name="_Toc51064033"/>
      <w:bookmarkStart w:id="3329" w:name="_Toc51065466"/>
      <w:bookmarkStart w:id="3330" w:name="_Toc51066881"/>
      <w:bookmarkStart w:id="3331" w:name="_Toc51068929"/>
      <w:bookmarkStart w:id="3332" w:name="_Toc51105945"/>
      <w:bookmarkStart w:id="3333" w:name="_Toc51107373"/>
      <w:bookmarkStart w:id="3334" w:name="_Toc51109696"/>
      <w:bookmarkStart w:id="3335" w:name="_Toc51056949"/>
      <w:bookmarkStart w:id="3336" w:name="_Toc51058370"/>
      <w:bookmarkStart w:id="3337" w:name="_Toc51059787"/>
      <w:bookmarkStart w:id="3338" w:name="_Toc51061203"/>
      <w:bookmarkStart w:id="3339" w:name="_Toc51062619"/>
      <w:bookmarkStart w:id="3340" w:name="_Toc51064035"/>
      <w:bookmarkStart w:id="3341" w:name="_Toc51065468"/>
      <w:bookmarkStart w:id="3342" w:name="_Toc51066883"/>
      <w:bookmarkStart w:id="3343" w:name="_Toc51068931"/>
      <w:bookmarkStart w:id="3344" w:name="_Toc51105947"/>
      <w:bookmarkStart w:id="3345" w:name="_Toc51107375"/>
      <w:bookmarkStart w:id="3346" w:name="_Toc51109698"/>
      <w:bookmarkStart w:id="3347" w:name="_Toc51056951"/>
      <w:bookmarkStart w:id="3348" w:name="_Toc51058372"/>
      <w:bookmarkStart w:id="3349" w:name="_Toc51059789"/>
      <w:bookmarkStart w:id="3350" w:name="_Toc51061205"/>
      <w:bookmarkStart w:id="3351" w:name="_Toc51062621"/>
      <w:bookmarkStart w:id="3352" w:name="_Toc51064037"/>
      <w:bookmarkStart w:id="3353" w:name="_Toc51065470"/>
      <w:bookmarkStart w:id="3354" w:name="_Toc51066885"/>
      <w:bookmarkStart w:id="3355" w:name="_Toc51068933"/>
      <w:bookmarkStart w:id="3356" w:name="_Toc51105949"/>
      <w:bookmarkStart w:id="3357" w:name="_Toc51107377"/>
      <w:bookmarkStart w:id="3358" w:name="_Toc51109700"/>
      <w:bookmarkStart w:id="3359" w:name="_Toc51056953"/>
      <w:bookmarkStart w:id="3360" w:name="_Toc51058374"/>
      <w:bookmarkStart w:id="3361" w:name="_Toc51059791"/>
      <w:bookmarkStart w:id="3362" w:name="_Toc51061207"/>
      <w:bookmarkStart w:id="3363" w:name="_Toc51062623"/>
      <w:bookmarkStart w:id="3364" w:name="_Toc51064039"/>
      <w:bookmarkStart w:id="3365" w:name="_Toc51065472"/>
      <w:bookmarkStart w:id="3366" w:name="_Toc51066887"/>
      <w:bookmarkStart w:id="3367" w:name="_Toc51068935"/>
      <w:bookmarkStart w:id="3368" w:name="_Toc51105951"/>
      <w:bookmarkStart w:id="3369" w:name="_Toc51107379"/>
      <w:bookmarkStart w:id="3370" w:name="_Toc51109702"/>
      <w:bookmarkStart w:id="3371" w:name="_Toc51056955"/>
      <w:bookmarkStart w:id="3372" w:name="_Toc51058376"/>
      <w:bookmarkStart w:id="3373" w:name="_Toc51059793"/>
      <w:bookmarkStart w:id="3374" w:name="_Toc51061209"/>
      <w:bookmarkStart w:id="3375" w:name="_Toc51062625"/>
      <w:bookmarkStart w:id="3376" w:name="_Toc51064041"/>
      <w:bookmarkStart w:id="3377" w:name="_Toc51065474"/>
      <w:bookmarkStart w:id="3378" w:name="_Toc51066889"/>
      <w:bookmarkStart w:id="3379" w:name="_Toc51068937"/>
      <w:bookmarkStart w:id="3380" w:name="_Toc51105953"/>
      <w:bookmarkStart w:id="3381" w:name="_Toc51107381"/>
      <w:bookmarkStart w:id="3382" w:name="_Toc51109704"/>
      <w:bookmarkStart w:id="3383" w:name="_Toc51056956"/>
      <w:bookmarkStart w:id="3384" w:name="_Toc51058377"/>
      <w:bookmarkStart w:id="3385" w:name="_Toc51059794"/>
      <w:bookmarkStart w:id="3386" w:name="_Toc51061210"/>
      <w:bookmarkStart w:id="3387" w:name="_Toc51062626"/>
      <w:bookmarkStart w:id="3388" w:name="_Toc51064042"/>
      <w:bookmarkStart w:id="3389" w:name="_Toc51065475"/>
      <w:bookmarkStart w:id="3390" w:name="_Toc51066890"/>
      <w:bookmarkStart w:id="3391" w:name="_Toc51068938"/>
      <w:bookmarkStart w:id="3392" w:name="_Toc51105954"/>
      <w:bookmarkStart w:id="3393" w:name="_Toc51107382"/>
      <w:bookmarkStart w:id="3394" w:name="_Toc51109705"/>
      <w:bookmarkStart w:id="3395" w:name="_Toc51056957"/>
      <w:bookmarkStart w:id="3396" w:name="_Toc51058378"/>
      <w:bookmarkStart w:id="3397" w:name="_Toc51059795"/>
      <w:bookmarkStart w:id="3398" w:name="_Toc51061211"/>
      <w:bookmarkStart w:id="3399" w:name="_Toc51062627"/>
      <w:bookmarkStart w:id="3400" w:name="_Toc51064043"/>
      <w:bookmarkStart w:id="3401" w:name="_Toc51065476"/>
      <w:bookmarkStart w:id="3402" w:name="_Toc51066891"/>
      <w:bookmarkStart w:id="3403" w:name="_Toc51068939"/>
      <w:bookmarkStart w:id="3404" w:name="_Toc51105955"/>
      <w:bookmarkStart w:id="3405" w:name="_Toc51107383"/>
      <w:bookmarkStart w:id="3406" w:name="_Toc51109706"/>
      <w:bookmarkStart w:id="3407" w:name="_Toc51056959"/>
      <w:bookmarkStart w:id="3408" w:name="_Toc51058380"/>
      <w:bookmarkStart w:id="3409" w:name="_Toc51059797"/>
      <w:bookmarkStart w:id="3410" w:name="_Toc51061213"/>
      <w:bookmarkStart w:id="3411" w:name="_Toc51062629"/>
      <w:bookmarkStart w:id="3412" w:name="_Toc51064045"/>
      <w:bookmarkStart w:id="3413" w:name="_Toc51065478"/>
      <w:bookmarkStart w:id="3414" w:name="_Toc51066893"/>
      <w:bookmarkStart w:id="3415" w:name="_Toc51068941"/>
      <w:bookmarkStart w:id="3416" w:name="_Toc51105957"/>
      <w:bookmarkStart w:id="3417" w:name="_Toc51107385"/>
      <w:bookmarkStart w:id="3418" w:name="_Toc51109708"/>
      <w:bookmarkStart w:id="3419" w:name="_Toc51056961"/>
      <w:bookmarkStart w:id="3420" w:name="_Toc51058382"/>
      <w:bookmarkStart w:id="3421" w:name="_Toc51059799"/>
      <w:bookmarkStart w:id="3422" w:name="_Toc51061215"/>
      <w:bookmarkStart w:id="3423" w:name="_Toc51062631"/>
      <w:bookmarkStart w:id="3424" w:name="_Toc51064047"/>
      <w:bookmarkStart w:id="3425" w:name="_Toc51065480"/>
      <w:bookmarkStart w:id="3426" w:name="_Toc51066895"/>
      <w:bookmarkStart w:id="3427" w:name="_Toc51068943"/>
      <w:bookmarkStart w:id="3428" w:name="_Toc51105959"/>
      <w:bookmarkStart w:id="3429" w:name="_Toc51107387"/>
      <w:bookmarkStart w:id="3430" w:name="_Toc51109710"/>
      <w:bookmarkStart w:id="3431" w:name="_Toc51056963"/>
      <w:bookmarkStart w:id="3432" w:name="_Toc51058384"/>
      <w:bookmarkStart w:id="3433" w:name="_Toc51059801"/>
      <w:bookmarkStart w:id="3434" w:name="_Toc51061217"/>
      <w:bookmarkStart w:id="3435" w:name="_Toc51062633"/>
      <w:bookmarkStart w:id="3436" w:name="_Toc51064049"/>
      <w:bookmarkStart w:id="3437" w:name="_Toc51065482"/>
      <w:bookmarkStart w:id="3438" w:name="_Toc51066897"/>
      <w:bookmarkStart w:id="3439" w:name="_Toc51068945"/>
      <w:bookmarkStart w:id="3440" w:name="_Toc51105961"/>
      <w:bookmarkStart w:id="3441" w:name="_Toc51107389"/>
      <w:bookmarkStart w:id="3442" w:name="_Toc51109712"/>
      <w:bookmarkStart w:id="3443" w:name="_Toc51056965"/>
      <w:bookmarkStart w:id="3444" w:name="_Toc51058386"/>
      <w:bookmarkStart w:id="3445" w:name="_Toc51059803"/>
      <w:bookmarkStart w:id="3446" w:name="_Toc51061219"/>
      <w:bookmarkStart w:id="3447" w:name="_Toc51062635"/>
      <w:bookmarkStart w:id="3448" w:name="_Toc51064051"/>
      <w:bookmarkStart w:id="3449" w:name="_Toc51065484"/>
      <w:bookmarkStart w:id="3450" w:name="_Toc51066899"/>
      <w:bookmarkStart w:id="3451" w:name="_Toc51068947"/>
      <w:bookmarkStart w:id="3452" w:name="_Toc51105963"/>
      <w:bookmarkStart w:id="3453" w:name="_Toc51107391"/>
      <w:bookmarkStart w:id="3454" w:name="_Toc51109714"/>
      <w:bookmarkStart w:id="3455" w:name="_Toc51056967"/>
      <w:bookmarkStart w:id="3456" w:name="_Toc51058388"/>
      <w:bookmarkStart w:id="3457" w:name="_Toc51059805"/>
      <w:bookmarkStart w:id="3458" w:name="_Toc51061221"/>
      <w:bookmarkStart w:id="3459" w:name="_Toc51062637"/>
      <w:bookmarkStart w:id="3460" w:name="_Toc51064053"/>
      <w:bookmarkStart w:id="3461" w:name="_Toc51065486"/>
      <w:bookmarkStart w:id="3462" w:name="_Toc51066901"/>
      <w:bookmarkStart w:id="3463" w:name="_Toc51068949"/>
      <w:bookmarkStart w:id="3464" w:name="_Toc51105965"/>
      <w:bookmarkStart w:id="3465" w:name="_Toc51107393"/>
      <w:bookmarkStart w:id="3466" w:name="_Toc51109716"/>
      <w:bookmarkStart w:id="3467" w:name="_Toc51056969"/>
      <w:bookmarkStart w:id="3468" w:name="_Toc51058390"/>
      <w:bookmarkStart w:id="3469" w:name="_Toc51059807"/>
      <w:bookmarkStart w:id="3470" w:name="_Toc51061223"/>
      <w:bookmarkStart w:id="3471" w:name="_Toc51062639"/>
      <w:bookmarkStart w:id="3472" w:name="_Toc51064055"/>
      <w:bookmarkStart w:id="3473" w:name="_Toc51065488"/>
      <w:bookmarkStart w:id="3474" w:name="_Toc51066903"/>
      <w:bookmarkStart w:id="3475" w:name="_Toc51068951"/>
      <w:bookmarkStart w:id="3476" w:name="_Toc51105967"/>
      <w:bookmarkStart w:id="3477" w:name="_Toc51107395"/>
      <w:bookmarkStart w:id="3478" w:name="_Toc51109718"/>
      <w:bookmarkStart w:id="3479" w:name="_Toc51056971"/>
      <w:bookmarkStart w:id="3480" w:name="_Toc51058392"/>
      <w:bookmarkStart w:id="3481" w:name="_Toc51059809"/>
      <w:bookmarkStart w:id="3482" w:name="_Toc51061225"/>
      <w:bookmarkStart w:id="3483" w:name="_Toc51062641"/>
      <w:bookmarkStart w:id="3484" w:name="_Toc51064057"/>
      <w:bookmarkStart w:id="3485" w:name="_Toc51065490"/>
      <w:bookmarkStart w:id="3486" w:name="_Toc51066905"/>
      <w:bookmarkStart w:id="3487" w:name="_Toc51068953"/>
      <w:bookmarkStart w:id="3488" w:name="_Toc51105969"/>
      <w:bookmarkStart w:id="3489" w:name="_Toc51107397"/>
      <w:bookmarkStart w:id="3490" w:name="_Toc51109720"/>
      <w:bookmarkStart w:id="3491" w:name="_Toc51056972"/>
      <w:bookmarkStart w:id="3492" w:name="_Toc51058393"/>
      <w:bookmarkStart w:id="3493" w:name="_Toc51059810"/>
      <w:bookmarkStart w:id="3494" w:name="_Toc51061226"/>
      <w:bookmarkStart w:id="3495" w:name="_Toc51062642"/>
      <w:bookmarkStart w:id="3496" w:name="_Toc51064058"/>
      <w:bookmarkStart w:id="3497" w:name="_Toc51065491"/>
      <w:bookmarkStart w:id="3498" w:name="_Toc51066906"/>
      <w:bookmarkStart w:id="3499" w:name="_Toc51068954"/>
      <w:bookmarkStart w:id="3500" w:name="_Toc51105970"/>
      <w:bookmarkStart w:id="3501" w:name="_Toc51107398"/>
      <w:bookmarkStart w:id="3502" w:name="_Toc51109721"/>
      <w:bookmarkStart w:id="3503" w:name="_Toc51056974"/>
      <w:bookmarkStart w:id="3504" w:name="_Toc51058395"/>
      <w:bookmarkStart w:id="3505" w:name="_Toc51059812"/>
      <w:bookmarkStart w:id="3506" w:name="_Toc51061228"/>
      <w:bookmarkStart w:id="3507" w:name="_Toc51062644"/>
      <w:bookmarkStart w:id="3508" w:name="_Toc51064060"/>
      <w:bookmarkStart w:id="3509" w:name="_Toc51065493"/>
      <w:bookmarkStart w:id="3510" w:name="_Toc51066908"/>
      <w:bookmarkStart w:id="3511" w:name="_Toc51068956"/>
      <w:bookmarkStart w:id="3512" w:name="_Toc51105972"/>
      <w:bookmarkStart w:id="3513" w:name="_Toc51107400"/>
      <w:bookmarkStart w:id="3514" w:name="_Toc51109723"/>
      <w:bookmarkStart w:id="3515" w:name="_Toc51056975"/>
      <w:bookmarkStart w:id="3516" w:name="_Toc51058396"/>
      <w:bookmarkStart w:id="3517" w:name="_Toc51059813"/>
      <w:bookmarkStart w:id="3518" w:name="_Toc51061229"/>
      <w:bookmarkStart w:id="3519" w:name="_Toc51062645"/>
      <w:bookmarkStart w:id="3520" w:name="_Toc51064061"/>
      <w:bookmarkStart w:id="3521" w:name="_Toc51065494"/>
      <w:bookmarkStart w:id="3522" w:name="_Toc51066909"/>
      <w:bookmarkStart w:id="3523" w:name="_Toc51068957"/>
      <w:bookmarkStart w:id="3524" w:name="_Toc51105973"/>
      <w:bookmarkStart w:id="3525" w:name="_Toc51107401"/>
      <w:bookmarkStart w:id="3526" w:name="_Toc51109724"/>
      <w:bookmarkStart w:id="3527" w:name="_Toc51056976"/>
      <w:bookmarkStart w:id="3528" w:name="_Toc51058397"/>
      <w:bookmarkStart w:id="3529" w:name="_Toc51059814"/>
      <w:bookmarkStart w:id="3530" w:name="_Toc51061230"/>
      <w:bookmarkStart w:id="3531" w:name="_Toc51062646"/>
      <w:bookmarkStart w:id="3532" w:name="_Toc51064062"/>
      <w:bookmarkStart w:id="3533" w:name="_Toc51065495"/>
      <w:bookmarkStart w:id="3534" w:name="_Toc51066910"/>
      <w:bookmarkStart w:id="3535" w:name="_Toc51068958"/>
      <w:bookmarkStart w:id="3536" w:name="_Toc51105974"/>
      <w:bookmarkStart w:id="3537" w:name="_Toc51107402"/>
      <w:bookmarkStart w:id="3538" w:name="_Toc51109725"/>
      <w:bookmarkStart w:id="3539" w:name="_Toc51056978"/>
      <w:bookmarkStart w:id="3540" w:name="_Toc51058399"/>
      <w:bookmarkStart w:id="3541" w:name="_Toc51059816"/>
      <w:bookmarkStart w:id="3542" w:name="_Toc51061232"/>
      <w:bookmarkStart w:id="3543" w:name="_Toc51062648"/>
      <w:bookmarkStart w:id="3544" w:name="_Toc51064064"/>
      <w:bookmarkStart w:id="3545" w:name="_Toc51065497"/>
      <w:bookmarkStart w:id="3546" w:name="_Toc51066912"/>
      <w:bookmarkStart w:id="3547" w:name="_Toc51068960"/>
      <w:bookmarkStart w:id="3548" w:name="_Toc51105976"/>
      <w:bookmarkStart w:id="3549" w:name="_Toc51107404"/>
      <w:bookmarkStart w:id="3550" w:name="_Toc51109727"/>
      <w:bookmarkStart w:id="3551" w:name="_Toc51056980"/>
      <w:bookmarkStart w:id="3552" w:name="_Toc51058401"/>
      <w:bookmarkStart w:id="3553" w:name="_Toc51059818"/>
      <w:bookmarkStart w:id="3554" w:name="_Toc51061234"/>
      <w:bookmarkStart w:id="3555" w:name="_Toc51062650"/>
      <w:bookmarkStart w:id="3556" w:name="_Toc51064066"/>
      <w:bookmarkStart w:id="3557" w:name="_Toc51065499"/>
      <w:bookmarkStart w:id="3558" w:name="_Toc51066914"/>
      <w:bookmarkStart w:id="3559" w:name="_Toc51068962"/>
      <w:bookmarkStart w:id="3560" w:name="_Toc51105978"/>
      <w:bookmarkStart w:id="3561" w:name="_Toc51107406"/>
      <w:bookmarkStart w:id="3562" w:name="_Toc51109729"/>
      <w:bookmarkStart w:id="3563" w:name="_Toc51056982"/>
      <w:bookmarkStart w:id="3564" w:name="_Toc51058403"/>
      <w:bookmarkStart w:id="3565" w:name="_Toc51059820"/>
      <w:bookmarkStart w:id="3566" w:name="_Toc51061236"/>
      <w:bookmarkStart w:id="3567" w:name="_Toc51062652"/>
      <w:bookmarkStart w:id="3568" w:name="_Toc51064068"/>
      <w:bookmarkStart w:id="3569" w:name="_Toc51065501"/>
      <w:bookmarkStart w:id="3570" w:name="_Toc51066916"/>
      <w:bookmarkStart w:id="3571" w:name="_Toc51068964"/>
      <w:bookmarkStart w:id="3572" w:name="_Toc51105980"/>
      <w:bookmarkStart w:id="3573" w:name="_Toc51107408"/>
      <w:bookmarkStart w:id="3574" w:name="_Toc51109731"/>
      <w:bookmarkStart w:id="3575" w:name="_Toc51056983"/>
      <w:bookmarkStart w:id="3576" w:name="_Toc51058404"/>
      <w:bookmarkStart w:id="3577" w:name="_Toc51059821"/>
      <w:bookmarkStart w:id="3578" w:name="_Toc51061237"/>
      <w:bookmarkStart w:id="3579" w:name="_Toc51062653"/>
      <w:bookmarkStart w:id="3580" w:name="_Toc51064069"/>
      <w:bookmarkStart w:id="3581" w:name="_Toc51065502"/>
      <w:bookmarkStart w:id="3582" w:name="_Toc51066917"/>
      <w:bookmarkStart w:id="3583" w:name="_Toc51068965"/>
      <w:bookmarkStart w:id="3584" w:name="_Toc51105981"/>
      <w:bookmarkStart w:id="3585" w:name="_Toc51107409"/>
      <w:bookmarkStart w:id="3586" w:name="_Toc51109732"/>
      <w:bookmarkStart w:id="3587" w:name="_Toc51056984"/>
      <w:bookmarkStart w:id="3588" w:name="_Toc51058405"/>
      <w:bookmarkStart w:id="3589" w:name="_Toc51059822"/>
      <w:bookmarkStart w:id="3590" w:name="_Toc51061238"/>
      <w:bookmarkStart w:id="3591" w:name="_Toc51062654"/>
      <w:bookmarkStart w:id="3592" w:name="_Toc51064070"/>
      <w:bookmarkStart w:id="3593" w:name="_Toc51065503"/>
      <w:bookmarkStart w:id="3594" w:name="_Toc51066918"/>
      <w:bookmarkStart w:id="3595" w:name="_Toc51068966"/>
      <w:bookmarkStart w:id="3596" w:name="_Toc51105982"/>
      <w:bookmarkStart w:id="3597" w:name="_Toc51107410"/>
      <w:bookmarkStart w:id="3598" w:name="_Toc51109733"/>
      <w:bookmarkStart w:id="3599" w:name="_Toc51056986"/>
      <w:bookmarkStart w:id="3600" w:name="_Toc51058407"/>
      <w:bookmarkStart w:id="3601" w:name="_Toc51059824"/>
      <w:bookmarkStart w:id="3602" w:name="_Toc51061240"/>
      <w:bookmarkStart w:id="3603" w:name="_Toc51062656"/>
      <w:bookmarkStart w:id="3604" w:name="_Toc51064072"/>
      <w:bookmarkStart w:id="3605" w:name="_Toc51065505"/>
      <w:bookmarkStart w:id="3606" w:name="_Toc51066920"/>
      <w:bookmarkStart w:id="3607" w:name="_Toc51068968"/>
      <w:bookmarkStart w:id="3608" w:name="_Toc51105984"/>
      <w:bookmarkStart w:id="3609" w:name="_Toc51107412"/>
      <w:bookmarkStart w:id="3610" w:name="_Toc51109735"/>
      <w:bookmarkStart w:id="3611" w:name="_Toc51056989"/>
      <w:bookmarkStart w:id="3612" w:name="_Toc51058410"/>
      <w:bookmarkStart w:id="3613" w:name="_Toc51059827"/>
      <w:bookmarkStart w:id="3614" w:name="_Toc51061243"/>
      <w:bookmarkStart w:id="3615" w:name="_Toc51062659"/>
      <w:bookmarkStart w:id="3616" w:name="_Toc51064075"/>
      <w:bookmarkStart w:id="3617" w:name="_Toc51065508"/>
      <w:bookmarkStart w:id="3618" w:name="_Toc51066923"/>
      <w:bookmarkStart w:id="3619" w:name="_Toc51068971"/>
      <w:bookmarkStart w:id="3620" w:name="_Toc51105987"/>
      <w:bookmarkStart w:id="3621" w:name="_Toc51107415"/>
      <w:bookmarkStart w:id="3622" w:name="_Toc51109738"/>
      <w:bookmarkStart w:id="3623" w:name="_Toc51056991"/>
      <w:bookmarkStart w:id="3624" w:name="_Toc51058412"/>
      <w:bookmarkStart w:id="3625" w:name="_Toc51059829"/>
      <w:bookmarkStart w:id="3626" w:name="_Toc51061245"/>
      <w:bookmarkStart w:id="3627" w:name="_Toc51062661"/>
      <w:bookmarkStart w:id="3628" w:name="_Toc51064077"/>
      <w:bookmarkStart w:id="3629" w:name="_Toc51065510"/>
      <w:bookmarkStart w:id="3630" w:name="_Toc51066925"/>
      <w:bookmarkStart w:id="3631" w:name="_Toc51068973"/>
      <w:bookmarkStart w:id="3632" w:name="_Toc51105989"/>
      <w:bookmarkStart w:id="3633" w:name="_Toc51107417"/>
      <w:bookmarkStart w:id="3634" w:name="_Toc51109740"/>
      <w:bookmarkStart w:id="3635" w:name="_Toc51056993"/>
      <w:bookmarkStart w:id="3636" w:name="_Toc51058414"/>
      <w:bookmarkStart w:id="3637" w:name="_Toc51059831"/>
      <w:bookmarkStart w:id="3638" w:name="_Toc51061247"/>
      <w:bookmarkStart w:id="3639" w:name="_Toc51062663"/>
      <w:bookmarkStart w:id="3640" w:name="_Toc51064079"/>
      <w:bookmarkStart w:id="3641" w:name="_Toc51065512"/>
      <w:bookmarkStart w:id="3642" w:name="_Toc51066927"/>
      <w:bookmarkStart w:id="3643" w:name="_Toc51068975"/>
      <w:bookmarkStart w:id="3644" w:name="_Toc51105991"/>
      <w:bookmarkStart w:id="3645" w:name="_Toc51107419"/>
      <w:bookmarkStart w:id="3646" w:name="_Toc51109742"/>
      <w:bookmarkStart w:id="3647" w:name="_Toc51056995"/>
      <w:bookmarkStart w:id="3648" w:name="_Toc51058416"/>
      <w:bookmarkStart w:id="3649" w:name="_Toc51059833"/>
      <w:bookmarkStart w:id="3650" w:name="_Toc51061249"/>
      <w:bookmarkStart w:id="3651" w:name="_Toc51062665"/>
      <w:bookmarkStart w:id="3652" w:name="_Toc51064081"/>
      <w:bookmarkStart w:id="3653" w:name="_Toc51065514"/>
      <w:bookmarkStart w:id="3654" w:name="_Toc51066929"/>
      <w:bookmarkStart w:id="3655" w:name="_Toc51068977"/>
      <w:bookmarkStart w:id="3656" w:name="_Toc51105993"/>
      <w:bookmarkStart w:id="3657" w:name="_Toc51107421"/>
      <w:bookmarkStart w:id="3658" w:name="_Toc51109744"/>
      <w:bookmarkStart w:id="3659" w:name="_Toc51056996"/>
      <w:bookmarkStart w:id="3660" w:name="_Toc51058417"/>
      <w:bookmarkStart w:id="3661" w:name="_Toc51059834"/>
      <w:bookmarkStart w:id="3662" w:name="_Toc51061250"/>
      <w:bookmarkStart w:id="3663" w:name="_Toc51062666"/>
      <w:bookmarkStart w:id="3664" w:name="_Toc51064082"/>
      <w:bookmarkStart w:id="3665" w:name="_Toc51065515"/>
      <w:bookmarkStart w:id="3666" w:name="_Toc51066930"/>
      <w:bookmarkStart w:id="3667" w:name="_Toc51068978"/>
      <w:bookmarkStart w:id="3668" w:name="_Toc51105994"/>
      <w:bookmarkStart w:id="3669" w:name="_Toc51107422"/>
      <w:bookmarkStart w:id="3670" w:name="_Toc51109745"/>
      <w:bookmarkStart w:id="3671" w:name="_Toc51056997"/>
      <w:bookmarkStart w:id="3672" w:name="_Toc51058418"/>
      <w:bookmarkStart w:id="3673" w:name="_Toc51059835"/>
      <w:bookmarkStart w:id="3674" w:name="_Toc51061251"/>
      <w:bookmarkStart w:id="3675" w:name="_Toc51062667"/>
      <w:bookmarkStart w:id="3676" w:name="_Toc51064083"/>
      <w:bookmarkStart w:id="3677" w:name="_Toc51065516"/>
      <w:bookmarkStart w:id="3678" w:name="_Toc51066931"/>
      <w:bookmarkStart w:id="3679" w:name="_Toc51068979"/>
      <w:bookmarkStart w:id="3680" w:name="_Toc51105995"/>
      <w:bookmarkStart w:id="3681" w:name="_Toc51107423"/>
      <w:bookmarkStart w:id="3682" w:name="_Toc51109746"/>
      <w:bookmarkStart w:id="3683" w:name="_Toc51057021"/>
      <w:bookmarkStart w:id="3684" w:name="_Toc51058442"/>
      <w:bookmarkStart w:id="3685" w:name="_Toc51059859"/>
      <w:bookmarkStart w:id="3686" w:name="_Toc51061275"/>
      <w:bookmarkStart w:id="3687" w:name="_Toc51062691"/>
      <w:bookmarkStart w:id="3688" w:name="_Toc51064107"/>
      <w:bookmarkStart w:id="3689" w:name="_Toc51065540"/>
      <w:bookmarkStart w:id="3690" w:name="_Toc51066955"/>
      <w:bookmarkStart w:id="3691" w:name="_Toc51069003"/>
      <w:bookmarkStart w:id="3692" w:name="_Toc51106019"/>
      <w:bookmarkStart w:id="3693" w:name="_Toc51107447"/>
      <w:bookmarkStart w:id="3694" w:name="_Toc51109770"/>
      <w:bookmarkStart w:id="3695" w:name="_Toc51057022"/>
      <w:bookmarkStart w:id="3696" w:name="_Toc51058443"/>
      <w:bookmarkStart w:id="3697" w:name="_Toc51059860"/>
      <w:bookmarkStart w:id="3698" w:name="_Toc51061276"/>
      <w:bookmarkStart w:id="3699" w:name="_Toc51062692"/>
      <w:bookmarkStart w:id="3700" w:name="_Toc51064108"/>
      <w:bookmarkStart w:id="3701" w:name="_Toc51065541"/>
      <w:bookmarkStart w:id="3702" w:name="_Toc51066956"/>
      <w:bookmarkStart w:id="3703" w:name="_Toc51069004"/>
      <w:bookmarkStart w:id="3704" w:name="_Toc51106020"/>
      <w:bookmarkStart w:id="3705" w:name="_Toc51107448"/>
      <w:bookmarkStart w:id="3706" w:name="_Toc51109771"/>
      <w:bookmarkStart w:id="3707" w:name="_Toc51057024"/>
      <w:bookmarkStart w:id="3708" w:name="_Toc51058445"/>
      <w:bookmarkStart w:id="3709" w:name="_Toc51059862"/>
      <w:bookmarkStart w:id="3710" w:name="_Toc51061278"/>
      <w:bookmarkStart w:id="3711" w:name="_Toc51062694"/>
      <w:bookmarkStart w:id="3712" w:name="_Toc51064110"/>
      <w:bookmarkStart w:id="3713" w:name="_Toc51065543"/>
      <w:bookmarkStart w:id="3714" w:name="_Toc51066958"/>
      <w:bookmarkStart w:id="3715" w:name="_Toc51069006"/>
      <w:bookmarkStart w:id="3716" w:name="_Toc51106022"/>
      <w:bookmarkStart w:id="3717" w:name="_Toc51107450"/>
      <w:bookmarkStart w:id="3718" w:name="_Toc51109773"/>
      <w:bookmarkStart w:id="3719" w:name="_Toc51057025"/>
      <w:bookmarkStart w:id="3720" w:name="_Toc51058446"/>
      <w:bookmarkStart w:id="3721" w:name="_Toc51059863"/>
      <w:bookmarkStart w:id="3722" w:name="_Toc51061279"/>
      <w:bookmarkStart w:id="3723" w:name="_Toc51062695"/>
      <w:bookmarkStart w:id="3724" w:name="_Toc51064111"/>
      <w:bookmarkStart w:id="3725" w:name="_Toc51065544"/>
      <w:bookmarkStart w:id="3726" w:name="_Toc51066959"/>
      <w:bookmarkStart w:id="3727" w:name="_Toc51069007"/>
      <w:bookmarkStart w:id="3728" w:name="_Toc51106023"/>
      <w:bookmarkStart w:id="3729" w:name="_Toc51107451"/>
      <w:bookmarkStart w:id="3730" w:name="_Toc51109774"/>
      <w:bookmarkStart w:id="3731" w:name="_Toc51057026"/>
      <w:bookmarkStart w:id="3732" w:name="_Toc51058447"/>
      <w:bookmarkStart w:id="3733" w:name="_Toc51059864"/>
      <w:bookmarkStart w:id="3734" w:name="_Toc51061280"/>
      <w:bookmarkStart w:id="3735" w:name="_Toc51062696"/>
      <w:bookmarkStart w:id="3736" w:name="_Toc51064112"/>
      <w:bookmarkStart w:id="3737" w:name="_Toc51065545"/>
      <w:bookmarkStart w:id="3738" w:name="_Toc51066960"/>
      <w:bookmarkStart w:id="3739" w:name="_Toc51069008"/>
      <w:bookmarkStart w:id="3740" w:name="_Toc51106024"/>
      <w:bookmarkStart w:id="3741" w:name="_Toc51107452"/>
      <w:bookmarkStart w:id="3742" w:name="_Toc51109775"/>
      <w:bookmarkStart w:id="3743" w:name="_Toc51057027"/>
      <w:bookmarkStart w:id="3744" w:name="_Toc51058448"/>
      <w:bookmarkStart w:id="3745" w:name="_Toc51059865"/>
      <w:bookmarkStart w:id="3746" w:name="_Toc51061281"/>
      <w:bookmarkStart w:id="3747" w:name="_Toc51062697"/>
      <w:bookmarkStart w:id="3748" w:name="_Toc51064113"/>
      <w:bookmarkStart w:id="3749" w:name="_Toc51065546"/>
      <w:bookmarkStart w:id="3750" w:name="_Toc51066961"/>
      <w:bookmarkStart w:id="3751" w:name="_Toc51069009"/>
      <w:bookmarkStart w:id="3752" w:name="_Toc51106025"/>
      <w:bookmarkStart w:id="3753" w:name="_Toc51107453"/>
      <w:bookmarkStart w:id="3754" w:name="_Toc51109776"/>
      <w:bookmarkStart w:id="3755" w:name="_Toc51057029"/>
      <w:bookmarkStart w:id="3756" w:name="_Toc51058450"/>
      <w:bookmarkStart w:id="3757" w:name="_Toc51059867"/>
      <w:bookmarkStart w:id="3758" w:name="_Toc51061283"/>
      <w:bookmarkStart w:id="3759" w:name="_Toc51062699"/>
      <w:bookmarkStart w:id="3760" w:name="_Toc51064115"/>
      <w:bookmarkStart w:id="3761" w:name="_Toc51065548"/>
      <w:bookmarkStart w:id="3762" w:name="_Toc51066963"/>
      <w:bookmarkStart w:id="3763" w:name="_Toc51069011"/>
      <w:bookmarkStart w:id="3764" w:name="_Toc51106027"/>
      <w:bookmarkStart w:id="3765" w:name="_Toc51107455"/>
      <w:bookmarkStart w:id="3766" w:name="_Toc51109778"/>
      <w:bookmarkStart w:id="3767" w:name="_Toc51057030"/>
      <w:bookmarkStart w:id="3768" w:name="_Toc51058451"/>
      <w:bookmarkStart w:id="3769" w:name="_Toc51059868"/>
      <w:bookmarkStart w:id="3770" w:name="_Toc51061284"/>
      <w:bookmarkStart w:id="3771" w:name="_Toc51062700"/>
      <w:bookmarkStart w:id="3772" w:name="_Toc51064116"/>
      <w:bookmarkStart w:id="3773" w:name="_Toc51065549"/>
      <w:bookmarkStart w:id="3774" w:name="_Toc51066964"/>
      <w:bookmarkStart w:id="3775" w:name="_Toc51069012"/>
      <w:bookmarkStart w:id="3776" w:name="_Toc51106028"/>
      <w:bookmarkStart w:id="3777" w:name="_Toc51107456"/>
      <w:bookmarkStart w:id="3778" w:name="_Toc51109779"/>
      <w:bookmarkStart w:id="3779" w:name="_Toc51057031"/>
      <w:bookmarkStart w:id="3780" w:name="_Toc51058452"/>
      <w:bookmarkStart w:id="3781" w:name="_Toc51059869"/>
      <w:bookmarkStart w:id="3782" w:name="_Toc51061285"/>
      <w:bookmarkStart w:id="3783" w:name="_Toc51062701"/>
      <w:bookmarkStart w:id="3784" w:name="_Toc51064117"/>
      <w:bookmarkStart w:id="3785" w:name="_Toc51065550"/>
      <w:bookmarkStart w:id="3786" w:name="_Toc51066965"/>
      <w:bookmarkStart w:id="3787" w:name="_Toc51069013"/>
      <w:bookmarkStart w:id="3788" w:name="_Toc51106029"/>
      <w:bookmarkStart w:id="3789" w:name="_Toc51107457"/>
      <w:bookmarkStart w:id="3790" w:name="_Toc51109780"/>
      <w:bookmarkStart w:id="3791" w:name="_Toc51057032"/>
      <w:bookmarkStart w:id="3792" w:name="_Toc51058453"/>
      <w:bookmarkStart w:id="3793" w:name="_Toc51059870"/>
      <w:bookmarkStart w:id="3794" w:name="_Toc51061286"/>
      <w:bookmarkStart w:id="3795" w:name="_Toc51062702"/>
      <w:bookmarkStart w:id="3796" w:name="_Toc51064118"/>
      <w:bookmarkStart w:id="3797" w:name="_Toc51065551"/>
      <w:bookmarkStart w:id="3798" w:name="_Toc51066966"/>
      <w:bookmarkStart w:id="3799" w:name="_Toc51069014"/>
      <w:bookmarkStart w:id="3800" w:name="_Toc51106030"/>
      <w:bookmarkStart w:id="3801" w:name="_Toc51107458"/>
      <w:bookmarkStart w:id="3802" w:name="_Toc51109781"/>
      <w:bookmarkStart w:id="3803" w:name="_Toc51057033"/>
      <w:bookmarkStart w:id="3804" w:name="_Toc51058454"/>
      <w:bookmarkStart w:id="3805" w:name="_Toc51059871"/>
      <w:bookmarkStart w:id="3806" w:name="_Toc51061287"/>
      <w:bookmarkStart w:id="3807" w:name="_Toc51062703"/>
      <w:bookmarkStart w:id="3808" w:name="_Toc51064119"/>
      <w:bookmarkStart w:id="3809" w:name="_Toc51065552"/>
      <w:bookmarkStart w:id="3810" w:name="_Toc51066967"/>
      <w:bookmarkStart w:id="3811" w:name="_Toc51069015"/>
      <w:bookmarkStart w:id="3812" w:name="_Toc51106031"/>
      <w:bookmarkStart w:id="3813" w:name="_Toc51107459"/>
      <w:bookmarkStart w:id="3814" w:name="_Toc51109782"/>
      <w:bookmarkStart w:id="3815" w:name="_Toc51057035"/>
      <w:bookmarkStart w:id="3816" w:name="_Toc51058456"/>
      <w:bookmarkStart w:id="3817" w:name="_Toc51059873"/>
      <w:bookmarkStart w:id="3818" w:name="_Toc51061289"/>
      <w:bookmarkStart w:id="3819" w:name="_Toc51062705"/>
      <w:bookmarkStart w:id="3820" w:name="_Toc51064121"/>
      <w:bookmarkStart w:id="3821" w:name="_Toc51065554"/>
      <w:bookmarkStart w:id="3822" w:name="_Toc51066969"/>
      <w:bookmarkStart w:id="3823" w:name="_Toc51069017"/>
      <w:bookmarkStart w:id="3824" w:name="_Toc51106033"/>
      <w:bookmarkStart w:id="3825" w:name="_Toc51107461"/>
      <w:bookmarkStart w:id="3826" w:name="_Toc51109784"/>
      <w:bookmarkStart w:id="3827" w:name="_Toc51057037"/>
      <w:bookmarkStart w:id="3828" w:name="_Toc51058458"/>
      <w:bookmarkStart w:id="3829" w:name="_Toc51059875"/>
      <w:bookmarkStart w:id="3830" w:name="_Toc51061291"/>
      <w:bookmarkStart w:id="3831" w:name="_Toc51062707"/>
      <w:bookmarkStart w:id="3832" w:name="_Toc51064123"/>
      <w:bookmarkStart w:id="3833" w:name="_Toc51065556"/>
      <w:bookmarkStart w:id="3834" w:name="_Toc51066971"/>
      <w:bookmarkStart w:id="3835" w:name="_Toc51069019"/>
      <w:bookmarkStart w:id="3836" w:name="_Toc51106035"/>
      <w:bookmarkStart w:id="3837" w:name="_Toc51107463"/>
      <w:bookmarkStart w:id="3838" w:name="_Toc51109786"/>
      <w:bookmarkStart w:id="3839" w:name="_Toc51057039"/>
      <w:bookmarkStart w:id="3840" w:name="_Toc51058460"/>
      <w:bookmarkStart w:id="3841" w:name="_Toc51059877"/>
      <w:bookmarkStart w:id="3842" w:name="_Toc51061293"/>
      <w:bookmarkStart w:id="3843" w:name="_Toc51062709"/>
      <w:bookmarkStart w:id="3844" w:name="_Toc51064125"/>
      <w:bookmarkStart w:id="3845" w:name="_Toc51065558"/>
      <w:bookmarkStart w:id="3846" w:name="_Toc51066973"/>
      <w:bookmarkStart w:id="3847" w:name="_Toc51069021"/>
      <w:bookmarkStart w:id="3848" w:name="_Toc51106037"/>
      <w:bookmarkStart w:id="3849" w:name="_Toc51107465"/>
      <w:bookmarkStart w:id="3850" w:name="_Toc51109788"/>
      <w:bookmarkStart w:id="3851" w:name="_Toc51057057"/>
      <w:bookmarkStart w:id="3852" w:name="_Toc51058478"/>
      <w:bookmarkStart w:id="3853" w:name="_Toc51059895"/>
      <w:bookmarkStart w:id="3854" w:name="_Toc51061311"/>
      <w:bookmarkStart w:id="3855" w:name="_Toc51062727"/>
      <w:bookmarkStart w:id="3856" w:name="_Toc51064143"/>
      <w:bookmarkStart w:id="3857" w:name="_Toc51065576"/>
      <w:bookmarkStart w:id="3858" w:name="_Toc51066991"/>
      <w:bookmarkStart w:id="3859" w:name="_Toc51069039"/>
      <w:bookmarkStart w:id="3860" w:name="_Toc51106055"/>
      <w:bookmarkStart w:id="3861" w:name="_Toc51107483"/>
      <w:bookmarkStart w:id="3862" w:name="_Toc51109806"/>
      <w:bookmarkStart w:id="3863" w:name="_Toc51057058"/>
      <w:bookmarkStart w:id="3864" w:name="_Toc51058479"/>
      <w:bookmarkStart w:id="3865" w:name="_Toc51059896"/>
      <w:bookmarkStart w:id="3866" w:name="_Toc51061312"/>
      <w:bookmarkStart w:id="3867" w:name="_Toc51062728"/>
      <w:bookmarkStart w:id="3868" w:name="_Toc51064144"/>
      <w:bookmarkStart w:id="3869" w:name="_Toc51065577"/>
      <w:bookmarkStart w:id="3870" w:name="_Toc51066992"/>
      <w:bookmarkStart w:id="3871" w:name="_Toc51069040"/>
      <w:bookmarkStart w:id="3872" w:name="_Toc51106056"/>
      <w:bookmarkStart w:id="3873" w:name="_Toc51107484"/>
      <w:bookmarkStart w:id="3874" w:name="_Toc51109807"/>
      <w:bookmarkStart w:id="3875" w:name="_Toc51057060"/>
      <w:bookmarkStart w:id="3876" w:name="_Toc51058481"/>
      <w:bookmarkStart w:id="3877" w:name="_Toc51059898"/>
      <w:bookmarkStart w:id="3878" w:name="_Toc51061314"/>
      <w:bookmarkStart w:id="3879" w:name="_Toc51062730"/>
      <w:bookmarkStart w:id="3880" w:name="_Toc51064146"/>
      <w:bookmarkStart w:id="3881" w:name="_Toc51065579"/>
      <w:bookmarkStart w:id="3882" w:name="_Toc51066994"/>
      <w:bookmarkStart w:id="3883" w:name="_Toc51069042"/>
      <w:bookmarkStart w:id="3884" w:name="_Toc51106058"/>
      <w:bookmarkStart w:id="3885" w:name="_Toc51107486"/>
      <w:bookmarkStart w:id="3886" w:name="_Toc51109809"/>
      <w:bookmarkStart w:id="3887" w:name="_Toc51057061"/>
      <w:bookmarkStart w:id="3888" w:name="_Toc51058482"/>
      <w:bookmarkStart w:id="3889" w:name="_Toc51059899"/>
      <w:bookmarkStart w:id="3890" w:name="_Toc51061315"/>
      <w:bookmarkStart w:id="3891" w:name="_Toc51062731"/>
      <w:bookmarkStart w:id="3892" w:name="_Toc51064147"/>
      <w:bookmarkStart w:id="3893" w:name="_Toc51065580"/>
      <w:bookmarkStart w:id="3894" w:name="_Toc51066995"/>
      <w:bookmarkStart w:id="3895" w:name="_Toc51069043"/>
      <w:bookmarkStart w:id="3896" w:name="_Toc51106059"/>
      <w:bookmarkStart w:id="3897" w:name="_Toc51107487"/>
      <w:bookmarkStart w:id="3898" w:name="_Toc51109810"/>
      <w:bookmarkStart w:id="3899" w:name="_Toc51057062"/>
      <w:bookmarkStart w:id="3900" w:name="_Toc51058483"/>
      <w:bookmarkStart w:id="3901" w:name="_Toc51059900"/>
      <w:bookmarkStart w:id="3902" w:name="_Toc51061316"/>
      <w:bookmarkStart w:id="3903" w:name="_Toc51062732"/>
      <w:bookmarkStart w:id="3904" w:name="_Toc51064148"/>
      <w:bookmarkStart w:id="3905" w:name="_Toc51065581"/>
      <w:bookmarkStart w:id="3906" w:name="_Toc51066996"/>
      <w:bookmarkStart w:id="3907" w:name="_Toc51069044"/>
      <w:bookmarkStart w:id="3908" w:name="_Toc51106060"/>
      <w:bookmarkStart w:id="3909" w:name="_Toc51107488"/>
      <w:bookmarkStart w:id="3910" w:name="_Toc51109811"/>
      <w:bookmarkStart w:id="3911" w:name="_Toc51057064"/>
      <w:bookmarkStart w:id="3912" w:name="_Toc51058485"/>
      <w:bookmarkStart w:id="3913" w:name="_Toc51059902"/>
      <w:bookmarkStart w:id="3914" w:name="_Toc51061318"/>
      <w:bookmarkStart w:id="3915" w:name="_Toc51062734"/>
      <w:bookmarkStart w:id="3916" w:name="_Toc51064150"/>
      <w:bookmarkStart w:id="3917" w:name="_Toc51065583"/>
      <w:bookmarkStart w:id="3918" w:name="_Toc51066998"/>
      <w:bookmarkStart w:id="3919" w:name="_Toc51069046"/>
      <w:bookmarkStart w:id="3920" w:name="_Toc51106062"/>
      <w:bookmarkStart w:id="3921" w:name="_Toc51107490"/>
      <w:bookmarkStart w:id="3922" w:name="_Toc51109813"/>
      <w:bookmarkStart w:id="3923" w:name="_Toc51057066"/>
      <w:bookmarkStart w:id="3924" w:name="_Toc51058487"/>
      <w:bookmarkStart w:id="3925" w:name="_Toc51059904"/>
      <w:bookmarkStart w:id="3926" w:name="_Toc51061320"/>
      <w:bookmarkStart w:id="3927" w:name="_Toc51062736"/>
      <w:bookmarkStart w:id="3928" w:name="_Toc51064152"/>
      <w:bookmarkStart w:id="3929" w:name="_Toc51065585"/>
      <w:bookmarkStart w:id="3930" w:name="_Toc51067000"/>
      <w:bookmarkStart w:id="3931" w:name="_Toc51069048"/>
      <w:bookmarkStart w:id="3932" w:name="_Toc51106064"/>
      <w:bookmarkStart w:id="3933" w:name="_Toc51107492"/>
      <w:bookmarkStart w:id="3934" w:name="_Toc51109815"/>
      <w:bookmarkStart w:id="3935" w:name="_Toc51057068"/>
      <w:bookmarkStart w:id="3936" w:name="_Toc51058489"/>
      <w:bookmarkStart w:id="3937" w:name="_Toc51059906"/>
      <w:bookmarkStart w:id="3938" w:name="_Toc51061322"/>
      <w:bookmarkStart w:id="3939" w:name="_Toc51062738"/>
      <w:bookmarkStart w:id="3940" w:name="_Toc51064154"/>
      <w:bookmarkStart w:id="3941" w:name="_Toc51065587"/>
      <w:bookmarkStart w:id="3942" w:name="_Toc51067002"/>
      <w:bookmarkStart w:id="3943" w:name="_Toc51069050"/>
      <w:bookmarkStart w:id="3944" w:name="_Toc51106066"/>
      <w:bookmarkStart w:id="3945" w:name="_Toc51107494"/>
      <w:bookmarkStart w:id="3946" w:name="_Toc51109817"/>
      <w:bookmarkStart w:id="3947" w:name="_Toc51057069"/>
      <w:bookmarkStart w:id="3948" w:name="_Toc51058490"/>
      <w:bookmarkStart w:id="3949" w:name="_Toc51059907"/>
      <w:bookmarkStart w:id="3950" w:name="_Toc51061323"/>
      <w:bookmarkStart w:id="3951" w:name="_Toc51062739"/>
      <w:bookmarkStart w:id="3952" w:name="_Toc51064155"/>
      <w:bookmarkStart w:id="3953" w:name="_Toc51065588"/>
      <w:bookmarkStart w:id="3954" w:name="_Toc51067003"/>
      <w:bookmarkStart w:id="3955" w:name="_Toc51069051"/>
      <w:bookmarkStart w:id="3956" w:name="_Toc51106067"/>
      <w:bookmarkStart w:id="3957" w:name="_Toc51107495"/>
      <w:bookmarkStart w:id="3958" w:name="_Toc51109818"/>
      <w:bookmarkStart w:id="3959" w:name="_Toc51057070"/>
      <w:bookmarkStart w:id="3960" w:name="_Toc51058491"/>
      <w:bookmarkStart w:id="3961" w:name="_Toc51059908"/>
      <w:bookmarkStart w:id="3962" w:name="_Toc51061324"/>
      <w:bookmarkStart w:id="3963" w:name="_Toc51062740"/>
      <w:bookmarkStart w:id="3964" w:name="_Toc51064156"/>
      <w:bookmarkStart w:id="3965" w:name="_Toc51065589"/>
      <w:bookmarkStart w:id="3966" w:name="_Toc51067004"/>
      <w:bookmarkStart w:id="3967" w:name="_Toc51069052"/>
      <w:bookmarkStart w:id="3968" w:name="_Toc51106068"/>
      <w:bookmarkStart w:id="3969" w:name="_Toc51107496"/>
      <w:bookmarkStart w:id="3970" w:name="_Toc51109819"/>
      <w:bookmarkStart w:id="3971" w:name="_Toc51057072"/>
      <w:bookmarkStart w:id="3972" w:name="_Toc51058493"/>
      <w:bookmarkStart w:id="3973" w:name="_Toc51059910"/>
      <w:bookmarkStart w:id="3974" w:name="_Toc51061326"/>
      <w:bookmarkStart w:id="3975" w:name="_Toc51062742"/>
      <w:bookmarkStart w:id="3976" w:name="_Toc51064158"/>
      <w:bookmarkStart w:id="3977" w:name="_Toc51065591"/>
      <w:bookmarkStart w:id="3978" w:name="_Toc51067006"/>
      <w:bookmarkStart w:id="3979" w:name="_Toc51069054"/>
      <w:bookmarkStart w:id="3980" w:name="_Toc51106070"/>
      <w:bookmarkStart w:id="3981" w:name="_Toc51107498"/>
      <w:bookmarkStart w:id="3982" w:name="_Toc51109821"/>
      <w:bookmarkStart w:id="3983" w:name="_Toc51057074"/>
      <w:bookmarkStart w:id="3984" w:name="_Toc51058495"/>
      <w:bookmarkStart w:id="3985" w:name="_Toc51059912"/>
      <w:bookmarkStart w:id="3986" w:name="_Toc51061328"/>
      <w:bookmarkStart w:id="3987" w:name="_Toc51062744"/>
      <w:bookmarkStart w:id="3988" w:name="_Toc51064160"/>
      <w:bookmarkStart w:id="3989" w:name="_Toc51065593"/>
      <w:bookmarkStart w:id="3990" w:name="_Toc51067008"/>
      <w:bookmarkStart w:id="3991" w:name="_Toc51069056"/>
      <w:bookmarkStart w:id="3992" w:name="_Toc51106072"/>
      <w:bookmarkStart w:id="3993" w:name="_Toc51107500"/>
      <w:bookmarkStart w:id="3994" w:name="_Toc51109823"/>
      <w:bookmarkStart w:id="3995" w:name="_Toc51057076"/>
      <w:bookmarkStart w:id="3996" w:name="_Toc51058497"/>
      <w:bookmarkStart w:id="3997" w:name="_Toc51059914"/>
      <w:bookmarkStart w:id="3998" w:name="_Toc51061330"/>
      <w:bookmarkStart w:id="3999" w:name="_Toc51062746"/>
      <w:bookmarkStart w:id="4000" w:name="_Toc51064162"/>
      <w:bookmarkStart w:id="4001" w:name="_Toc51065595"/>
      <w:bookmarkStart w:id="4002" w:name="_Toc51067010"/>
      <w:bookmarkStart w:id="4003" w:name="_Toc51069058"/>
      <w:bookmarkStart w:id="4004" w:name="_Toc51106074"/>
      <w:bookmarkStart w:id="4005" w:name="_Toc51107502"/>
      <w:bookmarkStart w:id="4006" w:name="_Toc51109825"/>
      <w:bookmarkStart w:id="4007" w:name="_Toc51057077"/>
      <w:bookmarkStart w:id="4008" w:name="_Toc51058498"/>
      <w:bookmarkStart w:id="4009" w:name="_Toc51059915"/>
      <w:bookmarkStart w:id="4010" w:name="_Toc51061331"/>
      <w:bookmarkStart w:id="4011" w:name="_Toc51062747"/>
      <w:bookmarkStart w:id="4012" w:name="_Toc51064163"/>
      <w:bookmarkStart w:id="4013" w:name="_Toc51065596"/>
      <w:bookmarkStart w:id="4014" w:name="_Toc51067011"/>
      <w:bookmarkStart w:id="4015" w:name="_Toc51069059"/>
      <w:bookmarkStart w:id="4016" w:name="_Toc51106075"/>
      <w:bookmarkStart w:id="4017" w:name="_Toc51107503"/>
      <w:bookmarkStart w:id="4018" w:name="_Toc51109826"/>
      <w:bookmarkStart w:id="4019" w:name="_Toc51057078"/>
      <w:bookmarkStart w:id="4020" w:name="_Toc51058499"/>
      <w:bookmarkStart w:id="4021" w:name="_Toc51059916"/>
      <w:bookmarkStart w:id="4022" w:name="_Toc51061332"/>
      <w:bookmarkStart w:id="4023" w:name="_Toc51062748"/>
      <w:bookmarkStart w:id="4024" w:name="_Toc51064164"/>
      <w:bookmarkStart w:id="4025" w:name="_Toc51065597"/>
      <w:bookmarkStart w:id="4026" w:name="_Toc51067012"/>
      <w:bookmarkStart w:id="4027" w:name="_Toc51069060"/>
      <w:bookmarkStart w:id="4028" w:name="_Toc51106076"/>
      <w:bookmarkStart w:id="4029" w:name="_Toc51107504"/>
      <w:bookmarkStart w:id="4030" w:name="_Toc51109827"/>
      <w:bookmarkStart w:id="4031" w:name="_Toc51057079"/>
      <w:bookmarkStart w:id="4032" w:name="_Toc51058500"/>
      <w:bookmarkStart w:id="4033" w:name="_Toc51059917"/>
      <w:bookmarkStart w:id="4034" w:name="_Toc51061333"/>
      <w:bookmarkStart w:id="4035" w:name="_Toc51062749"/>
      <w:bookmarkStart w:id="4036" w:name="_Toc51064165"/>
      <w:bookmarkStart w:id="4037" w:name="_Toc51065598"/>
      <w:bookmarkStart w:id="4038" w:name="_Toc51067013"/>
      <w:bookmarkStart w:id="4039" w:name="_Toc51069061"/>
      <w:bookmarkStart w:id="4040" w:name="_Toc51106077"/>
      <w:bookmarkStart w:id="4041" w:name="_Toc51107505"/>
      <w:bookmarkStart w:id="4042" w:name="_Toc51109828"/>
      <w:bookmarkStart w:id="4043" w:name="_Toc51057080"/>
      <w:bookmarkStart w:id="4044" w:name="_Toc51058501"/>
      <w:bookmarkStart w:id="4045" w:name="_Toc51059918"/>
      <w:bookmarkStart w:id="4046" w:name="_Toc51061334"/>
      <w:bookmarkStart w:id="4047" w:name="_Toc51062750"/>
      <w:bookmarkStart w:id="4048" w:name="_Toc51064166"/>
      <w:bookmarkStart w:id="4049" w:name="_Toc51065599"/>
      <w:bookmarkStart w:id="4050" w:name="_Toc51067014"/>
      <w:bookmarkStart w:id="4051" w:name="_Toc51069062"/>
      <w:bookmarkStart w:id="4052" w:name="_Toc51106078"/>
      <w:bookmarkStart w:id="4053" w:name="_Toc51107506"/>
      <w:bookmarkStart w:id="4054" w:name="_Toc51109829"/>
      <w:bookmarkStart w:id="4055" w:name="_Toc51057082"/>
      <w:bookmarkStart w:id="4056" w:name="_Toc51058503"/>
      <w:bookmarkStart w:id="4057" w:name="_Toc51059920"/>
      <w:bookmarkStart w:id="4058" w:name="_Toc51061336"/>
      <w:bookmarkStart w:id="4059" w:name="_Toc51062752"/>
      <w:bookmarkStart w:id="4060" w:name="_Toc51064168"/>
      <w:bookmarkStart w:id="4061" w:name="_Toc51065601"/>
      <w:bookmarkStart w:id="4062" w:name="_Toc51067016"/>
      <w:bookmarkStart w:id="4063" w:name="_Toc51069064"/>
      <w:bookmarkStart w:id="4064" w:name="_Toc51106080"/>
      <w:bookmarkStart w:id="4065" w:name="_Toc51107508"/>
      <w:bookmarkStart w:id="4066" w:name="_Toc51109831"/>
      <w:bookmarkStart w:id="4067" w:name="_Toc51057084"/>
      <w:bookmarkStart w:id="4068" w:name="_Toc51058505"/>
      <w:bookmarkStart w:id="4069" w:name="_Toc51059922"/>
      <w:bookmarkStart w:id="4070" w:name="_Toc51061338"/>
      <w:bookmarkStart w:id="4071" w:name="_Toc51062754"/>
      <w:bookmarkStart w:id="4072" w:name="_Toc51064170"/>
      <w:bookmarkStart w:id="4073" w:name="_Toc51065603"/>
      <w:bookmarkStart w:id="4074" w:name="_Toc51067018"/>
      <w:bookmarkStart w:id="4075" w:name="_Toc51069066"/>
      <w:bookmarkStart w:id="4076" w:name="_Toc51106082"/>
      <w:bookmarkStart w:id="4077" w:name="_Toc51107510"/>
      <w:bookmarkStart w:id="4078" w:name="_Toc51109833"/>
      <w:bookmarkStart w:id="4079" w:name="_Toc51057087"/>
      <w:bookmarkStart w:id="4080" w:name="_Toc51058508"/>
      <w:bookmarkStart w:id="4081" w:name="_Toc51059925"/>
      <w:bookmarkStart w:id="4082" w:name="_Toc51061341"/>
      <w:bookmarkStart w:id="4083" w:name="_Toc51062757"/>
      <w:bookmarkStart w:id="4084" w:name="_Toc51064173"/>
      <w:bookmarkStart w:id="4085" w:name="_Toc51065606"/>
      <w:bookmarkStart w:id="4086" w:name="_Toc51067021"/>
      <w:bookmarkStart w:id="4087" w:name="_Toc51069069"/>
      <w:bookmarkStart w:id="4088" w:name="_Toc51106085"/>
      <w:bookmarkStart w:id="4089" w:name="_Toc51107513"/>
      <w:bookmarkStart w:id="4090" w:name="_Toc51109836"/>
      <w:bookmarkStart w:id="4091" w:name="_Toc51057089"/>
      <w:bookmarkStart w:id="4092" w:name="_Toc51058510"/>
      <w:bookmarkStart w:id="4093" w:name="_Toc51059927"/>
      <w:bookmarkStart w:id="4094" w:name="_Toc51061343"/>
      <w:bookmarkStart w:id="4095" w:name="_Toc51062759"/>
      <w:bookmarkStart w:id="4096" w:name="_Toc51064175"/>
      <w:bookmarkStart w:id="4097" w:name="_Toc51065608"/>
      <w:bookmarkStart w:id="4098" w:name="_Toc51067023"/>
      <w:bookmarkStart w:id="4099" w:name="_Toc51069071"/>
      <w:bookmarkStart w:id="4100" w:name="_Toc51106087"/>
      <w:bookmarkStart w:id="4101" w:name="_Toc51107515"/>
      <w:bookmarkStart w:id="4102" w:name="_Toc51109838"/>
      <w:bookmarkStart w:id="4103" w:name="_Toc51057090"/>
      <w:bookmarkStart w:id="4104" w:name="_Toc51058511"/>
      <w:bookmarkStart w:id="4105" w:name="_Toc51059928"/>
      <w:bookmarkStart w:id="4106" w:name="_Toc51061344"/>
      <w:bookmarkStart w:id="4107" w:name="_Toc51062760"/>
      <w:bookmarkStart w:id="4108" w:name="_Toc51064176"/>
      <w:bookmarkStart w:id="4109" w:name="_Toc51065609"/>
      <w:bookmarkStart w:id="4110" w:name="_Toc51067024"/>
      <w:bookmarkStart w:id="4111" w:name="_Toc51069072"/>
      <w:bookmarkStart w:id="4112" w:name="_Toc51106088"/>
      <w:bookmarkStart w:id="4113" w:name="_Toc51107516"/>
      <w:bookmarkStart w:id="4114" w:name="_Toc51109839"/>
      <w:bookmarkStart w:id="4115" w:name="_Toc51057091"/>
      <w:bookmarkStart w:id="4116" w:name="_Toc51058512"/>
      <w:bookmarkStart w:id="4117" w:name="_Toc51059929"/>
      <w:bookmarkStart w:id="4118" w:name="_Toc51061345"/>
      <w:bookmarkStart w:id="4119" w:name="_Toc51062761"/>
      <w:bookmarkStart w:id="4120" w:name="_Toc51064177"/>
      <w:bookmarkStart w:id="4121" w:name="_Toc51065610"/>
      <w:bookmarkStart w:id="4122" w:name="_Toc51067025"/>
      <w:bookmarkStart w:id="4123" w:name="_Toc51069073"/>
      <w:bookmarkStart w:id="4124" w:name="_Toc51106089"/>
      <w:bookmarkStart w:id="4125" w:name="_Toc51107517"/>
      <w:bookmarkStart w:id="4126" w:name="_Toc51109840"/>
      <w:bookmarkStart w:id="4127" w:name="_Toc51057092"/>
      <w:bookmarkStart w:id="4128" w:name="_Toc51058513"/>
      <w:bookmarkStart w:id="4129" w:name="_Toc51059930"/>
      <w:bookmarkStart w:id="4130" w:name="_Toc51061346"/>
      <w:bookmarkStart w:id="4131" w:name="_Toc51062762"/>
      <w:bookmarkStart w:id="4132" w:name="_Toc51064178"/>
      <w:bookmarkStart w:id="4133" w:name="_Toc51065611"/>
      <w:bookmarkStart w:id="4134" w:name="_Toc51067026"/>
      <w:bookmarkStart w:id="4135" w:name="_Toc51069074"/>
      <w:bookmarkStart w:id="4136" w:name="_Toc51106090"/>
      <w:bookmarkStart w:id="4137" w:name="_Toc51107518"/>
      <w:bookmarkStart w:id="4138" w:name="_Toc51109841"/>
      <w:bookmarkStart w:id="4139" w:name="_Toc51057093"/>
      <w:bookmarkStart w:id="4140" w:name="_Toc51058514"/>
      <w:bookmarkStart w:id="4141" w:name="_Toc51059931"/>
      <w:bookmarkStart w:id="4142" w:name="_Toc51061347"/>
      <w:bookmarkStart w:id="4143" w:name="_Toc51062763"/>
      <w:bookmarkStart w:id="4144" w:name="_Toc51064179"/>
      <w:bookmarkStart w:id="4145" w:name="_Toc51065612"/>
      <w:bookmarkStart w:id="4146" w:name="_Toc51067027"/>
      <w:bookmarkStart w:id="4147" w:name="_Toc51069075"/>
      <w:bookmarkStart w:id="4148" w:name="_Toc51106091"/>
      <w:bookmarkStart w:id="4149" w:name="_Toc51107519"/>
      <w:bookmarkStart w:id="4150" w:name="_Toc51109842"/>
      <w:bookmarkStart w:id="4151" w:name="_Toc51057094"/>
      <w:bookmarkStart w:id="4152" w:name="_Toc51058515"/>
      <w:bookmarkStart w:id="4153" w:name="_Toc51059932"/>
      <w:bookmarkStart w:id="4154" w:name="_Toc51061348"/>
      <w:bookmarkStart w:id="4155" w:name="_Toc51062764"/>
      <w:bookmarkStart w:id="4156" w:name="_Toc51064180"/>
      <w:bookmarkStart w:id="4157" w:name="_Toc51065613"/>
      <w:bookmarkStart w:id="4158" w:name="_Toc51067028"/>
      <w:bookmarkStart w:id="4159" w:name="_Toc51069076"/>
      <w:bookmarkStart w:id="4160" w:name="_Toc51106092"/>
      <w:bookmarkStart w:id="4161" w:name="_Toc51107520"/>
      <w:bookmarkStart w:id="4162" w:name="_Toc51109843"/>
      <w:bookmarkStart w:id="4163" w:name="_Toc51057095"/>
      <w:bookmarkStart w:id="4164" w:name="_Toc51058516"/>
      <w:bookmarkStart w:id="4165" w:name="_Toc51059933"/>
      <w:bookmarkStart w:id="4166" w:name="_Toc51061349"/>
      <w:bookmarkStart w:id="4167" w:name="_Toc51062765"/>
      <w:bookmarkStart w:id="4168" w:name="_Toc51064181"/>
      <w:bookmarkStart w:id="4169" w:name="_Toc51065614"/>
      <w:bookmarkStart w:id="4170" w:name="_Toc51067029"/>
      <w:bookmarkStart w:id="4171" w:name="_Toc51069077"/>
      <w:bookmarkStart w:id="4172" w:name="_Toc51106093"/>
      <w:bookmarkStart w:id="4173" w:name="_Toc51107521"/>
      <w:bookmarkStart w:id="4174" w:name="_Toc51109844"/>
      <w:bookmarkStart w:id="4175" w:name="_Toc51057097"/>
      <w:bookmarkStart w:id="4176" w:name="_Toc51058518"/>
      <w:bookmarkStart w:id="4177" w:name="_Toc51059935"/>
      <w:bookmarkStart w:id="4178" w:name="_Toc51061351"/>
      <w:bookmarkStart w:id="4179" w:name="_Toc51062767"/>
      <w:bookmarkStart w:id="4180" w:name="_Toc51064183"/>
      <w:bookmarkStart w:id="4181" w:name="_Toc51065616"/>
      <w:bookmarkStart w:id="4182" w:name="_Toc51067031"/>
      <w:bookmarkStart w:id="4183" w:name="_Toc51069079"/>
      <w:bookmarkStart w:id="4184" w:name="_Toc51106095"/>
      <w:bookmarkStart w:id="4185" w:name="_Toc51107523"/>
      <w:bookmarkStart w:id="4186" w:name="_Toc51109846"/>
      <w:bookmarkStart w:id="4187" w:name="_Toc51057098"/>
      <w:bookmarkStart w:id="4188" w:name="_Toc51058519"/>
      <w:bookmarkStart w:id="4189" w:name="_Toc51059936"/>
      <w:bookmarkStart w:id="4190" w:name="_Toc51061352"/>
      <w:bookmarkStart w:id="4191" w:name="_Toc51062768"/>
      <w:bookmarkStart w:id="4192" w:name="_Toc51064184"/>
      <w:bookmarkStart w:id="4193" w:name="_Toc51065617"/>
      <w:bookmarkStart w:id="4194" w:name="_Toc51067032"/>
      <w:bookmarkStart w:id="4195" w:name="_Toc51069080"/>
      <w:bookmarkStart w:id="4196" w:name="_Toc51106096"/>
      <w:bookmarkStart w:id="4197" w:name="_Toc51107524"/>
      <w:bookmarkStart w:id="4198" w:name="_Toc51109847"/>
      <w:bookmarkStart w:id="4199" w:name="_Toc51057099"/>
      <w:bookmarkStart w:id="4200" w:name="_Toc51058520"/>
      <w:bookmarkStart w:id="4201" w:name="_Toc51059937"/>
      <w:bookmarkStart w:id="4202" w:name="_Toc51061353"/>
      <w:bookmarkStart w:id="4203" w:name="_Toc51062769"/>
      <w:bookmarkStart w:id="4204" w:name="_Toc51064185"/>
      <w:bookmarkStart w:id="4205" w:name="_Toc51065618"/>
      <w:bookmarkStart w:id="4206" w:name="_Toc51067033"/>
      <w:bookmarkStart w:id="4207" w:name="_Toc51069081"/>
      <w:bookmarkStart w:id="4208" w:name="_Toc51106097"/>
      <w:bookmarkStart w:id="4209" w:name="_Toc51107525"/>
      <w:bookmarkStart w:id="4210" w:name="_Toc51109848"/>
      <w:bookmarkStart w:id="4211" w:name="_Toc51057100"/>
      <w:bookmarkStart w:id="4212" w:name="_Toc51058521"/>
      <w:bookmarkStart w:id="4213" w:name="_Toc51059938"/>
      <w:bookmarkStart w:id="4214" w:name="_Toc51061354"/>
      <w:bookmarkStart w:id="4215" w:name="_Toc51062770"/>
      <w:bookmarkStart w:id="4216" w:name="_Toc51064186"/>
      <w:bookmarkStart w:id="4217" w:name="_Toc51065619"/>
      <w:bookmarkStart w:id="4218" w:name="_Toc51067034"/>
      <w:bookmarkStart w:id="4219" w:name="_Toc51069082"/>
      <w:bookmarkStart w:id="4220" w:name="_Toc51106098"/>
      <w:bookmarkStart w:id="4221" w:name="_Toc51107526"/>
      <w:bookmarkStart w:id="4222" w:name="_Toc51109849"/>
      <w:bookmarkStart w:id="4223" w:name="_Toc51057101"/>
      <w:bookmarkStart w:id="4224" w:name="_Toc51058522"/>
      <w:bookmarkStart w:id="4225" w:name="_Toc51059939"/>
      <w:bookmarkStart w:id="4226" w:name="_Toc51061355"/>
      <w:bookmarkStart w:id="4227" w:name="_Toc51062771"/>
      <w:bookmarkStart w:id="4228" w:name="_Toc51064187"/>
      <w:bookmarkStart w:id="4229" w:name="_Toc51065620"/>
      <w:bookmarkStart w:id="4230" w:name="_Toc51067035"/>
      <w:bookmarkStart w:id="4231" w:name="_Toc51069083"/>
      <w:bookmarkStart w:id="4232" w:name="_Toc51106099"/>
      <w:bookmarkStart w:id="4233" w:name="_Toc51107527"/>
      <w:bookmarkStart w:id="4234" w:name="_Toc51109850"/>
      <w:bookmarkStart w:id="4235" w:name="_Toc51057102"/>
      <w:bookmarkStart w:id="4236" w:name="_Toc51058523"/>
      <w:bookmarkStart w:id="4237" w:name="_Toc51059940"/>
      <w:bookmarkStart w:id="4238" w:name="_Toc51061356"/>
      <w:bookmarkStart w:id="4239" w:name="_Toc51062772"/>
      <w:bookmarkStart w:id="4240" w:name="_Toc51064188"/>
      <w:bookmarkStart w:id="4241" w:name="_Toc51065621"/>
      <w:bookmarkStart w:id="4242" w:name="_Toc51067036"/>
      <w:bookmarkStart w:id="4243" w:name="_Toc51069084"/>
      <w:bookmarkStart w:id="4244" w:name="_Toc51106100"/>
      <w:bookmarkStart w:id="4245" w:name="_Toc51107528"/>
      <w:bookmarkStart w:id="4246" w:name="_Toc51109851"/>
      <w:bookmarkStart w:id="4247" w:name="_Toc51057103"/>
      <w:bookmarkStart w:id="4248" w:name="_Toc51058524"/>
      <w:bookmarkStart w:id="4249" w:name="_Toc51059941"/>
      <w:bookmarkStart w:id="4250" w:name="_Toc51061357"/>
      <w:bookmarkStart w:id="4251" w:name="_Toc51062773"/>
      <w:bookmarkStart w:id="4252" w:name="_Toc51064189"/>
      <w:bookmarkStart w:id="4253" w:name="_Toc51065622"/>
      <w:bookmarkStart w:id="4254" w:name="_Toc51067037"/>
      <w:bookmarkStart w:id="4255" w:name="_Toc51069085"/>
      <w:bookmarkStart w:id="4256" w:name="_Toc51106101"/>
      <w:bookmarkStart w:id="4257" w:name="_Toc51107529"/>
      <w:bookmarkStart w:id="4258" w:name="_Toc51109852"/>
      <w:bookmarkStart w:id="4259" w:name="_Toc51057105"/>
      <w:bookmarkStart w:id="4260" w:name="_Toc51058526"/>
      <w:bookmarkStart w:id="4261" w:name="_Toc51059943"/>
      <w:bookmarkStart w:id="4262" w:name="_Toc51061359"/>
      <w:bookmarkStart w:id="4263" w:name="_Toc51062775"/>
      <w:bookmarkStart w:id="4264" w:name="_Toc51064191"/>
      <w:bookmarkStart w:id="4265" w:name="_Toc51065624"/>
      <w:bookmarkStart w:id="4266" w:name="_Toc51067039"/>
      <w:bookmarkStart w:id="4267" w:name="_Toc51069087"/>
      <w:bookmarkStart w:id="4268" w:name="_Toc51106103"/>
      <w:bookmarkStart w:id="4269" w:name="_Toc51107531"/>
      <w:bookmarkStart w:id="4270" w:name="_Toc51109854"/>
      <w:bookmarkStart w:id="4271" w:name="_Toc51057106"/>
      <w:bookmarkStart w:id="4272" w:name="_Toc51058527"/>
      <w:bookmarkStart w:id="4273" w:name="_Toc51059944"/>
      <w:bookmarkStart w:id="4274" w:name="_Toc51061360"/>
      <w:bookmarkStart w:id="4275" w:name="_Toc51062776"/>
      <w:bookmarkStart w:id="4276" w:name="_Toc51064192"/>
      <w:bookmarkStart w:id="4277" w:name="_Toc51065625"/>
      <w:bookmarkStart w:id="4278" w:name="_Toc51067040"/>
      <w:bookmarkStart w:id="4279" w:name="_Toc51069088"/>
      <w:bookmarkStart w:id="4280" w:name="_Toc51106104"/>
      <w:bookmarkStart w:id="4281" w:name="_Toc51107532"/>
      <w:bookmarkStart w:id="4282" w:name="_Toc51109855"/>
      <w:bookmarkStart w:id="4283" w:name="_Toc51057107"/>
      <w:bookmarkStart w:id="4284" w:name="_Toc51058528"/>
      <w:bookmarkStart w:id="4285" w:name="_Toc51059945"/>
      <w:bookmarkStart w:id="4286" w:name="_Toc51061361"/>
      <w:bookmarkStart w:id="4287" w:name="_Toc51062777"/>
      <w:bookmarkStart w:id="4288" w:name="_Toc51064193"/>
      <w:bookmarkStart w:id="4289" w:name="_Toc51065626"/>
      <w:bookmarkStart w:id="4290" w:name="_Toc51067041"/>
      <w:bookmarkStart w:id="4291" w:name="_Toc51069089"/>
      <w:bookmarkStart w:id="4292" w:name="_Toc51106105"/>
      <w:bookmarkStart w:id="4293" w:name="_Toc51107533"/>
      <w:bookmarkStart w:id="4294" w:name="_Toc51109856"/>
      <w:bookmarkStart w:id="4295" w:name="_Toc51057108"/>
      <w:bookmarkStart w:id="4296" w:name="_Toc51058529"/>
      <w:bookmarkStart w:id="4297" w:name="_Toc51059946"/>
      <w:bookmarkStart w:id="4298" w:name="_Toc51061362"/>
      <w:bookmarkStart w:id="4299" w:name="_Toc51062778"/>
      <w:bookmarkStart w:id="4300" w:name="_Toc51064194"/>
      <w:bookmarkStart w:id="4301" w:name="_Toc51065627"/>
      <w:bookmarkStart w:id="4302" w:name="_Toc51067042"/>
      <w:bookmarkStart w:id="4303" w:name="_Toc51069090"/>
      <w:bookmarkStart w:id="4304" w:name="_Toc51106106"/>
      <w:bookmarkStart w:id="4305" w:name="_Toc51107534"/>
      <w:bookmarkStart w:id="4306" w:name="_Toc51109857"/>
      <w:bookmarkStart w:id="4307" w:name="_Toc51057109"/>
      <w:bookmarkStart w:id="4308" w:name="_Toc51058530"/>
      <w:bookmarkStart w:id="4309" w:name="_Toc51059947"/>
      <w:bookmarkStart w:id="4310" w:name="_Toc51061363"/>
      <w:bookmarkStart w:id="4311" w:name="_Toc51062779"/>
      <w:bookmarkStart w:id="4312" w:name="_Toc51064195"/>
      <w:bookmarkStart w:id="4313" w:name="_Toc51065628"/>
      <w:bookmarkStart w:id="4314" w:name="_Toc51067043"/>
      <w:bookmarkStart w:id="4315" w:name="_Toc51069091"/>
      <w:bookmarkStart w:id="4316" w:name="_Toc51106107"/>
      <w:bookmarkStart w:id="4317" w:name="_Toc51107535"/>
      <w:bookmarkStart w:id="4318" w:name="_Toc51109858"/>
      <w:bookmarkStart w:id="4319" w:name="_Toc51057110"/>
      <w:bookmarkStart w:id="4320" w:name="_Toc51058531"/>
      <w:bookmarkStart w:id="4321" w:name="_Toc51059948"/>
      <w:bookmarkStart w:id="4322" w:name="_Toc51061364"/>
      <w:bookmarkStart w:id="4323" w:name="_Toc51062780"/>
      <w:bookmarkStart w:id="4324" w:name="_Toc51064196"/>
      <w:bookmarkStart w:id="4325" w:name="_Toc51065629"/>
      <w:bookmarkStart w:id="4326" w:name="_Toc51067044"/>
      <w:bookmarkStart w:id="4327" w:name="_Toc51069092"/>
      <w:bookmarkStart w:id="4328" w:name="_Toc51106108"/>
      <w:bookmarkStart w:id="4329" w:name="_Toc51107536"/>
      <w:bookmarkStart w:id="4330" w:name="_Toc51109859"/>
      <w:bookmarkStart w:id="4331" w:name="_Toc51057112"/>
      <w:bookmarkStart w:id="4332" w:name="_Toc51058533"/>
      <w:bookmarkStart w:id="4333" w:name="_Toc51059950"/>
      <w:bookmarkStart w:id="4334" w:name="_Toc51061366"/>
      <w:bookmarkStart w:id="4335" w:name="_Toc51062782"/>
      <w:bookmarkStart w:id="4336" w:name="_Toc51064198"/>
      <w:bookmarkStart w:id="4337" w:name="_Toc51065631"/>
      <w:bookmarkStart w:id="4338" w:name="_Toc51067046"/>
      <w:bookmarkStart w:id="4339" w:name="_Toc51069094"/>
      <w:bookmarkStart w:id="4340" w:name="_Toc51106110"/>
      <w:bookmarkStart w:id="4341" w:name="_Toc51107538"/>
      <w:bookmarkStart w:id="4342" w:name="_Toc51109861"/>
      <w:bookmarkStart w:id="4343" w:name="_Toc51057114"/>
      <w:bookmarkStart w:id="4344" w:name="_Toc51058535"/>
      <w:bookmarkStart w:id="4345" w:name="_Toc51059952"/>
      <w:bookmarkStart w:id="4346" w:name="_Toc51061368"/>
      <w:bookmarkStart w:id="4347" w:name="_Toc51062784"/>
      <w:bookmarkStart w:id="4348" w:name="_Toc51064200"/>
      <w:bookmarkStart w:id="4349" w:name="_Toc51065633"/>
      <w:bookmarkStart w:id="4350" w:name="_Toc51067048"/>
      <w:bookmarkStart w:id="4351" w:name="_Toc51069096"/>
      <w:bookmarkStart w:id="4352" w:name="_Toc51106112"/>
      <w:bookmarkStart w:id="4353" w:name="_Toc51107540"/>
      <w:bookmarkStart w:id="4354" w:name="_Toc51109863"/>
      <w:bookmarkStart w:id="4355" w:name="_Toc51057116"/>
      <w:bookmarkStart w:id="4356" w:name="_Toc51058537"/>
      <w:bookmarkStart w:id="4357" w:name="_Toc51059954"/>
      <w:bookmarkStart w:id="4358" w:name="_Toc51061370"/>
      <w:bookmarkStart w:id="4359" w:name="_Toc51062786"/>
      <w:bookmarkStart w:id="4360" w:name="_Toc51064202"/>
      <w:bookmarkStart w:id="4361" w:name="_Toc51065635"/>
      <w:bookmarkStart w:id="4362" w:name="_Toc51067050"/>
      <w:bookmarkStart w:id="4363" w:name="_Toc51069098"/>
      <w:bookmarkStart w:id="4364" w:name="_Toc51106114"/>
      <w:bookmarkStart w:id="4365" w:name="_Toc51107542"/>
      <w:bookmarkStart w:id="4366" w:name="_Toc51109865"/>
      <w:bookmarkStart w:id="4367" w:name="_Toc51057118"/>
      <w:bookmarkStart w:id="4368" w:name="_Toc51058539"/>
      <w:bookmarkStart w:id="4369" w:name="_Toc51059956"/>
      <w:bookmarkStart w:id="4370" w:name="_Toc51061372"/>
      <w:bookmarkStart w:id="4371" w:name="_Toc51062788"/>
      <w:bookmarkStart w:id="4372" w:name="_Toc51064204"/>
      <w:bookmarkStart w:id="4373" w:name="_Toc51065637"/>
      <w:bookmarkStart w:id="4374" w:name="_Toc51067052"/>
      <w:bookmarkStart w:id="4375" w:name="_Toc51069100"/>
      <w:bookmarkStart w:id="4376" w:name="_Toc51106116"/>
      <w:bookmarkStart w:id="4377" w:name="_Toc51107544"/>
      <w:bookmarkStart w:id="4378" w:name="_Toc51109867"/>
      <w:bookmarkStart w:id="4379" w:name="_Toc51057120"/>
      <w:bookmarkStart w:id="4380" w:name="_Toc51058541"/>
      <w:bookmarkStart w:id="4381" w:name="_Toc51059958"/>
      <w:bookmarkStart w:id="4382" w:name="_Toc51061374"/>
      <w:bookmarkStart w:id="4383" w:name="_Toc51062790"/>
      <w:bookmarkStart w:id="4384" w:name="_Toc51064206"/>
      <w:bookmarkStart w:id="4385" w:name="_Toc51065639"/>
      <w:bookmarkStart w:id="4386" w:name="_Toc51067054"/>
      <w:bookmarkStart w:id="4387" w:name="_Toc51069102"/>
      <w:bookmarkStart w:id="4388" w:name="_Toc51106118"/>
      <w:bookmarkStart w:id="4389" w:name="_Toc51107546"/>
      <w:bookmarkStart w:id="4390" w:name="_Toc51109869"/>
      <w:bookmarkStart w:id="4391" w:name="_Toc51057122"/>
      <w:bookmarkStart w:id="4392" w:name="_Toc51058543"/>
      <w:bookmarkStart w:id="4393" w:name="_Toc51059960"/>
      <w:bookmarkStart w:id="4394" w:name="_Toc51061376"/>
      <w:bookmarkStart w:id="4395" w:name="_Toc51062792"/>
      <w:bookmarkStart w:id="4396" w:name="_Toc51064208"/>
      <w:bookmarkStart w:id="4397" w:name="_Toc51065641"/>
      <w:bookmarkStart w:id="4398" w:name="_Toc51067056"/>
      <w:bookmarkStart w:id="4399" w:name="_Toc51069104"/>
      <w:bookmarkStart w:id="4400" w:name="_Toc51106120"/>
      <w:bookmarkStart w:id="4401" w:name="_Toc51107548"/>
      <w:bookmarkStart w:id="4402" w:name="_Toc51109871"/>
      <w:bookmarkStart w:id="4403" w:name="_Toc51057124"/>
      <w:bookmarkStart w:id="4404" w:name="_Toc51058545"/>
      <w:bookmarkStart w:id="4405" w:name="_Toc51059962"/>
      <w:bookmarkStart w:id="4406" w:name="_Toc51061378"/>
      <w:bookmarkStart w:id="4407" w:name="_Toc51062794"/>
      <w:bookmarkStart w:id="4408" w:name="_Toc51064210"/>
      <w:bookmarkStart w:id="4409" w:name="_Toc51065643"/>
      <w:bookmarkStart w:id="4410" w:name="_Toc51067058"/>
      <w:bookmarkStart w:id="4411" w:name="_Toc51069106"/>
      <w:bookmarkStart w:id="4412" w:name="_Toc51106122"/>
      <w:bookmarkStart w:id="4413" w:name="_Toc51107550"/>
      <w:bookmarkStart w:id="4414" w:name="_Toc51109873"/>
      <w:bookmarkStart w:id="4415" w:name="_Toc51057126"/>
      <w:bookmarkStart w:id="4416" w:name="_Toc51058547"/>
      <w:bookmarkStart w:id="4417" w:name="_Toc51059964"/>
      <w:bookmarkStart w:id="4418" w:name="_Toc51061380"/>
      <w:bookmarkStart w:id="4419" w:name="_Toc51062796"/>
      <w:bookmarkStart w:id="4420" w:name="_Toc51064212"/>
      <w:bookmarkStart w:id="4421" w:name="_Toc51065645"/>
      <w:bookmarkStart w:id="4422" w:name="_Toc51067060"/>
      <w:bookmarkStart w:id="4423" w:name="_Toc51069108"/>
      <w:bookmarkStart w:id="4424" w:name="_Toc51106124"/>
      <w:bookmarkStart w:id="4425" w:name="_Toc51107552"/>
      <w:bookmarkStart w:id="4426" w:name="_Toc51109875"/>
      <w:bookmarkStart w:id="4427" w:name="_Toc51057128"/>
      <w:bookmarkStart w:id="4428" w:name="_Toc51058549"/>
      <w:bookmarkStart w:id="4429" w:name="_Toc51059966"/>
      <w:bookmarkStart w:id="4430" w:name="_Toc51061382"/>
      <w:bookmarkStart w:id="4431" w:name="_Toc51062798"/>
      <w:bookmarkStart w:id="4432" w:name="_Toc51064214"/>
      <w:bookmarkStart w:id="4433" w:name="_Toc51065647"/>
      <w:bookmarkStart w:id="4434" w:name="_Toc51067062"/>
      <w:bookmarkStart w:id="4435" w:name="_Toc51069110"/>
      <w:bookmarkStart w:id="4436" w:name="_Toc51106126"/>
      <w:bookmarkStart w:id="4437" w:name="_Toc51107554"/>
      <w:bookmarkStart w:id="4438" w:name="_Toc51109877"/>
      <w:bookmarkStart w:id="4439" w:name="_Toc51057130"/>
      <w:bookmarkStart w:id="4440" w:name="_Toc51058551"/>
      <w:bookmarkStart w:id="4441" w:name="_Toc51059968"/>
      <w:bookmarkStart w:id="4442" w:name="_Toc51061384"/>
      <w:bookmarkStart w:id="4443" w:name="_Toc51062800"/>
      <w:bookmarkStart w:id="4444" w:name="_Toc51064216"/>
      <w:bookmarkStart w:id="4445" w:name="_Toc51065649"/>
      <w:bookmarkStart w:id="4446" w:name="_Toc51067064"/>
      <w:bookmarkStart w:id="4447" w:name="_Toc51069112"/>
      <w:bookmarkStart w:id="4448" w:name="_Toc51106128"/>
      <w:bookmarkStart w:id="4449" w:name="_Toc51107556"/>
      <w:bookmarkStart w:id="4450" w:name="_Toc51109879"/>
      <w:bookmarkStart w:id="4451" w:name="_Toc51057132"/>
      <w:bookmarkStart w:id="4452" w:name="_Toc51058553"/>
      <w:bookmarkStart w:id="4453" w:name="_Toc51059970"/>
      <w:bookmarkStart w:id="4454" w:name="_Toc51061386"/>
      <w:bookmarkStart w:id="4455" w:name="_Toc51062802"/>
      <w:bookmarkStart w:id="4456" w:name="_Toc51064218"/>
      <w:bookmarkStart w:id="4457" w:name="_Toc51065651"/>
      <w:bookmarkStart w:id="4458" w:name="_Toc51067066"/>
      <w:bookmarkStart w:id="4459" w:name="_Toc51069114"/>
      <w:bookmarkStart w:id="4460" w:name="_Toc51106130"/>
      <w:bookmarkStart w:id="4461" w:name="_Toc51107558"/>
      <w:bookmarkStart w:id="4462" w:name="_Toc51109881"/>
      <w:bookmarkStart w:id="4463" w:name="_Toc51057134"/>
      <w:bookmarkStart w:id="4464" w:name="_Toc51058555"/>
      <w:bookmarkStart w:id="4465" w:name="_Toc51059972"/>
      <w:bookmarkStart w:id="4466" w:name="_Toc51061388"/>
      <w:bookmarkStart w:id="4467" w:name="_Toc51062804"/>
      <w:bookmarkStart w:id="4468" w:name="_Toc51064220"/>
      <w:bookmarkStart w:id="4469" w:name="_Toc51065653"/>
      <w:bookmarkStart w:id="4470" w:name="_Toc51067068"/>
      <w:bookmarkStart w:id="4471" w:name="_Toc51069116"/>
      <w:bookmarkStart w:id="4472" w:name="_Toc51106132"/>
      <w:bookmarkStart w:id="4473" w:name="_Toc51107560"/>
      <w:bookmarkStart w:id="4474" w:name="_Toc51109883"/>
      <w:bookmarkStart w:id="4475" w:name="_Toc51057136"/>
      <w:bookmarkStart w:id="4476" w:name="_Toc51058557"/>
      <w:bookmarkStart w:id="4477" w:name="_Toc51059974"/>
      <w:bookmarkStart w:id="4478" w:name="_Toc51061390"/>
      <w:bookmarkStart w:id="4479" w:name="_Toc51062806"/>
      <w:bookmarkStart w:id="4480" w:name="_Toc51064222"/>
      <w:bookmarkStart w:id="4481" w:name="_Toc51065655"/>
      <w:bookmarkStart w:id="4482" w:name="_Toc51067070"/>
      <w:bookmarkStart w:id="4483" w:name="_Toc51069118"/>
      <w:bookmarkStart w:id="4484" w:name="_Toc51106134"/>
      <w:bookmarkStart w:id="4485" w:name="_Toc51107562"/>
      <w:bookmarkStart w:id="4486" w:name="_Toc51109885"/>
      <w:bookmarkStart w:id="4487" w:name="_Toc51057138"/>
      <w:bookmarkStart w:id="4488" w:name="_Toc51058559"/>
      <w:bookmarkStart w:id="4489" w:name="_Toc51059976"/>
      <w:bookmarkStart w:id="4490" w:name="_Toc51061392"/>
      <w:bookmarkStart w:id="4491" w:name="_Toc51062808"/>
      <w:bookmarkStart w:id="4492" w:name="_Toc51064224"/>
      <w:bookmarkStart w:id="4493" w:name="_Toc51065657"/>
      <w:bookmarkStart w:id="4494" w:name="_Toc51067072"/>
      <w:bookmarkStart w:id="4495" w:name="_Toc51069120"/>
      <w:bookmarkStart w:id="4496" w:name="_Toc51106136"/>
      <w:bookmarkStart w:id="4497" w:name="_Toc51107564"/>
      <w:bookmarkStart w:id="4498" w:name="_Toc51109887"/>
      <w:bookmarkStart w:id="4499" w:name="_Toc51057140"/>
      <w:bookmarkStart w:id="4500" w:name="_Toc51058561"/>
      <w:bookmarkStart w:id="4501" w:name="_Toc51059978"/>
      <w:bookmarkStart w:id="4502" w:name="_Toc51061394"/>
      <w:bookmarkStart w:id="4503" w:name="_Toc51062810"/>
      <w:bookmarkStart w:id="4504" w:name="_Toc51064226"/>
      <w:bookmarkStart w:id="4505" w:name="_Toc51065659"/>
      <w:bookmarkStart w:id="4506" w:name="_Toc51067074"/>
      <w:bookmarkStart w:id="4507" w:name="_Toc51069122"/>
      <w:bookmarkStart w:id="4508" w:name="_Toc51106138"/>
      <w:bookmarkStart w:id="4509" w:name="_Toc51107566"/>
      <w:bookmarkStart w:id="4510" w:name="_Toc51109889"/>
      <w:bookmarkStart w:id="4511" w:name="_Toc51057150"/>
      <w:bookmarkStart w:id="4512" w:name="_Toc51058571"/>
      <w:bookmarkStart w:id="4513" w:name="_Toc51059988"/>
      <w:bookmarkStart w:id="4514" w:name="_Toc51061404"/>
      <w:bookmarkStart w:id="4515" w:name="_Toc51062820"/>
      <w:bookmarkStart w:id="4516" w:name="_Toc51064236"/>
      <w:bookmarkStart w:id="4517" w:name="_Toc51065669"/>
      <w:bookmarkStart w:id="4518" w:name="_Toc51067084"/>
      <w:bookmarkStart w:id="4519" w:name="_Toc51069132"/>
      <w:bookmarkStart w:id="4520" w:name="_Toc51106148"/>
      <w:bookmarkStart w:id="4521" w:name="_Toc51107576"/>
      <w:bookmarkStart w:id="4522" w:name="_Toc51109899"/>
      <w:bookmarkStart w:id="4523" w:name="_Toc51057152"/>
      <w:bookmarkStart w:id="4524" w:name="_Toc51058573"/>
      <w:bookmarkStart w:id="4525" w:name="_Toc51059990"/>
      <w:bookmarkStart w:id="4526" w:name="_Toc51061406"/>
      <w:bookmarkStart w:id="4527" w:name="_Toc51062822"/>
      <w:bookmarkStart w:id="4528" w:name="_Toc51064238"/>
      <w:bookmarkStart w:id="4529" w:name="_Toc51065671"/>
      <w:bookmarkStart w:id="4530" w:name="_Toc51067086"/>
      <w:bookmarkStart w:id="4531" w:name="_Toc51069134"/>
      <w:bookmarkStart w:id="4532" w:name="_Toc51106150"/>
      <w:bookmarkStart w:id="4533" w:name="_Toc51107578"/>
      <w:bookmarkStart w:id="4534" w:name="_Toc51109901"/>
      <w:bookmarkStart w:id="4535" w:name="_Toc51057154"/>
      <w:bookmarkStart w:id="4536" w:name="_Toc51058575"/>
      <w:bookmarkStart w:id="4537" w:name="_Toc51059992"/>
      <w:bookmarkStart w:id="4538" w:name="_Toc51061408"/>
      <w:bookmarkStart w:id="4539" w:name="_Toc51062824"/>
      <w:bookmarkStart w:id="4540" w:name="_Toc51064240"/>
      <w:bookmarkStart w:id="4541" w:name="_Toc51065673"/>
      <w:bookmarkStart w:id="4542" w:name="_Toc51067088"/>
      <w:bookmarkStart w:id="4543" w:name="_Toc51069136"/>
      <w:bookmarkStart w:id="4544" w:name="_Toc51106152"/>
      <w:bookmarkStart w:id="4545" w:name="_Toc51107580"/>
      <w:bookmarkStart w:id="4546" w:name="_Toc51109903"/>
      <w:bookmarkStart w:id="4547" w:name="_Toc51057156"/>
      <w:bookmarkStart w:id="4548" w:name="_Toc51058577"/>
      <w:bookmarkStart w:id="4549" w:name="_Toc51059994"/>
      <w:bookmarkStart w:id="4550" w:name="_Toc51061410"/>
      <w:bookmarkStart w:id="4551" w:name="_Toc51062826"/>
      <w:bookmarkStart w:id="4552" w:name="_Toc51064242"/>
      <w:bookmarkStart w:id="4553" w:name="_Toc51065675"/>
      <w:bookmarkStart w:id="4554" w:name="_Toc51067090"/>
      <w:bookmarkStart w:id="4555" w:name="_Toc51069138"/>
      <w:bookmarkStart w:id="4556" w:name="_Toc51106154"/>
      <w:bookmarkStart w:id="4557" w:name="_Toc51107582"/>
      <w:bookmarkStart w:id="4558" w:name="_Toc51109905"/>
      <w:bookmarkStart w:id="4559" w:name="_Toc51057158"/>
      <w:bookmarkStart w:id="4560" w:name="_Toc51058579"/>
      <w:bookmarkStart w:id="4561" w:name="_Toc51059996"/>
      <w:bookmarkStart w:id="4562" w:name="_Toc51061412"/>
      <w:bookmarkStart w:id="4563" w:name="_Toc51062828"/>
      <w:bookmarkStart w:id="4564" w:name="_Toc51064244"/>
      <w:bookmarkStart w:id="4565" w:name="_Toc51065677"/>
      <w:bookmarkStart w:id="4566" w:name="_Toc51067092"/>
      <w:bookmarkStart w:id="4567" w:name="_Toc51069140"/>
      <w:bookmarkStart w:id="4568" w:name="_Toc51106156"/>
      <w:bookmarkStart w:id="4569" w:name="_Toc51107584"/>
      <w:bookmarkStart w:id="4570" w:name="_Toc51109907"/>
      <w:bookmarkStart w:id="4571" w:name="_Toc51057160"/>
      <w:bookmarkStart w:id="4572" w:name="_Toc51058581"/>
      <w:bookmarkStart w:id="4573" w:name="_Toc51059998"/>
      <w:bookmarkStart w:id="4574" w:name="_Toc51061414"/>
      <w:bookmarkStart w:id="4575" w:name="_Toc51062830"/>
      <w:bookmarkStart w:id="4576" w:name="_Toc51064246"/>
      <w:bookmarkStart w:id="4577" w:name="_Toc51065679"/>
      <w:bookmarkStart w:id="4578" w:name="_Toc51067094"/>
      <w:bookmarkStart w:id="4579" w:name="_Toc51069142"/>
      <w:bookmarkStart w:id="4580" w:name="_Toc51106158"/>
      <w:bookmarkStart w:id="4581" w:name="_Toc51107586"/>
      <w:bookmarkStart w:id="4582" w:name="_Toc51109909"/>
      <w:bookmarkStart w:id="4583" w:name="_Toc51057162"/>
      <w:bookmarkStart w:id="4584" w:name="_Toc51058583"/>
      <w:bookmarkStart w:id="4585" w:name="_Toc51060000"/>
      <w:bookmarkStart w:id="4586" w:name="_Toc51061416"/>
      <w:bookmarkStart w:id="4587" w:name="_Toc51062832"/>
      <w:bookmarkStart w:id="4588" w:name="_Toc51064248"/>
      <w:bookmarkStart w:id="4589" w:name="_Toc51065681"/>
      <w:bookmarkStart w:id="4590" w:name="_Toc51067096"/>
      <w:bookmarkStart w:id="4591" w:name="_Toc51069144"/>
      <w:bookmarkStart w:id="4592" w:name="_Toc51106160"/>
      <w:bookmarkStart w:id="4593" w:name="_Toc51107588"/>
      <w:bookmarkStart w:id="4594" w:name="_Toc51109911"/>
      <w:bookmarkStart w:id="4595" w:name="_Toc51057164"/>
      <w:bookmarkStart w:id="4596" w:name="_Toc51058585"/>
      <w:bookmarkStart w:id="4597" w:name="_Toc51060002"/>
      <w:bookmarkStart w:id="4598" w:name="_Toc51061418"/>
      <w:bookmarkStart w:id="4599" w:name="_Toc51062834"/>
      <w:bookmarkStart w:id="4600" w:name="_Toc51064250"/>
      <w:bookmarkStart w:id="4601" w:name="_Toc51065683"/>
      <w:bookmarkStart w:id="4602" w:name="_Toc51067098"/>
      <w:bookmarkStart w:id="4603" w:name="_Toc51069146"/>
      <w:bookmarkStart w:id="4604" w:name="_Toc51106162"/>
      <w:bookmarkStart w:id="4605" w:name="_Toc51107590"/>
      <w:bookmarkStart w:id="4606" w:name="_Toc51109913"/>
      <w:bookmarkStart w:id="4607" w:name="_Toc51057165"/>
      <w:bookmarkStart w:id="4608" w:name="_Toc51058586"/>
      <w:bookmarkStart w:id="4609" w:name="_Toc51060003"/>
      <w:bookmarkStart w:id="4610" w:name="_Toc51061419"/>
      <w:bookmarkStart w:id="4611" w:name="_Toc51062835"/>
      <w:bookmarkStart w:id="4612" w:name="_Toc51064251"/>
      <w:bookmarkStart w:id="4613" w:name="_Toc51065684"/>
      <w:bookmarkStart w:id="4614" w:name="_Toc51067099"/>
      <w:bookmarkStart w:id="4615" w:name="_Toc51069147"/>
      <w:bookmarkStart w:id="4616" w:name="_Toc51106163"/>
      <w:bookmarkStart w:id="4617" w:name="_Toc51107591"/>
      <w:bookmarkStart w:id="4618" w:name="_Toc51109914"/>
      <w:bookmarkStart w:id="4619" w:name="_Toc51057166"/>
      <w:bookmarkStart w:id="4620" w:name="_Toc51058587"/>
      <w:bookmarkStart w:id="4621" w:name="_Toc51060004"/>
      <w:bookmarkStart w:id="4622" w:name="_Toc51061420"/>
      <w:bookmarkStart w:id="4623" w:name="_Toc51062836"/>
      <w:bookmarkStart w:id="4624" w:name="_Toc51064252"/>
      <w:bookmarkStart w:id="4625" w:name="_Toc51065685"/>
      <w:bookmarkStart w:id="4626" w:name="_Toc51067100"/>
      <w:bookmarkStart w:id="4627" w:name="_Toc51069148"/>
      <w:bookmarkStart w:id="4628" w:name="_Toc51106164"/>
      <w:bookmarkStart w:id="4629" w:name="_Toc51107592"/>
      <w:bookmarkStart w:id="4630" w:name="_Toc51109915"/>
      <w:bookmarkStart w:id="4631" w:name="_Toc51057167"/>
      <w:bookmarkStart w:id="4632" w:name="_Toc51058588"/>
      <w:bookmarkStart w:id="4633" w:name="_Toc51060005"/>
      <w:bookmarkStart w:id="4634" w:name="_Toc51061421"/>
      <w:bookmarkStart w:id="4635" w:name="_Toc51062837"/>
      <w:bookmarkStart w:id="4636" w:name="_Toc51064253"/>
      <w:bookmarkStart w:id="4637" w:name="_Toc51065686"/>
      <w:bookmarkStart w:id="4638" w:name="_Toc51067101"/>
      <w:bookmarkStart w:id="4639" w:name="_Toc51069149"/>
      <w:bookmarkStart w:id="4640" w:name="_Toc51106165"/>
      <w:bookmarkStart w:id="4641" w:name="_Toc51107593"/>
      <w:bookmarkStart w:id="4642" w:name="_Toc51109916"/>
      <w:bookmarkStart w:id="4643" w:name="_Toc51057168"/>
      <w:bookmarkStart w:id="4644" w:name="_Toc51058589"/>
      <w:bookmarkStart w:id="4645" w:name="_Toc51060006"/>
      <w:bookmarkStart w:id="4646" w:name="_Toc51061422"/>
      <w:bookmarkStart w:id="4647" w:name="_Toc51062838"/>
      <w:bookmarkStart w:id="4648" w:name="_Toc51064254"/>
      <w:bookmarkStart w:id="4649" w:name="_Toc51065687"/>
      <w:bookmarkStart w:id="4650" w:name="_Toc51067102"/>
      <w:bookmarkStart w:id="4651" w:name="_Toc51069150"/>
      <w:bookmarkStart w:id="4652" w:name="_Toc51106166"/>
      <w:bookmarkStart w:id="4653" w:name="_Toc51107594"/>
      <w:bookmarkStart w:id="4654" w:name="_Toc51109917"/>
      <w:bookmarkStart w:id="4655" w:name="_Toc51057170"/>
      <w:bookmarkStart w:id="4656" w:name="_Toc51058591"/>
      <w:bookmarkStart w:id="4657" w:name="_Toc51060008"/>
      <w:bookmarkStart w:id="4658" w:name="_Toc51061424"/>
      <w:bookmarkStart w:id="4659" w:name="_Toc51062840"/>
      <w:bookmarkStart w:id="4660" w:name="_Toc51064256"/>
      <w:bookmarkStart w:id="4661" w:name="_Toc51065689"/>
      <w:bookmarkStart w:id="4662" w:name="_Toc51067104"/>
      <w:bookmarkStart w:id="4663" w:name="_Toc51069152"/>
      <w:bookmarkStart w:id="4664" w:name="_Toc51106168"/>
      <w:bookmarkStart w:id="4665" w:name="_Toc51107596"/>
      <w:bookmarkStart w:id="4666" w:name="_Toc51109919"/>
      <w:bookmarkStart w:id="4667" w:name="_Toc51057172"/>
      <w:bookmarkStart w:id="4668" w:name="_Toc51058593"/>
      <w:bookmarkStart w:id="4669" w:name="_Toc51060010"/>
      <w:bookmarkStart w:id="4670" w:name="_Toc51061426"/>
      <w:bookmarkStart w:id="4671" w:name="_Toc51062842"/>
      <w:bookmarkStart w:id="4672" w:name="_Toc51064258"/>
      <w:bookmarkStart w:id="4673" w:name="_Toc51065691"/>
      <w:bookmarkStart w:id="4674" w:name="_Toc51067106"/>
      <w:bookmarkStart w:id="4675" w:name="_Toc51069154"/>
      <w:bookmarkStart w:id="4676" w:name="_Toc51106170"/>
      <w:bookmarkStart w:id="4677" w:name="_Toc51107598"/>
      <w:bookmarkStart w:id="4678" w:name="_Toc51109921"/>
      <w:bookmarkStart w:id="4679" w:name="_Toc51057174"/>
      <w:bookmarkStart w:id="4680" w:name="_Toc51058595"/>
      <w:bookmarkStart w:id="4681" w:name="_Toc51060012"/>
      <w:bookmarkStart w:id="4682" w:name="_Toc51061428"/>
      <w:bookmarkStart w:id="4683" w:name="_Toc51062844"/>
      <w:bookmarkStart w:id="4684" w:name="_Toc51064260"/>
      <w:bookmarkStart w:id="4685" w:name="_Toc51065693"/>
      <w:bookmarkStart w:id="4686" w:name="_Toc51067108"/>
      <w:bookmarkStart w:id="4687" w:name="_Toc51069156"/>
      <w:bookmarkStart w:id="4688" w:name="_Toc51106172"/>
      <w:bookmarkStart w:id="4689" w:name="_Toc51107600"/>
      <w:bookmarkStart w:id="4690" w:name="_Toc51109923"/>
      <w:bookmarkStart w:id="4691" w:name="_Toc51057176"/>
      <w:bookmarkStart w:id="4692" w:name="_Toc51058597"/>
      <w:bookmarkStart w:id="4693" w:name="_Toc51060014"/>
      <w:bookmarkStart w:id="4694" w:name="_Toc51061430"/>
      <w:bookmarkStart w:id="4695" w:name="_Toc51062846"/>
      <w:bookmarkStart w:id="4696" w:name="_Toc51064262"/>
      <w:bookmarkStart w:id="4697" w:name="_Toc51065695"/>
      <w:bookmarkStart w:id="4698" w:name="_Toc51067110"/>
      <w:bookmarkStart w:id="4699" w:name="_Toc51069158"/>
      <w:bookmarkStart w:id="4700" w:name="_Toc51106174"/>
      <w:bookmarkStart w:id="4701" w:name="_Toc51107602"/>
      <w:bookmarkStart w:id="4702" w:name="_Toc51109925"/>
      <w:bookmarkStart w:id="4703" w:name="_Toc51057178"/>
      <w:bookmarkStart w:id="4704" w:name="_Toc51058599"/>
      <w:bookmarkStart w:id="4705" w:name="_Toc51060016"/>
      <w:bookmarkStart w:id="4706" w:name="_Toc51061432"/>
      <w:bookmarkStart w:id="4707" w:name="_Toc51062848"/>
      <w:bookmarkStart w:id="4708" w:name="_Toc51064264"/>
      <w:bookmarkStart w:id="4709" w:name="_Toc51065697"/>
      <w:bookmarkStart w:id="4710" w:name="_Toc51067112"/>
      <w:bookmarkStart w:id="4711" w:name="_Toc51069160"/>
      <w:bookmarkStart w:id="4712" w:name="_Toc51106176"/>
      <w:bookmarkStart w:id="4713" w:name="_Toc51107604"/>
      <w:bookmarkStart w:id="4714" w:name="_Toc51109927"/>
      <w:bookmarkStart w:id="4715" w:name="_Toc51057180"/>
      <w:bookmarkStart w:id="4716" w:name="_Toc51058601"/>
      <w:bookmarkStart w:id="4717" w:name="_Toc51060018"/>
      <w:bookmarkStart w:id="4718" w:name="_Toc51061434"/>
      <w:bookmarkStart w:id="4719" w:name="_Toc51062850"/>
      <w:bookmarkStart w:id="4720" w:name="_Toc51064266"/>
      <w:bookmarkStart w:id="4721" w:name="_Toc51065699"/>
      <w:bookmarkStart w:id="4722" w:name="_Toc51067114"/>
      <w:bookmarkStart w:id="4723" w:name="_Toc51069162"/>
      <w:bookmarkStart w:id="4724" w:name="_Toc51106178"/>
      <w:bookmarkStart w:id="4725" w:name="_Toc51107606"/>
      <w:bookmarkStart w:id="4726" w:name="_Toc51109929"/>
      <w:bookmarkStart w:id="4727" w:name="_Toc51057182"/>
      <w:bookmarkStart w:id="4728" w:name="_Toc51058603"/>
      <w:bookmarkStart w:id="4729" w:name="_Toc51060020"/>
      <w:bookmarkStart w:id="4730" w:name="_Toc51061436"/>
      <w:bookmarkStart w:id="4731" w:name="_Toc51062852"/>
      <w:bookmarkStart w:id="4732" w:name="_Toc51064268"/>
      <w:bookmarkStart w:id="4733" w:name="_Toc51065701"/>
      <w:bookmarkStart w:id="4734" w:name="_Toc51067116"/>
      <w:bookmarkStart w:id="4735" w:name="_Toc51069164"/>
      <w:bookmarkStart w:id="4736" w:name="_Toc51106180"/>
      <w:bookmarkStart w:id="4737" w:name="_Toc51107608"/>
      <w:bookmarkStart w:id="4738" w:name="_Toc51109931"/>
      <w:bookmarkStart w:id="4739" w:name="_Toc51057183"/>
      <w:bookmarkStart w:id="4740" w:name="_Toc51058604"/>
      <w:bookmarkStart w:id="4741" w:name="_Toc51060021"/>
      <w:bookmarkStart w:id="4742" w:name="_Toc51061437"/>
      <w:bookmarkStart w:id="4743" w:name="_Toc51062853"/>
      <w:bookmarkStart w:id="4744" w:name="_Toc51064269"/>
      <w:bookmarkStart w:id="4745" w:name="_Toc51065702"/>
      <w:bookmarkStart w:id="4746" w:name="_Toc51067117"/>
      <w:bookmarkStart w:id="4747" w:name="_Toc51069165"/>
      <w:bookmarkStart w:id="4748" w:name="_Toc51106181"/>
      <w:bookmarkStart w:id="4749" w:name="_Toc51107609"/>
      <w:bookmarkStart w:id="4750" w:name="_Toc51109932"/>
      <w:bookmarkStart w:id="4751" w:name="_Toc51057185"/>
      <w:bookmarkStart w:id="4752" w:name="_Toc51058606"/>
      <w:bookmarkStart w:id="4753" w:name="_Toc51060023"/>
      <w:bookmarkStart w:id="4754" w:name="_Toc51061439"/>
      <w:bookmarkStart w:id="4755" w:name="_Toc51062855"/>
      <w:bookmarkStart w:id="4756" w:name="_Toc51064271"/>
      <w:bookmarkStart w:id="4757" w:name="_Toc51065704"/>
      <w:bookmarkStart w:id="4758" w:name="_Toc51067119"/>
      <w:bookmarkStart w:id="4759" w:name="_Toc51069167"/>
      <w:bookmarkStart w:id="4760" w:name="_Toc51106183"/>
      <w:bookmarkStart w:id="4761" w:name="_Toc51107611"/>
      <w:bookmarkStart w:id="4762" w:name="_Toc51109934"/>
      <w:bookmarkStart w:id="4763" w:name="_Toc51057187"/>
      <w:bookmarkStart w:id="4764" w:name="_Toc51058608"/>
      <w:bookmarkStart w:id="4765" w:name="_Toc51060025"/>
      <w:bookmarkStart w:id="4766" w:name="_Toc51061441"/>
      <w:bookmarkStart w:id="4767" w:name="_Toc51062857"/>
      <w:bookmarkStart w:id="4768" w:name="_Toc51064273"/>
      <w:bookmarkStart w:id="4769" w:name="_Toc51065706"/>
      <w:bookmarkStart w:id="4770" w:name="_Toc51067121"/>
      <w:bookmarkStart w:id="4771" w:name="_Toc51069169"/>
      <w:bookmarkStart w:id="4772" w:name="_Toc51106185"/>
      <w:bookmarkStart w:id="4773" w:name="_Toc51107613"/>
      <w:bookmarkStart w:id="4774" w:name="_Toc51109936"/>
      <w:bookmarkStart w:id="4775" w:name="_Toc51057189"/>
      <w:bookmarkStart w:id="4776" w:name="_Toc51058610"/>
      <w:bookmarkStart w:id="4777" w:name="_Toc51060027"/>
      <w:bookmarkStart w:id="4778" w:name="_Toc51061443"/>
      <w:bookmarkStart w:id="4779" w:name="_Toc51062859"/>
      <w:bookmarkStart w:id="4780" w:name="_Toc51064275"/>
      <w:bookmarkStart w:id="4781" w:name="_Toc51065708"/>
      <w:bookmarkStart w:id="4782" w:name="_Toc51067123"/>
      <w:bookmarkStart w:id="4783" w:name="_Toc51069171"/>
      <w:bookmarkStart w:id="4784" w:name="_Toc51106187"/>
      <w:bookmarkStart w:id="4785" w:name="_Toc51107615"/>
      <w:bookmarkStart w:id="4786" w:name="_Toc51109938"/>
      <w:bookmarkStart w:id="4787" w:name="_Toc51057191"/>
      <w:bookmarkStart w:id="4788" w:name="_Toc51058612"/>
      <w:bookmarkStart w:id="4789" w:name="_Toc51060029"/>
      <w:bookmarkStart w:id="4790" w:name="_Toc51061445"/>
      <w:bookmarkStart w:id="4791" w:name="_Toc51062861"/>
      <w:bookmarkStart w:id="4792" w:name="_Toc51064277"/>
      <w:bookmarkStart w:id="4793" w:name="_Toc51065710"/>
      <w:bookmarkStart w:id="4794" w:name="_Toc51067125"/>
      <w:bookmarkStart w:id="4795" w:name="_Toc51069173"/>
      <w:bookmarkStart w:id="4796" w:name="_Toc51106189"/>
      <w:bookmarkStart w:id="4797" w:name="_Toc51107617"/>
      <w:bookmarkStart w:id="4798" w:name="_Toc51109940"/>
      <w:bookmarkStart w:id="4799" w:name="_Toc51057193"/>
      <w:bookmarkStart w:id="4800" w:name="_Toc51058614"/>
      <w:bookmarkStart w:id="4801" w:name="_Toc51060031"/>
      <w:bookmarkStart w:id="4802" w:name="_Toc51061447"/>
      <w:bookmarkStart w:id="4803" w:name="_Toc51062863"/>
      <w:bookmarkStart w:id="4804" w:name="_Toc51064279"/>
      <w:bookmarkStart w:id="4805" w:name="_Toc51065712"/>
      <w:bookmarkStart w:id="4806" w:name="_Toc51067127"/>
      <w:bookmarkStart w:id="4807" w:name="_Toc51069175"/>
      <w:bookmarkStart w:id="4808" w:name="_Toc51106191"/>
      <w:bookmarkStart w:id="4809" w:name="_Toc51107619"/>
      <w:bookmarkStart w:id="4810" w:name="_Toc51109942"/>
      <w:bookmarkStart w:id="4811" w:name="_Toc51057195"/>
      <w:bookmarkStart w:id="4812" w:name="_Toc51058616"/>
      <w:bookmarkStart w:id="4813" w:name="_Toc51060033"/>
      <w:bookmarkStart w:id="4814" w:name="_Toc51061449"/>
      <w:bookmarkStart w:id="4815" w:name="_Toc51062865"/>
      <w:bookmarkStart w:id="4816" w:name="_Toc51064281"/>
      <w:bookmarkStart w:id="4817" w:name="_Toc51065714"/>
      <w:bookmarkStart w:id="4818" w:name="_Toc51067129"/>
      <w:bookmarkStart w:id="4819" w:name="_Toc51069177"/>
      <w:bookmarkStart w:id="4820" w:name="_Toc51106193"/>
      <w:bookmarkStart w:id="4821" w:name="_Toc51107621"/>
      <w:bookmarkStart w:id="4822" w:name="_Toc51109944"/>
      <w:bookmarkStart w:id="4823" w:name="_Toc51057197"/>
      <w:bookmarkStart w:id="4824" w:name="_Toc51058618"/>
      <w:bookmarkStart w:id="4825" w:name="_Toc51060035"/>
      <w:bookmarkStart w:id="4826" w:name="_Toc51061451"/>
      <w:bookmarkStart w:id="4827" w:name="_Toc51062867"/>
      <w:bookmarkStart w:id="4828" w:name="_Toc51064283"/>
      <w:bookmarkStart w:id="4829" w:name="_Toc51065716"/>
      <w:bookmarkStart w:id="4830" w:name="_Toc51067131"/>
      <w:bookmarkStart w:id="4831" w:name="_Toc51069179"/>
      <w:bookmarkStart w:id="4832" w:name="_Toc51106195"/>
      <w:bookmarkStart w:id="4833" w:name="_Toc51107623"/>
      <w:bookmarkStart w:id="4834" w:name="_Toc51109946"/>
      <w:bookmarkStart w:id="4835" w:name="_Toc51057199"/>
      <w:bookmarkStart w:id="4836" w:name="_Toc51058620"/>
      <w:bookmarkStart w:id="4837" w:name="_Toc51060037"/>
      <w:bookmarkStart w:id="4838" w:name="_Toc51061453"/>
      <w:bookmarkStart w:id="4839" w:name="_Toc51062869"/>
      <w:bookmarkStart w:id="4840" w:name="_Toc51064285"/>
      <w:bookmarkStart w:id="4841" w:name="_Toc51065718"/>
      <w:bookmarkStart w:id="4842" w:name="_Toc51067133"/>
      <w:bookmarkStart w:id="4843" w:name="_Toc51069181"/>
      <w:bookmarkStart w:id="4844" w:name="_Toc51106197"/>
      <w:bookmarkStart w:id="4845" w:name="_Toc51107625"/>
      <w:bookmarkStart w:id="4846" w:name="_Toc51109948"/>
      <w:bookmarkStart w:id="4847" w:name="_Toc51057201"/>
      <w:bookmarkStart w:id="4848" w:name="_Toc51058622"/>
      <w:bookmarkStart w:id="4849" w:name="_Toc51060039"/>
      <w:bookmarkStart w:id="4850" w:name="_Toc51061455"/>
      <w:bookmarkStart w:id="4851" w:name="_Toc51062871"/>
      <w:bookmarkStart w:id="4852" w:name="_Toc51064287"/>
      <w:bookmarkStart w:id="4853" w:name="_Toc51065720"/>
      <w:bookmarkStart w:id="4854" w:name="_Toc51067135"/>
      <w:bookmarkStart w:id="4855" w:name="_Toc51069183"/>
      <w:bookmarkStart w:id="4856" w:name="_Toc51106199"/>
      <w:bookmarkStart w:id="4857" w:name="_Toc51107627"/>
      <w:bookmarkStart w:id="4858" w:name="_Toc51109950"/>
      <w:bookmarkStart w:id="4859" w:name="_Toc51057203"/>
      <w:bookmarkStart w:id="4860" w:name="_Toc51058624"/>
      <w:bookmarkStart w:id="4861" w:name="_Toc51060041"/>
      <w:bookmarkStart w:id="4862" w:name="_Toc51061457"/>
      <w:bookmarkStart w:id="4863" w:name="_Toc51062873"/>
      <w:bookmarkStart w:id="4864" w:name="_Toc51064289"/>
      <w:bookmarkStart w:id="4865" w:name="_Toc51065722"/>
      <w:bookmarkStart w:id="4866" w:name="_Toc51067137"/>
      <w:bookmarkStart w:id="4867" w:name="_Toc51069185"/>
      <w:bookmarkStart w:id="4868" w:name="_Toc51106201"/>
      <w:bookmarkStart w:id="4869" w:name="_Toc51107629"/>
      <w:bookmarkStart w:id="4870" w:name="_Toc51109952"/>
      <w:bookmarkStart w:id="4871" w:name="_Toc51057206"/>
      <w:bookmarkStart w:id="4872" w:name="_Toc51058627"/>
      <w:bookmarkStart w:id="4873" w:name="_Toc51060044"/>
      <w:bookmarkStart w:id="4874" w:name="_Toc51061460"/>
      <w:bookmarkStart w:id="4875" w:name="_Toc51062876"/>
      <w:bookmarkStart w:id="4876" w:name="_Toc51064292"/>
      <w:bookmarkStart w:id="4877" w:name="_Toc51065725"/>
      <w:bookmarkStart w:id="4878" w:name="_Toc51067140"/>
      <w:bookmarkStart w:id="4879" w:name="_Toc51069188"/>
      <w:bookmarkStart w:id="4880" w:name="_Toc51106204"/>
      <w:bookmarkStart w:id="4881" w:name="_Toc51107632"/>
      <w:bookmarkStart w:id="4882" w:name="_Toc51109955"/>
      <w:bookmarkStart w:id="4883" w:name="_Toc51057209"/>
      <w:bookmarkStart w:id="4884" w:name="_Toc51058630"/>
      <w:bookmarkStart w:id="4885" w:name="_Toc51060047"/>
      <w:bookmarkStart w:id="4886" w:name="_Toc51061463"/>
      <w:bookmarkStart w:id="4887" w:name="_Toc51062879"/>
      <w:bookmarkStart w:id="4888" w:name="_Toc51064295"/>
      <w:bookmarkStart w:id="4889" w:name="_Toc51065728"/>
      <w:bookmarkStart w:id="4890" w:name="_Toc51067143"/>
      <w:bookmarkStart w:id="4891" w:name="_Toc51069191"/>
      <w:bookmarkStart w:id="4892" w:name="_Toc51106207"/>
      <w:bookmarkStart w:id="4893" w:name="_Toc51107635"/>
      <w:bookmarkStart w:id="4894" w:name="_Toc51109958"/>
      <w:bookmarkStart w:id="4895" w:name="_Toc51057211"/>
      <w:bookmarkStart w:id="4896" w:name="_Toc51058632"/>
      <w:bookmarkStart w:id="4897" w:name="_Toc51060049"/>
      <w:bookmarkStart w:id="4898" w:name="_Toc51061465"/>
      <w:bookmarkStart w:id="4899" w:name="_Toc51062881"/>
      <w:bookmarkStart w:id="4900" w:name="_Toc51064297"/>
      <w:bookmarkStart w:id="4901" w:name="_Toc51065730"/>
      <w:bookmarkStart w:id="4902" w:name="_Toc51067145"/>
      <w:bookmarkStart w:id="4903" w:name="_Toc51069193"/>
      <w:bookmarkStart w:id="4904" w:name="_Toc51106209"/>
      <w:bookmarkStart w:id="4905" w:name="_Toc51107637"/>
      <w:bookmarkStart w:id="4906" w:name="_Toc51109960"/>
      <w:bookmarkStart w:id="4907" w:name="_Toc51057213"/>
      <w:bookmarkStart w:id="4908" w:name="_Toc51058634"/>
      <w:bookmarkStart w:id="4909" w:name="_Toc51060051"/>
      <w:bookmarkStart w:id="4910" w:name="_Toc51061467"/>
      <w:bookmarkStart w:id="4911" w:name="_Toc51062883"/>
      <w:bookmarkStart w:id="4912" w:name="_Toc51064299"/>
      <w:bookmarkStart w:id="4913" w:name="_Toc51065732"/>
      <w:bookmarkStart w:id="4914" w:name="_Toc51067147"/>
      <w:bookmarkStart w:id="4915" w:name="_Toc51069195"/>
      <w:bookmarkStart w:id="4916" w:name="_Toc51106211"/>
      <w:bookmarkStart w:id="4917" w:name="_Toc51107639"/>
      <w:bookmarkStart w:id="4918" w:name="_Toc51109962"/>
      <w:bookmarkStart w:id="4919" w:name="_Toc51057215"/>
      <w:bookmarkStart w:id="4920" w:name="_Toc51058636"/>
      <w:bookmarkStart w:id="4921" w:name="_Toc51060053"/>
      <w:bookmarkStart w:id="4922" w:name="_Toc51061469"/>
      <w:bookmarkStart w:id="4923" w:name="_Toc51062885"/>
      <w:bookmarkStart w:id="4924" w:name="_Toc51064301"/>
      <w:bookmarkStart w:id="4925" w:name="_Toc51065734"/>
      <w:bookmarkStart w:id="4926" w:name="_Toc51067149"/>
      <w:bookmarkStart w:id="4927" w:name="_Toc51069197"/>
      <w:bookmarkStart w:id="4928" w:name="_Toc51106213"/>
      <w:bookmarkStart w:id="4929" w:name="_Toc51107641"/>
      <w:bookmarkStart w:id="4930" w:name="_Toc51109964"/>
      <w:bookmarkStart w:id="4931" w:name="_Toc51057217"/>
      <w:bookmarkStart w:id="4932" w:name="_Toc51058638"/>
      <w:bookmarkStart w:id="4933" w:name="_Toc51060055"/>
      <w:bookmarkStart w:id="4934" w:name="_Toc51061471"/>
      <w:bookmarkStart w:id="4935" w:name="_Toc51062887"/>
      <w:bookmarkStart w:id="4936" w:name="_Toc51064303"/>
      <w:bookmarkStart w:id="4937" w:name="_Toc51065736"/>
      <w:bookmarkStart w:id="4938" w:name="_Toc51067151"/>
      <w:bookmarkStart w:id="4939" w:name="_Toc51069199"/>
      <w:bookmarkStart w:id="4940" w:name="_Toc51106215"/>
      <w:bookmarkStart w:id="4941" w:name="_Toc51107643"/>
      <w:bookmarkStart w:id="4942" w:name="_Toc51109966"/>
      <w:bookmarkStart w:id="4943" w:name="_Toc51057219"/>
      <w:bookmarkStart w:id="4944" w:name="_Toc51058640"/>
      <w:bookmarkStart w:id="4945" w:name="_Toc51060057"/>
      <w:bookmarkStart w:id="4946" w:name="_Toc51061473"/>
      <w:bookmarkStart w:id="4947" w:name="_Toc51062889"/>
      <w:bookmarkStart w:id="4948" w:name="_Toc51064305"/>
      <w:bookmarkStart w:id="4949" w:name="_Toc51065738"/>
      <w:bookmarkStart w:id="4950" w:name="_Toc51067153"/>
      <w:bookmarkStart w:id="4951" w:name="_Toc51069201"/>
      <w:bookmarkStart w:id="4952" w:name="_Toc51106217"/>
      <w:bookmarkStart w:id="4953" w:name="_Toc51107645"/>
      <w:bookmarkStart w:id="4954" w:name="_Toc51109968"/>
      <w:bookmarkStart w:id="4955" w:name="_Toc51057220"/>
      <w:bookmarkStart w:id="4956" w:name="_Toc51058641"/>
      <w:bookmarkStart w:id="4957" w:name="_Toc51060058"/>
      <w:bookmarkStart w:id="4958" w:name="_Toc51061474"/>
      <w:bookmarkStart w:id="4959" w:name="_Toc51062890"/>
      <w:bookmarkStart w:id="4960" w:name="_Toc51064306"/>
      <w:bookmarkStart w:id="4961" w:name="_Toc51065739"/>
      <w:bookmarkStart w:id="4962" w:name="_Toc51067154"/>
      <w:bookmarkStart w:id="4963" w:name="_Toc51069202"/>
      <w:bookmarkStart w:id="4964" w:name="_Toc51106218"/>
      <w:bookmarkStart w:id="4965" w:name="_Toc51107646"/>
      <w:bookmarkStart w:id="4966" w:name="_Toc51109969"/>
      <w:bookmarkStart w:id="4967" w:name="_Toc51057221"/>
      <w:bookmarkStart w:id="4968" w:name="_Toc51058642"/>
      <w:bookmarkStart w:id="4969" w:name="_Toc51060059"/>
      <w:bookmarkStart w:id="4970" w:name="_Toc51061475"/>
      <w:bookmarkStart w:id="4971" w:name="_Toc51062891"/>
      <w:bookmarkStart w:id="4972" w:name="_Toc51064307"/>
      <w:bookmarkStart w:id="4973" w:name="_Toc51065740"/>
      <w:bookmarkStart w:id="4974" w:name="_Toc51067155"/>
      <w:bookmarkStart w:id="4975" w:name="_Toc51069203"/>
      <w:bookmarkStart w:id="4976" w:name="_Toc51106219"/>
      <w:bookmarkStart w:id="4977" w:name="_Toc51107647"/>
      <w:bookmarkStart w:id="4978" w:name="_Toc51109970"/>
      <w:bookmarkStart w:id="4979" w:name="_Toc51057223"/>
      <w:bookmarkStart w:id="4980" w:name="_Toc51058644"/>
      <w:bookmarkStart w:id="4981" w:name="_Toc51060061"/>
      <w:bookmarkStart w:id="4982" w:name="_Toc51061477"/>
      <w:bookmarkStart w:id="4983" w:name="_Toc51062893"/>
      <w:bookmarkStart w:id="4984" w:name="_Toc51064309"/>
      <w:bookmarkStart w:id="4985" w:name="_Toc51065742"/>
      <w:bookmarkStart w:id="4986" w:name="_Toc51067157"/>
      <w:bookmarkStart w:id="4987" w:name="_Toc51069205"/>
      <w:bookmarkStart w:id="4988" w:name="_Toc51106221"/>
      <w:bookmarkStart w:id="4989" w:name="_Toc51107649"/>
      <w:bookmarkStart w:id="4990" w:name="_Toc51109972"/>
      <w:bookmarkStart w:id="4991" w:name="_Toc51057224"/>
      <w:bookmarkStart w:id="4992" w:name="_Toc51058645"/>
      <w:bookmarkStart w:id="4993" w:name="_Toc51060062"/>
      <w:bookmarkStart w:id="4994" w:name="_Toc51061478"/>
      <w:bookmarkStart w:id="4995" w:name="_Toc51062894"/>
      <w:bookmarkStart w:id="4996" w:name="_Toc51064310"/>
      <w:bookmarkStart w:id="4997" w:name="_Toc51065743"/>
      <w:bookmarkStart w:id="4998" w:name="_Toc51067158"/>
      <w:bookmarkStart w:id="4999" w:name="_Toc51069206"/>
      <w:bookmarkStart w:id="5000" w:name="_Toc51106222"/>
      <w:bookmarkStart w:id="5001" w:name="_Toc51107650"/>
      <w:bookmarkStart w:id="5002" w:name="_Toc51109973"/>
      <w:bookmarkStart w:id="5003" w:name="_Toc51057227"/>
      <w:bookmarkStart w:id="5004" w:name="_Toc51058648"/>
      <w:bookmarkStart w:id="5005" w:name="_Toc51060065"/>
      <w:bookmarkStart w:id="5006" w:name="_Toc51061481"/>
      <w:bookmarkStart w:id="5007" w:name="_Toc51062897"/>
      <w:bookmarkStart w:id="5008" w:name="_Toc51064313"/>
      <w:bookmarkStart w:id="5009" w:name="_Toc51065746"/>
      <w:bookmarkStart w:id="5010" w:name="_Toc51067161"/>
      <w:bookmarkStart w:id="5011" w:name="_Toc51069209"/>
      <w:bookmarkStart w:id="5012" w:name="_Toc51106225"/>
      <w:bookmarkStart w:id="5013" w:name="_Toc51107653"/>
      <w:bookmarkStart w:id="5014" w:name="_Toc51109976"/>
      <w:bookmarkStart w:id="5015" w:name="_Toc51057229"/>
      <w:bookmarkStart w:id="5016" w:name="_Toc51058650"/>
      <w:bookmarkStart w:id="5017" w:name="_Toc51060067"/>
      <w:bookmarkStart w:id="5018" w:name="_Toc51061483"/>
      <w:bookmarkStart w:id="5019" w:name="_Toc51062899"/>
      <w:bookmarkStart w:id="5020" w:name="_Toc51064315"/>
      <w:bookmarkStart w:id="5021" w:name="_Toc51065748"/>
      <w:bookmarkStart w:id="5022" w:name="_Toc51067163"/>
      <w:bookmarkStart w:id="5023" w:name="_Toc51069211"/>
      <w:bookmarkStart w:id="5024" w:name="_Toc51106227"/>
      <w:bookmarkStart w:id="5025" w:name="_Toc51107655"/>
      <w:bookmarkStart w:id="5026" w:name="_Toc51109978"/>
      <w:bookmarkStart w:id="5027" w:name="_Toc51057231"/>
      <w:bookmarkStart w:id="5028" w:name="_Toc51058652"/>
      <w:bookmarkStart w:id="5029" w:name="_Toc51060069"/>
      <w:bookmarkStart w:id="5030" w:name="_Toc51061485"/>
      <w:bookmarkStart w:id="5031" w:name="_Toc51062901"/>
      <w:bookmarkStart w:id="5032" w:name="_Toc51064317"/>
      <w:bookmarkStart w:id="5033" w:name="_Toc51065750"/>
      <w:bookmarkStart w:id="5034" w:name="_Toc51067165"/>
      <w:bookmarkStart w:id="5035" w:name="_Toc51069213"/>
      <w:bookmarkStart w:id="5036" w:name="_Toc51106229"/>
      <w:bookmarkStart w:id="5037" w:name="_Toc51107657"/>
      <w:bookmarkStart w:id="5038" w:name="_Toc51109980"/>
      <w:bookmarkStart w:id="5039" w:name="_Toc51057233"/>
      <w:bookmarkStart w:id="5040" w:name="_Toc51058654"/>
      <w:bookmarkStart w:id="5041" w:name="_Toc51060071"/>
      <w:bookmarkStart w:id="5042" w:name="_Toc51061487"/>
      <w:bookmarkStart w:id="5043" w:name="_Toc51062903"/>
      <w:bookmarkStart w:id="5044" w:name="_Toc51064319"/>
      <w:bookmarkStart w:id="5045" w:name="_Toc51065752"/>
      <w:bookmarkStart w:id="5046" w:name="_Toc51067167"/>
      <w:bookmarkStart w:id="5047" w:name="_Toc51069215"/>
      <w:bookmarkStart w:id="5048" w:name="_Toc51106231"/>
      <w:bookmarkStart w:id="5049" w:name="_Toc51107659"/>
      <w:bookmarkStart w:id="5050" w:name="_Toc51109982"/>
      <w:bookmarkStart w:id="5051" w:name="_Toc51057235"/>
      <w:bookmarkStart w:id="5052" w:name="_Toc51058656"/>
      <w:bookmarkStart w:id="5053" w:name="_Toc51060073"/>
      <w:bookmarkStart w:id="5054" w:name="_Toc51061489"/>
      <w:bookmarkStart w:id="5055" w:name="_Toc51062905"/>
      <w:bookmarkStart w:id="5056" w:name="_Toc51064321"/>
      <w:bookmarkStart w:id="5057" w:name="_Toc51065754"/>
      <w:bookmarkStart w:id="5058" w:name="_Toc51067169"/>
      <w:bookmarkStart w:id="5059" w:name="_Toc51069217"/>
      <w:bookmarkStart w:id="5060" w:name="_Toc51106233"/>
      <w:bookmarkStart w:id="5061" w:name="_Toc51107661"/>
      <w:bookmarkStart w:id="5062" w:name="_Toc51109984"/>
      <w:bookmarkStart w:id="5063" w:name="_Toc51057237"/>
      <w:bookmarkStart w:id="5064" w:name="_Toc51058658"/>
      <w:bookmarkStart w:id="5065" w:name="_Toc51060075"/>
      <w:bookmarkStart w:id="5066" w:name="_Toc51061491"/>
      <w:bookmarkStart w:id="5067" w:name="_Toc51062907"/>
      <w:bookmarkStart w:id="5068" w:name="_Toc51064323"/>
      <w:bookmarkStart w:id="5069" w:name="_Toc51065756"/>
      <w:bookmarkStart w:id="5070" w:name="_Toc51067171"/>
      <w:bookmarkStart w:id="5071" w:name="_Toc51069219"/>
      <w:bookmarkStart w:id="5072" w:name="_Toc51106235"/>
      <w:bookmarkStart w:id="5073" w:name="_Toc51107663"/>
      <w:bookmarkStart w:id="5074" w:name="_Toc51109986"/>
      <w:bookmarkStart w:id="5075" w:name="_Toc51057239"/>
      <w:bookmarkStart w:id="5076" w:name="_Toc51058660"/>
      <w:bookmarkStart w:id="5077" w:name="_Toc51060077"/>
      <w:bookmarkStart w:id="5078" w:name="_Toc51061493"/>
      <w:bookmarkStart w:id="5079" w:name="_Toc51062909"/>
      <w:bookmarkStart w:id="5080" w:name="_Toc51064325"/>
      <w:bookmarkStart w:id="5081" w:name="_Toc51065758"/>
      <w:bookmarkStart w:id="5082" w:name="_Toc51067173"/>
      <w:bookmarkStart w:id="5083" w:name="_Toc51069221"/>
      <w:bookmarkStart w:id="5084" w:name="_Toc51106237"/>
      <w:bookmarkStart w:id="5085" w:name="_Toc51107665"/>
      <w:bookmarkStart w:id="5086" w:name="_Toc51109988"/>
      <w:bookmarkStart w:id="5087" w:name="_Toc51057241"/>
      <w:bookmarkStart w:id="5088" w:name="_Toc51058662"/>
      <w:bookmarkStart w:id="5089" w:name="_Toc51060079"/>
      <w:bookmarkStart w:id="5090" w:name="_Toc51061495"/>
      <w:bookmarkStart w:id="5091" w:name="_Toc51062911"/>
      <w:bookmarkStart w:id="5092" w:name="_Toc51064327"/>
      <w:bookmarkStart w:id="5093" w:name="_Toc51065760"/>
      <w:bookmarkStart w:id="5094" w:name="_Toc51067175"/>
      <w:bookmarkStart w:id="5095" w:name="_Toc51069223"/>
      <w:bookmarkStart w:id="5096" w:name="_Toc51106239"/>
      <w:bookmarkStart w:id="5097" w:name="_Toc51107667"/>
      <w:bookmarkStart w:id="5098" w:name="_Toc51109990"/>
      <w:bookmarkStart w:id="5099" w:name="_Toc51057243"/>
      <w:bookmarkStart w:id="5100" w:name="_Toc51058664"/>
      <w:bookmarkStart w:id="5101" w:name="_Toc51060081"/>
      <w:bookmarkStart w:id="5102" w:name="_Toc51061497"/>
      <w:bookmarkStart w:id="5103" w:name="_Toc51062913"/>
      <w:bookmarkStart w:id="5104" w:name="_Toc51064329"/>
      <w:bookmarkStart w:id="5105" w:name="_Toc51065762"/>
      <w:bookmarkStart w:id="5106" w:name="_Toc51067177"/>
      <w:bookmarkStart w:id="5107" w:name="_Toc51069225"/>
      <w:bookmarkStart w:id="5108" w:name="_Toc51106241"/>
      <w:bookmarkStart w:id="5109" w:name="_Toc51107669"/>
      <w:bookmarkStart w:id="5110" w:name="_Toc51109992"/>
      <w:bookmarkStart w:id="5111" w:name="_Toc51057245"/>
      <w:bookmarkStart w:id="5112" w:name="_Toc51058666"/>
      <w:bookmarkStart w:id="5113" w:name="_Toc51060083"/>
      <w:bookmarkStart w:id="5114" w:name="_Toc51061499"/>
      <w:bookmarkStart w:id="5115" w:name="_Toc51062915"/>
      <w:bookmarkStart w:id="5116" w:name="_Toc51064331"/>
      <w:bookmarkStart w:id="5117" w:name="_Toc51065764"/>
      <w:bookmarkStart w:id="5118" w:name="_Toc51067179"/>
      <w:bookmarkStart w:id="5119" w:name="_Toc51069227"/>
      <w:bookmarkStart w:id="5120" w:name="_Toc51106243"/>
      <w:bookmarkStart w:id="5121" w:name="_Toc51107671"/>
      <w:bookmarkStart w:id="5122" w:name="_Toc51109994"/>
      <w:bookmarkStart w:id="5123" w:name="_Toc51057247"/>
      <w:bookmarkStart w:id="5124" w:name="_Toc51058668"/>
      <w:bookmarkStart w:id="5125" w:name="_Toc51060085"/>
      <w:bookmarkStart w:id="5126" w:name="_Toc51061501"/>
      <w:bookmarkStart w:id="5127" w:name="_Toc51062917"/>
      <w:bookmarkStart w:id="5128" w:name="_Toc51064333"/>
      <w:bookmarkStart w:id="5129" w:name="_Toc51065766"/>
      <w:bookmarkStart w:id="5130" w:name="_Toc51067181"/>
      <w:bookmarkStart w:id="5131" w:name="_Toc51069229"/>
      <w:bookmarkStart w:id="5132" w:name="_Toc51106245"/>
      <w:bookmarkStart w:id="5133" w:name="_Toc51107673"/>
      <w:bookmarkStart w:id="5134" w:name="_Toc51109996"/>
      <w:bookmarkStart w:id="5135" w:name="_Toc51057248"/>
      <w:bookmarkStart w:id="5136" w:name="_Toc51058669"/>
      <w:bookmarkStart w:id="5137" w:name="_Toc51060086"/>
      <w:bookmarkStart w:id="5138" w:name="_Toc51061502"/>
      <w:bookmarkStart w:id="5139" w:name="_Toc51062918"/>
      <w:bookmarkStart w:id="5140" w:name="_Toc51064334"/>
      <w:bookmarkStart w:id="5141" w:name="_Toc51065767"/>
      <w:bookmarkStart w:id="5142" w:name="_Toc51067182"/>
      <w:bookmarkStart w:id="5143" w:name="_Toc51069230"/>
      <w:bookmarkStart w:id="5144" w:name="_Toc51106246"/>
      <w:bookmarkStart w:id="5145" w:name="_Toc51107674"/>
      <w:bookmarkStart w:id="5146" w:name="_Toc51109997"/>
      <w:bookmarkStart w:id="5147" w:name="_Toc51057249"/>
      <w:bookmarkStart w:id="5148" w:name="_Toc51058670"/>
      <w:bookmarkStart w:id="5149" w:name="_Toc51060087"/>
      <w:bookmarkStart w:id="5150" w:name="_Toc51061503"/>
      <w:bookmarkStart w:id="5151" w:name="_Toc51062919"/>
      <w:bookmarkStart w:id="5152" w:name="_Toc51064335"/>
      <w:bookmarkStart w:id="5153" w:name="_Toc51065768"/>
      <w:bookmarkStart w:id="5154" w:name="_Toc51067183"/>
      <w:bookmarkStart w:id="5155" w:name="_Toc51069231"/>
      <w:bookmarkStart w:id="5156" w:name="_Toc51106247"/>
      <w:bookmarkStart w:id="5157" w:name="_Toc51107675"/>
      <w:bookmarkStart w:id="5158" w:name="_Toc51109998"/>
      <w:bookmarkStart w:id="5159" w:name="_Toc51057250"/>
      <w:bookmarkStart w:id="5160" w:name="_Toc51058671"/>
      <w:bookmarkStart w:id="5161" w:name="_Toc51060088"/>
      <w:bookmarkStart w:id="5162" w:name="_Toc51061504"/>
      <w:bookmarkStart w:id="5163" w:name="_Toc51062920"/>
      <w:bookmarkStart w:id="5164" w:name="_Toc51064336"/>
      <w:bookmarkStart w:id="5165" w:name="_Toc51065769"/>
      <w:bookmarkStart w:id="5166" w:name="_Toc51067184"/>
      <w:bookmarkStart w:id="5167" w:name="_Toc51069232"/>
      <w:bookmarkStart w:id="5168" w:name="_Toc51106248"/>
      <w:bookmarkStart w:id="5169" w:name="_Toc51107676"/>
      <w:bookmarkStart w:id="5170" w:name="_Toc51109999"/>
      <w:bookmarkStart w:id="5171" w:name="_Toc51057251"/>
      <w:bookmarkStart w:id="5172" w:name="_Toc51058672"/>
      <w:bookmarkStart w:id="5173" w:name="_Toc51060089"/>
      <w:bookmarkStart w:id="5174" w:name="_Toc51061505"/>
      <w:bookmarkStart w:id="5175" w:name="_Toc51062921"/>
      <w:bookmarkStart w:id="5176" w:name="_Toc51064337"/>
      <w:bookmarkStart w:id="5177" w:name="_Toc51065770"/>
      <w:bookmarkStart w:id="5178" w:name="_Toc51067185"/>
      <w:bookmarkStart w:id="5179" w:name="_Toc51069233"/>
      <w:bookmarkStart w:id="5180" w:name="_Toc51106249"/>
      <w:bookmarkStart w:id="5181" w:name="_Toc51107677"/>
      <w:bookmarkStart w:id="5182" w:name="_Toc51110000"/>
      <w:bookmarkStart w:id="5183" w:name="_Toc51057252"/>
      <w:bookmarkStart w:id="5184" w:name="_Toc51058673"/>
      <w:bookmarkStart w:id="5185" w:name="_Toc51060090"/>
      <w:bookmarkStart w:id="5186" w:name="_Toc51061506"/>
      <w:bookmarkStart w:id="5187" w:name="_Toc51062922"/>
      <w:bookmarkStart w:id="5188" w:name="_Toc51064338"/>
      <w:bookmarkStart w:id="5189" w:name="_Toc51065771"/>
      <w:bookmarkStart w:id="5190" w:name="_Toc51067186"/>
      <w:bookmarkStart w:id="5191" w:name="_Toc51069234"/>
      <w:bookmarkStart w:id="5192" w:name="_Toc51106250"/>
      <w:bookmarkStart w:id="5193" w:name="_Toc51107678"/>
      <w:bookmarkStart w:id="5194" w:name="_Toc51110001"/>
      <w:bookmarkStart w:id="5195" w:name="_Toc51057253"/>
      <w:bookmarkStart w:id="5196" w:name="_Toc51058674"/>
      <w:bookmarkStart w:id="5197" w:name="_Toc51060091"/>
      <w:bookmarkStart w:id="5198" w:name="_Toc51061507"/>
      <w:bookmarkStart w:id="5199" w:name="_Toc51062923"/>
      <w:bookmarkStart w:id="5200" w:name="_Toc51064339"/>
      <w:bookmarkStart w:id="5201" w:name="_Toc51065772"/>
      <w:bookmarkStart w:id="5202" w:name="_Toc51067187"/>
      <w:bookmarkStart w:id="5203" w:name="_Toc51069235"/>
      <w:bookmarkStart w:id="5204" w:name="_Toc51106251"/>
      <w:bookmarkStart w:id="5205" w:name="_Toc51107679"/>
      <w:bookmarkStart w:id="5206" w:name="_Toc51110002"/>
      <w:bookmarkStart w:id="5207" w:name="_Toc51057254"/>
      <w:bookmarkStart w:id="5208" w:name="_Toc51058675"/>
      <w:bookmarkStart w:id="5209" w:name="_Toc51060092"/>
      <w:bookmarkStart w:id="5210" w:name="_Toc51061508"/>
      <w:bookmarkStart w:id="5211" w:name="_Toc51062924"/>
      <w:bookmarkStart w:id="5212" w:name="_Toc51064340"/>
      <w:bookmarkStart w:id="5213" w:name="_Toc51065773"/>
      <w:bookmarkStart w:id="5214" w:name="_Toc51067188"/>
      <w:bookmarkStart w:id="5215" w:name="_Toc51069236"/>
      <w:bookmarkStart w:id="5216" w:name="_Toc51106252"/>
      <w:bookmarkStart w:id="5217" w:name="_Toc51107680"/>
      <w:bookmarkStart w:id="5218" w:name="_Toc51110003"/>
      <w:bookmarkStart w:id="5219" w:name="_Toc51057255"/>
      <w:bookmarkStart w:id="5220" w:name="_Toc51058676"/>
      <w:bookmarkStart w:id="5221" w:name="_Toc51060093"/>
      <w:bookmarkStart w:id="5222" w:name="_Toc51061509"/>
      <w:bookmarkStart w:id="5223" w:name="_Toc51062925"/>
      <w:bookmarkStart w:id="5224" w:name="_Toc51064341"/>
      <w:bookmarkStart w:id="5225" w:name="_Toc51065774"/>
      <w:bookmarkStart w:id="5226" w:name="_Toc51067189"/>
      <w:bookmarkStart w:id="5227" w:name="_Toc51069237"/>
      <w:bookmarkStart w:id="5228" w:name="_Toc51106253"/>
      <w:bookmarkStart w:id="5229" w:name="_Toc51107681"/>
      <w:bookmarkStart w:id="5230" w:name="_Toc51110004"/>
      <w:bookmarkStart w:id="5231" w:name="_Toc51057256"/>
      <w:bookmarkStart w:id="5232" w:name="_Toc51058677"/>
      <w:bookmarkStart w:id="5233" w:name="_Toc51060094"/>
      <w:bookmarkStart w:id="5234" w:name="_Toc51061510"/>
      <w:bookmarkStart w:id="5235" w:name="_Toc51062926"/>
      <w:bookmarkStart w:id="5236" w:name="_Toc51064342"/>
      <w:bookmarkStart w:id="5237" w:name="_Toc51065775"/>
      <w:bookmarkStart w:id="5238" w:name="_Toc51067190"/>
      <w:bookmarkStart w:id="5239" w:name="_Toc51069238"/>
      <w:bookmarkStart w:id="5240" w:name="_Toc51106254"/>
      <w:bookmarkStart w:id="5241" w:name="_Toc51107682"/>
      <w:bookmarkStart w:id="5242" w:name="_Toc51110005"/>
      <w:bookmarkStart w:id="5243" w:name="_Toc51057259"/>
      <w:bookmarkStart w:id="5244" w:name="_Toc51058680"/>
      <w:bookmarkStart w:id="5245" w:name="_Toc51060097"/>
      <w:bookmarkStart w:id="5246" w:name="_Toc51061513"/>
      <w:bookmarkStart w:id="5247" w:name="_Toc51062929"/>
      <w:bookmarkStart w:id="5248" w:name="_Toc51064345"/>
      <w:bookmarkStart w:id="5249" w:name="_Toc51065778"/>
      <w:bookmarkStart w:id="5250" w:name="_Toc51067193"/>
      <w:bookmarkStart w:id="5251" w:name="_Toc51069241"/>
      <w:bookmarkStart w:id="5252" w:name="_Toc51106257"/>
      <w:bookmarkStart w:id="5253" w:name="_Toc51107685"/>
      <w:bookmarkStart w:id="5254" w:name="_Toc51110008"/>
      <w:bookmarkStart w:id="5255" w:name="_Toc51057260"/>
      <w:bookmarkStart w:id="5256" w:name="_Toc51058681"/>
      <w:bookmarkStart w:id="5257" w:name="_Toc51060098"/>
      <w:bookmarkStart w:id="5258" w:name="_Toc51061514"/>
      <w:bookmarkStart w:id="5259" w:name="_Toc51062930"/>
      <w:bookmarkStart w:id="5260" w:name="_Toc51064346"/>
      <w:bookmarkStart w:id="5261" w:name="_Toc51065779"/>
      <w:bookmarkStart w:id="5262" w:name="_Toc51067194"/>
      <w:bookmarkStart w:id="5263" w:name="_Toc51069242"/>
      <w:bookmarkStart w:id="5264" w:name="_Toc51106258"/>
      <w:bookmarkStart w:id="5265" w:name="_Toc51107686"/>
      <w:bookmarkStart w:id="5266" w:name="_Toc51110009"/>
      <w:bookmarkStart w:id="5267" w:name="_Toc51057261"/>
      <w:bookmarkStart w:id="5268" w:name="_Toc51058682"/>
      <w:bookmarkStart w:id="5269" w:name="_Toc51060099"/>
      <w:bookmarkStart w:id="5270" w:name="_Toc51061515"/>
      <w:bookmarkStart w:id="5271" w:name="_Toc51062931"/>
      <w:bookmarkStart w:id="5272" w:name="_Toc51064347"/>
      <w:bookmarkStart w:id="5273" w:name="_Toc51065780"/>
      <w:bookmarkStart w:id="5274" w:name="_Toc51067195"/>
      <w:bookmarkStart w:id="5275" w:name="_Toc51069243"/>
      <w:bookmarkStart w:id="5276" w:name="_Toc51106259"/>
      <w:bookmarkStart w:id="5277" w:name="_Toc51107687"/>
      <w:bookmarkStart w:id="5278" w:name="_Toc51110010"/>
      <w:bookmarkStart w:id="5279" w:name="_Toc51057263"/>
      <w:bookmarkStart w:id="5280" w:name="_Toc51058684"/>
      <w:bookmarkStart w:id="5281" w:name="_Toc51060101"/>
      <w:bookmarkStart w:id="5282" w:name="_Toc51061517"/>
      <w:bookmarkStart w:id="5283" w:name="_Toc51062933"/>
      <w:bookmarkStart w:id="5284" w:name="_Toc51064349"/>
      <w:bookmarkStart w:id="5285" w:name="_Toc51065782"/>
      <w:bookmarkStart w:id="5286" w:name="_Toc51067197"/>
      <w:bookmarkStart w:id="5287" w:name="_Toc51069245"/>
      <w:bookmarkStart w:id="5288" w:name="_Toc51106261"/>
      <w:bookmarkStart w:id="5289" w:name="_Toc51107689"/>
      <w:bookmarkStart w:id="5290" w:name="_Toc51110012"/>
      <w:bookmarkStart w:id="5291" w:name="_Toc51057267"/>
      <w:bookmarkStart w:id="5292" w:name="_Toc51058688"/>
      <w:bookmarkStart w:id="5293" w:name="_Toc51060105"/>
      <w:bookmarkStart w:id="5294" w:name="_Toc51061521"/>
      <w:bookmarkStart w:id="5295" w:name="_Toc51062937"/>
      <w:bookmarkStart w:id="5296" w:name="_Toc51064353"/>
      <w:bookmarkStart w:id="5297" w:name="_Toc51065786"/>
      <w:bookmarkStart w:id="5298" w:name="_Toc51067201"/>
      <w:bookmarkStart w:id="5299" w:name="_Toc51069249"/>
      <w:bookmarkStart w:id="5300" w:name="_Toc51106265"/>
      <w:bookmarkStart w:id="5301" w:name="_Toc51107693"/>
      <w:bookmarkStart w:id="5302" w:name="_Toc51110016"/>
      <w:bookmarkStart w:id="5303" w:name="_Toc51057268"/>
      <w:bookmarkStart w:id="5304" w:name="_Toc51058689"/>
      <w:bookmarkStart w:id="5305" w:name="_Toc51060106"/>
      <w:bookmarkStart w:id="5306" w:name="_Toc51061522"/>
      <w:bookmarkStart w:id="5307" w:name="_Toc51062938"/>
      <w:bookmarkStart w:id="5308" w:name="_Toc51064354"/>
      <w:bookmarkStart w:id="5309" w:name="_Toc51065787"/>
      <w:bookmarkStart w:id="5310" w:name="_Toc51067202"/>
      <w:bookmarkStart w:id="5311" w:name="_Toc51069250"/>
      <w:bookmarkStart w:id="5312" w:name="_Toc51106266"/>
      <w:bookmarkStart w:id="5313" w:name="_Toc51107694"/>
      <w:bookmarkStart w:id="5314" w:name="_Toc51110017"/>
      <w:bookmarkStart w:id="5315" w:name="_Toc51057270"/>
      <w:bookmarkStart w:id="5316" w:name="_Toc51058691"/>
      <w:bookmarkStart w:id="5317" w:name="_Toc51060108"/>
      <w:bookmarkStart w:id="5318" w:name="_Toc51061524"/>
      <w:bookmarkStart w:id="5319" w:name="_Toc51062940"/>
      <w:bookmarkStart w:id="5320" w:name="_Toc51064356"/>
      <w:bookmarkStart w:id="5321" w:name="_Toc51065789"/>
      <w:bookmarkStart w:id="5322" w:name="_Toc51067204"/>
      <w:bookmarkStart w:id="5323" w:name="_Toc51069252"/>
      <w:bookmarkStart w:id="5324" w:name="_Toc51106268"/>
      <w:bookmarkStart w:id="5325" w:name="_Toc51107696"/>
      <w:bookmarkStart w:id="5326" w:name="_Toc51110019"/>
      <w:bookmarkStart w:id="5327" w:name="_Toc51057272"/>
      <w:bookmarkStart w:id="5328" w:name="_Toc51058693"/>
      <w:bookmarkStart w:id="5329" w:name="_Toc51060110"/>
      <w:bookmarkStart w:id="5330" w:name="_Toc51061526"/>
      <w:bookmarkStart w:id="5331" w:name="_Toc51062942"/>
      <w:bookmarkStart w:id="5332" w:name="_Toc51064358"/>
      <w:bookmarkStart w:id="5333" w:name="_Toc51065791"/>
      <w:bookmarkStart w:id="5334" w:name="_Toc51067206"/>
      <w:bookmarkStart w:id="5335" w:name="_Toc51069254"/>
      <w:bookmarkStart w:id="5336" w:name="_Toc51106270"/>
      <w:bookmarkStart w:id="5337" w:name="_Toc51107698"/>
      <w:bookmarkStart w:id="5338" w:name="_Toc51110021"/>
      <w:bookmarkStart w:id="5339" w:name="_Toc51057274"/>
      <w:bookmarkStart w:id="5340" w:name="_Toc51058695"/>
      <w:bookmarkStart w:id="5341" w:name="_Toc51060112"/>
      <w:bookmarkStart w:id="5342" w:name="_Toc51061528"/>
      <w:bookmarkStart w:id="5343" w:name="_Toc51062944"/>
      <w:bookmarkStart w:id="5344" w:name="_Toc51064360"/>
      <w:bookmarkStart w:id="5345" w:name="_Toc51065793"/>
      <w:bookmarkStart w:id="5346" w:name="_Toc51067208"/>
      <w:bookmarkStart w:id="5347" w:name="_Toc51069256"/>
      <w:bookmarkStart w:id="5348" w:name="_Toc51106272"/>
      <w:bookmarkStart w:id="5349" w:name="_Toc51107700"/>
      <w:bookmarkStart w:id="5350" w:name="_Toc51110023"/>
      <w:bookmarkStart w:id="5351" w:name="_Toc51057276"/>
      <w:bookmarkStart w:id="5352" w:name="_Toc51058697"/>
      <w:bookmarkStart w:id="5353" w:name="_Toc51060114"/>
      <w:bookmarkStart w:id="5354" w:name="_Toc51061530"/>
      <w:bookmarkStart w:id="5355" w:name="_Toc51062946"/>
      <w:bookmarkStart w:id="5356" w:name="_Toc51064362"/>
      <w:bookmarkStart w:id="5357" w:name="_Toc51065795"/>
      <w:bookmarkStart w:id="5358" w:name="_Toc51067210"/>
      <w:bookmarkStart w:id="5359" w:name="_Toc51069258"/>
      <w:bookmarkStart w:id="5360" w:name="_Toc51106274"/>
      <w:bookmarkStart w:id="5361" w:name="_Toc51107702"/>
      <w:bookmarkStart w:id="5362" w:name="_Toc51110025"/>
      <w:bookmarkStart w:id="5363" w:name="_Toc51057278"/>
      <w:bookmarkStart w:id="5364" w:name="_Toc51058699"/>
      <w:bookmarkStart w:id="5365" w:name="_Toc51060116"/>
      <w:bookmarkStart w:id="5366" w:name="_Toc51061532"/>
      <w:bookmarkStart w:id="5367" w:name="_Toc51062948"/>
      <w:bookmarkStart w:id="5368" w:name="_Toc51064364"/>
      <w:bookmarkStart w:id="5369" w:name="_Toc51065797"/>
      <w:bookmarkStart w:id="5370" w:name="_Toc51067212"/>
      <w:bookmarkStart w:id="5371" w:name="_Toc51069260"/>
      <w:bookmarkStart w:id="5372" w:name="_Toc51106276"/>
      <w:bookmarkStart w:id="5373" w:name="_Toc51107704"/>
      <w:bookmarkStart w:id="5374" w:name="_Toc51110027"/>
      <w:bookmarkStart w:id="5375" w:name="_Toc51057280"/>
      <w:bookmarkStart w:id="5376" w:name="_Toc51058701"/>
      <w:bookmarkStart w:id="5377" w:name="_Toc51060118"/>
      <w:bookmarkStart w:id="5378" w:name="_Toc51061534"/>
      <w:bookmarkStart w:id="5379" w:name="_Toc51062950"/>
      <w:bookmarkStart w:id="5380" w:name="_Toc51064366"/>
      <w:bookmarkStart w:id="5381" w:name="_Toc51065799"/>
      <w:bookmarkStart w:id="5382" w:name="_Toc51067214"/>
      <w:bookmarkStart w:id="5383" w:name="_Toc51069262"/>
      <w:bookmarkStart w:id="5384" w:name="_Toc51106278"/>
      <w:bookmarkStart w:id="5385" w:name="_Toc51107706"/>
      <w:bookmarkStart w:id="5386" w:name="_Toc51110029"/>
      <w:bookmarkStart w:id="5387" w:name="_Toc51057282"/>
      <w:bookmarkStart w:id="5388" w:name="_Toc51058703"/>
      <w:bookmarkStart w:id="5389" w:name="_Toc51060120"/>
      <w:bookmarkStart w:id="5390" w:name="_Toc51061536"/>
      <w:bookmarkStart w:id="5391" w:name="_Toc51062952"/>
      <w:bookmarkStart w:id="5392" w:name="_Toc51064368"/>
      <w:bookmarkStart w:id="5393" w:name="_Toc51065801"/>
      <w:bookmarkStart w:id="5394" w:name="_Toc51067216"/>
      <w:bookmarkStart w:id="5395" w:name="_Toc51069264"/>
      <w:bookmarkStart w:id="5396" w:name="_Toc51106280"/>
      <w:bookmarkStart w:id="5397" w:name="_Toc51107708"/>
      <w:bookmarkStart w:id="5398" w:name="_Toc51110031"/>
      <w:bookmarkStart w:id="5399" w:name="_Toc51057283"/>
      <w:bookmarkStart w:id="5400" w:name="_Toc51058704"/>
      <w:bookmarkStart w:id="5401" w:name="_Toc51060121"/>
      <w:bookmarkStart w:id="5402" w:name="_Toc51061537"/>
      <w:bookmarkStart w:id="5403" w:name="_Toc51062953"/>
      <w:bookmarkStart w:id="5404" w:name="_Toc51064369"/>
      <w:bookmarkStart w:id="5405" w:name="_Toc51065802"/>
      <w:bookmarkStart w:id="5406" w:name="_Toc51067217"/>
      <w:bookmarkStart w:id="5407" w:name="_Toc51069265"/>
      <w:bookmarkStart w:id="5408" w:name="_Toc51106281"/>
      <w:bookmarkStart w:id="5409" w:name="_Toc51107709"/>
      <w:bookmarkStart w:id="5410" w:name="_Toc51110032"/>
      <w:bookmarkStart w:id="5411" w:name="_Toc51057284"/>
      <w:bookmarkStart w:id="5412" w:name="_Toc51058705"/>
      <w:bookmarkStart w:id="5413" w:name="_Toc51060122"/>
      <w:bookmarkStart w:id="5414" w:name="_Toc51061538"/>
      <w:bookmarkStart w:id="5415" w:name="_Toc51062954"/>
      <w:bookmarkStart w:id="5416" w:name="_Toc51064370"/>
      <w:bookmarkStart w:id="5417" w:name="_Toc51065803"/>
      <w:bookmarkStart w:id="5418" w:name="_Toc51067218"/>
      <w:bookmarkStart w:id="5419" w:name="_Toc51069266"/>
      <w:bookmarkStart w:id="5420" w:name="_Toc51106282"/>
      <w:bookmarkStart w:id="5421" w:name="_Toc51107710"/>
      <w:bookmarkStart w:id="5422" w:name="_Toc51110033"/>
      <w:bookmarkStart w:id="5423" w:name="_Toc51057285"/>
      <w:bookmarkStart w:id="5424" w:name="_Toc51058706"/>
      <w:bookmarkStart w:id="5425" w:name="_Toc51060123"/>
      <w:bookmarkStart w:id="5426" w:name="_Toc51061539"/>
      <w:bookmarkStart w:id="5427" w:name="_Toc51062955"/>
      <w:bookmarkStart w:id="5428" w:name="_Toc51064371"/>
      <w:bookmarkStart w:id="5429" w:name="_Toc51065804"/>
      <w:bookmarkStart w:id="5430" w:name="_Toc51067219"/>
      <w:bookmarkStart w:id="5431" w:name="_Toc51069267"/>
      <w:bookmarkStart w:id="5432" w:name="_Toc51106283"/>
      <w:bookmarkStart w:id="5433" w:name="_Toc51107711"/>
      <w:bookmarkStart w:id="5434" w:name="_Toc51110034"/>
      <w:bookmarkStart w:id="5435" w:name="_Toc51057286"/>
      <w:bookmarkStart w:id="5436" w:name="_Toc51058707"/>
      <w:bookmarkStart w:id="5437" w:name="_Toc51060124"/>
      <w:bookmarkStart w:id="5438" w:name="_Toc51061540"/>
      <w:bookmarkStart w:id="5439" w:name="_Toc51062956"/>
      <w:bookmarkStart w:id="5440" w:name="_Toc51064372"/>
      <w:bookmarkStart w:id="5441" w:name="_Toc51065805"/>
      <w:bookmarkStart w:id="5442" w:name="_Toc51067220"/>
      <w:bookmarkStart w:id="5443" w:name="_Toc51069268"/>
      <w:bookmarkStart w:id="5444" w:name="_Toc51106284"/>
      <w:bookmarkStart w:id="5445" w:name="_Toc51107712"/>
      <w:bookmarkStart w:id="5446" w:name="_Toc51110035"/>
      <w:bookmarkStart w:id="5447" w:name="_Toc51057288"/>
      <w:bookmarkStart w:id="5448" w:name="_Toc51058709"/>
      <w:bookmarkStart w:id="5449" w:name="_Toc51060126"/>
      <w:bookmarkStart w:id="5450" w:name="_Toc51061542"/>
      <w:bookmarkStart w:id="5451" w:name="_Toc51062958"/>
      <w:bookmarkStart w:id="5452" w:name="_Toc51064374"/>
      <w:bookmarkStart w:id="5453" w:name="_Toc51065807"/>
      <w:bookmarkStart w:id="5454" w:name="_Toc51067222"/>
      <w:bookmarkStart w:id="5455" w:name="_Toc51069270"/>
      <w:bookmarkStart w:id="5456" w:name="_Toc51106286"/>
      <w:bookmarkStart w:id="5457" w:name="_Toc51107714"/>
      <w:bookmarkStart w:id="5458" w:name="_Toc51110037"/>
      <w:bookmarkStart w:id="5459" w:name="_Toc51057290"/>
      <w:bookmarkStart w:id="5460" w:name="_Toc51058711"/>
      <w:bookmarkStart w:id="5461" w:name="_Toc51060128"/>
      <w:bookmarkStart w:id="5462" w:name="_Toc51061544"/>
      <w:bookmarkStart w:id="5463" w:name="_Toc51062960"/>
      <w:bookmarkStart w:id="5464" w:name="_Toc51064376"/>
      <w:bookmarkStart w:id="5465" w:name="_Toc51065809"/>
      <w:bookmarkStart w:id="5466" w:name="_Toc51067224"/>
      <w:bookmarkStart w:id="5467" w:name="_Toc51069272"/>
      <w:bookmarkStart w:id="5468" w:name="_Toc51106288"/>
      <w:bookmarkStart w:id="5469" w:name="_Toc51107716"/>
      <w:bookmarkStart w:id="5470" w:name="_Toc51110039"/>
      <w:bookmarkStart w:id="5471" w:name="_Toc51057292"/>
      <w:bookmarkStart w:id="5472" w:name="_Toc51058713"/>
      <w:bookmarkStart w:id="5473" w:name="_Toc51060130"/>
      <w:bookmarkStart w:id="5474" w:name="_Toc51061546"/>
      <w:bookmarkStart w:id="5475" w:name="_Toc51062962"/>
      <w:bookmarkStart w:id="5476" w:name="_Toc51064378"/>
      <w:bookmarkStart w:id="5477" w:name="_Toc51065811"/>
      <w:bookmarkStart w:id="5478" w:name="_Toc51067226"/>
      <w:bookmarkStart w:id="5479" w:name="_Toc51069274"/>
      <w:bookmarkStart w:id="5480" w:name="_Toc51106290"/>
      <w:bookmarkStart w:id="5481" w:name="_Toc51107718"/>
      <w:bookmarkStart w:id="5482" w:name="_Toc51110041"/>
      <w:bookmarkStart w:id="5483" w:name="_Toc51057294"/>
      <w:bookmarkStart w:id="5484" w:name="_Toc51058715"/>
      <w:bookmarkStart w:id="5485" w:name="_Toc51060132"/>
      <w:bookmarkStart w:id="5486" w:name="_Toc51061548"/>
      <w:bookmarkStart w:id="5487" w:name="_Toc51062964"/>
      <w:bookmarkStart w:id="5488" w:name="_Toc51064380"/>
      <w:bookmarkStart w:id="5489" w:name="_Toc51065813"/>
      <w:bookmarkStart w:id="5490" w:name="_Toc51067228"/>
      <w:bookmarkStart w:id="5491" w:name="_Toc51069276"/>
      <w:bookmarkStart w:id="5492" w:name="_Toc51106292"/>
      <w:bookmarkStart w:id="5493" w:name="_Toc51107720"/>
      <w:bookmarkStart w:id="5494" w:name="_Toc51110043"/>
      <w:bookmarkStart w:id="5495" w:name="_Toc51057295"/>
      <w:bookmarkStart w:id="5496" w:name="_Toc51058716"/>
      <w:bookmarkStart w:id="5497" w:name="_Toc51060133"/>
      <w:bookmarkStart w:id="5498" w:name="_Toc51061549"/>
      <w:bookmarkStart w:id="5499" w:name="_Toc51062965"/>
      <w:bookmarkStart w:id="5500" w:name="_Toc51064381"/>
      <w:bookmarkStart w:id="5501" w:name="_Toc51065814"/>
      <w:bookmarkStart w:id="5502" w:name="_Toc51067229"/>
      <w:bookmarkStart w:id="5503" w:name="_Toc51069277"/>
      <w:bookmarkStart w:id="5504" w:name="_Toc51106293"/>
      <w:bookmarkStart w:id="5505" w:name="_Toc51107721"/>
      <w:bookmarkStart w:id="5506" w:name="_Toc51110044"/>
      <w:bookmarkStart w:id="5507" w:name="_Toc51057296"/>
      <w:bookmarkStart w:id="5508" w:name="_Toc51058717"/>
      <w:bookmarkStart w:id="5509" w:name="_Toc51060134"/>
      <w:bookmarkStart w:id="5510" w:name="_Toc51061550"/>
      <w:bookmarkStart w:id="5511" w:name="_Toc51062966"/>
      <w:bookmarkStart w:id="5512" w:name="_Toc51064382"/>
      <w:bookmarkStart w:id="5513" w:name="_Toc51065815"/>
      <w:bookmarkStart w:id="5514" w:name="_Toc51067230"/>
      <w:bookmarkStart w:id="5515" w:name="_Toc51069278"/>
      <w:bookmarkStart w:id="5516" w:name="_Toc51106294"/>
      <w:bookmarkStart w:id="5517" w:name="_Toc51107722"/>
      <w:bookmarkStart w:id="5518" w:name="_Toc51110045"/>
      <w:bookmarkStart w:id="5519" w:name="_Toc51057298"/>
      <w:bookmarkStart w:id="5520" w:name="_Toc51058719"/>
      <w:bookmarkStart w:id="5521" w:name="_Toc51060136"/>
      <w:bookmarkStart w:id="5522" w:name="_Toc51061552"/>
      <w:bookmarkStart w:id="5523" w:name="_Toc51062968"/>
      <w:bookmarkStart w:id="5524" w:name="_Toc51064384"/>
      <w:bookmarkStart w:id="5525" w:name="_Toc51065817"/>
      <w:bookmarkStart w:id="5526" w:name="_Toc51067232"/>
      <w:bookmarkStart w:id="5527" w:name="_Toc51069280"/>
      <w:bookmarkStart w:id="5528" w:name="_Toc51106296"/>
      <w:bookmarkStart w:id="5529" w:name="_Toc51107724"/>
      <w:bookmarkStart w:id="5530" w:name="_Toc51110047"/>
      <w:bookmarkStart w:id="5531" w:name="_Toc51057300"/>
      <w:bookmarkStart w:id="5532" w:name="_Toc51058721"/>
      <w:bookmarkStart w:id="5533" w:name="_Toc51060138"/>
      <w:bookmarkStart w:id="5534" w:name="_Toc51061554"/>
      <w:bookmarkStart w:id="5535" w:name="_Toc51062970"/>
      <w:bookmarkStart w:id="5536" w:name="_Toc51064386"/>
      <w:bookmarkStart w:id="5537" w:name="_Toc51065819"/>
      <w:bookmarkStart w:id="5538" w:name="_Toc51067234"/>
      <w:bookmarkStart w:id="5539" w:name="_Toc51069282"/>
      <w:bookmarkStart w:id="5540" w:name="_Toc51106298"/>
      <w:bookmarkStart w:id="5541" w:name="_Toc51107726"/>
      <w:bookmarkStart w:id="5542" w:name="_Toc51110049"/>
      <w:bookmarkStart w:id="5543" w:name="_Toc51057302"/>
      <w:bookmarkStart w:id="5544" w:name="_Toc51058723"/>
      <w:bookmarkStart w:id="5545" w:name="_Toc51060140"/>
      <w:bookmarkStart w:id="5546" w:name="_Toc51061556"/>
      <w:bookmarkStart w:id="5547" w:name="_Toc51062972"/>
      <w:bookmarkStart w:id="5548" w:name="_Toc51064388"/>
      <w:bookmarkStart w:id="5549" w:name="_Toc51065821"/>
      <w:bookmarkStart w:id="5550" w:name="_Toc51067236"/>
      <w:bookmarkStart w:id="5551" w:name="_Toc51069284"/>
      <w:bookmarkStart w:id="5552" w:name="_Toc51106300"/>
      <w:bookmarkStart w:id="5553" w:name="_Toc51107728"/>
      <w:bookmarkStart w:id="5554" w:name="_Toc51110051"/>
      <w:bookmarkStart w:id="5555" w:name="_Toc51057307"/>
      <w:bookmarkStart w:id="5556" w:name="_Toc51058728"/>
      <w:bookmarkStart w:id="5557" w:name="_Toc51060145"/>
      <w:bookmarkStart w:id="5558" w:name="_Toc51061561"/>
      <w:bookmarkStart w:id="5559" w:name="_Toc51062977"/>
      <w:bookmarkStart w:id="5560" w:name="_Toc51064393"/>
      <w:bookmarkStart w:id="5561" w:name="_Toc51065826"/>
      <w:bookmarkStart w:id="5562" w:name="_Toc51067241"/>
      <w:bookmarkStart w:id="5563" w:name="_Toc51069289"/>
      <w:bookmarkStart w:id="5564" w:name="_Toc51106305"/>
      <w:bookmarkStart w:id="5565" w:name="_Toc51107733"/>
      <w:bookmarkStart w:id="5566" w:name="_Toc51110056"/>
      <w:bookmarkStart w:id="5567" w:name="_Toc51057309"/>
      <w:bookmarkStart w:id="5568" w:name="_Toc51058730"/>
      <w:bookmarkStart w:id="5569" w:name="_Toc51060147"/>
      <w:bookmarkStart w:id="5570" w:name="_Toc51061563"/>
      <w:bookmarkStart w:id="5571" w:name="_Toc51062979"/>
      <w:bookmarkStart w:id="5572" w:name="_Toc51064395"/>
      <w:bookmarkStart w:id="5573" w:name="_Toc51065828"/>
      <w:bookmarkStart w:id="5574" w:name="_Toc51067243"/>
      <w:bookmarkStart w:id="5575" w:name="_Toc51069291"/>
      <w:bookmarkStart w:id="5576" w:name="_Toc51106307"/>
      <w:bookmarkStart w:id="5577" w:name="_Toc51107735"/>
      <w:bookmarkStart w:id="5578" w:name="_Toc51110058"/>
      <w:bookmarkStart w:id="5579" w:name="_Toc51057311"/>
      <w:bookmarkStart w:id="5580" w:name="_Toc51058732"/>
      <w:bookmarkStart w:id="5581" w:name="_Toc51060149"/>
      <w:bookmarkStart w:id="5582" w:name="_Toc51061565"/>
      <w:bookmarkStart w:id="5583" w:name="_Toc51062981"/>
      <w:bookmarkStart w:id="5584" w:name="_Toc51064397"/>
      <w:bookmarkStart w:id="5585" w:name="_Toc51065830"/>
      <w:bookmarkStart w:id="5586" w:name="_Toc51067245"/>
      <w:bookmarkStart w:id="5587" w:name="_Toc51069293"/>
      <w:bookmarkStart w:id="5588" w:name="_Toc51106309"/>
      <w:bookmarkStart w:id="5589" w:name="_Toc51107737"/>
      <w:bookmarkStart w:id="5590" w:name="_Toc51110060"/>
      <w:bookmarkStart w:id="5591" w:name="_Toc51057313"/>
      <w:bookmarkStart w:id="5592" w:name="_Toc51058734"/>
      <w:bookmarkStart w:id="5593" w:name="_Toc51060151"/>
      <w:bookmarkStart w:id="5594" w:name="_Toc51061567"/>
      <w:bookmarkStart w:id="5595" w:name="_Toc51062983"/>
      <w:bookmarkStart w:id="5596" w:name="_Toc51064399"/>
      <w:bookmarkStart w:id="5597" w:name="_Toc51065832"/>
      <w:bookmarkStart w:id="5598" w:name="_Toc51067247"/>
      <w:bookmarkStart w:id="5599" w:name="_Toc51069295"/>
      <w:bookmarkStart w:id="5600" w:name="_Toc51106311"/>
      <w:bookmarkStart w:id="5601" w:name="_Toc51107739"/>
      <w:bookmarkStart w:id="5602" w:name="_Toc51110062"/>
      <w:bookmarkStart w:id="5603" w:name="_Toc42065172"/>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r>
        <w:rPr>
          <w:sz w:val="28"/>
          <w:szCs w:val="28"/>
        </w:rPr>
        <w:br w:type="page"/>
      </w:r>
    </w:p>
    <w:p w14:paraId="1FB6AE6B" w14:textId="0A954C28" w:rsidR="00931DC7" w:rsidRDefault="00931DC7" w:rsidP="006D4C94">
      <w:pPr>
        <w:pStyle w:val="Naslov1"/>
      </w:pPr>
      <w:bookmarkStart w:id="5604" w:name="_Toc86822625"/>
      <w:r w:rsidRPr="009F3567">
        <w:t>Gozdarstvo</w:t>
      </w:r>
      <w:bookmarkEnd w:id="5603"/>
      <w:bookmarkEnd w:id="5604"/>
    </w:p>
    <w:p w14:paraId="3E4E065A" w14:textId="77777777" w:rsidR="00931DC7" w:rsidRDefault="00931DC7" w:rsidP="00492765">
      <w:pPr>
        <w:pStyle w:val="1"/>
      </w:pPr>
    </w:p>
    <w:p w14:paraId="2EC47390" w14:textId="26881E5D" w:rsidR="00492765" w:rsidRPr="00492765" w:rsidRDefault="00492765" w:rsidP="006D4C94">
      <w:pPr>
        <w:pStyle w:val="Naslov2"/>
        <w:rPr>
          <w:sz w:val="20"/>
        </w:rPr>
      </w:pPr>
      <w:bookmarkStart w:id="5605" w:name="_Toc51279990"/>
      <w:bookmarkStart w:id="5606" w:name="_Toc86822626"/>
      <w:r w:rsidRPr="00492765">
        <w:t>Pomen gozda in gozdarstva v S</w:t>
      </w:r>
      <w:bookmarkEnd w:id="5605"/>
      <w:r w:rsidRPr="00492765">
        <w:t>loveniji</w:t>
      </w:r>
      <w:bookmarkEnd w:id="5606"/>
    </w:p>
    <w:p w14:paraId="41923826" w14:textId="77777777" w:rsidR="00492765" w:rsidRPr="00492765" w:rsidRDefault="00492765" w:rsidP="00492765">
      <w:pPr>
        <w:pStyle w:val="1"/>
        <w:rPr>
          <w:rFonts w:eastAsia="Calibri"/>
          <w:lang w:eastAsia="en-US"/>
        </w:rPr>
      </w:pPr>
    </w:p>
    <w:p w14:paraId="3DD8F914" w14:textId="77777777" w:rsidR="00672A7B" w:rsidRPr="005B2A49" w:rsidRDefault="00672A7B" w:rsidP="00672A7B">
      <w:pPr>
        <w:pStyle w:val="1"/>
        <w:rPr>
          <w:sz w:val="22"/>
          <w:szCs w:val="22"/>
        </w:rPr>
      </w:pPr>
      <w:r w:rsidRPr="005B2A49">
        <w:rPr>
          <w:sz w:val="22"/>
          <w:szCs w:val="22"/>
        </w:rPr>
        <w:t xml:space="preserve">V letu 2020 je gozd pokrival 58,0 % Slovenije oziroma njegova površina znaša 1.176.069 ha. Površina tako imenovanih gospodarskih gozdov je znašala </w:t>
      </w:r>
      <w:r w:rsidRPr="005B2A49">
        <w:rPr>
          <w:sz w:val="22"/>
          <w:szCs w:val="22"/>
          <w:lang w:val="en-US"/>
        </w:rPr>
        <w:t xml:space="preserve">1.067.815 </w:t>
      </w:r>
      <w:r w:rsidRPr="005B2A49">
        <w:rPr>
          <w:sz w:val="22"/>
          <w:szCs w:val="22"/>
        </w:rPr>
        <w:t xml:space="preserve">ha, varovalnih gozdov </w:t>
      </w:r>
      <w:r w:rsidRPr="005B2A49">
        <w:rPr>
          <w:sz w:val="22"/>
          <w:szCs w:val="22"/>
          <w:lang w:val="en-US"/>
        </w:rPr>
        <w:t xml:space="preserve">98.828 </w:t>
      </w:r>
      <w:r w:rsidRPr="005B2A49">
        <w:rPr>
          <w:sz w:val="22"/>
          <w:szCs w:val="22"/>
        </w:rPr>
        <w:t xml:space="preserve">ha in gozdnih rezervatov </w:t>
      </w:r>
      <w:r w:rsidRPr="005B2A49">
        <w:rPr>
          <w:sz w:val="22"/>
          <w:szCs w:val="22"/>
          <w:lang w:val="en-US"/>
        </w:rPr>
        <w:t xml:space="preserve">9.426 </w:t>
      </w:r>
      <w:r w:rsidRPr="005B2A49">
        <w:rPr>
          <w:sz w:val="22"/>
          <w:szCs w:val="22"/>
        </w:rPr>
        <w:t xml:space="preserve">ha. </w:t>
      </w:r>
    </w:p>
    <w:p w14:paraId="47D85359" w14:textId="77777777" w:rsidR="00672A7B" w:rsidRPr="005B2A49" w:rsidRDefault="00672A7B" w:rsidP="00672A7B">
      <w:pPr>
        <w:autoSpaceDE w:val="0"/>
        <w:autoSpaceDN w:val="0"/>
        <w:adjustRightInd w:val="0"/>
        <w:spacing w:before="0" w:line="276" w:lineRule="auto"/>
        <w:rPr>
          <w:szCs w:val="22"/>
        </w:rPr>
      </w:pPr>
    </w:p>
    <w:p w14:paraId="51026A6D" w14:textId="77777777" w:rsidR="00672A7B" w:rsidRPr="005B2A49" w:rsidRDefault="00672A7B" w:rsidP="00672A7B">
      <w:pPr>
        <w:autoSpaceDE w:val="0"/>
        <w:autoSpaceDN w:val="0"/>
        <w:adjustRightInd w:val="0"/>
        <w:spacing w:before="0" w:line="276" w:lineRule="auto"/>
        <w:rPr>
          <w:szCs w:val="22"/>
        </w:rPr>
      </w:pPr>
      <w:r w:rsidRPr="005B2A49">
        <w:rPr>
          <w:szCs w:val="22"/>
        </w:rPr>
        <w:t>Po podatkih Zavoda za gozdove Slovenije in z upoštevanjem gozdnogospodarskih načrtov gozdnogospodarskih enot je lesna zaloga slovenskih gozdov konec leta 2020 znašala 357.212.625</w:t>
      </w:r>
      <w:r w:rsidRPr="005B2A49" w:rsidDel="00D17785">
        <w:rPr>
          <w:szCs w:val="22"/>
        </w:rPr>
        <w:t xml:space="preserve"> </w:t>
      </w:r>
      <w:r w:rsidRPr="005B2A49">
        <w:rPr>
          <w:szCs w:val="22"/>
        </w:rPr>
        <w:t>m</w:t>
      </w:r>
      <w:r w:rsidRPr="005B2A49">
        <w:rPr>
          <w:szCs w:val="22"/>
          <w:vertAlign w:val="superscript"/>
        </w:rPr>
        <w:t>3</w:t>
      </w:r>
      <w:r w:rsidRPr="005B2A49">
        <w:rPr>
          <w:szCs w:val="22"/>
        </w:rPr>
        <w:t xml:space="preserve"> oziroma 303 m</w:t>
      </w:r>
      <w:r w:rsidRPr="005B2A49">
        <w:rPr>
          <w:szCs w:val="22"/>
          <w:vertAlign w:val="superscript"/>
        </w:rPr>
        <w:t>3</w:t>
      </w:r>
      <w:r w:rsidRPr="005B2A49">
        <w:rPr>
          <w:szCs w:val="22"/>
        </w:rPr>
        <w:t>/ha, povprečna lesna zaloga tako imenovanih gospodarskih gozdov je znašala 310 m</w:t>
      </w:r>
      <w:r w:rsidRPr="005B2A49">
        <w:rPr>
          <w:szCs w:val="22"/>
          <w:vertAlign w:val="superscript"/>
        </w:rPr>
        <w:t>3</w:t>
      </w:r>
      <w:r w:rsidRPr="005B2A49">
        <w:rPr>
          <w:szCs w:val="22"/>
        </w:rPr>
        <w:t xml:space="preserve">/ha. Letni absolutni prirastek je z upoštevanjem podatkov leta 2020 izdelanih gozdnogospodarskih načrtov gozdnogospodarskih enot meril </w:t>
      </w:r>
      <w:r w:rsidRPr="005B2A49">
        <w:rPr>
          <w:szCs w:val="22"/>
          <w:lang w:val="en-US"/>
        </w:rPr>
        <w:t xml:space="preserve">8.792.074 </w:t>
      </w:r>
      <w:r w:rsidRPr="005B2A49">
        <w:rPr>
          <w:szCs w:val="22"/>
        </w:rPr>
        <w:t>m</w:t>
      </w:r>
      <w:r w:rsidRPr="005B2A49">
        <w:rPr>
          <w:szCs w:val="22"/>
          <w:vertAlign w:val="superscript"/>
        </w:rPr>
        <w:t>3</w:t>
      </w:r>
      <w:r w:rsidRPr="005B2A49">
        <w:rPr>
          <w:szCs w:val="22"/>
        </w:rPr>
        <w:t xml:space="preserve"> oziroma 7,48 m</w:t>
      </w:r>
      <w:r w:rsidRPr="005B2A49">
        <w:rPr>
          <w:szCs w:val="22"/>
          <w:vertAlign w:val="superscript"/>
        </w:rPr>
        <w:t>3</w:t>
      </w:r>
      <w:r w:rsidRPr="005B2A49">
        <w:rPr>
          <w:szCs w:val="22"/>
        </w:rPr>
        <w:t>/ha; v t.i. gospodarskih gozdovih pa 7,74 m</w:t>
      </w:r>
      <w:r w:rsidRPr="005B2A49">
        <w:rPr>
          <w:szCs w:val="22"/>
          <w:vertAlign w:val="superscript"/>
        </w:rPr>
        <w:t>3</w:t>
      </w:r>
      <w:r w:rsidRPr="005B2A49">
        <w:rPr>
          <w:szCs w:val="22"/>
        </w:rPr>
        <w:t>/ha.</w:t>
      </w:r>
      <w:r w:rsidRPr="005B2A49" w:rsidDel="002E08D1">
        <w:rPr>
          <w:szCs w:val="22"/>
        </w:rPr>
        <w:t xml:space="preserve"> </w:t>
      </w:r>
      <w:r w:rsidRPr="005B2A49">
        <w:rPr>
          <w:szCs w:val="22"/>
        </w:rPr>
        <w:t>Lesna zaloga in prirastek sta se skozi leta povečevala.</w:t>
      </w:r>
    </w:p>
    <w:p w14:paraId="64B9C36B" w14:textId="77777777" w:rsidR="00672A7B" w:rsidRPr="005B2A49" w:rsidRDefault="00672A7B" w:rsidP="00672A7B">
      <w:pPr>
        <w:autoSpaceDE w:val="0"/>
        <w:autoSpaceDN w:val="0"/>
        <w:adjustRightInd w:val="0"/>
        <w:spacing w:before="0" w:line="276" w:lineRule="auto"/>
        <w:rPr>
          <w:szCs w:val="22"/>
        </w:rPr>
      </w:pPr>
    </w:p>
    <w:p w14:paraId="458AC852" w14:textId="77777777" w:rsidR="00672A7B" w:rsidRPr="005B2A49" w:rsidRDefault="00672A7B" w:rsidP="00672A7B">
      <w:pPr>
        <w:autoSpaceDE w:val="0"/>
        <w:autoSpaceDN w:val="0"/>
        <w:adjustRightInd w:val="0"/>
        <w:spacing w:before="0" w:line="276" w:lineRule="auto"/>
        <w:rPr>
          <w:szCs w:val="22"/>
        </w:rPr>
      </w:pPr>
      <w:r w:rsidRPr="005B2A49">
        <w:rPr>
          <w:szCs w:val="22"/>
        </w:rPr>
        <w:t>Zavod za gozdove Slovenije že od začetka svojega delovanja pri izdelavi gozdnogospodarskih načrtov praviloma povečuje možni posek. Tako se je možni posek od začetka delovanja Zavoda za gozdove Slovenije (od leta 1994) povečal za 127 % oziroma na 6.9 milijonov m</w:t>
      </w:r>
      <w:r w:rsidRPr="005B2A49">
        <w:rPr>
          <w:szCs w:val="22"/>
          <w:vertAlign w:val="superscript"/>
        </w:rPr>
        <w:t>3</w:t>
      </w:r>
      <w:r w:rsidRPr="005B2A49">
        <w:rPr>
          <w:szCs w:val="22"/>
        </w:rPr>
        <w:t>. Po obsežnem žledolomu v letu 2014, vetrolomih v letu 2017 in 2018, je slovenske gozdove prizadela tudi gradacija podlubnikov, ki je bila prisotna tudi še v letu 2020, ko je bilo posekano 4.2 milijonov m</w:t>
      </w:r>
      <w:r w:rsidRPr="005B2A49">
        <w:rPr>
          <w:szCs w:val="22"/>
          <w:vertAlign w:val="superscript"/>
        </w:rPr>
        <w:t>3</w:t>
      </w:r>
      <w:r w:rsidRPr="005B2A49">
        <w:rPr>
          <w:szCs w:val="22"/>
        </w:rPr>
        <w:t xml:space="preserve"> lesne mase. </w:t>
      </w:r>
    </w:p>
    <w:p w14:paraId="7833D391" w14:textId="77777777" w:rsidR="00672A7B" w:rsidRPr="005B2A49" w:rsidRDefault="00672A7B" w:rsidP="00672A7B">
      <w:pPr>
        <w:autoSpaceDE w:val="0"/>
        <w:autoSpaceDN w:val="0"/>
        <w:adjustRightInd w:val="0"/>
        <w:spacing w:before="0" w:line="276" w:lineRule="auto"/>
        <w:rPr>
          <w:szCs w:val="22"/>
        </w:rPr>
      </w:pPr>
    </w:p>
    <w:p w14:paraId="77486373" w14:textId="747281B0" w:rsidR="00672A7B" w:rsidRPr="005B2A49" w:rsidRDefault="00672A7B" w:rsidP="00672A7B">
      <w:pPr>
        <w:autoSpaceDE w:val="0"/>
        <w:autoSpaceDN w:val="0"/>
        <w:adjustRightInd w:val="0"/>
        <w:spacing w:before="0" w:line="276" w:lineRule="auto"/>
        <w:rPr>
          <w:szCs w:val="22"/>
        </w:rPr>
      </w:pPr>
      <w:r w:rsidRPr="005B2A49">
        <w:rPr>
          <w:szCs w:val="22"/>
        </w:rPr>
        <w:t>V celoti se je posek v letu 2020 se je zmanjšal pod raven let 2014–2018 in glede na možni posek po gozdnogospodarskih načrtih dosega 59 %.</w:t>
      </w:r>
    </w:p>
    <w:p w14:paraId="2F1C23B2" w14:textId="77777777" w:rsidR="00672A7B" w:rsidRPr="005B2A49" w:rsidRDefault="00672A7B" w:rsidP="00672A7B">
      <w:pPr>
        <w:autoSpaceDE w:val="0"/>
        <w:autoSpaceDN w:val="0"/>
        <w:adjustRightInd w:val="0"/>
        <w:spacing w:before="0" w:line="276" w:lineRule="auto"/>
        <w:rPr>
          <w:szCs w:val="22"/>
        </w:rPr>
      </w:pPr>
    </w:p>
    <w:p w14:paraId="34C76120" w14:textId="6B9C3019" w:rsidR="00672A7B" w:rsidRPr="005B2A49" w:rsidRDefault="00672A7B" w:rsidP="00672A7B">
      <w:pPr>
        <w:autoSpaceDE w:val="0"/>
        <w:autoSpaceDN w:val="0"/>
        <w:adjustRightInd w:val="0"/>
        <w:spacing w:before="0" w:line="276" w:lineRule="auto"/>
        <w:rPr>
          <w:szCs w:val="22"/>
        </w:rPr>
      </w:pPr>
      <w:r w:rsidRPr="005B2A49">
        <w:rPr>
          <w:bCs/>
          <w:szCs w:val="22"/>
        </w:rPr>
        <w:t>Velika razdrobljenost, število lastnikov in solastnikov gozdov, neugodna starostna struktura lastnikov</w:t>
      </w:r>
      <w:r w:rsidR="00F50302">
        <w:rPr>
          <w:bCs/>
          <w:szCs w:val="22"/>
        </w:rPr>
        <w:t xml:space="preserve"> </w:t>
      </w:r>
      <w:r w:rsidRPr="005B2A49">
        <w:rPr>
          <w:bCs/>
          <w:szCs w:val="22"/>
        </w:rPr>
        <w:t>(le-ti so v povprečju stari 60 let) otežujejo strokovno delo in optimalno izrabo lesa v zasebnih gozdovih.</w:t>
      </w:r>
      <w:r w:rsidRPr="005B2A49">
        <w:rPr>
          <w:szCs w:val="22"/>
        </w:rPr>
        <w:t xml:space="preserve"> V zemljiško knjigo je vpisanih preko 460.000 lastnikov oz. solastnikov gozdov. 68 % lastnikov ima v lasti manj kot 1 ha gozdne površine (182.897 gozdnih posesti). Le 2 % lastnikov gospodari z gozdno posestjo, večjo od 15 ha. V zadnjih letih se je spreminjala predvsem zaradi denacionalizacijskih postopkov. Površina državnih gozdov se je zmanjšala, površina zasebnih gozdov pa povečala. V letu 2020 je bilo tako 238.086  ha (20 %) gozda v lasti države, 907.268 ha (77 %) gozda v zasebni lasti in 30.715 ha (3 %) gozdov v lasti lokalnih skupnosti. </w:t>
      </w:r>
    </w:p>
    <w:p w14:paraId="5FE5D307" w14:textId="77777777" w:rsidR="00672A7B" w:rsidRPr="005B2A49" w:rsidRDefault="00672A7B" w:rsidP="00672A7B">
      <w:pPr>
        <w:autoSpaceDE w:val="0"/>
        <w:autoSpaceDN w:val="0"/>
        <w:adjustRightInd w:val="0"/>
        <w:spacing w:before="0" w:line="276" w:lineRule="auto"/>
        <w:rPr>
          <w:szCs w:val="22"/>
        </w:rPr>
      </w:pPr>
    </w:p>
    <w:p w14:paraId="0EDD9B8C" w14:textId="67E62E4D" w:rsidR="00672A7B" w:rsidRPr="005B2A49" w:rsidRDefault="00672A7B" w:rsidP="00672A7B">
      <w:pPr>
        <w:autoSpaceDE w:val="0"/>
        <w:autoSpaceDN w:val="0"/>
        <w:adjustRightInd w:val="0"/>
        <w:spacing w:before="0" w:line="276" w:lineRule="auto"/>
        <w:rPr>
          <w:szCs w:val="22"/>
        </w:rPr>
      </w:pPr>
      <w:r w:rsidRPr="005B2A49">
        <w:rPr>
          <w:szCs w:val="22"/>
        </w:rPr>
        <w:t>Gospodarjenje z gozdovi v državnem lastništvu se po deležu izvedbe razlikuje od gospodarjenja z zasebnimi gozdovi. V državnih gozdovih se ukrepi, predvideni z gozdnogospodarskimi in gozdno gojitvenimi načrti, izvedejo v večjem deležu, medtem ko je v zasebnem sektorju realizacija načrtovanega poseka, gojitvenih in varstvenih del še nižja. V letu 2016 je bila ustanovljena Družba Slovenski državni gozdovi d.o.o., ki je podjetje v lasti Republike Slovenije. Njihova temeljna dejavnost je gospodarjenje z državnimi gozdovi</w:t>
      </w:r>
      <w:r w:rsidR="00FF65FB" w:rsidRPr="005B2A49">
        <w:rPr>
          <w:szCs w:val="22"/>
        </w:rPr>
        <w:t>.</w:t>
      </w:r>
    </w:p>
    <w:p w14:paraId="0AEBB40A" w14:textId="77777777" w:rsidR="00F50302" w:rsidRDefault="00F50302" w:rsidP="00672A7B">
      <w:pPr>
        <w:autoSpaceDE w:val="0"/>
        <w:autoSpaceDN w:val="0"/>
        <w:adjustRightInd w:val="0"/>
        <w:spacing w:before="0" w:line="276" w:lineRule="auto"/>
        <w:rPr>
          <w:bCs/>
          <w:szCs w:val="22"/>
        </w:rPr>
      </w:pPr>
    </w:p>
    <w:p w14:paraId="63441627" w14:textId="01ABF67B" w:rsidR="00672A7B" w:rsidRPr="005B2A49" w:rsidRDefault="00672A7B" w:rsidP="00672A7B">
      <w:pPr>
        <w:autoSpaceDE w:val="0"/>
        <w:autoSpaceDN w:val="0"/>
        <w:adjustRightInd w:val="0"/>
        <w:spacing w:before="0" w:line="276" w:lineRule="auto"/>
        <w:rPr>
          <w:szCs w:val="22"/>
        </w:rPr>
      </w:pPr>
      <w:r w:rsidRPr="005B2A49">
        <w:rPr>
          <w:bCs/>
          <w:szCs w:val="22"/>
        </w:rPr>
        <w:t xml:space="preserve">Odprtost z gozdnimi prometnicami v Sloveniji še ni optimalna. </w:t>
      </w:r>
      <w:r w:rsidRPr="005B2A49">
        <w:rPr>
          <w:szCs w:val="22"/>
        </w:rPr>
        <w:t>Določena območja niso odprta z gozdnimi cestami in vlakami, kar podraži ali celo onemogoča spravilo lesa</w:t>
      </w:r>
      <w:r w:rsidRPr="005B2A49">
        <w:rPr>
          <w:szCs w:val="22"/>
          <w:vertAlign w:val="superscript"/>
        </w:rPr>
        <w:footnoteReference w:id="23"/>
      </w:r>
      <w:r w:rsidRPr="005B2A49">
        <w:rPr>
          <w:szCs w:val="22"/>
        </w:rPr>
        <w:t xml:space="preserve">. </w:t>
      </w:r>
    </w:p>
    <w:p w14:paraId="2D920188" w14:textId="144FA6FB" w:rsidR="00492765" w:rsidRPr="00492765" w:rsidRDefault="00492765" w:rsidP="006D4C94">
      <w:pPr>
        <w:pStyle w:val="SCSlika0"/>
      </w:pPr>
      <w:bookmarkStart w:id="5607" w:name="_Toc86822775"/>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103</w:t>
      </w:r>
      <w:r w:rsidR="009F2591">
        <w:rPr>
          <w:noProof/>
        </w:rPr>
        <w:fldChar w:fldCharType="end"/>
      </w:r>
      <w:r w:rsidRPr="00492765">
        <w:t xml:space="preserve">: </w:t>
      </w:r>
      <w:r w:rsidR="00F50302">
        <w:t>Karta zasnove gozdne infrastrukture</w:t>
      </w:r>
      <w:bookmarkEnd w:id="5607"/>
    </w:p>
    <w:p w14:paraId="55518E35" w14:textId="4FA75DDE" w:rsidR="00492765" w:rsidRPr="00492765" w:rsidRDefault="00672A7B" w:rsidP="00492765">
      <w:pPr>
        <w:autoSpaceDE w:val="0"/>
        <w:autoSpaceDN w:val="0"/>
        <w:adjustRightInd w:val="0"/>
        <w:spacing w:before="0" w:line="276" w:lineRule="auto"/>
        <w:rPr>
          <w:sz w:val="20"/>
          <w:szCs w:val="20"/>
        </w:rPr>
      </w:pPr>
      <w:r>
        <w:rPr>
          <w:noProof/>
          <w:sz w:val="20"/>
          <w:szCs w:val="20"/>
          <w:lang w:eastAsia="sl-SI"/>
        </w:rPr>
        <w:drawing>
          <wp:inline distT="0" distB="0" distL="0" distR="0" wp14:anchorId="27E0B17B" wp14:editId="7094C7FE">
            <wp:extent cx="4400550" cy="3111499"/>
            <wp:effectExtent l="19050" t="19050" r="19050" b="13335"/>
            <wp:docPr id="1631865363" name="Slika 1631865363" descr="D:\Osebno\Moji dokumenti\SKP 2023-2027\Strateški načrt - delovna skupina 2\kartaE_zasnova_gozdne_infrastrukure_cela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ebno\Moji dokumenti\SKP 2023-2027\Strateški načrt - delovna skupina 2\kartaE_zasnova_gozdne_infrastrukure_cela_SLO.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03671" cy="3113705"/>
                    </a:xfrm>
                    <a:prstGeom prst="rect">
                      <a:avLst/>
                    </a:prstGeom>
                    <a:noFill/>
                    <a:ln>
                      <a:solidFill>
                        <a:schemeClr val="tx1"/>
                      </a:solidFill>
                    </a:ln>
                  </pic:spPr>
                </pic:pic>
              </a:graphicData>
            </a:graphic>
          </wp:inline>
        </w:drawing>
      </w:r>
    </w:p>
    <w:p w14:paraId="34C962E4" w14:textId="77777777" w:rsidR="00492765" w:rsidRPr="00492765" w:rsidRDefault="00492765" w:rsidP="00492765">
      <w:pPr>
        <w:autoSpaceDE w:val="0"/>
        <w:autoSpaceDN w:val="0"/>
        <w:adjustRightInd w:val="0"/>
        <w:spacing w:before="0" w:line="276" w:lineRule="auto"/>
        <w:rPr>
          <w:sz w:val="16"/>
          <w:szCs w:val="16"/>
        </w:rPr>
      </w:pPr>
      <w:r w:rsidRPr="00492765">
        <w:rPr>
          <w:sz w:val="16"/>
          <w:szCs w:val="16"/>
        </w:rPr>
        <w:t>Vir: Zavod za gozdove Slovenije</w:t>
      </w:r>
    </w:p>
    <w:p w14:paraId="2CE3A44A" w14:textId="77777777" w:rsidR="00492765" w:rsidRPr="00492765" w:rsidRDefault="00492765" w:rsidP="00492765">
      <w:pPr>
        <w:autoSpaceDE w:val="0"/>
        <w:autoSpaceDN w:val="0"/>
        <w:adjustRightInd w:val="0"/>
        <w:spacing w:before="0" w:line="276" w:lineRule="auto"/>
        <w:rPr>
          <w:sz w:val="20"/>
          <w:szCs w:val="20"/>
        </w:rPr>
      </w:pPr>
    </w:p>
    <w:p w14:paraId="4A7FAAFD" w14:textId="34DFD6C4" w:rsidR="00672A7B" w:rsidRPr="005B2A49" w:rsidRDefault="00672A7B" w:rsidP="00672A7B">
      <w:pPr>
        <w:autoSpaceDE w:val="0"/>
        <w:autoSpaceDN w:val="0"/>
        <w:adjustRightInd w:val="0"/>
        <w:spacing w:before="0" w:line="276" w:lineRule="auto"/>
        <w:rPr>
          <w:szCs w:val="22"/>
        </w:rPr>
      </w:pPr>
      <w:r w:rsidRPr="005B2A49">
        <w:rPr>
          <w:szCs w:val="22"/>
        </w:rPr>
        <w:t xml:space="preserve">Število zaposlenih na področju gozdarstva se je v zadnjih 20 letih močno zmanjšalo. Pred letom 1990 je gozdarstvo zaposlovalo okrog 8.000 ljudi. Število zaposlenih se je v letih od 2014 do 2016 rahlo povečalo v primerjavi z letom 2011, zaradi velike količine razpoložljivega lesa kot posledica ujem, ki so prizadele slovenske gozdove. Po podatkih za leto 2020 je v 1.064 podjetjih s področja gozdarstva zaposlenih 2.516 oseb. Od tega je 4 srednjih, 26 majhnih in 982 mikro podjetij. V gozdno-lesni verigi je v slovenskem gospodarstvu več kot 18.000 zaposlenih, gozd pa daje številne možnosti tudi na drugih področjih, na področju lovstva, turizma in rekreacije ter obrti na osnovi različnih dobrin iz gozda. </w:t>
      </w:r>
    </w:p>
    <w:p w14:paraId="1ECF7C89" w14:textId="77777777" w:rsidR="00672A7B" w:rsidRPr="005B2A49" w:rsidRDefault="00672A7B" w:rsidP="00672A7B">
      <w:pPr>
        <w:autoSpaceDE w:val="0"/>
        <w:autoSpaceDN w:val="0"/>
        <w:adjustRightInd w:val="0"/>
        <w:spacing w:before="0" w:line="276" w:lineRule="auto"/>
        <w:rPr>
          <w:szCs w:val="22"/>
        </w:rPr>
      </w:pPr>
    </w:p>
    <w:p w14:paraId="18E95855" w14:textId="77777777" w:rsidR="00672A7B" w:rsidRPr="005B2A49" w:rsidRDefault="00672A7B" w:rsidP="00672A7B">
      <w:pPr>
        <w:autoSpaceDE w:val="0"/>
        <w:autoSpaceDN w:val="0"/>
        <w:adjustRightInd w:val="0"/>
        <w:spacing w:before="0" w:line="276" w:lineRule="auto"/>
        <w:rPr>
          <w:szCs w:val="22"/>
        </w:rPr>
      </w:pPr>
      <w:r w:rsidRPr="005B2A49">
        <w:rPr>
          <w:szCs w:val="22"/>
        </w:rPr>
        <w:t xml:space="preserve">Gozdarska dejavnost je tradicionalno sestavni del številnih kmetij, ki preko močnih sinergij pomembno pripomore tudi h krepitvi konkurenčnosti primarne kmetijske proizvodnje na teh gospodarstvih. Pri tem pomeni tudi dodatno razvojno možnost za kmetije pri razvijanju različnih dopolnilnih dejavnosti, povezanih z lesom, drugimi dobrinami iz gozda in turizmom, kar dodatno prinaša več tisoč delovnih mest, v glavnem na podeželju. Tako po številu posesti kot po površini gozdov v kategoriji od 5 do 30 ha, kjer imamo 38.573 posesti (47 % celotne površine) prevladujejo družinske kmetije. </w:t>
      </w:r>
      <w:r w:rsidRPr="005B2A49">
        <w:rPr>
          <w:szCs w:val="22"/>
          <w:lang w:val="en-US"/>
        </w:rPr>
        <w:t xml:space="preserve">89 % kmetijskih gospodarstev je imelo v letu 2020 tudi gozd. Med kmetijskimi gospodarstvi, ki so imela gozd, jih je v letu 2020 posek lesa opravilo nekaj več kot 33.000. Povprečna </w:t>
      </w:r>
      <w:r w:rsidRPr="005B2A49">
        <w:rPr>
          <w:bCs/>
          <w:szCs w:val="22"/>
        </w:rPr>
        <w:t>površina gozda na kmetijsko gospodarstvo znaša 5,5 hektarja.</w:t>
      </w:r>
      <w:r w:rsidRPr="005B2A49">
        <w:rPr>
          <w:rFonts w:ascii="Humanist777BT-RomanB" w:eastAsiaTheme="minorHAnsi" w:hAnsi="Humanist777BT-RomanB" w:cs="Humanist777BT-RomanB"/>
          <w:color w:val="6B454A"/>
          <w:szCs w:val="22"/>
          <w:lang w:val="en-US" w:eastAsia="en-US"/>
        </w:rPr>
        <w:t xml:space="preserve"> </w:t>
      </w:r>
    </w:p>
    <w:p w14:paraId="4AEE7012" w14:textId="77777777" w:rsidR="00672A7B" w:rsidRPr="005B2A49" w:rsidRDefault="00672A7B" w:rsidP="00672A7B">
      <w:pPr>
        <w:tabs>
          <w:tab w:val="left" w:pos="3620"/>
        </w:tabs>
        <w:autoSpaceDE w:val="0"/>
        <w:autoSpaceDN w:val="0"/>
        <w:adjustRightInd w:val="0"/>
        <w:spacing w:before="0" w:line="276" w:lineRule="auto"/>
        <w:rPr>
          <w:szCs w:val="22"/>
        </w:rPr>
      </w:pPr>
      <w:r w:rsidRPr="005B2A49">
        <w:rPr>
          <w:szCs w:val="22"/>
        </w:rPr>
        <w:tab/>
      </w:r>
    </w:p>
    <w:p w14:paraId="384E4F69" w14:textId="77777777" w:rsidR="00672A7B" w:rsidRPr="005B2A49" w:rsidRDefault="00672A7B" w:rsidP="00672A7B">
      <w:pPr>
        <w:autoSpaceDE w:val="0"/>
        <w:autoSpaceDN w:val="0"/>
        <w:adjustRightInd w:val="0"/>
        <w:spacing w:before="0" w:line="276" w:lineRule="auto"/>
        <w:rPr>
          <w:szCs w:val="22"/>
        </w:rPr>
      </w:pPr>
      <w:r w:rsidRPr="005B2A49">
        <w:rPr>
          <w:szCs w:val="22"/>
        </w:rPr>
        <w:t>V Sloveniji še vedno prevladuje zastarela in neučinkovita gozdarska mehanizacija. Vsak nov traktor in stroj, ki nadomestita starega, ne pomenita le izboljšanje produktivnosti dela, temveč pomenita tudi večjo varnost in zdravje pri delu in tako vpliva na zmanjšanje števila nezgod in družbenoekonomskih stroškov. V Sloveniji je bila povprečna starost traktorjev leta 2010 20,6 let; 5 % je bilo mlajših od 5 let in 18 % mlajših od 12 let. Stanje se skozi obdobje do leta 2020 ni izboljševalo, zato so vlaganja javnih sredstev v sofinanciranje nakupa kmetijske in gozdarske tehnike upravičena.</w:t>
      </w:r>
    </w:p>
    <w:p w14:paraId="2F494610" w14:textId="77777777" w:rsidR="00672A7B" w:rsidRPr="005B2A49" w:rsidRDefault="00672A7B" w:rsidP="00672A7B">
      <w:pPr>
        <w:autoSpaceDE w:val="0"/>
        <w:autoSpaceDN w:val="0"/>
        <w:adjustRightInd w:val="0"/>
        <w:spacing w:before="0" w:line="276" w:lineRule="auto"/>
        <w:rPr>
          <w:szCs w:val="22"/>
        </w:rPr>
      </w:pPr>
    </w:p>
    <w:p w14:paraId="2911A244" w14:textId="77777777" w:rsidR="00672A7B" w:rsidRPr="005B2A49" w:rsidRDefault="00672A7B" w:rsidP="00672A7B">
      <w:pPr>
        <w:autoSpaceDE w:val="0"/>
        <w:autoSpaceDN w:val="0"/>
        <w:adjustRightInd w:val="0"/>
        <w:spacing w:before="0" w:line="276" w:lineRule="auto"/>
        <w:rPr>
          <w:szCs w:val="22"/>
        </w:rPr>
      </w:pPr>
      <w:r w:rsidRPr="005B2A49">
        <w:rPr>
          <w:szCs w:val="22"/>
        </w:rPr>
        <w:t>V svetu kot tudi v Sloveniji gozdarstvo spada med najbolj tvegane dejavnosti. Dela v gozdu pri sečnji in izdelavi, spravilu lesa ter nakladanju in prevozu gozdno lesnih sortimentov so naporna, predvsem pa zelo nevarna. Nezgode pri delu v gozdu so pogoste, pojavljajo pa se tudi nesreče s smrtnim izidom. Od leta 1981 do leta 2015 je v gozdovih umrlo 467 oseb, kar predstavlja pribljižno 13 ljudi na leto. Povprečno število smrnih nezgod pri delu v vseh dejavnostih pa znaša 20 ljudi na leto.</w:t>
      </w:r>
    </w:p>
    <w:p w14:paraId="4AD27AAC" w14:textId="77777777" w:rsidR="00492765" w:rsidRPr="00492765" w:rsidRDefault="00492765" w:rsidP="00492765">
      <w:pPr>
        <w:autoSpaceDE w:val="0"/>
        <w:autoSpaceDN w:val="0"/>
        <w:adjustRightInd w:val="0"/>
        <w:spacing w:before="0" w:line="276" w:lineRule="auto"/>
        <w:rPr>
          <w:sz w:val="20"/>
          <w:szCs w:val="20"/>
        </w:rPr>
      </w:pPr>
    </w:p>
    <w:p w14:paraId="07B902A9" w14:textId="1F1A856F" w:rsidR="00492765" w:rsidRPr="00492765" w:rsidRDefault="00492765" w:rsidP="006D4C94">
      <w:pPr>
        <w:pStyle w:val="SCSlika0"/>
      </w:pPr>
      <w:bookmarkStart w:id="5608" w:name="_Toc86822776"/>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104</w:t>
      </w:r>
      <w:r w:rsidR="009F2591">
        <w:rPr>
          <w:noProof/>
        </w:rPr>
        <w:fldChar w:fldCharType="end"/>
      </w:r>
      <w:r w:rsidRPr="00492765">
        <w:t>: Število smrtnih nezgod pri delu 1999-2019</w:t>
      </w:r>
      <w:bookmarkEnd w:id="5608"/>
    </w:p>
    <w:p w14:paraId="5FA7CFA1" w14:textId="77777777" w:rsidR="00492765" w:rsidRPr="00492765" w:rsidRDefault="00492765" w:rsidP="00492765">
      <w:pPr>
        <w:autoSpaceDE w:val="0"/>
        <w:autoSpaceDN w:val="0"/>
        <w:adjustRightInd w:val="0"/>
        <w:spacing w:before="0" w:line="276" w:lineRule="auto"/>
        <w:rPr>
          <w:sz w:val="20"/>
          <w:szCs w:val="20"/>
        </w:rPr>
      </w:pPr>
      <w:r w:rsidRPr="00492765">
        <w:rPr>
          <w:noProof/>
          <w:lang w:eastAsia="sl-SI"/>
        </w:rPr>
        <w:drawing>
          <wp:inline distT="0" distB="0" distL="0" distR="0" wp14:anchorId="04652997" wp14:editId="37F942FF">
            <wp:extent cx="4988169" cy="2815988"/>
            <wp:effectExtent l="19050" t="19050" r="22225" b="2286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987154" cy="2815415"/>
                    </a:xfrm>
                    <a:prstGeom prst="rect">
                      <a:avLst/>
                    </a:prstGeom>
                    <a:ln>
                      <a:solidFill>
                        <a:sysClr val="windowText" lastClr="000000"/>
                      </a:solidFill>
                    </a:ln>
                  </pic:spPr>
                </pic:pic>
              </a:graphicData>
            </a:graphic>
          </wp:inline>
        </w:drawing>
      </w:r>
    </w:p>
    <w:p w14:paraId="43D54335" w14:textId="77777777" w:rsidR="00492765" w:rsidRPr="00492765" w:rsidRDefault="00492765" w:rsidP="00492765">
      <w:pPr>
        <w:autoSpaceDE w:val="0"/>
        <w:autoSpaceDN w:val="0"/>
        <w:adjustRightInd w:val="0"/>
        <w:spacing w:before="0" w:line="276" w:lineRule="auto"/>
        <w:rPr>
          <w:sz w:val="16"/>
          <w:szCs w:val="16"/>
        </w:rPr>
      </w:pPr>
      <w:r w:rsidRPr="00492765">
        <w:rPr>
          <w:sz w:val="16"/>
          <w:szCs w:val="16"/>
        </w:rPr>
        <w:t>Vir: Poročilo delu inšpektorata RS za delo za leto 2019</w:t>
      </w:r>
    </w:p>
    <w:p w14:paraId="67801B6C" w14:textId="77777777" w:rsidR="00492765" w:rsidRPr="00492765" w:rsidRDefault="00492765" w:rsidP="00492765">
      <w:pPr>
        <w:autoSpaceDE w:val="0"/>
        <w:autoSpaceDN w:val="0"/>
        <w:adjustRightInd w:val="0"/>
        <w:spacing w:before="0" w:line="276" w:lineRule="auto"/>
        <w:rPr>
          <w:sz w:val="20"/>
          <w:szCs w:val="20"/>
        </w:rPr>
      </w:pPr>
    </w:p>
    <w:p w14:paraId="7A0C5912" w14:textId="77777777" w:rsidR="00672A7B" w:rsidRPr="005B2A49" w:rsidRDefault="00672A7B" w:rsidP="00672A7B">
      <w:pPr>
        <w:autoSpaceDE w:val="0"/>
        <w:autoSpaceDN w:val="0"/>
        <w:adjustRightInd w:val="0"/>
        <w:spacing w:before="0" w:line="276" w:lineRule="auto"/>
        <w:rPr>
          <w:szCs w:val="22"/>
        </w:rPr>
      </w:pPr>
      <w:r w:rsidRPr="005B2A49">
        <w:rPr>
          <w:szCs w:val="22"/>
        </w:rPr>
        <w:t xml:space="preserve">Gospodarjenje z gozdovi je v Sloveniji usmerjano z načrti za gospodarjenje z gozdovi, ki zagotavljajo trajnostno, sonaravno in večnamensko gospodarjenje z gozdovi. Pri gospodarjenju z gozdovi Slovenija sledi načelom Nove strategije EU za gozdove do leta 2030, sprejete v letu 2021. Načrtovanje je določeno skladno z Zakonom o gozdovih in je več nivojsko. </w:t>
      </w:r>
    </w:p>
    <w:p w14:paraId="44083973" w14:textId="77777777" w:rsidR="00492765" w:rsidRPr="00492765" w:rsidRDefault="00492765" w:rsidP="00492765">
      <w:pPr>
        <w:autoSpaceDE w:val="0"/>
        <w:autoSpaceDN w:val="0"/>
        <w:adjustRightInd w:val="0"/>
        <w:spacing w:before="0" w:line="276" w:lineRule="auto"/>
        <w:rPr>
          <w:sz w:val="20"/>
          <w:szCs w:val="20"/>
        </w:rPr>
      </w:pPr>
    </w:p>
    <w:p w14:paraId="0A90C407" w14:textId="77777777" w:rsidR="00492765" w:rsidRPr="00492765" w:rsidRDefault="00492765" w:rsidP="00492765">
      <w:pPr>
        <w:autoSpaceDE w:val="0"/>
        <w:autoSpaceDN w:val="0"/>
        <w:adjustRightInd w:val="0"/>
        <w:spacing w:before="0" w:line="240" w:lineRule="auto"/>
        <w:rPr>
          <w:sz w:val="20"/>
          <w:szCs w:val="20"/>
        </w:rPr>
      </w:pPr>
    </w:p>
    <w:p w14:paraId="6EBCEC73" w14:textId="01C710A2" w:rsidR="00492765" w:rsidRPr="00492765" w:rsidRDefault="00492765" w:rsidP="006D4C94">
      <w:pPr>
        <w:pStyle w:val="Naslov2"/>
      </w:pPr>
      <w:bookmarkStart w:id="5609" w:name="_Stanje_v_proizvodnji"/>
      <w:bookmarkStart w:id="5610" w:name="_Toc42065173"/>
      <w:bookmarkStart w:id="5611" w:name="_Toc51279991"/>
      <w:bookmarkStart w:id="5612" w:name="_Toc86822627"/>
      <w:bookmarkEnd w:id="5609"/>
      <w:r w:rsidRPr="00492765">
        <w:t>Stanje v proizvodnji okroglega lesa (gozdnih lesnih sortimentov)</w:t>
      </w:r>
      <w:bookmarkEnd w:id="5610"/>
      <w:bookmarkEnd w:id="5611"/>
      <w:bookmarkEnd w:id="5612"/>
    </w:p>
    <w:p w14:paraId="60C7E28C" w14:textId="77777777" w:rsidR="00492765" w:rsidRPr="00492765" w:rsidRDefault="00492765" w:rsidP="00492765">
      <w:pPr>
        <w:spacing w:before="0" w:line="240" w:lineRule="auto"/>
        <w:rPr>
          <w:rFonts w:eastAsia="Calibri"/>
          <w:sz w:val="20"/>
          <w:szCs w:val="20"/>
        </w:rPr>
      </w:pPr>
    </w:p>
    <w:p w14:paraId="047111F5" w14:textId="4497A61E" w:rsidR="004E1D9A" w:rsidRPr="005B2A49" w:rsidRDefault="004E1D9A" w:rsidP="004E1D9A">
      <w:pPr>
        <w:spacing w:before="0" w:line="276" w:lineRule="auto"/>
        <w:rPr>
          <w:rFonts w:eastAsia="Calibri"/>
          <w:szCs w:val="22"/>
        </w:rPr>
      </w:pPr>
      <w:r w:rsidRPr="005B2A49">
        <w:rPr>
          <w:rFonts w:eastAsia="Calibri"/>
          <w:szCs w:val="22"/>
        </w:rPr>
        <w:t>Proizvodnja gozdnih lesnih sortimentov je v letu 2016 uradno znašala rekordnih 5</w:t>
      </w:r>
      <w:r w:rsidRPr="005B2A49">
        <w:rPr>
          <w:rFonts w:eastAsia="Calibri"/>
          <w:bCs/>
          <w:szCs w:val="22"/>
        </w:rPr>
        <w:t>,5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(neto, brez skorje), v letu 2017 4</w:t>
      </w:r>
      <w:r w:rsidRPr="005B2A49">
        <w:rPr>
          <w:rFonts w:eastAsia="Calibri"/>
          <w:bCs/>
          <w:szCs w:val="22"/>
        </w:rPr>
        <w:t>,6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(neto, brez skorje), v letu 2018 5</w:t>
      </w:r>
      <w:r w:rsidRPr="005B2A49">
        <w:rPr>
          <w:rFonts w:eastAsia="Calibri"/>
          <w:bCs/>
          <w:szCs w:val="22"/>
        </w:rPr>
        <w:t>,2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(neto, brez skorje), v letu 2019 4</w:t>
      </w:r>
      <w:r w:rsidRPr="005B2A49">
        <w:rPr>
          <w:rFonts w:eastAsia="Calibri"/>
          <w:bCs/>
          <w:szCs w:val="22"/>
        </w:rPr>
        <w:t>,7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(neto, brez skorje) in v letu 2020 pa 3,9</w:t>
      </w:r>
      <w:r w:rsidRPr="005B2A49">
        <w:rPr>
          <w:rFonts w:eastAsia="Calibri"/>
          <w:bCs/>
          <w:szCs w:val="22"/>
        </w:rPr>
        <w:t xml:space="preserve"> milijonov m</w:t>
      </w:r>
      <w:r w:rsidRPr="005B2A49">
        <w:rPr>
          <w:rFonts w:eastAsia="Calibri"/>
          <w:bCs/>
          <w:szCs w:val="22"/>
          <w:vertAlign w:val="superscript"/>
        </w:rPr>
        <w:t>3</w:t>
      </w:r>
      <w:r w:rsidRPr="005B2A49">
        <w:rPr>
          <w:rFonts w:eastAsia="Calibri"/>
          <w:bCs/>
          <w:szCs w:val="22"/>
        </w:rPr>
        <w:t xml:space="preserve"> </w:t>
      </w:r>
      <w:r w:rsidRPr="005B2A49">
        <w:rPr>
          <w:rFonts w:eastAsia="Calibri"/>
          <w:szCs w:val="22"/>
        </w:rPr>
        <w:t xml:space="preserve">(neto, brez skorje. Struktura proizvodnje gozdnih lesnih sortimentov v letih 2009–2020 je podrobno prikazana v tabeli </w:t>
      </w:r>
      <w:r w:rsidRPr="005B2A49">
        <w:rPr>
          <w:rFonts w:eastAsia="Calibri"/>
          <w:szCs w:val="22"/>
        </w:rPr>
        <w:fldChar w:fldCharType="begin"/>
      </w:r>
      <w:r w:rsidRPr="005B2A49">
        <w:rPr>
          <w:rFonts w:eastAsia="Calibri"/>
          <w:szCs w:val="22"/>
        </w:rPr>
        <w:instrText xml:space="preserve"> REF _Ref55211088 \h  \* MERGEFORMAT </w:instrText>
      </w:r>
      <w:r w:rsidRPr="005B2A49">
        <w:rPr>
          <w:rFonts w:eastAsia="Calibri"/>
          <w:szCs w:val="22"/>
        </w:rPr>
      </w:r>
      <w:r w:rsidRPr="005B2A49">
        <w:rPr>
          <w:rFonts w:eastAsia="Calibri"/>
          <w:szCs w:val="22"/>
        </w:rPr>
        <w:fldChar w:fldCharType="separate"/>
      </w:r>
      <w:r w:rsidR="0088117A" w:rsidRPr="009F3567">
        <w:t xml:space="preserve">Tabela </w:t>
      </w:r>
      <w:r w:rsidR="0088117A">
        <w:rPr>
          <w:noProof/>
        </w:rPr>
        <w:t>31</w:t>
      </w:r>
      <w:r w:rsidR="0088117A" w:rsidRPr="00492765">
        <w:rPr>
          <w:szCs w:val="16"/>
        </w:rPr>
        <w:t xml:space="preserve">: </w:t>
      </w:r>
      <w:r w:rsidR="0088117A" w:rsidRPr="00492765">
        <w:t>Gozdni lesni sortimenti, pridobljeni v Sloveniji (000 m</w:t>
      </w:r>
      <w:r w:rsidR="0088117A" w:rsidRPr="00492765">
        <w:rPr>
          <w:vertAlign w:val="superscript"/>
        </w:rPr>
        <w:t>3</w:t>
      </w:r>
      <w:r w:rsidR="0088117A" w:rsidRPr="00492765">
        <w:t>): 2009–20</w:t>
      </w:r>
      <w:r w:rsidR="0088117A">
        <w:t>20</w:t>
      </w:r>
      <w:r w:rsidRPr="005B2A49">
        <w:rPr>
          <w:rFonts w:eastAsia="Calibri"/>
          <w:szCs w:val="22"/>
        </w:rPr>
        <w:fldChar w:fldCharType="end"/>
      </w:r>
      <w:r w:rsidRPr="005B2A49">
        <w:rPr>
          <w:rFonts w:eastAsia="Calibri"/>
          <w:szCs w:val="22"/>
        </w:rPr>
        <w:t xml:space="preserve">20 </w:t>
      </w:r>
    </w:p>
    <w:p w14:paraId="2D882317" w14:textId="77777777" w:rsidR="00492765" w:rsidRPr="00492765" w:rsidRDefault="00492765" w:rsidP="00492765">
      <w:pPr>
        <w:spacing w:before="0" w:line="240" w:lineRule="auto"/>
        <w:rPr>
          <w:rFonts w:eastAsia="Calibri"/>
          <w:sz w:val="20"/>
          <w:szCs w:val="20"/>
        </w:rPr>
      </w:pPr>
    </w:p>
    <w:p w14:paraId="5AB6FB67" w14:textId="1D4E1824" w:rsidR="00492765" w:rsidRPr="00492765" w:rsidRDefault="00492765" w:rsidP="006D4C94">
      <w:pPr>
        <w:pStyle w:val="SCPreglednica"/>
      </w:pPr>
      <w:bookmarkStart w:id="5613" w:name="_Ref55211093"/>
      <w:bookmarkStart w:id="5614" w:name="_Toc42170409"/>
      <w:bookmarkStart w:id="5615" w:name="_Toc51280016"/>
      <w:bookmarkStart w:id="5616" w:name="_Ref55211088"/>
      <w:bookmarkStart w:id="5617" w:name="_Toc86822669"/>
      <w:r w:rsidRPr="009F3567">
        <w:t xml:space="preserve">Tabela </w:t>
      </w:r>
      <w:r>
        <w:rPr>
          <w:noProof/>
        </w:rPr>
        <w:fldChar w:fldCharType="begin"/>
      </w:r>
      <w:r>
        <w:rPr>
          <w:noProof/>
        </w:rPr>
        <w:instrText xml:space="preserve"> SEQ Tabela \* ARABIC </w:instrText>
      </w:r>
      <w:r>
        <w:rPr>
          <w:noProof/>
        </w:rPr>
        <w:fldChar w:fldCharType="separate"/>
      </w:r>
      <w:r w:rsidR="0088117A">
        <w:rPr>
          <w:noProof/>
        </w:rPr>
        <w:t>31</w:t>
      </w:r>
      <w:r>
        <w:rPr>
          <w:noProof/>
        </w:rPr>
        <w:fldChar w:fldCharType="end"/>
      </w:r>
      <w:bookmarkEnd w:id="5613"/>
      <w:r w:rsidRPr="00492765">
        <w:rPr>
          <w:szCs w:val="16"/>
        </w:rPr>
        <w:t xml:space="preserve">: </w:t>
      </w:r>
      <w:r w:rsidRPr="00492765">
        <w:t>Gozdni lesni sortimenti, pridobljeni v Sloveniji (000 m</w:t>
      </w:r>
      <w:r w:rsidRPr="00492765">
        <w:rPr>
          <w:vertAlign w:val="superscript"/>
        </w:rPr>
        <w:t>3</w:t>
      </w:r>
      <w:r w:rsidRPr="00492765">
        <w:t>): 2009–20</w:t>
      </w:r>
      <w:r w:rsidR="004E1D9A">
        <w:t>20</w:t>
      </w:r>
      <w:bookmarkEnd w:id="5614"/>
      <w:bookmarkEnd w:id="5615"/>
      <w:bookmarkEnd w:id="5616"/>
      <w:bookmarkEnd w:id="561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306"/>
        <w:gridCol w:w="563"/>
        <w:gridCol w:w="563"/>
        <w:gridCol w:w="563"/>
        <w:gridCol w:w="563"/>
        <w:gridCol w:w="563"/>
        <w:gridCol w:w="563"/>
        <w:gridCol w:w="563"/>
        <w:gridCol w:w="563"/>
        <w:gridCol w:w="563"/>
        <w:gridCol w:w="563"/>
        <w:gridCol w:w="563"/>
        <w:gridCol w:w="563"/>
      </w:tblGrid>
      <w:tr w:rsidR="004E1D9A" w:rsidRPr="004E1D9A" w14:paraId="6F36D750" w14:textId="77777777" w:rsidTr="004E1D9A">
        <w:trPr>
          <w:trHeight w:val="240"/>
        </w:trPr>
        <w:tc>
          <w:tcPr>
            <w:tcW w:w="1273" w:type="pct"/>
            <w:shd w:val="clear" w:color="auto" w:fill="C6D9F1" w:themeFill="text2" w:themeFillTint="33"/>
            <w:noWrap/>
            <w:vAlign w:val="center"/>
          </w:tcPr>
          <w:p w14:paraId="5FC3C558"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7476AC30"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2009</w:t>
            </w:r>
          </w:p>
        </w:tc>
        <w:tc>
          <w:tcPr>
            <w:tcW w:w="311" w:type="pct"/>
            <w:shd w:val="clear" w:color="auto" w:fill="C6D9F1" w:themeFill="text2" w:themeFillTint="33"/>
            <w:vAlign w:val="center"/>
          </w:tcPr>
          <w:p w14:paraId="07B8AADF"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2010</w:t>
            </w:r>
          </w:p>
        </w:tc>
        <w:tc>
          <w:tcPr>
            <w:tcW w:w="311" w:type="pct"/>
            <w:shd w:val="clear" w:color="auto" w:fill="C6D9F1" w:themeFill="text2" w:themeFillTint="33"/>
            <w:vAlign w:val="center"/>
          </w:tcPr>
          <w:p w14:paraId="527FE309"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2011</w:t>
            </w:r>
          </w:p>
        </w:tc>
        <w:tc>
          <w:tcPr>
            <w:tcW w:w="311" w:type="pct"/>
            <w:shd w:val="clear" w:color="auto" w:fill="C6D9F1" w:themeFill="text2" w:themeFillTint="33"/>
            <w:vAlign w:val="center"/>
          </w:tcPr>
          <w:p w14:paraId="0F35A8B0"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2012</w:t>
            </w:r>
          </w:p>
        </w:tc>
        <w:tc>
          <w:tcPr>
            <w:tcW w:w="311" w:type="pct"/>
            <w:shd w:val="clear" w:color="auto" w:fill="C6D9F1" w:themeFill="text2" w:themeFillTint="33"/>
            <w:vAlign w:val="center"/>
          </w:tcPr>
          <w:p w14:paraId="1895284E"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2013</w:t>
            </w:r>
          </w:p>
        </w:tc>
        <w:tc>
          <w:tcPr>
            <w:tcW w:w="311" w:type="pct"/>
            <w:shd w:val="clear" w:color="auto" w:fill="C6D9F1" w:themeFill="text2" w:themeFillTint="33"/>
            <w:vAlign w:val="center"/>
          </w:tcPr>
          <w:p w14:paraId="2D37ECF0"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2014</w:t>
            </w:r>
          </w:p>
        </w:tc>
        <w:tc>
          <w:tcPr>
            <w:tcW w:w="311" w:type="pct"/>
            <w:shd w:val="clear" w:color="auto" w:fill="C6D9F1" w:themeFill="text2" w:themeFillTint="33"/>
            <w:vAlign w:val="center"/>
          </w:tcPr>
          <w:p w14:paraId="55897A4B"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2015</w:t>
            </w:r>
          </w:p>
        </w:tc>
        <w:tc>
          <w:tcPr>
            <w:tcW w:w="311" w:type="pct"/>
            <w:shd w:val="clear" w:color="auto" w:fill="C6D9F1" w:themeFill="text2" w:themeFillTint="33"/>
            <w:vAlign w:val="center"/>
          </w:tcPr>
          <w:p w14:paraId="1625778D"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2016</w:t>
            </w:r>
          </w:p>
        </w:tc>
        <w:tc>
          <w:tcPr>
            <w:tcW w:w="311" w:type="pct"/>
            <w:shd w:val="clear" w:color="auto" w:fill="C6D9F1" w:themeFill="text2" w:themeFillTint="33"/>
            <w:vAlign w:val="center"/>
          </w:tcPr>
          <w:p w14:paraId="366809B4"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2017</w:t>
            </w:r>
          </w:p>
        </w:tc>
        <w:tc>
          <w:tcPr>
            <w:tcW w:w="311" w:type="pct"/>
            <w:shd w:val="clear" w:color="auto" w:fill="C6D9F1" w:themeFill="text2" w:themeFillTint="33"/>
            <w:vAlign w:val="center"/>
          </w:tcPr>
          <w:p w14:paraId="5049220B"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2018</w:t>
            </w:r>
          </w:p>
        </w:tc>
        <w:tc>
          <w:tcPr>
            <w:tcW w:w="311" w:type="pct"/>
            <w:shd w:val="clear" w:color="auto" w:fill="C6D9F1" w:themeFill="text2" w:themeFillTint="33"/>
            <w:vAlign w:val="center"/>
          </w:tcPr>
          <w:p w14:paraId="20ABF02A"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2019</w:t>
            </w:r>
          </w:p>
        </w:tc>
        <w:tc>
          <w:tcPr>
            <w:tcW w:w="311" w:type="pct"/>
            <w:shd w:val="clear" w:color="auto" w:fill="C6D9F1" w:themeFill="text2" w:themeFillTint="33"/>
            <w:vAlign w:val="center"/>
          </w:tcPr>
          <w:p w14:paraId="7F2951DF"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2020</w:t>
            </w:r>
          </w:p>
        </w:tc>
      </w:tr>
      <w:tr w:rsidR="004E1D9A" w:rsidRPr="004E1D9A" w14:paraId="051A2180" w14:textId="77777777" w:rsidTr="004E1D9A">
        <w:trPr>
          <w:trHeight w:hRule="exact" w:val="255"/>
        </w:trPr>
        <w:tc>
          <w:tcPr>
            <w:tcW w:w="1273" w:type="pct"/>
            <w:shd w:val="clear" w:color="auto" w:fill="C6D9F1" w:themeFill="text2" w:themeFillTint="33"/>
            <w:noWrap/>
            <w:vAlign w:val="center"/>
          </w:tcPr>
          <w:p w14:paraId="25EF0948"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Iglavci</w:t>
            </w:r>
          </w:p>
        </w:tc>
        <w:tc>
          <w:tcPr>
            <w:tcW w:w="311" w:type="pct"/>
            <w:shd w:val="clear" w:color="auto" w:fill="C6D9F1" w:themeFill="text2" w:themeFillTint="33"/>
            <w:vAlign w:val="center"/>
          </w:tcPr>
          <w:p w14:paraId="5E43D450"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6B34F400"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69819643"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2B6E88B2"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4A7ECDE9"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7DAE34CA"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1F2C1EB9"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7AA363EA"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693CF780"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62EFCE20" w14:textId="77777777" w:rsidR="004E1D9A" w:rsidRPr="004E1D9A" w:rsidRDefault="004E1D9A" w:rsidP="004E1D9A">
            <w:pPr>
              <w:keepNext/>
              <w:keepLines/>
              <w:spacing w:before="0" w:line="240" w:lineRule="auto"/>
              <w:jc w:val="left"/>
              <w:rPr>
                <w:sz w:val="18"/>
                <w:szCs w:val="18"/>
                <w:lang w:eastAsia="sl-SI"/>
              </w:rPr>
            </w:pPr>
          </w:p>
        </w:tc>
        <w:tc>
          <w:tcPr>
            <w:tcW w:w="311" w:type="pct"/>
            <w:shd w:val="clear" w:color="auto" w:fill="C6D9F1" w:themeFill="text2" w:themeFillTint="33"/>
            <w:vAlign w:val="center"/>
          </w:tcPr>
          <w:p w14:paraId="24C39FA8" w14:textId="77777777" w:rsidR="004E1D9A" w:rsidRPr="004E1D9A" w:rsidRDefault="004E1D9A" w:rsidP="004E1D9A">
            <w:pPr>
              <w:keepNext/>
              <w:keepLines/>
              <w:spacing w:before="0" w:line="240" w:lineRule="auto"/>
              <w:jc w:val="center"/>
              <w:rPr>
                <w:sz w:val="18"/>
                <w:szCs w:val="18"/>
                <w:lang w:eastAsia="sl-SI"/>
              </w:rPr>
            </w:pPr>
          </w:p>
        </w:tc>
        <w:tc>
          <w:tcPr>
            <w:tcW w:w="311" w:type="pct"/>
            <w:shd w:val="clear" w:color="auto" w:fill="C6D9F1" w:themeFill="text2" w:themeFillTint="33"/>
            <w:vAlign w:val="center"/>
          </w:tcPr>
          <w:p w14:paraId="7FD0B76F" w14:textId="77777777" w:rsidR="004E1D9A" w:rsidRPr="004E1D9A" w:rsidRDefault="004E1D9A" w:rsidP="004E1D9A">
            <w:pPr>
              <w:keepNext/>
              <w:keepLines/>
              <w:spacing w:before="0" w:line="240" w:lineRule="auto"/>
              <w:jc w:val="center"/>
              <w:rPr>
                <w:sz w:val="18"/>
                <w:szCs w:val="18"/>
                <w:lang w:eastAsia="sl-SI"/>
              </w:rPr>
            </w:pPr>
          </w:p>
        </w:tc>
      </w:tr>
      <w:tr w:rsidR="004E1D9A" w:rsidRPr="004E1D9A" w14:paraId="62D1F6B6" w14:textId="77777777" w:rsidTr="004E1D9A">
        <w:trPr>
          <w:trHeight w:hRule="exact" w:val="255"/>
        </w:trPr>
        <w:tc>
          <w:tcPr>
            <w:tcW w:w="1273" w:type="pct"/>
            <w:shd w:val="clear" w:color="auto" w:fill="auto"/>
            <w:noWrap/>
            <w:vAlign w:val="center"/>
          </w:tcPr>
          <w:p w14:paraId="5683EEDC"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Hlodovina</w:t>
            </w:r>
          </w:p>
        </w:tc>
        <w:tc>
          <w:tcPr>
            <w:tcW w:w="311" w:type="pct"/>
            <w:vAlign w:val="center"/>
          </w:tcPr>
          <w:p w14:paraId="1E6F531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1.213</w:t>
            </w:r>
          </w:p>
        </w:tc>
        <w:tc>
          <w:tcPr>
            <w:tcW w:w="311" w:type="pct"/>
            <w:vAlign w:val="center"/>
          </w:tcPr>
          <w:p w14:paraId="2FD2E1F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1.180</w:t>
            </w:r>
          </w:p>
        </w:tc>
        <w:tc>
          <w:tcPr>
            <w:tcW w:w="311" w:type="pct"/>
            <w:vAlign w:val="center"/>
          </w:tcPr>
          <w:p w14:paraId="4834517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1.297</w:t>
            </w:r>
          </w:p>
        </w:tc>
        <w:tc>
          <w:tcPr>
            <w:tcW w:w="311" w:type="pct"/>
            <w:vAlign w:val="center"/>
          </w:tcPr>
          <w:p w14:paraId="1A26490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1.390</w:t>
            </w:r>
          </w:p>
        </w:tc>
        <w:tc>
          <w:tcPr>
            <w:tcW w:w="311" w:type="pct"/>
            <w:vAlign w:val="center"/>
          </w:tcPr>
          <w:p w14:paraId="49CC629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1.429</w:t>
            </w:r>
          </w:p>
        </w:tc>
        <w:tc>
          <w:tcPr>
            <w:tcW w:w="311" w:type="pct"/>
            <w:vAlign w:val="center"/>
          </w:tcPr>
          <w:p w14:paraId="40F00F6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1.815</w:t>
            </w:r>
          </w:p>
        </w:tc>
        <w:tc>
          <w:tcPr>
            <w:tcW w:w="311" w:type="pct"/>
            <w:vAlign w:val="center"/>
          </w:tcPr>
          <w:p w14:paraId="548BD19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2.210</w:t>
            </w:r>
          </w:p>
        </w:tc>
        <w:tc>
          <w:tcPr>
            <w:tcW w:w="311" w:type="pct"/>
            <w:vAlign w:val="center"/>
          </w:tcPr>
          <w:p w14:paraId="12F53CC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2.660</w:t>
            </w:r>
          </w:p>
        </w:tc>
        <w:tc>
          <w:tcPr>
            <w:tcW w:w="311" w:type="pct"/>
            <w:vAlign w:val="center"/>
          </w:tcPr>
          <w:p w14:paraId="6529F98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2.200</w:t>
            </w:r>
          </w:p>
        </w:tc>
        <w:tc>
          <w:tcPr>
            <w:tcW w:w="311" w:type="pct"/>
            <w:vAlign w:val="center"/>
          </w:tcPr>
          <w:p w14:paraId="1656C2A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2.553</w:t>
            </w:r>
          </w:p>
        </w:tc>
        <w:tc>
          <w:tcPr>
            <w:tcW w:w="311" w:type="pct"/>
            <w:vAlign w:val="center"/>
          </w:tcPr>
          <w:p w14:paraId="197752BF"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2.123</w:t>
            </w:r>
          </w:p>
        </w:tc>
        <w:tc>
          <w:tcPr>
            <w:tcW w:w="311" w:type="pct"/>
            <w:vAlign w:val="center"/>
          </w:tcPr>
          <w:p w14:paraId="11AE3272"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1.624</w:t>
            </w:r>
          </w:p>
        </w:tc>
      </w:tr>
      <w:tr w:rsidR="004E1D9A" w:rsidRPr="004E1D9A" w14:paraId="6DBB2976" w14:textId="77777777" w:rsidTr="004E1D9A">
        <w:trPr>
          <w:trHeight w:hRule="exact" w:val="255"/>
        </w:trPr>
        <w:tc>
          <w:tcPr>
            <w:tcW w:w="1273" w:type="pct"/>
            <w:shd w:val="clear" w:color="auto" w:fill="auto"/>
            <w:noWrap/>
            <w:vAlign w:val="center"/>
          </w:tcPr>
          <w:p w14:paraId="2BF27FE8"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celulozo in plošče</w:t>
            </w:r>
          </w:p>
        </w:tc>
        <w:tc>
          <w:tcPr>
            <w:tcW w:w="311" w:type="pct"/>
            <w:vAlign w:val="center"/>
          </w:tcPr>
          <w:p w14:paraId="1121AE5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211</w:t>
            </w:r>
          </w:p>
        </w:tc>
        <w:tc>
          <w:tcPr>
            <w:tcW w:w="311" w:type="pct"/>
            <w:vAlign w:val="center"/>
          </w:tcPr>
          <w:p w14:paraId="5429146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187</w:t>
            </w:r>
          </w:p>
        </w:tc>
        <w:tc>
          <w:tcPr>
            <w:tcW w:w="311" w:type="pct"/>
            <w:vAlign w:val="center"/>
          </w:tcPr>
          <w:p w14:paraId="47003EA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222</w:t>
            </w:r>
          </w:p>
        </w:tc>
        <w:tc>
          <w:tcPr>
            <w:tcW w:w="311" w:type="pct"/>
            <w:vAlign w:val="center"/>
          </w:tcPr>
          <w:p w14:paraId="6F70964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232</w:t>
            </w:r>
          </w:p>
        </w:tc>
        <w:tc>
          <w:tcPr>
            <w:tcW w:w="311" w:type="pct"/>
            <w:vAlign w:val="center"/>
          </w:tcPr>
          <w:p w14:paraId="4D43486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251</w:t>
            </w:r>
          </w:p>
        </w:tc>
        <w:tc>
          <w:tcPr>
            <w:tcW w:w="311" w:type="pct"/>
            <w:vAlign w:val="center"/>
          </w:tcPr>
          <w:p w14:paraId="293CE93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634</w:t>
            </w:r>
          </w:p>
        </w:tc>
        <w:tc>
          <w:tcPr>
            <w:tcW w:w="311" w:type="pct"/>
            <w:vAlign w:val="center"/>
          </w:tcPr>
          <w:p w14:paraId="20CAAD8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550</w:t>
            </w:r>
          </w:p>
        </w:tc>
        <w:tc>
          <w:tcPr>
            <w:tcW w:w="311" w:type="pct"/>
            <w:vAlign w:val="center"/>
          </w:tcPr>
          <w:p w14:paraId="1A6F0A4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578</w:t>
            </w:r>
          </w:p>
        </w:tc>
        <w:tc>
          <w:tcPr>
            <w:tcW w:w="311" w:type="pct"/>
            <w:vAlign w:val="center"/>
          </w:tcPr>
          <w:p w14:paraId="30E911A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532</w:t>
            </w:r>
          </w:p>
        </w:tc>
        <w:tc>
          <w:tcPr>
            <w:tcW w:w="311" w:type="pct"/>
            <w:vAlign w:val="center"/>
          </w:tcPr>
          <w:p w14:paraId="78578D7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659</w:t>
            </w:r>
          </w:p>
        </w:tc>
        <w:tc>
          <w:tcPr>
            <w:tcW w:w="311" w:type="pct"/>
            <w:vAlign w:val="center"/>
          </w:tcPr>
          <w:p w14:paraId="51DBA902"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492</w:t>
            </w:r>
          </w:p>
        </w:tc>
        <w:tc>
          <w:tcPr>
            <w:tcW w:w="311" w:type="pct"/>
            <w:vAlign w:val="center"/>
          </w:tcPr>
          <w:p w14:paraId="72EF9F32"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346</w:t>
            </w:r>
          </w:p>
        </w:tc>
      </w:tr>
      <w:tr w:rsidR="004E1D9A" w:rsidRPr="004E1D9A" w14:paraId="5C67EF18" w14:textId="77777777" w:rsidTr="004E1D9A">
        <w:trPr>
          <w:trHeight w:hRule="exact" w:val="255"/>
        </w:trPr>
        <w:tc>
          <w:tcPr>
            <w:tcW w:w="1273" w:type="pct"/>
            <w:shd w:val="clear" w:color="auto" w:fill="auto"/>
            <w:noWrap/>
            <w:vAlign w:val="center"/>
          </w:tcPr>
          <w:p w14:paraId="40328E13"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Drug okrogel industrijski les</w:t>
            </w:r>
          </w:p>
        </w:tc>
        <w:tc>
          <w:tcPr>
            <w:tcW w:w="311" w:type="pct"/>
            <w:vAlign w:val="center"/>
          </w:tcPr>
          <w:p w14:paraId="6E8152A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44</w:t>
            </w:r>
          </w:p>
        </w:tc>
        <w:tc>
          <w:tcPr>
            <w:tcW w:w="311" w:type="pct"/>
            <w:vAlign w:val="center"/>
          </w:tcPr>
          <w:p w14:paraId="724BE19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52</w:t>
            </w:r>
          </w:p>
        </w:tc>
        <w:tc>
          <w:tcPr>
            <w:tcW w:w="311" w:type="pct"/>
            <w:vAlign w:val="center"/>
          </w:tcPr>
          <w:p w14:paraId="641B899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63</w:t>
            </w:r>
          </w:p>
        </w:tc>
        <w:tc>
          <w:tcPr>
            <w:tcW w:w="311" w:type="pct"/>
            <w:vAlign w:val="center"/>
          </w:tcPr>
          <w:p w14:paraId="0F7B722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41</w:t>
            </w:r>
          </w:p>
        </w:tc>
        <w:tc>
          <w:tcPr>
            <w:tcW w:w="311" w:type="pct"/>
            <w:vAlign w:val="center"/>
          </w:tcPr>
          <w:p w14:paraId="0DD7106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42</w:t>
            </w:r>
          </w:p>
        </w:tc>
        <w:tc>
          <w:tcPr>
            <w:tcW w:w="311" w:type="pct"/>
            <w:vAlign w:val="center"/>
          </w:tcPr>
          <w:p w14:paraId="0E9CBE7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114</w:t>
            </w:r>
          </w:p>
        </w:tc>
        <w:tc>
          <w:tcPr>
            <w:tcW w:w="311" w:type="pct"/>
            <w:vAlign w:val="center"/>
          </w:tcPr>
          <w:p w14:paraId="2E42E76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100</w:t>
            </w:r>
          </w:p>
        </w:tc>
        <w:tc>
          <w:tcPr>
            <w:tcW w:w="311" w:type="pct"/>
            <w:vAlign w:val="center"/>
          </w:tcPr>
          <w:p w14:paraId="57B3C83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75</w:t>
            </w:r>
          </w:p>
        </w:tc>
        <w:tc>
          <w:tcPr>
            <w:tcW w:w="311" w:type="pct"/>
            <w:vAlign w:val="center"/>
          </w:tcPr>
          <w:p w14:paraId="2714942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20</w:t>
            </w:r>
          </w:p>
        </w:tc>
        <w:tc>
          <w:tcPr>
            <w:tcW w:w="311" w:type="pct"/>
            <w:vAlign w:val="center"/>
          </w:tcPr>
          <w:p w14:paraId="5B83D85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33</w:t>
            </w:r>
          </w:p>
        </w:tc>
        <w:tc>
          <w:tcPr>
            <w:tcW w:w="311" w:type="pct"/>
            <w:vAlign w:val="center"/>
          </w:tcPr>
          <w:p w14:paraId="6C100C7F"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20</w:t>
            </w:r>
          </w:p>
        </w:tc>
        <w:tc>
          <w:tcPr>
            <w:tcW w:w="311" w:type="pct"/>
            <w:vAlign w:val="center"/>
          </w:tcPr>
          <w:p w14:paraId="3EBC647D"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15</w:t>
            </w:r>
          </w:p>
        </w:tc>
      </w:tr>
      <w:tr w:rsidR="004E1D9A" w:rsidRPr="004E1D9A" w14:paraId="2FD63014" w14:textId="77777777" w:rsidTr="004E1D9A">
        <w:trPr>
          <w:trHeight w:hRule="exact" w:val="255"/>
        </w:trPr>
        <w:tc>
          <w:tcPr>
            <w:tcW w:w="1273" w:type="pct"/>
            <w:shd w:val="clear" w:color="auto" w:fill="auto"/>
            <w:noWrap/>
            <w:vAlign w:val="center"/>
          </w:tcPr>
          <w:p w14:paraId="1A4C43D6"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kurjavo</w:t>
            </w:r>
          </w:p>
        </w:tc>
        <w:tc>
          <w:tcPr>
            <w:tcW w:w="311" w:type="pct"/>
            <w:vAlign w:val="center"/>
          </w:tcPr>
          <w:p w14:paraId="7AD3339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114</w:t>
            </w:r>
          </w:p>
        </w:tc>
        <w:tc>
          <w:tcPr>
            <w:tcW w:w="311" w:type="pct"/>
            <w:vAlign w:val="center"/>
          </w:tcPr>
          <w:p w14:paraId="136F39A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136</w:t>
            </w:r>
          </w:p>
        </w:tc>
        <w:tc>
          <w:tcPr>
            <w:tcW w:w="311" w:type="pct"/>
            <w:vAlign w:val="center"/>
          </w:tcPr>
          <w:p w14:paraId="2D041AB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177</w:t>
            </w:r>
          </w:p>
        </w:tc>
        <w:tc>
          <w:tcPr>
            <w:tcW w:w="311" w:type="pct"/>
            <w:vAlign w:val="center"/>
          </w:tcPr>
          <w:p w14:paraId="118247F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192</w:t>
            </w:r>
          </w:p>
        </w:tc>
        <w:tc>
          <w:tcPr>
            <w:tcW w:w="311" w:type="pct"/>
            <w:vAlign w:val="center"/>
          </w:tcPr>
          <w:p w14:paraId="4E0F5B8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194</w:t>
            </w:r>
          </w:p>
        </w:tc>
        <w:tc>
          <w:tcPr>
            <w:tcW w:w="311" w:type="pct"/>
            <w:vAlign w:val="center"/>
          </w:tcPr>
          <w:p w14:paraId="3E37BFA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224</w:t>
            </w:r>
          </w:p>
        </w:tc>
        <w:tc>
          <w:tcPr>
            <w:tcW w:w="311" w:type="pct"/>
            <w:vAlign w:val="center"/>
          </w:tcPr>
          <w:p w14:paraId="7BC079E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225</w:t>
            </w:r>
          </w:p>
        </w:tc>
        <w:tc>
          <w:tcPr>
            <w:tcW w:w="311" w:type="pct"/>
            <w:vAlign w:val="center"/>
          </w:tcPr>
          <w:p w14:paraId="2211860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200</w:t>
            </w:r>
          </w:p>
        </w:tc>
        <w:tc>
          <w:tcPr>
            <w:tcW w:w="311" w:type="pct"/>
            <w:vAlign w:val="center"/>
          </w:tcPr>
          <w:p w14:paraId="154ED49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170</w:t>
            </w:r>
          </w:p>
        </w:tc>
        <w:tc>
          <w:tcPr>
            <w:tcW w:w="311" w:type="pct"/>
            <w:vAlign w:val="center"/>
          </w:tcPr>
          <w:p w14:paraId="0C3D905A"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220</w:t>
            </w:r>
          </w:p>
        </w:tc>
        <w:tc>
          <w:tcPr>
            <w:tcW w:w="311" w:type="pct"/>
            <w:vAlign w:val="center"/>
          </w:tcPr>
          <w:p w14:paraId="30D77FB9"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163</w:t>
            </w:r>
          </w:p>
        </w:tc>
        <w:tc>
          <w:tcPr>
            <w:tcW w:w="311" w:type="pct"/>
            <w:vAlign w:val="center"/>
          </w:tcPr>
          <w:p w14:paraId="564BAA6E"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135</w:t>
            </w:r>
          </w:p>
        </w:tc>
      </w:tr>
      <w:tr w:rsidR="004E1D9A" w:rsidRPr="004E1D9A" w14:paraId="46B8A35E" w14:textId="77777777" w:rsidTr="004E1D9A">
        <w:trPr>
          <w:trHeight w:hRule="exact" w:val="255"/>
        </w:trPr>
        <w:tc>
          <w:tcPr>
            <w:tcW w:w="1273" w:type="pct"/>
            <w:shd w:val="clear" w:color="auto" w:fill="C6D9F1" w:themeFill="text2" w:themeFillTint="33"/>
            <w:noWrap/>
            <w:vAlign w:val="center"/>
          </w:tcPr>
          <w:p w14:paraId="46FF3B3E"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Skupaj</w:t>
            </w:r>
          </w:p>
        </w:tc>
        <w:tc>
          <w:tcPr>
            <w:tcW w:w="311" w:type="pct"/>
            <w:shd w:val="clear" w:color="auto" w:fill="C6D9F1" w:themeFill="text2" w:themeFillTint="33"/>
            <w:vAlign w:val="center"/>
          </w:tcPr>
          <w:p w14:paraId="48909A6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1.582</w:t>
            </w:r>
          </w:p>
        </w:tc>
        <w:tc>
          <w:tcPr>
            <w:tcW w:w="311" w:type="pct"/>
            <w:shd w:val="clear" w:color="auto" w:fill="C6D9F1" w:themeFill="text2" w:themeFillTint="33"/>
            <w:vAlign w:val="center"/>
          </w:tcPr>
          <w:p w14:paraId="6E805C4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1.555</w:t>
            </w:r>
          </w:p>
        </w:tc>
        <w:tc>
          <w:tcPr>
            <w:tcW w:w="311" w:type="pct"/>
            <w:shd w:val="clear" w:color="auto" w:fill="C6D9F1" w:themeFill="text2" w:themeFillTint="33"/>
            <w:vAlign w:val="center"/>
          </w:tcPr>
          <w:p w14:paraId="4D61CB9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1.759</w:t>
            </w:r>
          </w:p>
        </w:tc>
        <w:tc>
          <w:tcPr>
            <w:tcW w:w="311" w:type="pct"/>
            <w:shd w:val="clear" w:color="auto" w:fill="C6D9F1" w:themeFill="text2" w:themeFillTint="33"/>
            <w:vAlign w:val="center"/>
          </w:tcPr>
          <w:p w14:paraId="3BCD378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1.855</w:t>
            </w:r>
          </w:p>
        </w:tc>
        <w:tc>
          <w:tcPr>
            <w:tcW w:w="311" w:type="pct"/>
            <w:shd w:val="clear" w:color="auto" w:fill="C6D9F1" w:themeFill="text2" w:themeFillTint="33"/>
            <w:vAlign w:val="center"/>
          </w:tcPr>
          <w:p w14:paraId="4AD8FD2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1.915</w:t>
            </w:r>
          </w:p>
        </w:tc>
        <w:tc>
          <w:tcPr>
            <w:tcW w:w="311" w:type="pct"/>
            <w:shd w:val="clear" w:color="auto" w:fill="C6D9F1" w:themeFill="text2" w:themeFillTint="33"/>
            <w:vAlign w:val="center"/>
          </w:tcPr>
          <w:p w14:paraId="0175A93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2.787</w:t>
            </w:r>
          </w:p>
        </w:tc>
        <w:tc>
          <w:tcPr>
            <w:tcW w:w="311" w:type="pct"/>
            <w:shd w:val="clear" w:color="auto" w:fill="C6D9F1" w:themeFill="text2" w:themeFillTint="33"/>
            <w:vAlign w:val="center"/>
          </w:tcPr>
          <w:p w14:paraId="19E8DB0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3.085</w:t>
            </w:r>
          </w:p>
        </w:tc>
        <w:tc>
          <w:tcPr>
            <w:tcW w:w="311" w:type="pct"/>
            <w:shd w:val="clear" w:color="auto" w:fill="C6D9F1" w:themeFill="text2" w:themeFillTint="33"/>
            <w:vAlign w:val="center"/>
          </w:tcPr>
          <w:p w14:paraId="15284D2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3.513</w:t>
            </w:r>
          </w:p>
        </w:tc>
        <w:tc>
          <w:tcPr>
            <w:tcW w:w="311" w:type="pct"/>
            <w:shd w:val="clear" w:color="auto" w:fill="C6D9F1" w:themeFill="text2" w:themeFillTint="33"/>
            <w:vAlign w:val="center"/>
          </w:tcPr>
          <w:p w14:paraId="4625995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2.922</w:t>
            </w:r>
          </w:p>
        </w:tc>
        <w:tc>
          <w:tcPr>
            <w:tcW w:w="311" w:type="pct"/>
            <w:shd w:val="clear" w:color="auto" w:fill="C6D9F1" w:themeFill="text2" w:themeFillTint="33"/>
            <w:vAlign w:val="center"/>
          </w:tcPr>
          <w:p w14:paraId="2B77921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3.466</w:t>
            </w:r>
          </w:p>
        </w:tc>
        <w:tc>
          <w:tcPr>
            <w:tcW w:w="311" w:type="pct"/>
            <w:shd w:val="clear" w:color="auto" w:fill="C6D9F1" w:themeFill="text2" w:themeFillTint="33"/>
            <w:vAlign w:val="center"/>
          </w:tcPr>
          <w:p w14:paraId="252BDCBD"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1.798</w:t>
            </w:r>
          </w:p>
        </w:tc>
        <w:tc>
          <w:tcPr>
            <w:tcW w:w="311" w:type="pct"/>
            <w:shd w:val="clear" w:color="auto" w:fill="C6D9F1" w:themeFill="text2" w:themeFillTint="33"/>
            <w:vAlign w:val="center"/>
          </w:tcPr>
          <w:p w14:paraId="1EBFFF7A"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2.120</w:t>
            </w:r>
          </w:p>
        </w:tc>
      </w:tr>
      <w:tr w:rsidR="004E1D9A" w:rsidRPr="004E1D9A" w14:paraId="4B23968B" w14:textId="77777777" w:rsidTr="004E1D9A">
        <w:trPr>
          <w:trHeight w:hRule="exact" w:val="255"/>
        </w:trPr>
        <w:tc>
          <w:tcPr>
            <w:tcW w:w="1273" w:type="pct"/>
            <w:shd w:val="clear" w:color="auto" w:fill="C6D9F1" w:themeFill="text2" w:themeFillTint="33"/>
            <w:noWrap/>
            <w:vAlign w:val="center"/>
          </w:tcPr>
          <w:p w14:paraId="346021E5"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Listavci</w:t>
            </w:r>
          </w:p>
        </w:tc>
        <w:tc>
          <w:tcPr>
            <w:tcW w:w="311" w:type="pct"/>
            <w:shd w:val="clear" w:color="auto" w:fill="C6D9F1" w:themeFill="text2" w:themeFillTint="33"/>
            <w:vAlign w:val="center"/>
          </w:tcPr>
          <w:p w14:paraId="67011260"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2F2AD1F4"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18C558C2"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65EAB928"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78CE1396"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14D25C74"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65318476"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37B39728"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7FBAAFC5"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37F61B64"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7785AAB5" w14:textId="77777777" w:rsidR="004E1D9A" w:rsidRPr="004E1D9A" w:rsidRDefault="004E1D9A" w:rsidP="004E1D9A">
            <w:pPr>
              <w:keepNext/>
              <w:keepLines/>
              <w:spacing w:before="0" w:line="240" w:lineRule="auto"/>
              <w:jc w:val="center"/>
              <w:rPr>
                <w:sz w:val="18"/>
                <w:szCs w:val="18"/>
                <w:lang w:eastAsia="sl-SI"/>
              </w:rPr>
            </w:pPr>
          </w:p>
        </w:tc>
        <w:tc>
          <w:tcPr>
            <w:tcW w:w="311" w:type="pct"/>
            <w:shd w:val="clear" w:color="auto" w:fill="C6D9F1" w:themeFill="text2" w:themeFillTint="33"/>
            <w:vAlign w:val="center"/>
          </w:tcPr>
          <w:p w14:paraId="5DF2EAB9" w14:textId="77777777" w:rsidR="004E1D9A" w:rsidRPr="004E1D9A" w:rsidRDefault="004E1D9A" w:rsidP="004E1D9A">
            <w:pPr>
              <w:keepNext/>
              <w:keepLines/>
              <w:spacing w:before="0" w:line="240" w:lineRule="auto"/>
              <w:jc w:val="center"/>
              <w:rPr>
                <w:sz w:val="18"/>
                <w:szCs w:val="18"/>
                <w:lang w:eastAsia="sl-SI"/>
              </w:rPr>
            </w:pPr>
          </w:p>
        </w:tc>
      </w:tr>
      <w:tr w:rsidR="004E1D9A" w:rsidRPr="004E1D9A" w14:paraId="49902534" w14:textId="77777777" w:rsidTr="004E1D9A">
        <w:trPr>
          <w:trHeight w:hRule="exact" w:val="255"/>
        </w:trPr>
        <w:tc>
          <w:tcPr>
            <w:tcW w:w="1273" w:type="pct"/>
            <w:shd w:val="clear" w:color="auto" w:fill="auto"/>
            <w:noWrap/>
            <w:vAlign w:val="center"/>
          </w:tcPr>
          <w:p w14:paraId="2F533C72"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Hlodovina</w:t>
            </w:r>
          </w:p>
        </w:tc>
        <w:tc>
          <w:tcPr>
            <w:tcW w:w="311" w:type="pct"/>
            <w:vAlign w:val="center"/>
          </w:tcPr>
          <w:p w14:paraId="2742B51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301</w:t>
            </w:r>
          </w:p>
        </w:tc>
        <w:tc>
          <w:tcPr>
            <w:tcW w:w="311" w:type="pct"/>
            <w:vAlign w:val="center"/>
          </w:tcPr>
          <w:p w14:paraId="452AC8E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272</w:t>
            </w:r>
          </w:p>
        </w:tc>
        <w:tc>
          <w:tcPr>
            <w:tcW w:w="311" w:type="pct"/>
            <w:vAlign w:val="center"/>
          </w:tcPr>
          <w:p w14:paraId="1569A4E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284</w:t>
            </w:r>
          </w:p>
        </w:tc>
        <w:tc>
          <w:tcPr>
            <w:tcW w:w="311" w:type="pct"/>
            <w:vAlign w:val="center"/>
          </w:tcPr>
          <w:p w14:paraId="10E6FB3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252</w:t>
            </w:r>
          </w:p>
        </w:tc>
        <w:tc>
          <w:tcPr>
            <w:tcW w:w="311" w:type="pct"/>
            <w:vAlign w:val="center"/>
          </w:tcPr>
          <w:p w14:paraId="0841598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266</w:t>
            </w:r>
          </w:p>
        </w:tc>
        <w:tc>
          <w:tcPr>
            <w:tcW w:w="311" w:type="pct"/>
            <w:vAlign w:val="center"/>
          </w:tcPr>
          <w:p w14:paraId="4E139DDA"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303</w:t>
            </w:r>
          </w:p>
        </w:tc>
        <w:tc>
          <w:tcPr>
            <w:tcW w:w="311" w:type="pct"/>
            <w:vAlign w:val="center"/>
          </w:tcPr>
          <w:p w14:paraId="619B94E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321</w:t>
            </w:r>
          </w:p>
        </w:tc>
        <w:tc>
          <w:tcPr>
            <w:tcW w:w="311" w:type="pct"/>
            <w:vAlign w:val="center"/>
          </w:tcPr>
          <w:p w14:paraId="28AD350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329</w:t>
            </w:r>
          </w:p>
        </w:tc>
        <w:tc>
          <w:tcPr>
            <w:tcW w:w="311" w:type="pct"/>
            <w:vAlign w:val="center"/>
          </w:tcPr>
          <w:p w14:paraId="17D8C4E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295</w:t>
            </w:r>
          </w:p>
        </w:tc>
        <w:tc>
          <w:tcPr>
            <w:tcW w:w="311" w:type="pct"/>
            <w:vAlign w:val="center"/>
          </w:tcPr>
          <w:p w14:paraId="7205DC6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280</w:t>
            </w:r>
          </w:p>
        </w:tc>
        <w:tc>
          <w:tcPr>
            <w:tcW w:w="311" w:type="pct"/>
            <w:vAlign w:val="center"/>
          </w:tcPr>
          <w:p w14:paraId="65E648FE"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352</w:t>
            </w:r>
          </w:p>
        </w:tc>
        <w:tc>
          <w:tcPr>
            <w:tcW w:w="311" w:type="pct"/>
            <w:vAlign w:val="center"/>
          </w:tcPr>
          <w:p w14:paraId="4E8B1ACE"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348</w:t>
            </w:r>
          </w:p>
        </w:tc>
      </w:tr>
      <w:tr w:rsidR="004E1D9A" w:rsidRPr="004E1D9A" w14:paraId="190E5C9A" w14:textId="77777777" w:rsidTr="004E1D9A">
        <w:trPr>
          <w:trHeight w:hRule="exact" w:val="255"/>
        </w:trPr>
        <w:tc>
          <w:tcPr>
            <w:tcW w:w="1273" w:type="pct"/>
            <w:shd w:val="clear" w:color="auto" w:fill="auto"/>
            <w:noWrap/>
            <w:vAlign w:val="center"/>
          </w:tcPr>
          <w:p w14:paraId="39F029F6"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celulozo in plošče</w:t>
            </w:r>
          </w:p>
        </w:tc>
        <w:tc>
          <w:tcPr>
            <w:tcW w:w="311" w:type="pct"/>
            <w:vAlign w:val="center"/>
          </w:tcPr>
          <w:p w14:paraId="4D8695B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159</w:t>
            </w:r>
          </w:p>
        </w:tc>
        <w:tc>
          <w:tcPr>
            <w:tcW w:w="311" w:type="pct"/>
            <w:vAlign w:val="center"/>
          </w:tcPr>
          <w:p w14:paraId="3F295A2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129</w:t>
            </w:r>
          </w:p>
        </w:tc>
        <w:tc>
          <w:tcPr>
            <w:tcW w:w="311" w:type="pct"/>
            <w:vAlign w:val="center"/>
          </w:tcPr>
          <w:p w14:paraId="3075570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158</w:t>
            </w:r>
          </w:p>
        </w:tc>
        <w:tc>
          <w:tcPr>
            <w:tcW w:w="311" w:type="pct"/>
            <w:vAlign w:val="center"/>
          </w:tcPr>
          <w:p w14:paraId="20976EF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302</w:t>
            </w:r>
          </w:p>
        </w:tc>
        <w:tc>
          <w:tcPr>
            <w:tcW w:w="311" w:type="pct"/>
            <w:vAlign w:val="center"/>
          </w:tcPr>
          <w:p w14:paraId="6C89F7D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241</w:t>
            </w:r>
          </w:p>
        </w:tc>
        <w:tc>
          <w:tcPr>
            <w:tcW w:w="311" w:type="pct"/>
            <w:vAlign w:val="center"/>
          </w:tcPr>
          <w:p w14:paraId="03F6C13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581</w:t>
            </w:r>
          </w:p>
        </w:tc>
        <w:tc>
          <w:tcPr>
            <w:tcW w:w="311" w:type="pct"/>
            <w:vAlign w:val="center"/>
          </w:tcPr>
          <w:p w14:paraId="2C5F0C0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595</w:t>
            </w:r>
          </w:p>
        </w:tc>
        <w:tc>
          <w:tcPr>
            <w:tcW w:w="311" w:type="pct"/>
            <w:vAlign w:val="center"/>
          </w:tcPr>
          <w:p w14:paraId="555E745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438</w:t>
            </w:r>
          </w:p>
        </w:tc>
        <w:tc>
          <w:tcPr>
            <w:tcW w:w="311" w:type="pct"/>
            <w:vAlign w:val="center"/>
          </w:tcPr>
          <w:p w14:paraId="23A10B3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400</w:t>
            </w:r>
          </w:p>
        </w:tc>
        <w:tc>
          <w:tcPr>
            <w:tcW w:w="311" w:type="pct"/>
            <w:vAlign w:val="center"/>
          </w:tcPr>
          <w:p w14:paraId="7438E56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366</w:t>
            </w:r>
          </w:p>
        </w:tc>
        <w:tc>
          <w:tcPr>
            <w:tcW w:w="311" w:type="pct"/>
            <w:vAlign w:val="center"/>
          </w:tcPr>
          <w:p w14:paraId="45C54369"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500</w:t>
            </w:r>
          </w:p>
        </w:tc>
        <w:tc>
          <w:tcPr>
            <w:tcW w:w="311" w:type="pct"/>
            <w:vAlign w:val="center"/>
          </w:tcPr>
          <w:p w14:paraId="3BB7E664"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479</w:t>
            </w:r>
          </w:p>
        </w:tc>
      </w:tr>
      <w:tr w:rsidR="004E1D9A" w:rsidRPr="004E1D9A" w14:paraId="12BCC447" w14:textId="77777777" w:rsidTr="004E1D9A">
        <w:trPr>
          <w:trHeight w:hRule="exact" w:val="255"/>
        </w:trPr>
        <w:tc>
          <w:tcPr>
            <w:tcW w:w="1273" w:type="pct"/>
            <w:shd w:val="clear" w:color="auto" w:fill="auto"/>
            <w:noWrap/>
            <w:vAlign w:val="center"/>
          </w:tcPr>
          <w:p w14:paraId="5703445B"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Drug okrogel industrijski les</w:t>
            </w:r>
          </w:p>
        </w:tc>
        <w:tc>
          <w:tcPr>
            <w:tcW w:w="311" w:type="pct"/>
            <w:vAlign w:val="center"/>
          </w:tcPr>
          <w:p w14:paraId="33622AA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w:t>
            </w:r>
          </w:p>
        </w:tc>
        <w:tc>
          <w:tcPr>
            <w:tcW w:w="311" w:type="pct"/>
            <w:vAlign w:val="center"/>
          </w:tcPr>
          <w:p w14:paraId="580C23F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21</w:t>
            </w:r>
          </w:p>
        </w:tc>
        <w:tc>
          <w:tcPr>
            <w:tcW w:w="311" w:type="pct"/>
            <w:vAlign w:val="center"/>
          </w:tcPr>
          <w:p w14:paraId="64CC6A8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27</w:t>
            </w:r>
          </w:p>
        </w:tc>
        <w:tc>
          <w:tcPr>
            <w:tcW w:w="311" w:type="pct"/>
            <w:vAlign w:val="center"/>
          </w:tcPr>
          <w:p w14:paraId="111FDF4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23</w:t>
            </w:r>
          </w:p>
        </w:tc>
        <w:tc>
          <w:tcPr>
            <w:tcW w:w="311" w:type="pct"/>
            <w:vAlign w:val="center"/>
          </w:tcPr>
          <w:p w14:paraId="0EC4F0D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79</w:t>
            </w:r>
          </w:p>
        </w:tc>
        <w:tc>
          <w:tcPr>
            <w:tcW w:w="311" w:type="pct"/>
            <w:vAlign w:val="center"/>
          </w:tcPr>
          <w:p w14:paraId="345870B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106</w:t>
            </w:r>
          </w:p>
        </w:tc>
        <w:tc>
          <w:tcPr>
            <w:tcW w:w="311" w:type="pct"/>
            <w:vAlign w:val="center"/>
          </w:tcPr>
          <w:p w14:paraId="3FE861E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77</w:t>
            </w:r>
          </w:p>
        </w:tc>
        <w:tc>
          <w:tcPr>
            <w:tcW w:w="311" w:type="pct"/>
            <w:vAlign w:val="center"/>
          </w:tcPr>
          <w:p w14:paraId="510019A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60</w:t>
            </w:r>
          </w:p>
        </w:tc>
        <w:tc>
          <w:tcPr>
            <w:tcW w:w="311" w:type="pct"/>
            <w:vAlign w:val="center"/>
          </w:tcPr>
          <w:p w14:paraId="0BE513D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50</w:t>
            </w:r>
          </w:p>
        </w:tc>
        <w:tc>
          <w:tcPr>
            <w:tcW w:w="311" w:type="pct"/>
            <w:vAlign w:val="center"/>
          </w:tcPr>
          <w:p w14:paraId="6E37798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55</w:t>
            </w:r>
          </w:p>
        </w:tc>
        <w:tc>
          <w:tcPr>
            <w:tcW w:w="311" w:type="pct"/>
            <w:vAlign w:val="center"/>
          </w:tcPr>
          <w:p w14:paraId="613DCFA9"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47</w:t>
            </w:r>
          </w:p>
        </w:tc>
        <w:tc>
          <w:tcPr>
            <w:tcW w:w="311" w:type="pct"/>
            <w:vAlign w:val="center"/>
          </w:tcPr>
          <w:p w14:paraId="1B547943"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47</w:t>
            </w:r>
          </w:p>
        </w:tc>
      </w:tr>
      <w:tr w:rsidR="004E1D9A" w:rsidRPr="004E1D9A" w14:paraId="0F9F181F" w14:textId="77777777" w:rsidTr="004E1D9A">
        <w:trPr>
          <w:trHeight w:hRule="exact" w:val="255"/>
        </w:trPr>
        <w:tc>
          <w:tcPr>
            <w:tcW w:w="1273" w:type="pct"/>
            <w:shd w:val="clear" w:color="auto" w:fill="auto"/>
            <w:noWrap/>
            <w:vAlign w:val="center"/>
          </w:tcPr>
          <w:p w14:paraId="6EC28F76"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kurjavo</w:t>
            </w:r>
          </w:p>
        </w:tc>
        <w:tc>
          <w:tcPr>
            <w:tcW w:w="311" w:type="pct"/>
            <w:vAlign w:val="center"/>
          </w:tcPr>
          <w:p w14:paraId="3906A07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869</w:t>
            </w:r>
          </w:p>
        </w:tc>
        <w:tc>
          <w:tcPr>
            <w:tcW w:w="311" w:type="pct"/>
            <w:vAlign w:val="center"/>
          </w:tcPr>
          <w:p w14:paraId="4E4800E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968</w:t>
            </w:r>
          </w:p>
        </w:tc>
        <w:tc>
          <w:tcPr>
            <w:tcW w:w="311" w:type="pct"/>
            <w:vAlign w:val="center"/>
          </w:tcPr>
          <w:p w14:paraId="3B58674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1.159</w:t>
            </w:r>
          </w:p>
        </w:tc>
        <w:tc>
          <w:tcPr>
            <w:tcW w:w="311" w:type="pct"/>
            <w:vAlign w:val="center"/>
          </w:tcPr>
          <w:p w14:paraId="497FE1B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1.009</w:t>
            </w:r>
          </w:p>
        </w:tc>
        <w:tc>
          <w:tcPr>
            <w:tcW w:w="311" w:type="pct"/>
            <w:vAlign w:val="center"/>
          </w:tcPr>
          <w:p w14:paraId="4A0232A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1.013</w:t>
            </w:r>
          </w:p>
        </w:tc>
        <w:tc>
          <w:tcPr>
            <w:tcW w:w="311" w:type="pct"/>
            <w:vAlign w:val="center"/>
          </w:tcPr>
          <w:p w14:paraId="515DBAA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1.476</w:t>
            </w:r>
          </w:p>
        </w:tc>
        <w:tc>
          <w:tcPr>
            <w:tcW w:w="311" w:type="pct"/>
            <w:vAlign w:val="center"/>
          </w:tcPr>
          <w:p w14:paraId="13CDB8C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1.106</w:t>
            </w:r>
          </w:p>
        </w:tc>
        <w:tc>
          <w:tcPr>
            <w:tcW w:w="311" w:type="pct"/>
            <w:vAlign w:val="center"/>
          </w:tcPr>
          <w:p w14:paraId="5635D77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1.162</w:t>
            </w:r>
          </w:p>
        </w:tc>
        <w:tc>
          <w:tcPr>
            <w:tcW w:w="311" w:type="pct"/>
            <w:vAlign w:val="center"/>
          </w:tcPr>
          <w:p w14:paraId="6A9907F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943</w:t>
            </w:r>
          </w:p>
        </w:tc>
        <w:tc>
          <w:tcPr>
            <w:tcW w:w="311" w:type="pct"/>
            <w:vAlign w:val="center"/>
          </w:tcPr>
          <w:p w14:paraId="0BD4617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979</w:t>
            </w:r>
          </w:p>
        </w:tc>
        <w:tc>
          <w:tcPr>
            <w:tcW w:w="311" w:type="pct"/>
            <w:vAlign w:val="center"/>
          </w:tcPr>
          <w:p w14:paraId="6DAC8D17"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1.032</w:t>
            </w:r>
          </w:p>
        </w:tc>
        <w:tc>
          <w:tcPr>
            <w:tcW w:w="311" w:type="pct"/>
            <w:vAlign w:val="center"/>
          </w:tcPr>
          <w:p w14:paraId="0FAD8A4B"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1.013</w:t>
            </w:r>
          </w:p>
        </w:tc>
      </w:tr>
      <w:tr w:rsidR="004E1D9A" w:rsidRPr="004E1D9A" w14:paraId="612FD464" w14:textId="77777777" w:rsidTr="004E1D9A">
        <w:trPr>
          <w:trHeight w:hRule="exact" w:val="255"/>
        </w:trPr>
        <w:tc>
          <w:tcPr>
            <w:tcW w:w="1273" w:type="pct"/>
            <w:shd w:val="clear" w:color="auto" w:fill="C6D9F1" w:themeFill="text2" w:themeFillTint="33"/>
            <w:noWrap/>
            <w:vAlign w:val="center"/>
          </w:tcPr>
          <w:p w14:paraId="656D0B91"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Skupaj</w:t>
            </w:r>
          </w:p>
        </w:tc>
        <w:tc>
          <w:tcPr>
            <w:tcW w:w="311" w:type="pct"/>
            <w:shd w:val="clear" w:color="auto" w:fill="C6D9F1" w:themeFill="text2" w:themeFillTint="33"/>
            <w:vAlign w:val="center"/>
          </w:tcPr>
          <w:p w14:paraId="23619D4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1.348</w:t>
            </w:r>
          </w:p>
        </w:tc>
        <w:tc>
          <w:tcPr>
            <w:tcW w:w="311" w:type="pct"/>
            <w:shd w:val="clear" w:color="auto" w:fill="C6D9F1" w:themeFill="text2" w:themeFillTint="33"/>
            <w:vAlign w:val="center"/>
          </w:tcPr>
          <w:p w14:paraId="72DAAFC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1.390</w:t>
            </w:r>
          </w:p>
        </w:tc>
        <w:tc>
          <w:tcPr>
            <w:tcW w:w="311" w:type="pct"/>
            <w:shd w:val="clear" w:color="auto" w:fill="C6D9F1" w:themeFill="text2" w:themeFillTint="33"/>
            <w:vAlign w:val="center"/>
          </w:tcPr>
          <w:p w14:paraId="4A97994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1.629</w:t>
            </w:r>
          </w:p>
        </w:tc>
        <w:tc>
          <w:tcPr>
            <w:tcW w:w="311" w:type="pct"/>
            <w:shd w:val="clear" w:color="auto" w:fill="C6D9F1" w:themeFill="text2" w:themeFillTint="33"/>
            <w:vAlign w:val="center"/>
          </w:tcPr>
          <w:p w14:paraId="34E0F79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1.586</w:t>
            </w:r>
          </w:p>
        </w:tc>
        <w:tc>
          <w:tcPr>
            <w:tcW w:w="311" w:type="pct"/>
            <w:shd w:val="clear" w:color="auto" w:fill="C6D9F1" w:themeFill="text2" w:themeFillTint="33"/>
            <w:vAlign w:val="center"/>
          </w:tcPr>
          <w:p w14:paraId="3588174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1.599</w:t>
            </w:r>
          </w:p>
        </w:tc>
        <w:tc>
          <w:tcPr>
            <w:tcW w:w="311" w:type="pct"/>
            <w:shd w:val="clear" w:color="auto" w:fill="C6D9F1" w:themeFill="text2" w:themeFillTint="33"/>
            <w:vAlign w:val="center"/>
          </w:tcPr>
          <w:p w14:paraId="40F2D9F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2.465</w:t>
            </w:r>
          </w:p>
        </w:tc>
        <w:tc>
          <w:tcPr>
            <w:tcW w:w="311" w:type="pct"/>
            <w:shd w:val="clear" w:color="auto" w:fill="C6D9F1" w:themeFill="text2" w:themeFillTint="33"/>
            <w:vAlign w:val="center"/>
          </w:tcPr>
          <w:p w14:paraId="3F9F946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2.099</w:t>
            </w:r>
          </w:p>
        </w:tc>
        <w:tc>
          <w:tcPr>
            <w:tcW w:w="311" w:type="pct"/>
            <w:shd w:val="clear" w:color="auto" w:fill="C6D9F1" w:themeFill="text2" w:themeFillTint="33"/>
            <w:vAlign w:val="center"/>
          </w:tcPr>
          <w:p w14:paraId="680DAA9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1.988</w:t>
            </w:r>
          </w:p>
        </w:tc>
        <w:tc>
          <w:tcPr>
            <w:tcW w:w="311" w:type="pct"/>
            <w:shd w:val="clear" w:color="auto" w:fill="C6D9F1" w:themeFill="text2" w:themeFillTint="33"/>
            <w:vAlign w:val="center"/>
          </w:tcPr>
          <w:p w14:paraId="6F56DF1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1.688</w:t>
            </w:r>
          </w:p>
        </w:tc>
        <w:tc>
          <w:tcPr>
            <w:tcW w:w="311" w:type="pct"/>
            <w:shd w:val="clear" w:color="auto" w:fill="C6D9F1" w:themeFill="text2" w:themeFillTint="33"/>
            <w:vAlign w:val="center"/>
          </w:tcPr>
          <w:p w14:paraId="72B8521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1.680</w:t>
            </w:r>
          </w:p>
        </w:tc>
        <w:tc>
          <w:tcPr>
            <w:tcW w:w="311" w:type="pct"/>
            <w:shd w:val="clear" w:color="auto" w:fill="C6D9F1" w:themeFill="text2" w:themeFillTint="33"/>
            <w:vAlign w:val="center"/>
          </w:tcPr>
          <w:p w14:paraId="2431F7C7"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1.931</w:t>
            </w:r>
          </w:p>
        </w:tc>
        <w:tc>
          <w:tcPr>
            <w:tcW w:w="311" w:type="pct"/>
            <w:shd w:val="clear" w:color="auto" w:fill="C6D9F1" w:themeFill="text2" w:themeFillTint="33"/>
            <w:vAlign w:val="center"/>
          </w:tcPr>
          <w:p w14:paraId="2BFB426B"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1.887</w:t>
            </w:r>
          </w:p>
        </w:tc>
      </w:tr>
      <w:tr w:rsidR="004E1D9A" w:rsidRPr="004E1D9A" w14:paraId="1CE366A0" w14:textId="77777777" w:rsidTr="004E1D9A">
        <w:trPr>
          <w:trHeight w:hRule="exact" w:val="255"/>
        </w:trPr>
        <w:tc>
          <w:tcPr>
            <w:tcW w:w="1273" w:type="pct"/>
            <w:shd w:val="clear" w:color="auto" w:fill="C6D9F1" w:themeFill="text2" w:themeFillTint="33"/>
            <w:noWrap/>
            <w:vAlign w:val="center"/>
          </w:tcPr>
          <w:p w14:paraId="02F3F226"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Iglavci in listavci</w:t>
            </w:r>
          </w:p>
        </w:tc>
        <w:tc>
          <w:tcPr>
            <w:tcW w:w="311" w:type="pct"/>
            <w:shd w:val="clear" w:color="auto" w:fill="C6D9F1" w:themeFill="text2" w:themeFillTint="33"/>
            <w:vAlign w:val="center"/>
          </w:tcPr>
          <w:p w14:paraId="639D4BE8"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2475F4A7"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5C376E54"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5590672E"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1FD3214F"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01B1A620"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173EC59C"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5E2FBD0D"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68748239"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58B4B121" w14:textId="77777777" w:rsidR="004E1D9A" w:rsidRPr="004E1D9A" w:rsidRDefault="004E1D9A" w:rsidP="004E1D9A">
            <w:pPr>
              <w:keepNext/>
              <w:keepLines/>
              <w:spacing w:before="0" w:line="240" w:lineRule="auto"/>
              <w:jc w:val="right"/>
              <w:rPr>
                <w:sz w:val="18"/>
                <w:szCs w:val="18"/>
                <w:lang w:eastAsia="sl-SI"/>
              </w:rPr>
            </w:pPr>
          </w:p>
        </w:tc>
        <w:tc>
          <w:tcPr>
            <w:tcW w:w="311" w:type="pct"/>
            <w:shd w:val="clear" w:color="auto" w:fill="C6D9F1" w:themeFill="text2" w:themeFillTint="33"/>
            <w:vAlign w:val="center"/>
          </w:tcPr>
          <w:p w14:paraId="26FC1276" w14:textId="77777777" w:rsidR="004E1D9A" w:rsidRPr="004E1D9A" w:rsidRDefault="004E1D9A" w:rsidP="004E1D9A">
            <w:pPr>
              <w:keepNext/>
              <w:keepLines/>
              <w:spacing w:before="0" w:line="240" w:lineRule="auto"/>
              <w:jc w:val="center"/>
              <w:rPr>
                <w:sz w:val="18"/>
                <w:szCs w:val="18"/>
                <w:lang w:eastAsia="sl-SI"/>
              </w:rPr>
            </w:pPr>
          </w:p>
        </w:tc>
        <w:tc>
          <w:tcPr>
            <w:tcW w:w="311" w:type="pct"/>
            <w:shd w:val="clear" w:color="auto" w:fill="C6D9F1" w:themeFill="text2" w:themeFillTint="33"/>
            <w:vAlign w:val="center"/>
          </w:tcPr>
          <w:p w14:paraId="2F5CF9AE" w14:textId="77777777" w:rsidR="004E1D9A" w:rsidRPr="004E1D9A" w:rsidRDefault="004E1D9A" w:rsidP="004E1D9A">
            <w:pPr>
              <w:keepNext/>
              <w:keepLines/>
              <w:spacing w:before="0" w:line="240" w:lineRule="auto"/>
              <w:jc w:val="center"/>
              <w:rPr>
                <w:sz w:val="18"/>
                <w:szCs w:val="18"/>
                <w:lang w:eastAsia="sl-SI"/>
              </w:rPr>
            </w:pPr>
          </w:p>
        </w:tc>
      </w:tr>
      <w:tr w:rsidR="004E1D9A" w:rsidRPr="004E1D9A" w14:paraId="2AF3CEF0" w14:textId="77777777" w:rsidTr="004E1D9A">
        <w:trPr>
          <w:trHeight w:hRule="exact" w:val="255"/>
        </w:trPr>
        <w:tc>
          <w:tcPr>
            <w:tcW w:w="1273" w:type="pct"/>
            <w:shd w:val="clear" w:color="auto" w:fill="auto"/>
            <w:noWrap/>
            <w:vAlign w:val="center"/>
          </w:tcPr>
          <w:p w14:paraId="5AE4B681"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Hlodovina</w:t>
            </w:r>
          </w:p>
        </w:tc>
        <w:tc>
          <w:tcPr>
            <w:tcW w:w="311" w:type="pct"/>
            <w:vAlign w:val="center"/>
          </w:tcPr>
          <w:p w14:paraId="133A5D6A"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1.514</w:t>
            </w:r>
          </w:p>
        </w:tc>
        <w:tc>
          <w:tcPr>
            <w:tcW w:w="311" w:type="pct"/>
            <w:vAlign w:val="center"/>
          </w:tcPr>
          <w:p w14:paraId="411E6A3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1.452</w:t>
            </w:r>
          </w:p>
        </w:tc>
        <w:tc>
          <w:tcPr>
            <w:tcW w:w="311" w:type="pct"/>
            <w:vAlign w:val="center"/>
          </w:tcPr>
          <w:p w14:paraId="46DDE7D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1.582</w:t>
            </w:r>
          </w:p>
        </w:tc>
        <w:tc>
          <w:tcPr>
            <w:tcW w:w="311" w:type="pct"/>
            <w:vAlign w:val="center"/>
          </w:tcPr>
          <w:p w14:paraId="4A13385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1.641</w:t>
            </w:r>
          </w:p>
        </w:tc>
        <w:tc>
          <w:tcPr>
            <w:tcW w:w="311" w:type="pct"/>
            <w:vAlign w:val="center"/>
          </w:tcPr>
          <w:p w14:paraId="5E64F4E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1.695</w:t>
            </w:r>
          </w:p>
        </w:tc>
        <w:tc>
          <w:tcPr>
            <w:tcW w:w="311" w:type="pct"/>
            <w:vAlign w:val="center"/>
          </w:tcPr>
          <w:p w14:paraId="62156FC8"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2.118</w:t>
            </w:r>
          </w:p>
        </w:tc>
        <w:tc>
          <w:tcPr>
            <w:tcW w:w="311" w:type="pct"/>
            <w:vAlign w:val="center"/>
          </w:tcPr>
          <w:p w14:paraId="6B6E284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2.531</w:t>
            </w:r>
          </w:p>
        </w:tc>
        <w:tc>
          <w:tcPr>
            <w:tcW w:w="311" w:type="pct"/>
            <w:vAlign w:val="center"/>
          </w:tcPr>
          <w:p w14:paraId="7C0BA60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2.989</w:t>
            </w:r>
          </w:p>
        </w:tc>
        <w:tc>
          <w:tcPr>
            <w:tcW w:w="311" w:type="pct"/>
            <w:vAlign w:val="center"/>
          </w:tcPr>
          <w:p w14:paraId="65ED0E9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2.495</w:t>
            </w:r>
          </w:p>
        </w:tc>
        <w:tc>
          <w:tcPr>
            <w:tcW w:w="311" w:type="pct"/>
            <w:vAlign w:val="center"/>
          </w:tcPr>
          <w:p w14:paraId="5256A68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2.833</w:t>
            </w:r>
          </w:p>
        </w:tc>
        <w:tc>
          <w:tcPr>
            <w:tcW w:w="311" w:type="pct"/>
            <w:vAlign w:val="center"/>
          </w:tcPr>
          <w:p w14:paraId="613F6ECB"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2.475</w:t>
            </w:r>
          </w:p>
        </w:tc>
        <w:tc>
          <w:tcPr>
            <w:tcW w:w="311" w:type="pct"/>
            <w:vAlign w:val="center"/>
          </w:tcPr>
          <w:p w14:paraId="598A5536"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1.971</w:t>
            </w:r>
          </w:p>
        </w:tc>
      </w:tr>
      <w:tr w:rsidR="004E1D9A" w:rsidRPr="004E1D9A" w14:paraId="2D913A27" w14:textId="77777777" w:rsidTr="004E1D9A">
        <w:trPr>
          <w:trHeight w:hRule="exact" w:val="255"/>
        </w:trPr>
        <w:tc>
          <w:tcPr>
            <w:tcW w:w="1273" w:type="pct"/>
            <w:shd w:val="clear" w:color="auto" w:fill="auto"/>
            <w:noWrap/>
            <w:vAlign w:val="center"/>
          </w:tcPr>
          <w:p w14:paraId="66568A41"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celulozo in plošče</w:t>
            </w:r>
          </w:p>
        </w:tc>
        <w:tc>
          <w:tcPr>
            <w:tcW w:w="311" w:type="pct"/>
            <w:vAlign w:val="center"/>
          </w:tcPr>
          <w:p w14:paraId="2102BAE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370</w:t>
            </w:r>
          </w:p>
        </w:tc>
        <w:tc>
          <w:tcPr>
            <w:tcW w:w="311" w:type="pct"/>
            <w:vAlign w:val="center"/>
          </w:tcPr>
          <w:p w14:paraId="00C8065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316</w:t>
            </w:r>
          </w:p>
        </w:tc>
        <w:tc>
          <w:tcPr>
            <w:tcW w:w="311" w:type="pct"/>
            <w:vAlign w:val="center"/>
          </w:tcPr>
          <w:p w14:paraId="14A8A8E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380</w:t>
            </w:r>
          </w:p>
        </w:tc>
        <w:tc>
          <w:tcPr>
            <w:tcW w:w="311" w:type="pct"/>
            <w:vAlign w:val="center"/>
          </w:tcPr>
          <w:p w14:paraId="25636EB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534</w:t>
            </w:r>
          </w:p>
        </w:tc>
        <w:tc>
          <w:tcPr>
            <w:tcW w:w="311" w:type="pct"/>
            <w:vAlign w:val="center"/>
          </w:tcPr>
          <w:p w14:paraId="729B69E9"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492</w:t>
            </w:r>
          </w:p>
        </w:tc>
        <w:tc>
          <w:tcPr>
            <w:tcW w:w="311" w:type="pct"/>
            <w:vAlign w:val="center"/>
          </w:tcPr>
          <w:p w14:paraId="4F3B08C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1.215</w:t>
            </w:r>
          </w:p>
        </w:tc>
        <w:tc>
          <w:tcPr>
            <w:tcW w:w="311" w:type="pct"/>
            <w:vAlign w:val="center"/>
          </w:tcPr>
          <w:p w14:paraId="26CC25B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1.145</w:t>
            </w:r>
          </w:p>
        </w:tc>
        <w:tc>
          <w:tcPr>
            <w:tcW w:w="311" w:type="pct"/>
            <w:vAlign w:val="center"/>
          </w:tcPr>
          <w:p w14:paraId="00CEACA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1.016</w:t>
            </w:r>
          </w:p>
        </w:tc>
        <w:tc>
          <w:tcPr>
            <w:tcW w:w="311" w:type="pct"/>
            <w:vAlign w:val="center"/>
          </w:tcPr>
          <w:p w14:paraId="13C242B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932</w:t>
            </w:r>
          </w:p>
        </w:tc>
        <w:tc>
          <w:tcPr>
            <w:tcW w:w="311" w:type="pct"/>
            <w:vAlign w:val="center"/>
          </w:tcPr>
          <w:p w14:paraId="1E86E56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1.025</w:t>
            </w:r>
          </w:p>
        </w:tc>
        <w:tc>
          <w:tcPr>
            <w:tcW w:w="311" w:type="pct"/>
            <w:vAlign w:val="center"/>
          </w:tcPr>
          <w:p w14:paraId="381AEA0F"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992</w:t>
            </w:r>
          </w:p>
        </w:tc>
        <w:tc>
          <w:tcPr>
            <w:tcW w:w="311" w:type="pct"/>
            <w:vAlign w:val="center"/>
          </w:tcPr>
          <w:p w14:paraId="7B921088"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825</w:t>
            </w:r>
          </w:p>
        </w:tc>
      </w:tr>
      <w:tr w:rsidR="004E1D9A" w:rsidRPr="004E1D9A" w14:paraId="5EF646B8" w14:textId="77777777" w:rsidTr="004E1D9A">
        <w:trPr>
          <w:trHeight w:hRule="exact" w:val="255"/>
        </w:trPr>
        <w:tc>
          <w:tcPr>
            <w:tcW w:w="1273" w:type="pct"/>
            <w:shd w:val="clear" w:color="auto" w:fill="auto"/>
            <w:noWrap/>
            <w:vAlign w:val="center"/>
          </w:tcPr>
          <w:p w14:paraId="3770B0AD"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Drug okrogel industrijski les</w:t>
            </w:r>
          </w:p>
        </w:tc>
        <w:tc>
          <w:tcPr>
            <w:tcW w:w="311" w:type="pct"/>
            <w:vAlign w:val="center"/>
          </w:tcPr>
          <w:p w14:paraId="7936B3C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63</w:t>
            </w:r>
          </w:p>
        </w:tc>
        <w:tc>
          <w:tcPr>
            <w:tcW w:w="311" w:type="pct"/>
            <w:vAlign w:val="center"/>
          </w:tcPr>
          <w:p w14:paraId="429B34A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73</w:t>
            </w:r>
          </w:p>
        </w:tc>
        <w:tc>
          <w:tcPr>
            <w:tcW w:w="311" w:type="pct"/>
            <w:vAlign w:val="center"/>
          </w:tcPr>
          <w:p w14:paraId="573FCB6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90</w:t>
            </w:r>
          </w:p>
        </w:tc>
        <w:tc>
          <w:tcPr>
            <w:tcW w:w="311" w:type="pct"/>
            <w:vAlign w:val="center"/>
          </w:tcPr>
          <w:p w14:paraId="456AF50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65</w:t>
            </w:r>
          </w:p>
        </w:tc>
        <w:tc>
          <w:tcPr>
            <w:tcW w:w="311" w:type="pct"/>
            <w:vAlign w:val="center"/>
          </w:tcPr>
          <w:p w14:paraId="3345DEE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121</w:t>
            </w:r>
          </w:p>
        </w:tc>
        <w:tc>
          <w:tcPr>
            <w:tcW w:w="311" w:type="pct"/>
            <w:vAlign w:val="center"/>
          </w:tcPr>
          <w:p w14:paraId="1A8474C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219</w:t>
            </w:r>
          </w:p>
        </w:tc>
        <w:tc>
          <w:tcPr>
            <w:tcW w:w="311" w:type="pct"/>
            <w:vAlign w:val="center"/>
          </w:tcPr>
          <w:p w14:paraId="668170C7"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177</w:t>
            </w:r>
          </w:p>
        </w:tc>
        <w:tc>
          <w:tcPr>
            <w:tcW w:w="311" w:type="pct"/>
            <w:vAlign w:val="center"/>
          </w:tcPr>
          <w:p w14:paraId="0ED064C1"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135</w:t>
            </w:r>
          </w:p>
        </w:tc>
        <w:tc>
          <w:tcPr>
            <w:tcW w:w="311" w:type="pct"/>
            <w:vAlign w:val="center"/>
          </w:tcPr>
          <w:p w14:paraId="6BB5E72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70</w:t>
            </w:r>
          </w:p>
        </w:tc>
        <w:tc>
          <w:tcPr>
            <w:tcW w:w="311" w:type="pct"/>
            <w:vAlign w:val="center"/>
          </w:tcPr>
          <w:p w14:paraId="3C718EF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88</w:t>
            </w:r>
          </w:p>
        </w:tc>
        <w:tc>
          <w:tcPr>
            <w:tcW w:w="311" w:type="pct"/>
            <w:vAlign w:val="center"/>
          </w:tcPr>
          <w:p w14:paraId="6B879F94"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67</w:t>
            </w:r>
          </w:p>
        </w:tc>
        <w:tc>
          <w:tcPr>
            <w:tcW w:w="311" w:type="pct"/>
            <w:vAlign w:val="center"/>
          </w:tcPr>
          <w:p w14:paraId="4D01F3E4"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52</w:t>
            </w:r>
          </w:p>
        </w:tc>
      </w:tr>
      <w:tr w:rsidR="004E1D9A" w:rsidRPr="004E1D9A" w14:paraId="79A3ABB7" w14:textId="77777777" w:rsidTr="004E1D9A">
        <w:trPr>
          <w:trHeight w:hRule="exact" w:val="255"/>
        </w:trPr>
        <w:tc>
          <w:tcPr>
            <w:tcW w:w="1273" w:type="pct"/>
            <w:shd w:val="clear" w:color="auto" w:fill="auto"/>
            <w:noWrap/>
            <w:vAlign w:val="center"/>
          </w:tcPr>
          <w:p w14:paraId="2903F955"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Les za kurjavo</w:t>
            </w:r>
          </w:p>
        </w:tc>
        <w:tc>
          <w:tcPr>
            <w:tcW w:w="311" w:type="pct"/>
            <w:vAlign w:val="center"/>
          </w:tcPr>
          <w:p w14:paraId="1880E85B"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983</w:t>
            </w:r>
          </w:p>
        </w:tc>
        <w:tc>
          <w:tcPr>
            <w:tcW w:w="311" w:type="pct"/>
            <w:vAlign w:val="center"/>
          </w:tcPr>
          <w:p w14:paraId="245EA08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1.104</w:t>
            </w:r>
          </w:p>
        </w:tc>
        <w:tc>
          <w:tcPr>
            <w:tcW w:w="311" w:type="pct"/>
            <w:vAlign w:val="center"/>
          </w:tcPr>
          <w:p w14:paraId="5D425BF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1.336</w:t>
            </w:r>
          </w:p>
        </w:tc>
        <w:tc>
          <w:tcPr>
            <w:tcW w:w="311" w:type="pct"/>
            <w:vAlign w:val="center"/>
          </w:tcPr>
          <w:p w14:paraId="55CE567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1.201</w:t>
            </w:r>
          </w:p>
        </w:tc>
        <w:tc>
          <w:tcPr>
            <w:tcW w:w="311" w:type="pct"/>
            <w:vAlign w:val="center"/>
          </w:tcPr>
          <w:p w14:paraId="67D8D1C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1.207</w:t>
            </w:r>
          </w:p>
        </w:tc>
        <w:tc>
          <w:tcPr>
            <w:tcW w:w="311" w:type="pct"/>
            <w:vAlign w:val="center"/>
          </w:tcPr>
          <w:p w14:paraId="03F39283"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1.700</w:t>
            </w:r>
          </w:p>
        </w:tc>
        <w:tc>
          <w:tcPr>
            <w:tcW w:w="311" w:type="pct"/>
            <w:vAlign w:val="center"/>
          </w:tcPr>
          <w:p w14:paraId="3248645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1.331</w:t>
            </w:r>
          </w:p>
        </w:tc>
        <w:tc>
          <w:tcPr>
            <w:tcW w:w="311" w:type="pct"/>
            <w:vAlign w:val="center"/>
          </w:tcPr>
          <w:p w14:paraId="1E3D17C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1.362</w:t>
            </w:r>
          </w:p>
        </w:tc>
        <w:tc>
          <w:tcPr>
            <w:tcW w:w="311" w:type="pct"/>
            <w:vAlign w:val="center"/>
          </w:tcPr>
          <w:p w14:paraId="28C6B29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1.113</w:t>
            </w:r>
          </w:p>
        </w:tc>
        <w:tc>
          <w:tcPr>
            <w:tcW w:w="311" w:type="pct"/>
            <w:vAlign w:val="center"/>
          </w:tcPr>
          <w:p w14:paraId="69BD4D20"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1.199</w:t>
            </w:r>
          </w:p>
        </w:tc>
        <w:tc>
          <w:tcPr>
            <w:tcW w:w="311" w:type="pct"/>
            <w:vAlign w:val="center"/>
          </w:tcPr>
          <w:p w14:paraId="1E44A669"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1.195</w:t>
            </w:r>
          </w:p>
        </w:tc>
        <w:tc>
          <w:tcPr>
            <w:tcW w:w="311" w:type="pct"/>
            <w:vAlign w:val="center"/>
          </w:tcPr>
          <w:p w14:paraId="4AB0BF32"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1.148</w:t>
            </w:r>
          </w:p>
        </w:tc>
      </w:tr>
      <w:tr w:rsidR="004E1D9A" w:rsidRPr="004E1D9A" w14:paraId="289B437E" w14:textId="77777777" w:rsidTr="004E1D9A">
        <w:trPr>
          <w:trHeight w:hRule="exact" w:val="255"/>
        </w:trPr>
        <w:tc>
          <w:tcPr>
            <w:tcW w:w="1273" w:type="pct"/>
            <w:shd w:val="clear" w:color="auto" w:fill="C6D9F1" w:themeFill="text2" w:themeFillTint="33"/>
            <w:noWrap/>
            <w:vAlign w:val="center"/>
          </w:tcPr>
          <w:p w14:paraId="16FF816C" w14:textId="77777777" w:rsidR="004E1D9A" w:rsidRPr="004E1D9A" w:rsidRDefault="004E1D9A" w:rsidP="004E1D9A">
            <w:pPr>
              <w:keepNext/>
              <w:keepLines/>
              <w:spacing w:before="0" w:line="240" w:lineRule="auto"/>
              <w:jc w:val="left"/>
              <w:rPr>
                <w:sz w:val="18"/>
                <w:szCs w:val="18"/>
                <w:lang w:eastAsia="sl-SI"/>
              </w:rPr>
            </w:pPr>
            <w:r w:rsidRPr="004E1D9A">
              <w:rPr>
                <w:sz w:val="18"/>
                <w:szCs w:val="18"/>
                <w:lang w:eastAsia="sl-SI"/>
              </w:rPr>
              <w:t>Skupaj</w:t>
            </w:r>
          </w:p>
        </w:tc>
        <w:tc>
          <w:tcPr>
            <w:tcW w:w="311" w:type="pct"/>
            <w:shd w:val="clear" w:color="auto" w:fill="C6D9F1" w:themeFill="text2" w:themeFillTint="33"/>
            <w:vAlign w:val="center"/>
          </w:tcPr>
          <w:p w14:paraId="6314BBF6"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2.930</w:t>
            </w:r>
          </w:p>
        </w:tc>
        <w:tc>
          <w:tcPr>
            <w:tcW w:w="311" w:type="pct"/>
            <w:shd w:val="clear" w:color="auto" w:fill="C6D9F1" w:themeFill="text2" w:themeFillTint="33"/>
            <w:vAlign w:val="center"/>
          </w:tcPr>
          <w:p w14:paraId="2D7BC142"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2.945</w:t>
            </w:r>
          </w:p>
        </w:tc>
        <w:tc>
          <w:tcPr>
            <w:tcW w:w="311" w:type="pct"/>
            <w:shd w:val="clear" w:color="auto" w:fill="C6D9F1" w:themeFill="text2" w:themeFillTint="33"/>
            <w:vAlign w:val="center"/>
          </w:tcPr>
          <w:p w14:paraId="7FB1C23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3.388</w:t>
            </w:r>
          </w:p>
        </w:tc>
        <w:tc>
          <w:tcPr>
            <w:tcW w:w="311" w:type="pct"/>
            <w:shd w:val="clear" w:color="auto" w:fill="C6D9F1" w:themeFill="text2" w:themeFillTint="33"/>
            <w:vAlign w:val="center"/>
          </w:tcPr>
          <w:p w14:paraId="61758004"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3.440</w:t>
            </w:r>
          </w:p>
        </w:tc>
        <w:tc>
          <w:tcPr>
            <w:tcW w:w="311" w:type="pct"/>
            <w:shd w:val="clear" w:color="auto" w:fill="C6D9F1" w:themeFill="text2" w:themeFillTint="33"/>
            <w:vAlign w:val="center"/>
          </w:tcPr>
          <w:p w14:paraId="73BCFBD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3.515</w:t>
            </w:r>
          </w:p>
        </w:tc>
        <w:tc>
          <w:tcPr>
            <w:tcW w:w="311" w:type="pct"/>
            <w:shd w:val="clear" w:color="auto" w:fill="C6D9F1" w:themeFill="text2" w:themeFillTint="33"/>
            <w:vAlign w:val="center"/>
          </w:tcPr>
          <w:p w14:paraId="3416072D"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5.252</w:t>
            </w:r>
          </w:p>
        </w:tc>
        <w:tc>
          <w:tcPr>
            <w:tcW w:w="311" w:type="pct"/>
            <w:shd w:val="clear" w:color="auto" w:fill="C6D9F1" w:themeFill="text2" w:themeFillTint="33"/>
            <w:vAlign w:val="center"/>
          </w:tcPr>
          <w:p w14:paraId="4C1E194C"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5.184</w:t>
            </w:r>
          </w:p>
        </w:tc>
        <w:tc>
          <w:tcPr>
            <w:tcW w:w="311" w:type="pct"/>
            <w:shd w:val="clear" w:color="auto" w:fill="C6D9F1" w:themeFill="text2" w:themeFillTint="33"/>
            <w:vAlign w:val="center"/>
          </w:tcPr>
          <w:p w14:paraId="39BD4B2E"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5.501</w:t>
            </w:r>
          </w:p>
        </w:tc>
        <w:tc>
          <w:tcPr>
            <w:tcW w:w="311" w:type="pct"/>
            <w:shd w:val="clear" w:color="auto" w:fill="C6D9F1" w:themeFill="text2" w:themeFillTint="33"/>
            <w:vAlign w:val="center"/>
          </w:tcPr>
          <w:p w14:paraId="2DFA03FF"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4.610</w:t>
            </w:r>
          </w:p>
        </w:tc>
        <w:tc>
          <w:tcPr>
            <w:tcW w:w="311" w:type="pct"/>
            <w:shd w:val="clear" w:color="auto" w:fill="C6D9F1" w:themeFill="text2" w:themeFillTint="33"/>
            <w:vAlign w:val="center"/>
          </w:tcPr>
          <w:p w14:paraId="6B7810C5" w14:textId="77777777" w:rsidR="004E1D9A" w:rsidRPr="004E1D9A" w:rsidRDefault="004E1D9A" w:rsidP="004E1D9A">
            <w:pPr>
              <w:keepNext/>
              <w:keepLines/>
              <w:spacing w:before="0" w:line="240" w:lineRule="auto"/>
              <w:jc w:val="right"/>
              <w:rPr>
                <w:sz w:val="18"/>
                <w:szCs w:val="18"/>
                <w:lang w:eastAsia="sl-SI"/>
              </w:rPr>
            </w:pPr>
            <w:r w:rsidRPr="004E1D9A">
              <w:rPr>
                <w:sz w:val="18"/>
                <w:szCs w:val="18"/>
                <w:lang w:eastAsia="sl-SI"/>
              </w:rPr>
              <w:t>5.146</w:t>
            </w:r>
          </w:p>
        </w:tc>
        <w:tc>
          <w:tcPr>
            <w:tcW w:w="311" w:type="pct"/>
            <w:shd w:val="clear" w:color="auto" w:fill="C6D9F1" w:themeFill="text2" w:themeFillTint="33"/>
            <w:vAlign w:val="center"/>
          </w:tcPr>
          <w:p w14:paraId="78284C2D"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4.729</w:t>
            </w:r>
          </w:p>
        </w:tc>
        <w:tc>
          <w:tcPr>
            <w:tcW w:w="311" w:type="pct"/>
            <w:shd w:val="clear" w:color="auto" w:fill="C6D9F1" w:themeFill="text2" w:themeFillTint="33"/>
            <w:vAlign w:val="center"/>
          </w:tcPr>
          <w:p w14:paraId="3CFF48DE" w14:textId="77777777" w:rsidR="004E1D9A" w:rsidRPr="004E1D9A" w:rsidRDefault="004E1D9A" w:rsidP="004E1D9A">
            <w:pPr>
              <w:keepNext/>
              <w:keepLines/>
              <w:spacing w:before="0" w:line="240" w:lineRule="auto"/>
              <w:jc w:val="center"/>
              <w:rPr>
                <w:sz w:val="18"/>
                <w:szCs w:val="18"/>
                <w:lang w:eastAsia="sl-SI"/>
              </w:rPr>
            </w:pPr>
            <w:r w:rsidRPr="004E1D9A">
              <w:rPr>
                <w:sz w:val="18"/>
                <w:szCs w:val="18"/>
                <w:lang w:eastAsia="sl-SI"/>
              </w:rPr>
              <w:t>3.996</w:t>
            </w:r>
          </w:p>
        </w:tc>
      </w:tr>
    </w:tbl>
    <w:p w14:paraId="4B93A04C" w14:textId="77777777" w:rsidR="004E1D9A" w:rsidRDefault="004E1D9A" w:rsidP="00492765">
      <w:pPr>
        <w:spacing w:before="0" w:line="240" w:lineRule="auto"/>
        <w:ind w:left="140"/>
        <w:jc w:val="left"/>
        <w:rPr>
          <w:rFonts w:eastAsia="Arial"/>
          <w:sz w:val="16"/>
          <w:szCs w:val="20"/>
          <w:lang w:eastAsia="en-US"/>
        </w:rPr>
      </w:pPr>
    </w:p>
    <w:p w14:paraId="05054001" w14:textId="77777777" w:rsidR="00492765" w:rsidRPr="00492765" w:rsidRDefault="00492765" w:rsidP="00492765">
      <w:pPr>
        <w:spacing w:before="0" w:line="240" w:lineRule="auto"/>
        <w:ind w:left="140"/>
        <w:jc w:val="left"/>
        <w:rPr>
          <w:rFonts w:eastAsia="Arial"/>
          <w:sz w:val="16"/>
          <w:szCs w:val="20"/>
          <w:lang w:eastAsia="en-US"/>
        </w:rPr>
      </w:pPr>
      <w:r w:rsidRPr="00492765">
        <w:rPr>
          <w:rFonts w:eastAsia="Arial"/>
          <w:sz w:val="16"/>
          <w:szCs w:val="20"/>
          <w:lang w:eastAsia="en-US"/>
        </w:rPr>
        <w:t>Vir: MKGP, ZGS, GIS, SURS, SiDG, preračuni GIS.</w:t>
      </w:r>
    </w:p>
    <w:p w14:paraId="357515F2" w14:textId="77777777" w:rsidR="00492765" w:rsidRPr="00492765" w:rsidRDefault="00492765" w:rsidP="00492765">
      <w:pPr>
        <w:spacing w:before="0" w:line="240" w:lineRule="auto"/>
        <w:ind w:left="140"/>
        <w:jc w:val="left"/>
        <w:rPr>
          <w:rFonts w:eastAsia="Arial"/>
          <w:b/>
          <w:sz w:val="20"/>
          <w:szCs w:val="20"/>
          <w:lang w:eastAsia="en-US"/>
        </w:rPr>
      </w:pPr>
    </w:p>
    <w:p w14:paraId="67D7A580" w14:textId="77777777" w:rsidR="00492765" w:rsidRPr="00492765" w:rsidRDefault="00492765" w:rsidP="006D4C94">
      <w:pPr>
        <w:rPr>
          <w:rFonts w:eastAsia="Arial"/>
          <w:lang w:eastAsia="en-US"/>
        </w:rPr>
      </w:pPr>
      <w:r w:rsidRPr="00492765">
        <w:rPr>
          <w:rFonts w:eastAsia="Arial"/>
          <w:lang w:eastAsia="en-US"/>
        </w:rPr>
        <w:t>Pri iglavcih skozi leta prevladuje proizvodnja hlodovine, katere količina se skozi leta povečuje. Pri listavcih prevladuje les za kurjavo, katerega količina je naraščala do leta 2016, sedaj pa rahlo upada.</w:t>
      </w:r>
    </w:p>
    <w:p w14:paraId="125B6A42" w14:textId="7E50484F" w:rsidR="00492765" w:rsidRPr="00492765" w:rsidRDefault="00492765" w:rsidP="006D4C94">
      <w:pPr>
        <w:rPr>
          <w:rFonts w:eastAsia="Arial"/>
          <w:lang w:eastAsia="en-US"/>
        </w:rPr>
      </w:pPr>
      <w:r w:rsidRPr="00492765">
        <w:rPr>
          <w:rFonts w:eastAsia="Arial"/>
          <w:lang w:eastAsia="en-US"/>
        </w:rPr>
        <w:t>Slovenija je izrazita izvoznica nepredelanega okroglega lesa. Zaradi neuravnoteženosti med letno proizvodnjo in porabo se je v zadnjem desetletju močno povečal zunanjetrgovinski presežek v vseh kategorijah okroglega lesa.</w:t>
      </w:r>
      <w:r w:rsidR="004E1D9A">
        <w:rPr>
          <w:rFonts w:eastAsia="Arial"/>
          <w:lang w:eastAsia="en-US"/>
        </w:rPr>
        <w:t xml:space="preserve"> </w:t>
      </w:r>
      <w:r w:rsidR="004E1D9A" w:rsidRPr="004E1D9A">
        <w:rPr>
          <w:rFonts w:eastAsia="Arial"/>
          <w:lang w:eastAsia="en-US"/>
        </w:rPr>
        <w:t>Zmanjšan izvoz v letu 2020 je posledica situacije na trgu zaradi epidemije COVID-19.</w:t>
      </w:r>
    </w:p>
    <w:p w14:paraId="58082909" w14:textId="77777777" w:rsidR="00492765" w:rsidRPr="00492765" w:rsidRDefault="00492765" w:rsidP="00492765">
      <w:pPr>
        <w:spacing w:before="0" w:line="240" w:lineRule="auto"/>
        <w:rPr>
          <w:rFonts w:eastAsia="Arial"/>
          <w:sz w:val="20"/>
          <w:szCs w:val="20"/>
          <w:lang w:eastAsia="en-US"/>
        </w:rPr>
      </w:pPr>
    </w:p>
    <w:p w14:paraId="4C1B2DEA" w14:textId="54F566F4" w:rsidR="00492765" w:rsidRPr="00492765" w:rsidRDefault="007A411D" w:rsidP="006D4C94">
      <w:pPr>
        <w:pStyle w:val="SCSlika0"/>
        <w:rPr>
          <w:rFonts w:eastAsia="Calibri"/>
          <w:b/>
          <w:bCs/>
        </w:rPr>
      </w:pPr>
      <w:bookmarkStart w:id="5618" w:name="_Toc51280084"/>
      <w:bookmarkStart w:id="5619" w:name="_Toc86822777"/>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105</w:t>
      </w:r>
      <w:r w:rsidR="009F2591">
        <w:rPr>
          <w:noProof/>
        </w:rPr>
        <w:fldChar w:fldCharType="end"/>
      </w:r>
      <w:r w:rsidR="00492765" w:rsidRPr="00492765">
        <w:rPr>
          <w:szCs w:val="16"/>
        </w:rPr>
        <w:t>:</w:t>
      </w:r>
      <w:r w:rsidR="00492765" w:rsidRPr="00492765">
        <w:rPr>
          <w:i/>
        </w:rPr>
        <w:t xml:space="preserve"> </w:t>
      </w:r>
      <w:r w:rsidRPr="007A411D">
        <w:t>I</w:t>
      </w:r>
      <w:r w:rsidR="00492765" w:rsidRPr="007A411D">
        <w:t>z</w:t>
      </w:r>
      <w:r w:rsidR="00492765" w:rsidRPr="00492765">
        <w:t>voz in uvoz okroglega lesa (m</w:t>
      </w:r>
      <w:r w:rsidR="00492765" w:rsidRPr="00492765">
        <w:rPr>
          <w:vertAlign w:val="superscript"/>
        </w:rPr>
        <w:t>3</w:t>
      </w:r>
      <w:r w:rsidR="00492765" w:rsidRPr="00492765">
        <w:t>) po letih</w:t>
      </w:r>
      <w:bookmarkEnd w:id="5618"/>
      <w:bookmarkEnd w:id="5619"/>
    </w:p>
    <w:p w14:paraId="49BD3636" w14:textId="6126375A" w:rsidR="00492765" w:rsidRPr="00492765" w:rsidRDefault="004E1D9A" w:rsidP="007A411D">
      <w:pPr>
        <w:pStyle w:val="1"/>
      </w:pPr>
      <w:r>
        <w:rPr>
          <w:noProof/>
          <w:lang w:eastAsia="sl-SI"/>
        </w:rPr>
        <w:drawing>
          <wp:inline distT="0" distB="0" distL="0" distR="0" wp14:anchorId="12267102" wp14:editId="09EC5587">
            <wp:extent cx="5760720" cy="2967355"/>
            <wp:effectExtent l="19050" t="19050" r="11430" b="23495"/>
            <wp:docPr id="1631865364" name="Slika 163186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60720" cy="2967355"/>
                    </a:xfrm>
                    <a:prstGeom prst="rect">
                      <a:avLst/>
                    </a:prstGeom>
                    <a:ln>
                      <a:solidFill>
                        <a:schemeClr val="tx1"/>
                      </a:solidFill>
                    </a:ln>
                  </pic:spPr>
                </pic:pic>
              </a:graphicData>
            </a:graphic>
          </wp:inline>
        </w:drawing>
      </w:r>
    </w:p>
    <w:p w14:paraId="7AD5850A" w14:textId="77777777" w:rsidR="00492765" w:rsidRPr="00492765" w:rsidRDefault="00492765" w:rsidP="00492765">
      <w:pPr>
        <w:spacing w:before="0" w:line="240" w:lineRule="auto"/>
        <w:rPr>
          <w:rFonts w:eastAsia="Calibri"/>
          <w:bCs/>
          <w:sz w:val="20"/>
          <w:szCs w:val="20"/>
        </w:rPr>
      </w:pPr>
    </w:p>
    <w:p w14:paraId="637B1202" w14:textId="7FF13054" w:rsidR="00492765" w:rsidRPr="00492765" w:rsidRDefault="00492765" w:rsidP="006D4C94">
      <w:pPr>
        <w:pStyle w:val="SCPreglednica"/>
      </w:pPr>
      <w:bookmarkStart w:id="5620" w:name="_Toc42170410"/>
      <w:bookmarkStart w:id="5621" w:name="_Toc51280017"/>
      <w:bookmarkStart w:id="5622" w:name="_Toc86822670"/>
      <w:r w:rsidRPr="00492765">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32</w:t>
      </w:r>
      <w:r w:rsidR="009F2591">
        <w:rPr>
          <w:noProof/>
        </w:rPr>
        <w:fldChar w:fldCharType="end"/>
      </w:r>
      <w:r w:rsidRPr="00492765">
        <w:t>: Izvoz gozdnih lesnih sortimentov (000 m</w:t>
      </w:r>
      <w:r w:rsidRPr="00492765">
        <w:rPr>
          <w:vertAlign w:val="superscript"/>
        </w:rPr>
        <w:t>3</w:t>
      </w:r>
      <w:r w:rsidRPr="00492765">
        <w:t>); 2013–</w:t>
      </w:r>
      <w:bookmarkEnd w:id="5620"/>
      <w:bookmarkEnd w:id="5621"/>
      <w:r w:rsidR="004E1D9A">
        <w:t>2020</w:t>
      </w:r>
      <w:bookmarkEnd w:id="5622"/>
    </w:p>
    <w:p w14:paraId="741AC90C" w14:textId="0EDD6D1A" w:rsidR="004E1D9A" w:rsidRPr="004E1D9A" w:rsidRDefault="004E1D9A" w:rsidP="004E1D9A">
      <w:pPr>
        <w:keepNext/>
        <w:keepLines/>
        <w:spacing w:before="0" w:line="240" w:lineRule="auto"/>
        <w:jc w:val="left"/>
        <w:rPr>
          <w:sz w:val="20"/>
          <w:szCs w:val="16"/>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0A0" w:firstRow="1" w:lastRow="0" w:firstColumn="1" w:lastColumn="0" w:noHBand="0" w:noVBand="0"/>
      </w:tblPr>
      <w:tblGrid>
        <w:gridCol w:w="4307"/>
        <w:gridCol w:w="594"/>
        <w:gridCol w:w="595"/>
        <w:gridCol w:w="595"/>
        <w:gridCol w:w="595"/>
        <w:gridCol w:w="594"/>
        <w:gridCol w:w="594"/>
        <w:gridCol w:w="594"/>
        <w:gridCol w:w="594"/>
      </w:tblGrid>
      <w:tr w:rsidR="004E1D9A" w:rsidRPr="004E1D9A" w14:paraId="2D67CD1F" w14:textId="77777777" w:rsidTr="004E1D9A">
        <w:trPr>
          <w:trHeight w:hRule="exact" w:val="227"/>
          <w:jc w:val="center"/>
        </w:trPr>
        <w:tc>
          <w:tcPr>
            <w:tcW w:w="2376" w:type="pct"/>
            <w:shd w:val="clear" w:color="auto" w:fill="C6D9F1" w:themeFill="text2" w:themeFillTint="33"/>
            <w:vAlign w:val="bottom"/>
          </w:tcPr>
          <w:p w14:paraId="429FB743" w14:textId="77777777" w:rsidR="004E1D9A" w:rsidRPr="004E1D9A" w:rsidRDefault="004E1D9A" w:rsidP="004E1D9A">
            <w:pPr>
              <w:keepNext/>
              <w:keepLines/>
              <w:spacing w:before="0" w:line="240" w:lineRule="auto"/>
              <w:jc w:val="left"/>
              <w:rPr>
                <w:b/>
                <w:sz w:val="16"/>
                <w:szCs w:val="16"/>
                <w:lang w:eastAsia="sl-SI"/>
              </w:rPr>
            </w:pPr>
            <w:r w:rsidRPr="004E1D9A">
              <w:rPr>
                <w:b/>
                <w:sz w:val="16"/>
                <w:szCs w:val="16"/>
                <w:lang w:eastAsia="sl-SI"/>
              </w:rPr>
              <w:t>IZVOZ</w:t>
            </w:r>
          </w:p>
        </w:tc>
        <w:tc>
          <w:tcPr>
            <w:tcW w:w="327" w:type="pct"/>
            <w:shd w:val="clear" w:color="auto" w:fill="C6D9F1" w:themeFill="text2" w:themeFillTint="33"/>
            <w:vAlign w:val="bottom"/>
          </w:tcPr>
          <w:p w14:paraId="04466062"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2013</w:t>
            </w:r>
          </w:p>
        </w:tc>
        <w:tc>
          <w:tcPr>
            <w:tcW w:w="328" w:type="pct"/>
            <w:shd w:val="clear" w:color="auto" w:fill="C6D9F1" w:themeFill="text2" w:themeFillTint="33"/>
            <w:vAlign w:val="bottom"/>
          </w:tcPr>
          <w:p w14:paraId="1AEC3751"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2014</w:t>
            </w:r>
          </w:p>
        </w:tc>
        <w:tc>
          <w:tcPr>
            <w:tcW w:w="328" w:type="pct"/>
            <w:shd w:val="clear" w:color="auto" w:fill="C6D9F1" w:themeFill="text2" w:themeFillTint="33"/>
            <w:vAlign w:val="bottom"/>
          </w:tcPr>
          <w:p w14:paraId="7312DC3D"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2015</w:t>
            </w:r>
          </w:p>
        </w:tc>
        <w:tc>
          <w:tcPr>
            <w:tcW w:w="328" w:type="pct"/>
            <w:shd w:val="clear" w:color="auto" w:fill="C6D9F1" w:themeFill="text2" w:themeFillTint="33"/>
            <w:vAlign w:val="bottom"/>
          </w:tcPr>
          <w:p w14:paraId="35980ABE"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2016</w:t>
            </w:r>
          </w:p>
        </w:tc>
        <w:tc>
          <w:tcPr>
            <w:tcW w:w="328" w:type="pct"/>
            <w:shd w:val="clear" w:color="auto" w:fill="C6D9F1" w:themeFill="text2" w:themeFillTint="33"/>
            <w:vAlign w:val="bottom"/>
          </w:tcPr>
          <w:p w14:paraId="24E0FB29"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2017</w:t>
            </w:r>
          </w:p>
        </w:tc>
        <w:tc>
          <w:tcPr>
            <w:tcW w:w="328" w:type="pct"/>
            <w:shd w:val="clear" w:color="auto" w:fill="C6D9F1" w:themeFill="text2" w:themeFillTint="33"/>
            <w:vAlign w:val="bottom"/>
          </w:tcPr>
          <w:p w14:paraId="66100917"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2018</w:t>
            </w:r>
          </w:p>
        </w:tc>
        <w:tc>
          <w:tcPr>
            <w:tcW w:w="328" w:type="pct"/>
            <w:shd w:val="clear" w:color="auto" w:fill="C6D9F1" w:themeFill="text2" w:themeFillTint="33"/>
            <w:vAlign w:val="bottom"/>
          </w:tcPr>
          <w:p w14:paraId="1039B636"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2019</w:t>
            </w:r>
          </w:p>
        </w:tc>
        <w:tc>
          <w:tcPr>
            <w:tcW w:w="328" w:type="pct"/>
            <w:shd w:val="clear" w:color="auto" w:fill="C6D9F1" w:themeFill="text2" w:themeFillTint="33"/>
            <w:vAlign w:val="bottom"/>
          </w:tcPr>
          <w:p w14:paraId="110FFCF4" w14:textId="77777777" w:rsidR="004E1D9A" w:rsidRPr="004E1D9A" w:rsidRDefault="004E1D9A" w:rsidP="004E1D9A">
            <w:pPr>
              <w:keepNext/>
              <w:keepLines/>
              <w:spacing w:before="0" w:line="240" w:lineRule="auto"/>
              <w:jc w:val="center"/>
              <w:rPr>
                <w:b/>
                <w:sz w:val="16"/>
                <w:szCs w:val="16"/>
                <w:lang w:eastAsia="sl-SI"/>
              </w:rPr>
            </w:pPr>
            <w:r w:rsidRPr="004E1D9A">
              <w:rPr>
                <w:b/>
                <w:sz w:val="16"/>
                <w:szCs w:val="16"/>
                <w:lang w:eastAsia="sl-SI"/>
              </w:rPr>
              <w:t>2020</w:t>
            </w:r>
          </w:p>
        </w:tc>
      </w:tr>
      <w:tr w:rsidR="004E1D9A" w:rsidRPr="004E1D9A" w14:paraId="72B71234" w14:textId="77777777" w:rsidTr="004E1D9A">
        <w:trPr>
          <w:trHeight w:val="227"/>
          <w:jc w:val="center"/>
        </w:trPr>
        <w:tc>
          <w:tcPr>
            <w:tcW w:w="2376" w:type="pct"/>
            <w:shd w:val="clear" w:color="auto" w:fill="C6D9F1" w:themeFill="text2" w:themeFillTint="33"/>
            <w:vAlign w:val="bottom"/>
          </w:tcPr>
          <w:p w14:paraId="0234E5BF"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Okrogli les – skupaj, od tega:</w:t>
            </w:r>
          </w:p>
        </w:tc>
        <w:tc>
          <w:tcPr>
            <w:tcW w:w="327" w:type="pct"/>
            <w:shd w:val="clear" w:color="auto" w:fill="C6D9F1" w:themeFill="text2" w:themeFillTint="33"/>
            <w:vAlign w:val="bottom"/>
          </w:tcPr>
          <w:p w14:paraId="425E8ECD"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1.550</w:t>
            </w:r>
          </w:p>
        </w:tc>
        <w:tc>
          <w:tcPr>
            <w:tcW w:w="328" w:type="pct"/>
            <w:shd w:val="clear" w:color="auto" w:fill="C6D9F1" w:themeFill="text2" w:themeFillTint="33"/>
            <w:vAlign w:val="bottom"/>
          </w:tcPr>
          <w:p w14:paraId="40993414"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2.385</w:t>
            </w:r>
          </w:p>
        </w:tc>
        <w:tc>
          <w:tcPr>
            <w:tcW w:w="328" w:type="pct"/>
            <w:shd w:val="clear" w:color="auto" w:fill="C6D9F1" w:themeFill="text2" w:themeFillTint="33"/>
            <w:vAlign w:val="bottom"/>
          </w:tcPr>
          <w:p w14:paraId="506FB96F"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2.683</w:t>
            </w:r>
          </w:p>
        </w:tc>
        <w:tc>
          <w:tcPr>
            <w:tcW w:w="328" w:type="pct"/>
            <w:shd w:val="clear" w:color="auto" w:fill="C6D9F1" w:themeFill="text2" w:themeFillTint="33"/>
            <w:vAlign w:val="bottom"/>
          </w:tcPr>
          <w:p w14:paraId="6929ACD1"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3.084</w:t>
            </w:r>
          </w:p>
        </w:tc>
        <w:tc>
          <w:tcPr>
            <w:tcW w:w="328" w:type="pct"/>
            <w:shd w:val="clear" w:color="auto" w:fill="C6D9F1" w:themeFill="text2" w:themeFillTint="33"/>
            <w:vAlign w:val="bottom"/>
          </w:tcPr>
          <w:p w14:paraId="7ED7B16D"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2.640</w:t>
            </w:r>
          </w:p>
        </w:tc>
        <w:tc>
          <w:tcPr>
            <w:tcW w:w="328" w:type="pct"/>
            <w:shd w:val="clear" w:color="auto" w:fill="C6D9F1" w:themeFill="text2" w:themeFillTint="33"/>
            <w:vAlign w:val="bottom"/>
          </w:tcPr>
          <w:p w14:paraId="33BEAB31"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2.625</w:t>
            </w:r>
          </w:p>
        </w:tc>
        <w:tc>
          <w:tcPr>
            <w:tcW w:w="328" w:type="pct"/>
            <w:shd w:val="clear" w:color="auto" w:fill="C6D9F1" w:themeFill="text2" w:themeFillTint="33"/>
            <w:vAlign w:val="bottom"/>
          </w:tcPr>
          <w:p w14:paraId="34BA55B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1.910</w:t>
            </w:r>
          </w:p>
        </w:tc>
        <w:tc>
          <w:tcPr>
            <w:tcW w:w="328" w:type="pct"/>
            <w:shd w:val="clear" w:color="auto" w:fill="C6D9F1" w:themeFill="text2" w:themeFillTint="33"/>
            <w:vAlign w:val="bottom"/>
          </w:tcPr>
          <w:p w14:paraId="6B77EC74"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1.557</w:t>
            </w:r>
          </w:p>
        </w:tc>
      </w:tr>
      <w:tr w:rsidR="004E1D9A" w:rsidRPr="004E1D9A" w14:paraId="67372880" w14:textId="77777777" w:rsidTr="004E1D9A">
        <w:trPr>
          <w:trHeight w:val="227"/>
          <w:jc w:val="center"/>
        </w:trPr>
        <w:tc>
          <w:tcPr>
            <w:tcW w:w="2376" w:type="pct"/>
            <w:vAlign w:val="bottom"/>
          </w:tcPr>
          <w:p w14:paraId="74423CAA"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 Okrogli industrijski les – skupaj, od tega:</w:t>
            </w:r>
          </w:p>
        </w:tc>
        <w:tc>
          <w:tcPr>
            <w:tcW w:w="327" w:type="pct"/>
            <w:vAlign w:val="bottom"/>
          </w:tcPr>
          <w:p w14:paraId="2C1E35A1"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1.198</w:t>
            </w:r>
          </w:p>
        </w:tc>
        <w:tc>
          <w:tcPr>
            <w:tcW w:w="328" w:type="pct"/>
            <w:vAlign w:val="bottom"/>
          </w:tcPr>
          <w:p w14:paraId="1DFC1C4F"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1.965</w:t>
            </w:r>
          </w:p>
        </w:tc>
        <w:tc>
          <w:tcPr>
            <w:tcW w:w="328" w:type="pct"/>
            <w:vAlign w:val="bottom"/>
          </w:tcPr>
          <w:p w14:paraId="6BD6CCBA"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2.303</w:t>
            </w:r>
          </w:p>
        </w:tc>
        <w:tc>
          <w:tcPr>
            <w:tcW w:w="328" w:type="pct"/>
            <w:vAlign w:val="bottom"/>
          </w:tcPr>
          <w:p w14:paraId="2A78E718"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2.718</w:t>
            </w:r>
          </w:p>
        </w:tc>
        <w:tc>
          <w:tcPr>
            <w:tcW w:w="328" w:type="pct"/>
            <w:vAlign w:val="bottom"/>
          </w:tcPr>
          <w:p w14:paraId="7B46505E"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2.178</w:t>
            </w:r>
          </w:p>
        </w:tc>
        <w:tc>
          <w:tcPr>
            <w:tcW w:w="328" w:type="pct"/>
            <w:vAlign w:val="bottom"/>
          </w:tcPr>
          <w:p w14:paraId="53861F62"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2.271</w:t>
            </w:r>
          </w:p>
        </w:tc>
        <w:tc>
          <w:tcPr>
            <w:tcW w:w="328" w:type="pct"/>
            <w:vAlign w:val="bottom"/>
          </w:tcPr>
          <w:p w14:paraId="5B6EC865"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1.714</w:t>
            </w:r>
          </w:p>
        </w:tc>
        <w:tc>
          <w:tcPr>
            <w:tcW w:w="328" w:type="pct"/>
            <w:vAlign w:val="bottom"/>
          </w:tcPr>
          <w:p w14:paraId="440AA3B5"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1.357</w:t>
            </w:r>
          </w:p>
        </w:tc>
      </w:tr>
      <w:tr w:rsidR="004E1D9A" w:rsidRPr="004E1D9A" w14:paraId="0DFCF485" w14:textId="77777777" w:rsidTr="004E1D9A">
        <w:trPr>
          <w:trHeight w:val="227"/>
          <w:jc w:val="center"/>
        </w:trPr>
        <w:tc>
          <w:tcPr>
            <w:tcW w:w="2376" w:type="pct"/>
            <w:vAlign w:val="bottom"/>
          </w:tcPr>
          <w:p w14:paraId="4A1996DC" w14:textId="77777777" w:rsidR="004E1D9A" w:rsidRPr="004E1D9A" w:rsidRDefault="004E1D9A" w:rsidP="004E1D9A">
            <w:pPr>
              <w:keepNext/>
              <w:keepLines/>
              <w:autoSpaceDE w:val="0"/>
              <w:autoSpaceDN w:val="0"/>
              <w:adjustRightInd w:val="0"/>
              <w:spacing w:before="0" w:line="240" w:lineRule="auto"/>
              <w:jc w:val="left"/>
              <w:rPr>
                <w:sz w:val="16"/>
                <w:szCs w:val="16"/>
                <w:lang w:eastAsia="sl-SI"/>
              </w:rPr>
            </w:pPr>
            <w:r w:rsidRPr="004E1D9A">
              <w:rPr>
                <w:sz w:val="16"/>
                <w:szCs w:val="16"/>
                <w:lang w:eastAsia="sl-SI"/>
              </w:rPr>
              <w:t xml:space="preserve">   – Okrogli industrijski les, iglavci, od tega:</w:t>
            </w:r>
          </w:p>
        </w:tc>
        <w:tc>
          <w:tcPr>
            <w:tcW w:w="327" w:type="pct"/>
            <w:vAlign w:val="bottom"/>
          </w:tcPr>
          <w:p w14:paraId="52BD4006"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792</w:t>
            </w:r>
          </w:p>
        </w:tc>
        <w:tc>
          <w:tcPr>
            <w:tcW w:w="328" w:type="pct"/>
            <w:vAlign w:val="bottom"/>
          </w:tcPr>
          <w:p w14:paraId="414E18AC"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1.363</w:t>
            </w:r>
          </w:p>
        </w:tc>
        <w:tc>
          <w:tcPr>
            <w:tcW w:w="328" w:type="pct"/>
            <w:vAlign w:val="bottom"/>
          </w:tcPr>
          <w:p w14:paraId="6C1546F0"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1.665</w:t>
            </w:r>
          </w:p>
        </w:tc>
        <w:tc>
          <w:tcPr>
            <w:tcW w:w="328" w:type="pct"/>
            <w:vAlign w:val="bottom"/>
          </w:tcPr>
          <w:p w14:paraId="074F57D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2.228</w:t>
            </w:r>
          </w:p>
        </w:tc>
        <w:tc>
          <w:tcPr>
            <w:tcW w:w="328" w:type="pct"/>
            <w:vAlign w:val="bottom"/>
          </w:tcPr>
          <w:p w14:paraId="09E93669"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1.688</w:t>
            </w:r>
          </w:p>
        </w:tc>
        <w:tc>
          <w:tcPr>
            <w:tcW w:w="328" w:type="pct"/>
            <w:vAlign w:val="bottom"/>
          </w:tcPr>
          <w:p w14:paraId="52D91E2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1.912</w:t>
            </w:r>
          </w:p>
        </w:tc>
        <w:tc>
          <w:tcPr>
            <w:tcW w:w="328" w:type="pct"/>
            <w:vAlign w:val="bottom"/>
          </w:tcPr>
          <w:p w14:paraId="6E67A1DA"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1.168</w:t>
            </w:r>
          </w:p>
        </w:tc>
        <w:tc>
          <w:tcPr>
            <w:tcW w:w="328" w:type="pct"/>
            <w:vAlign w:val="bottom"/>
          </w:tcPr>
          <w:p w14:paraId="18B90B8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821</w:t>
            </w:r>
          </w:p>
        </w:tc>
      </w:tr>
      <w:tr w:rsidR="004E1D9A" w:rsidRPr="004E1D9A" w14:paraId="4F6E30D1" w14:textId="77777777" w:rsidTr="004E1D9A">
        <w:trPr>
          <w:trHeight w:val="227"/>
          <w:jc w:val="center"/>
        </w:trPr>
        <w:tc>
          <w:tcPr>
            <w:tcW w:w="2376" w:type="pct"/>
            <w:vAlign w:val="bottom"/>
          </w:tcPr>
          <w:p w14:paraId="3C3D530E" w14:textId="77777777" w:rsidR="004E1D9A" w:rsidRPr="004E1D9A" w:rsidRDefault="004E1D9A" w:rsidP="004E1D9A">
            <w:pPr>
              <w:keepNext/>
              <w:keepLines/>
              <w:autoSpaceDE w:val="0"/>
              <w:autoSpaceDN w:val="0"/>
              <w:adjustRightInd w:val="0"/>
              <w:spacing w:before="0" w:line="240" w:lineRule="auto"/>
              <w:jc w:val="left"/>
              <w:rPr>
                <w:i/>
                <w:sz w:val="16"/>
                <w:szCs w:val="16"/>
                <w:lang w:eastAsia="sl-SI"/>
              </w:rPr>
            </w:pPr>
            <w:r w:rsidRPr="004E1D9A">
              <w:rPr>
                <w:i/>
                <w:sz w:val="16"/>
                <w:szCs w:val="16"/>
                <w:lang w:eastAsia="sl-SI"/>
              </w:rPr>
              <w:t xml:space="preserve">      hlodi za žago in furnir, iglavci</w:t>
            </w:r>
          </w:p>
        </w:tc>
        <w:tc>
          <w:tcPr>
            <w:tcW w:w="327" w:type="pct"/>
            <w:vAlign w:val="bottom"/>
          </w:tcPr>
          <w:p w14:paraId="17A81788"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575</w:t>
            </w:r>
          </w:p>
        </w:tc>
        <w:tc>
          <w:tcPr>
            <w:tcW w:w="328" w:type="pct"/>
            <w:vAlign w:val="bottom"/>
          </w:tcPr>
          <w:p w14:paraId="269B6EE9"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954</w:t>
            </w:r>
          </w:p>
        </w:tc>
        <w:tc>
          <w:tcPr>
            <w:tcW w:w="328" w:type="pct"/>
            <w:vAlign w:val="bottom"/>
          </w:tcPr>
          <w:p w14:paraId="33FAA475"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1.289</w:t>
            </w:r>
          </w:p>
        </w:tc>
        <w:tc>
          <w:tcPr>
            <w:tcW w:w="328" w:type="pct"/>
            <w:vAlign w:val="bottom"/>
          </w:tcPr>
          <w:p w14:paraId="3183DEBE"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1.810</w:t>
            </w:r>
          </w:p>
        </w:tc>
        <w:tc>
          <w:tcPr>
            <w:tcW w:w="328" w:type="pct"/>
            <w:vAlign w:val="bottom"/>
          </w:tcPr>
          <w:p w14:paraId="2B04E861"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1.271</w:t>
            </w:r>
          </w:p>
        </w:tc>
        <w:tc>
          <w:tcPr>
            <w:tcW w:w="328" w:type="pct"/>
            <w:vAlign w:val="bottom"/>
          </w:tcPr>
          <w:p w14:paraId="7653A468"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1.434</w:t>
            </w:r>
          </w:p>
        </w:tc>
        <w:tc>
          <w:tcPr>
            <w:tcW w:w="328" w:type="pct"/>
            <w:vAlign w:val="bottom"/>
          </w:tcPr>
          <w:p w14:paraId="01D71B74"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769</w:t>
            </w:r>
          </w:p>
        </w:tc>
        <w:tc>
          <w:tcPr>
            <w:tcW w:w="328" w:type="pct"/>
            <w:vAlign w:val="bottom"/>
          </w:tcPr>
          <w:p w14:paraId="3444D362"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523</w:t>
            </w:r>
          </w:p>
        </w:tc>
      </w:tr>
      <w:tr w:rsidR="004E1D9A" w:rsidRPr="004E1D9A" w14:paraId="4DA0169F" w14:textId="77777777" w:rsidTr="004E1D9A">
        <w:trPr>
          <w:trHeight w:val="227"/>
          <w:jc w:val="center"/>
        </w:trPr>
        <w:tc>
          <w:tcPr>
            <w:tcW w:w="2376" w:type="pct"/>
            <w:vAlign w:val="bottom"/>
          </w:tcPr>
          <w:p w14:paraId="5153A714" w14:textId="77777777" w:rsidR="004E1D9A" w:rsidRPr="004E1D9A" w:rsidRDefault="004E1D9A" w:rsidP="004E1D9A">
            <w:pPr>
              <w:keepNext/>
              <w:keepLines/>
              <w:autoSpaceDE w:val="0"/>
              <w:autoSpaceDN w:val="0"/>
              <w:adjustRightInd w:val="0"/>
              <w:spacing w:before="0" w:line="240" w:lineRule="auto"/>
              <w:jc w:val="left"/>
              <w:rPr>
                <w:i/>
                <w:sz w:val="16"/>
                <w:szCs w:val="16"/>
                <w:lang w:eastAsia="sl-SI"/>
              </w:rPr>
            </w:pPr>
            <w:r w:rsidRPr="004E1D9A">
              <w:rPr>
                <w:i/>
                <w:sz w:val="16"/>
                <w:szCs w:val="16"/>
                <w:lang w:eastAsia="sl-SI"/>
              </w:rPr>
              <w:t xml:space="preserve">      les za celulozo in plošče ter drug okrogli industrijski les, iglavci</w:t>
            </w:r>
          </w:p>
        </w:tc>
        <w:tc>
          <w:tcPr>
            <w:tcW w:w="327" w:type="pct"/>
            <w:vAlign w:val="bottom"/>
          </w:tcPr>
          <w:p w14:paraId="113D8C5A"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217</w:t>
            </w:r>
          </w:p>
        </w:tc>
        <w:tc>
          <w:tcPr>
            <w:tcW w:w="328" w:type="pct"/>
            <w:vAlign w:val="bottom"/>
          </w:tcPr>
          <w:p w14:paraId="013E0342"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410</w:t>
            </w:r>
          </w:p>
        </w:tc>
        <w:tc>
          <w:tcPr>
            <w:tcW w:w="328" w:type="pct"/>
            <w:vAlign w:val="bottom"/>
          </w:tcPr>
          <w:p w14:paraId="430FB50C"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375</w:t>
            </w:r>
          </w:p>
        </w:tc>
        <w:tc>
          <w:tcPr>
            <w:tcW w:w="328" w:type="pct"/>
            <w:vAlign w:val="bottom"/>
          </w:tcPr>
          <w:p w14:paraId="4CA15E6F"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418</w:t>
            </w:r>
          </w:p>
        </w:tc>
        <w:tc>
          <w:tcPr>
            <w:tcW w:w="328" w:type="pct"/>
            <w:vAlign w:val="bottom"/>
          </w:tcPr>
          <w:p w14:paraId="65B09BCB"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417</w:t>
            </w:r>
          </w:p>
        </w:tc>
        <w:tc>
          <w:tcPr>
            <w:tcW w:w="328" w:type="pct"/>
            <w:vAlign w:val="bottom"/>
          </w:tcPr>
          <w:p w14:paraId="4355A1EC"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478</w:t>
            </w:r>
          </w:p>
        </w:tc>
        <w:tc>
          <w:tcPr>
            <w:tcW w:w="328" w:type="pct"/>
            <w:vAlign w:val="bottom"/>
          </w:tcPr>
          <w:p w14:paraId="4731B92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399</w:t>
            </w:r>
          </w:p>
        </w:tc>
        <w:tc>
          <w:tcPr>
            <w:tcW w:w="328" w:type="pct"/>
            <w:vAlign w:val="bottom"/>
          </w:tcPr>
          <w:p w14:paraId="5998952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297</w:t>
            </w:r>
          </w:p>
        </w:tc>
      </w:tr>
      <w:tr w:rsidR="004E1D9A" w:rsidRPr="004E1D9A" w14:paraId="02A4FE36" w14:textId="77777777" w:rsidTr="004E1D9A">
        <w:trPr>
          <w:trHeight w:val="227"/>
          <w:jc w:val="center"/>
        </w:trPr>
        <w:tc>
          <w:tcPr>
            <w:tcW w:w="2376" w:type="pct"/>
            <w:vAlign w:val="bottom"/>
          </w:tcPr>
          <w:p w14:paraId="1190B6D8" w14:textId="77777777" w:rsidR="004E1D9A" w:rsidRPr="004E1D9A" w:rsidRDefault="004E1D9A" w:rsidP="004E1D9A">
            <w:pPr>
              <w:keepNext/>
              <w:keepLines/>
              <w:autoSpaceDE w:val="0"/>
              <w:autoSpaceDN w:val="0"/>
              <w:adjustRightInd w:val="0"/>
              <w:spacing w:before="0" w:line="240" w:lineRule="auto"/>
              <w:jc w:val="left"/>
              <w:rPr>
                <w:sz w:val="16"/>
                <w:szCs w:val="16"/>
                <w:lang w:eastAsia="sl-SI"/>
              </w:rPr>
            </w:pPr>
            <w:r w:rsidRPr="004E1D9A">
              <w:rPr>
                <w:sz w:val="16"/>
                <w:szCs w:val="16"/>
                <w:lang w:eastAsia="sl-SI"/>
              </w:rPr>
              <w:t xml:space="preserve">   – Okrogli industrijski les, listavci</w:t>
            </w:r>
          </w:p>
        </w:tc>
        <w:tc>
          <w:tcPr>
            <w:tcW w:w="327" w:type="pct"/>
            <w:vAlign w:val="bottom"/>
          </w:tcPr>
          <w:p w14:paraId="77C33137"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406</w:t>
            </w:r>
          </w:p>
        </w:tc>
        <w:tc>
          <w:tcPr>
            <w:tcW w:w="328" w:type="pct"/>
            <w:vAlign w:val="bottom"/>
          </w:tcPr>
          <w:p w14:paraId="16440664"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601</w:t>
            </w:r>
          </w:p>
        </w:tc>
        <w:tc>
          <w:tcPr>
            <w:tcW w:w="328" w:type="pct"/>
            <w:vAlign w:val="bottom"/>
          </w:tcPr>
          <w:p w14:paraId="4AB5E419"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638</w:t>
            </w:r>
          </w:p>
        </w:tc>
        <w:tc>
          <w:tcPr>
            <w:tcW w:w="328" w:type="pct"/>
            <w:vAlign w:val="bottom"/>
          </w:tcPr>
          <w:p w14:paraId="3EFC6EA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489</w:t>
            </w:r>
          </w:p>
        </w:tc>
        <w:tc>
          <w:tcPr>
            <w:tcW w:w="328" w:type="pct"/>
            <w:vAlign w:val="bottom"/>
          </w:tcPr>
          <w:p w14:paraId="752D886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491</w:t>
            </w:r>
          </w:p>
        </w:tc>
        <w:tc>
          <w:tcPr>
            <w:tcW w:w="328" w:type="pct"/>
            <w:vAlign w:val="bottom"/>
          </w:tcPr>
          <w:p w14:paraId="6ED7D1A7"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358</w:t>
            </w:r>
          </w:p>
        </w:tc>
        <w:tc>
          <w:tcPr>
            <w:tcW w:w="328" w:type="pct"/>
            <w:vAlign w:val="bottom"/>
          </w:tcPr>
          <w:p w14:paraId="6892F0D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546</w:t>
            </w:r>
          </w:p>
        </w:tc>
        <w:tc>
          <w:tcPr>
            <w:tcW w:w="328" w:type="pct"/>
            <w:vAlign w:val="bottom"/>
          </w:tcPr>
          <w:p w14:paraId="682F88E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536</w:t>
            </w:r>
          </w:p>
        </w:tc>
      </w:tr>
      <w:tr w:rsidR="004E1D9A" w:rsidRPr="004E1D9A" w14:paraId="659F5F3E" w14:textId="77777777" w:rsidTr="004E1D9A">
        <w:trPr>
          <w:trHeight w:val="227"/>
          <w:jc w:val="center"/>
        </w:trPr>
        <w:tc>
          <w:tcPr>
            <w:tcW w:w="2376" w:type="pct"/>
            <w:vAlign w:val="bottom"/>
          </w:tcPr>
          <w:p w14:paraId="0EB918BD"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 Les za kurjavo – skupaj</w:t>
            </w:r>
          </w:p>
        </w:tc>
        <w:tc>
          <w:tcPr>
            <w:tcW w:w="327" w:type="pct"/>
            <w:vAlign w:val="bottom"/>
          </w:tcPr>
          <w:p w14:paraId="6DF6CA33"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351</w:t>
            </w:r>
          </w:p>
        </w:tc>
        <w:tc>
          <w:tcPr>
            <w:tcW w:w="328" w:type="pct"/>
            <w:vAlign w:val="bottom"/>
          </w:tcPr>
          <w:p w14:paraId="2FB7F892"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420</w:t>
            </w:r>
          </w:p>
        </w:tc>
        <w:tc>
          <w:tcPr>
            <w:tcW w:w="328" w:type="pct"/>
            <w:vAlign w:val="bottom"/>
          </w:tcPr>
          <w:p w14:paraId="3FC7BE0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380</w:t>
            </w:r>
          </w:p>
        </w:tc>
        <w:tc>
          <w:tcPr>
            <w:tcW w:w="328" w:type="pct"/>
            <w:vAlign w:val="bottom"/>
          </w:tcPr>
          <w:p w14:paraId="6CD2B75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366</w:t>
            </w:r>
          </w:p>
        </w:tc>
        <w:tc>
          <w:tcPr>
            <w:tcW w:w="328" w:type="pct"/>
            <w:vAlign w:val="bottom"/>
          </w:tcPr>
          <w:p w14:paraId="6AD13EED"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461</w:t>
            </w:r>
          </w:p>
        </w:tc>
        <w:tc>
          <w:tcPr>
            <w:tcW w:w="328" w:type="pct"/>
            <w:vAlign w:val="bottom"/>
          </w:tcPr>
          <w:p w14:paraId="786809B3"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355</w:t>
            </w:r>
          </w:p>
        </w:tc>
        <w:tc>
          <w:tcPr>
            <w:tcW w:w="328" w:type="pct"/>
            <w:vAlign w:val="bottom"/>
          </w:tcPr>
          <w:p w14:paraId="4A48FEC1"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196</w:t>
            </w:r>
          </w:p>
        </w:tc>
        <w:tc>
          <w:tcPr>
            <w:tcW w:w="328" w:type="pct"/>
            <w:vAlign w:val="bottom"/>
          </w:tcPr>
          <w:p w14:paraId="6D620D26"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200</w:t>
            </w:r>
          </w:p>
        </w:tc>
      </w:tr>
    </w:tbl>
    <w:p w14:paraId="2E15B1B4" w14:textId="77777777" w:rsidR="004E1D9A" w:rsidRPr="004E1D9A" w:rsidRDefault="004E1D9A" w:rsidP="004E1D9A">
      <w:pPr>
        <w:keepNext/>
        <w:keepLines/>
        <w:spacing w:before="0" w:line="240" w:lineRule="auto"/>
        <w:ind w:left="140"/>
        <w:jc w:val="left"/>
        <w:rPr>
          <w:rFonts w:eastAsia="Arial"/>
          <w:sz w:val="16"/>
          <w:szCs w:val="20"/>
          <w:lang w:eastAsia="en-US"/>
        </w:rPr>
      </w:pPr>
      <w:r w:rsidRPr="004E1D9A">
        <w:rPr>
          <w:rFonts w:eastAsia="Arial"/>
          <w:sz w:val="16"/>
          <w:szCs w:val="20"/>
          <w:lang w:eastAsia="en-US"/>
        </w:rPr>
        <w:t>Vir: SURS (2013–2020), Eurostat (2017), preračuni GIS</w:t>
      </w:r>
    </w:p>
    <w:p w14:paraId="114F1A9D" w14:textId="77777777" w:rsidR="004E1D9A" w:rsidRPr="004E1D9A" w:rsidRDefault="004E1D9A" w:rsidP="004E1D9A">
      <w:pPr>
        <w:keepNext/>
        <w:keepLines/>
        <w:spacing w:before="0" w:line="240" w:lineRule="auto"/>
        <w:rPr>
          <w:rFonts w:eastAsia="Calibri"/>
          <w:b/>
          <w:bCs/>
          <w:sz w:val="20"/>
          <w:szCs w:val="20"/>
          <w:u w:val="single"/>
        </w:rPr>
      </w:pPr>
    </w:p>
    <w:p w14:paraId="5B2C758B" w14:textId="40F40A67" w:rsidR="004E1D9A" w:rsidRPr="005B2A49" w:rsidRDefault="004E1D9A" w:rsidP="004E1D9A">
      <w:pPr>
        <w:spacing w:before="0" w:line="240" w:lineRule="auto"/>
        <w:rPr>
          <w:rFonts w:eastAsia="Arial"/>
          <w:szCs w:val="22"/>
          <w:lang w:eastAsia="en-US"/>
        </w:rPr>
      </w:pPr>
      <w:r w:rsidRPr="005B2A49">
        <w:rPr>
          <w:rFonts w:eastAsia="Arial"/>
          <w:szCs w:val="22"/>
          <w:lang w:eastAsia="en-US"/>
        </w:rPr>
        <w:t>Glavni državi v kateri Slovenija izvaža največ gozdnih lesnih sortimentov sta Avstrija in Italija. Po strukturi izvoza se v Avstrijo izvaža hlodovina iglavcev, v Italijo pa je prevladoval izvoz okroglega</w:t>
      </w:r>
      <w:r w:rsidR="00FF65FB">
        <w:rPr>
          <w:rFonts w:eastAsia="Arial"/>
          <w:szCs w:val="22"/>
          <w:lang w:eastAsia="en-US"/>
        </w:rPr>
        <w:t xml:space="preserve"> </w:t>
      </w:r>
      <w:r w:rsidRPr="005B2A49">
        <w:rPr>
          <w:rFonts w:eastAsia="Arial"/>
          <w:szCs w:val="22"/>
          <w:lang w:eastAsia="en-US"/>
        </w:rPr>
        <w:t>industrijskega lesa listavcev, ki skupaj s kategorijo les za kurjavo listavcev predstavljata</w:t>
      </w:r>
      <w:r w:rsidR="00FF65FB">
        <w:rPr>
          <w:rFonts w:eastAsia="Arial"/>
          <w:szCs w:val="22"/>
          <w:lang w:eastAsia="en-US"/>
        </w:rPr>
        <w:t xml:space="preserve"> </w:t>
      </w:r>
      <w:r w:rsidRPr="005B2A49">
        <w:rPr>
          <w:rFonts w:eastAsia="Arial"/>
          <w:szCs w:val="22"/>
          <w:lang w:eastAsia="en-US"/>
        </w:rPr>
        <w:t xml:space="preserve">72 % celotne izvožene količine okroglega lesa v Italijo. </w:t>
      </w:r>
    </w:p>
    <w:p w14:paraId="53A64331" w14:textId="77777777" w:rsidR="004E1D9A" w:rsidRPr="004E1D9A" w:rsidRDefault="004E1D9A" w:rsidP="004E1D9A">
      <w:pPr>
        <w:spacing w:before="0" w:line="240" w:lineRule="auto"/>
        <w:rPr>
          <w:rFonts w:eastAsia="Arial"/>
          <w:sz w:val="24"/>
          <w:szCs w:val="20"/>
          <w:lang w:eastAsia="en-US"/>
        </w:rPr>
      </w:pPr>
    </w:p>
    <w:p w14:paraId="2C6C85A5" w14:textId="5641A1BC" w:rsidR="004E1D9A" w:rsidRDefault="004E1D9A" w:rsidP="004E1D9A">
      <w:pPr>
        <w:keepNext/>
        <w:spacing w:before="0" w:line="240" w:lineRule="auto"/>
        <w:jc w:val="left"/>
        <w:rPr>
          <w:sz w:val="20"/>
          <w:szCs w:val="16"/>
        </w:rPr>
      </w:pPr>
      <w:bookmarkStart w:id="5623" w:name="_Toc55985075"/>
      <w:bookmarkStart w:id="5624" w:name="_Toc86822671"/>
      <w:r w:rsidRPr="004E1D9A">
        <w:rPr>
          <w:sz w:val="20"/>
          <w:szCs w:val="16"/>
        </w:rPr>
        <w:t xml:space="preserve">Tabela </w:t>
      </w:r>
      <w:r w:rsidRPr="004E1D9A">
        <w:rPr>
          <w:sz w:val="20"/>
          <w:szCs w:val="16"/>
        </w:rPr>
        <w:fldChar w:fldCharType="begin"/>
      </w:r>
      <w:r w:rsidRPr="004E1D9A">
        <w:rPr>
          <w:sz w:val="20"/>
          <w:szCs w:val="16"/>
        </w:rPr>
        <w:instrText xml:space="preserve"> SEQ Tabela \* ARABIC </w:instrText>
      </w:r>
      <w:r w:rsidRPr="004E1D9A">
        <w:rPr>
          <w:sz w:val="20"/>
          <w:szCs w:val="16"/>
        </w:rPr>
        <w:fldChar w:fldCharType="separate"/>
      </w:r>
      <w:r w:rsidR="0088117A">
        <w:rPr>
          <w:noProof/>
          <w:sz w:val="20"/>
          <w:szCs w:val="16"/>
        </w:rPr>
        <w:t>33</w:t>
      </w:r>
      <w:r w:rsidRPr="004E1D9A">
        <w:rPr>
          <w:sz w:val="20"/>
          <w:szCs w:val="16"/>
        </w:rPr>
        <w:fldChar w:fldCharType="end"/>
      </w:r>
      <w:r w:rsidRPr="004E1D9A">
        <w:rPr>
          <w:sz w:val="20"/>
          <w:szCs w:val="16"/>
        </w:rPr>
        <w:t>: Uvoz gozdnih lesnih sortimentov (000 m</w:t>
      </w:r>
      <w:r w:rsidRPr="004E1D9A">
        <w:rPr>
          <w:sz w:val="20"/>
          <w:szCs w:val="16"/>
          <w:vertAlign w:val="superscript"/>
        </w:rPr>
        <w:t>3</w:t>
      </w:r>
      <w:r w:rsidRPr="004E1D9A">
        <w:rPr>
          <w:sz w:val="20"/>
          <w:szCs w:val="16"/>
        </w:rPr>
        <w:t>); 2013–</w:t>
      </w:r>
      <w:bookmarkEnd w:id="5623"/>
      <w:r w:rsidRPr="004E1D9A">
        <w:rPr>
          <w:sz w:val="20"/>
          <w:szCs w:val="16"/>
        </w:rPr>
        <w:t>2020</w:t>
      </w:r>
      <w:bookmarkEnd w:id="5624"/>
    </w:p>
    <w:p w14:paraId="5FAF337E" w14:textId="77777777" w:rsidR="00FF65FB" w:rsidRPr="004E1D9A" w:rsidRDefault="00FF65FB" w:rsidP="004E1D9A">
      <w:pPr>
        <w:keepNext/>
        <w:spacing w:before="0" w:line="240" w:lineRule="auto"/>
        <w:jc w:val="left"/>
        <w:rPr>
          <w:sz w:val="20"/>
          <w:szCs w:val="16"/>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0A0" w:firstRow="1" w:lastRow="0" w:firstColumn="1" w:lastColumn="0" w:noHBand="0" w:noVBand="0"/>
      </w:tblPr>
      <w:tblGrid>
        <w:gridCol w:w="4281"/>
        <w:gridCol w:w="600"/>
        <w:gridCol w:w="600"/>
        <w:gridCol w:w="600"/>
        <w:gridCol w:w="600"/>
        <w:gridCol w:w="600"/>
        <w:gridCol w:w="596"/>
        <w:gridCol w:w="594"/>
        <w:gridCol w:w="591"/>
      </w:tblGrid>
      <w:tr w:rsidR="004E1D9A" w:rsidRPr="004E1D9A" w14:paraId="583519DB" w14:textId="77777777" w:rsidTr="004E1D9A">
        <w:trPr>
          <w:trHeight w:hRule="exact" w:val="227"/>
          <w:jc w:val="center"/>
        </w:trPr>
        <w:tc>
          <w:tcPr>
            <w:tcW w:w="2362" w:type="pct"/>
            <w:shd w:val="clear" w:color="auto" w:fill="C6D9F1" w:themeFill="text2" w:themeFillTint="33"/>
            <w:vAlign w:val="bottom"/>
          </w:tcPr>
          <w:p w14:paraId="5A4FD26C" w14:textId="77777777" w:rsidR="004E1D9A" w:rsidRPr="004E1D9A" w:rsidRDefault="004E1D9A" w:rsidP="004E1D9A">
            <w:pPr>
              <w:spacing w:before="0" w:line="240" w:lineRule="auto"/>
              <w:rPr>
                <w:b/>
                <w:sz w:val="16"/>
                <w:szCs w:val="16"/>
                <w:lang w:eastAsia="sl-SI"/>
              </w:rPr>
            </w:pPr>
            <w:r w:rsidRPr="004E1D9A">
              <w:rPr>
                <w:b/>
                <w:sz w:val="16"/>
                <w:szCs w:val="16"/>
                <w:lang w:eastAsia="sl-SI"/>
              </w:rPr>
              <w:t>UVOZ</w:t>
            </w:r>
          </w:p>
        </w:tc>
        <w:tc>
          <w:tcPr>
            <w:tcW w:w="331" w:type="pct"/>
            <w:shd w:val="clear" w:color="auto" w:fill="C6D9F1" w:themeFill="text2" w:themeFillTint="33"/>
            <w:vAlign w:val="bottom"/>
          </w:tcPr>
          <w:p w14:paraId="43485E03" w14:textId="77777777" w:rsidR="004E1D9A" w:rsidRPr="004E1D9A" w:rsidRDefault="004E1D9A" w:rsidP="004E1D9A">
            <w:pPr>
              <w:spacing w:before="0" w:line="240" w:lineRule="auto"/>
              <w:rPr>
                <w:b/>
                <w:sz w:val="16"/>
                <w:szCs w:val="16"/>
                <w:lang w:eastAsia="sl-SI"/>
              </w:rPr>
            </w:pPr>
            <w:r w:rsidRPr="004E1D9A">
              <w:rPr>
                <w:b/>
                <w:sz w:val="16"/>
                <w:szCs w:val="16"/>
                <w:lang w:eastAsia="sl-SI"/>
              </w:rPr>
              <w:t>2013</w:t>
            </w:r>
          </w:p>
        </w:tc>
        <w:tc>
          <w:tcPr>
            <w:tcW w:w="331" w:type="pct"/>
            <w:shd w:val="clear" w:color="auto" w:fill="C6D9F1" w:themeFill="text2" w:themeFillTint="33"/>
            <w:vAlign w:val="bottom"/>
          </w:tcPr>
          <w:p w14:paraId="4A4B7EB1" w14:textId="77777777" w:rsidR="004E1D9A" w:rsidRPr="004E1D9A" w:rsidRDefault="004E1D9A" w:rsidP="004E1D9A">
            <w:pPr>
              <w:spacing w:before="0" w:line="240" w:lineRule="auto"/>
              <w:rPr>
                <w:b/>
                <w:sz w:val="16"/>
                <w:szCs w:val="16"/>
                <w:lang w:eastAsia="sl-SI"/>
              </w:rPr>
            </w:pPr>
            <w:r w:rsidRPr="004E1D9A">
              <w:rPr>
                <w:b/>
                <w:sz w:val="16"/>
                <w:szCs w:val="16"/>
                <w:lang w:eastAsia="sl-SI"/>
              </w:rPr>
              <w:t>2014</w:t>
            </w:r>
          </w:p>
        </w:tc>
        <w:tc>
          <w:tcPr>
            <w:tcW w:w="331" w:type="pct"/>
            <w:shd w:val="clear" w:color="auto" w:fill="C6D9F1" w:themeFill="text2" w:themeFillTint="33"/>
            <w:vAlign w:val="bottom"/>
          </w:tcPr>
          <w:p w14:paraId="4D4831D4" w14:textId="77777777" w:rsidR="004E1D9A" w:rsidRPr="004E1D9A" w:rsidRDefault="004E1D9A" w:rsidP="004E1D9A">
            <w:pPr>
              <w:spacing w:before="0" w:line="240" w:lineRule="auto"/>
              <w:rPr>
                <w:b/>
                <w:sz w:val="16"/>
                <w:szCs w:val="16"/>
                <w:lang w:eastAsia="sl-SI"/>
              </w:rPr>
            </w:pPr>
            <w:r w:rsidRPr="004E1D9A">
              <w:rPr>
                <w:b/>
                <w:sz w:val="16"/>
                <w:szCs w:val="16"/>
                <w:lang w:eastAsia="sl-SI"/>
              </w:rPr>
              <w:t>2015</w:t>
            </w:r>
          </w:p>
        </w:tc>
        <w:tc>
          <w:tcPr>
            <w:tcW w:w="331" w:type="pct"/>
            <w:shd w:val="clear" w:color="auto" w:fill="C6D9F1" w:themeFill="text2" w:themeFillTint="33"/>
            <w:vAlign w:val="bottom"/>
          </w:tcPr>
          <w:p w14:paraId="65AC7093" w14:textId="77777777" w:rsidR="004E1D9A" w:rsidRPr="004E1D9A" w:rsidRDefault="004E1D9A" w:rsidP="004E1D9A">
            <w:pPr>
              <w:spacing w:before="0" w:line="240" w:lineRule="auto"/>
              <w:rPr>
                <w:b/>
                <w:sz w:val="16"/>
                <w:szCs w:val="16"/>
                <w:lang w:eastAsia="sl-SI"/>
              </w:rPr>
            </w:pPr>
            <w:r w:rsidRPr="004E1D9A">
              <w:rPr>
                <w:b/>
                <w:sz w:val="16"/>
                <w:szCs w:val="16"/>
                <w:lang w:eastAsia="sl-SI"/>
              </w:rPr>
              <w:t>2016</w:t>
            </w:r>
          </w:p>
        </w:tc>
        <w:tc>
          <w:tcPr>
            <w:tcW w:w="331" w:type="pct"/>
            <w:shd w:val="clear" w:color="auto" w:fill="C6D9F1" w:themeFill="text2" w:themeFillTint="33"/>
            <w:vAlign w:val="bottom"/>
          </w:tcPr>
          <w:p w14:paraId="23679A16" w14:textId="77777777" w:rsidR="004E1D9A" w:rsidRPr="004E1D9A" w:rsidRDefault="004E1D9A" w:rsidP="004E1D9A">
            <w:pPr>
              <w:spacing w:before="0" w:line="240" w:lineRule="auto"/>
              <w:rPr>
                <w:b/>
                <w:sz w:val="16"/>
                <w:szCs w:val="16"/>
                <w:lang w:eastAsia="sl-SI"/>
              </w:rPr>
            </w:pPr>
            <w:r w:rsidRPr="004E1D9A">
              <w:rPr>
                <w:b/>
                <w:sz w:val="16"/>
                <w:szCs w:val="16"/>
                <w:lang w:eastAsia="sl-SI"/>
              </w:rPr>
              <w:t>2017</w:t>
            </w:r>
          </w:p>
        </w:tc>
        <w:tc>
          <w:tcPr>
            <w:tcW w:w="329" w:type="pct"/>
            <w:shd w:val="clear" w:color="auto" w:fill="C6D9F1" w:themeFill="text2" w:themeFillTint="33"/>
            <w:vAlign w:val="bottom"/>
          </w:tcPr>
          <w:p w14:paraId="588EF9EF" w14:textId="77777777" w:rsidR="004E1D9A" w:rsidRPr="004E1D9A" w:rsidRDefault="004E1D9A" w:rsidP="004E1D9A">
            <w:pPr>
              <w:spacing w:before="0" w:line="240" w:lineRule="auto"/>
              <w:rPr>
                <w:b/>
                <w:sz w:val="16"/>
                <w:szCs w:val="16"/>
                <w:lang w:eastAsia="sl-SI"/>
              </w:rPr>
            </w:pPr>
            <w:r w:rsidRPr="004E1D9A">
              <w:rPr>
                <w:b/>
                <w:sz w:val="16"/>
                <w:szCs w:val="16"/>
                <w:lang w:eastAsia="sl-SI"/>
              </w:rPr>
              <w:t>2018</w:t>
            </w:r>
          </w:p>
        </w:tc>
        <w:tc>
          <w:tcPr>
            <w:tcW w:w="328" w:type="pct"/>
            <w:shd w:val="clear" w:color="auto" w:fill="C6D9F1" w:themeFill="text2" w:themeFillTint="33"/>
            <w:vAlign w:val="bottom"/>
          </w:tcPr>
          <w:p w14:paraId="00172BA8" w14:textId="77777777" w:rsidR="004E1D9A" w:rsidRPr="004E1D9A" w:rsidRDefault="004E1D9A" w:rsidP="004E1D9A">
            <w:pPr>
              <w:spacing w:before="0" w:line="240" w:lineRule="auto"/>
              <w:jc w:val="center"/>
              <w:rPr>
                <w:b/>
                <w:sz w:val="16"/>
                <w:szCs w:val="16"/>
                <w:lang w:eastAsia="sl-SI"/>
              </w:rPr>
            </w:pPr>
            <w:r w:rsidRPr="004E1D9A">
              <w:rPr>
                <w:b/>
                <w:sz w:val="16"/>
                <w:szCs w:val="16"/>
                <w:lang w:eastAsia="sl-SI"/>
              </w:rPr>
              <w:t>2019</w:t>
            </w:r>
          </w:p>
        </w:tc>
        <w:tc>
          <w:tcPr>
            <w:tcW w:w="326" w:type="pct"/>
            <w:shd w:val="clear" w:color="auto" w:fill="C6D9F1" w:themeFill="text2" w:themeFillTint="33"/>
            <w:vAlign w:val="bottom"/>
          </w:tcPr>
          <w:p w14:paraId="13F279BE" w14:textId="77777777" w:rsidR="004E1D9A" w:rsidRPr="004E1D9A" w:rsidRDefault="004E1D9A" w:rsidP="004E1D9A">
            <w:pPr>
              <w:spacing w:before="0" w:line="240" w:lineRule="auto"/>
              <w:jc w:val="center"/>
              <w:rPr>
                <w:b/>
                <w:sz w:val="16"/>
                <w:szCs w:val="16"/>
                <w:lang w:eastAsia="sl-SI"/>
              </w:rPr>
            </w:pPr>
            <w:r w:rsidRPr="004E1D9A">
              <w:rPr>
                <w:b/>
                <w:sz w:val="16"/>
                <w:szCs w:val="16"/>
                <w:lang w:eastAsia="sl-SI"/>
              </w:rPr>
              <w:t>2020</w:t>
            </w:r>
          </w:p>
        </w:tc>
      </w:tr>
      <w:tr w:rsidR="004E1D9A" w:rsidRPr="004E1D9A" w14:paraId="5FE829E7" w14:textId="77777777" w:rsidTr="004E1D9A">
        <w:trPr>
          <w:trHeight w:val="227"/>
          <w:jc w:val="center"/>
        </w:trPr>
        <w:tc>
          <w:tcPr>
            <w:tcW w:w="2362" w:type="pct"/>
            <w:shd w:val="clear" w:color="auto" w:fill="C6D9F1" w:themeFill="text2" w:themeFillTint="33"/>
            <w:vAlign w:val="bottom"/>
          </w:tcPr>
          <w:p w14:paraId="082DD806"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Okrogli les – skupaj, od tega:</w:t>
            </w:r>
          </w:p>
        </w:tc>
        <w:tc>
          <w:tcPr>
            <w:tcW w:w="331" w:type="pct"/>
            <w:shd w:val="clear" w:color="auto" w:fill="C6D9F1" w:themeFill="text2" w:themeFillTint="33"/>
            <w:vAlign w:val="bottom"/>
          </w:tcPr>
          <w:p w14:paraId="61C509F0"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574</w:t>
            </w:r>
          </w:p>
        </w:tc>
        <w:tc>
          <w:tcPr>
            <w:tcW w:w="331" w:type="pct"/>
            <w:shd w:val="clear" w:color="auto" w:fill="C6D9F1" w:themeFill="text2" w:themeFillTint="33"/>
            <w:vAlign w:val="bottom"/>
          </w:tcPr>
          <w:p w14:paraId="5F1B1906"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455</w:t>
            </w:r>
          </w:p>
        </w:tc>
        <w:tc>
          <w:tcPr>
            <w:tcW w:w="331" w:type="pct"/>
            <w:shd w:val="clear" w:color="auto" w:fill="C6D9F1" w:themeFill="text2" w:themeFillTint="33"/>
            <w:vAlign w:val="bottom"/>
          </w:tcPr>
          <w:p w14:paraId="2D9BD70B"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449</w:t>
            </w:r>
          </w:p>
        </w:tc>
        <w:tc>
          <w:tcPr>
            <w:tcW w:w="331" w:type="pct"/>
            <w:shd w:val="clear" w:color="auto" w:fill="C6D9F1" w:themeFill="text2" w:themeFillTint="33"/>
            <w:vAlign w:val="bottom"/>
          </w:tcPr>
          <w:p w14:paraId="4E958EFF"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459</w:t>
            </w:r>
          </w:p>
        </w:tc>
        <w:tc>
          <w:tcPr>
            <w:tcW w:w="331" w:type="pct"/>
            <w:shd w:val="clear" w:color="auto" w:fill="C6D9F1" w:themeFill="text2" w:themeFillTint="33"/>
            <w:vAlign w:val="bottom"/>
          </w:tcPr>
          <w:p w14:paraId="5A9BA9D9"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496</w:t>
            </w:r>
          </w:p>
        </w:tc>
        <w:tc>
          <w:tcPr>
            <w:tcW w:w="329" w:type="pct"/>
            <w:shd w:val="clear" w:color="auto" w:fill="C6D9F1" w:themeFill="text2" w:themeFillTint="33"/>
            <w:vAlign w:val="bottom"/>
          </w:tcPr>
          <w:p w14:paraId="20CFC22D"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520</w:t>
            </w:r>
          </w:p>
        </w:tc>
        <w:tc>
          <w:tcPr>
            <w:tcW w:w="328" w:type="pct"/>
            <w:shd w:val="clear" w:color="auto" w:fill="C6D9F1" w:themeFill="text2" w:themeFillTint="33"/>
            <w:vAlign w:val="bottom"/>
          </w:tcPr>
          <w:p w14:paraId="5D58F1BE"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614</w:t>
            </w:r>
          </w:p>
        </w:tc>
        <w:tc>
          <w:tcPr>
            <w:tcW w:w="326" w:type="pct"/>
            <w:shd w:val="clear" w:color="auto" w:fill="C6D9F1" w:themeFill="text2" w:themeFillTint="33"/>
            <w:vAlign w:val="bottom"/>
          </w:tcPr>
          <w:p w14:paraId="383EE51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855</w:t>
            </w:r>
          </w:p>
        </w:tc>
      </w:tr>
      <w:tr w:rsidR="004E1D9A" w:rsidRPr="004E1D9A" w14:paraId="77708180" w14:textId="77777777" w:rsidTr="004E1D9A">
        <w:trPr>
          <w:trHeight w:val="227"/>
          <w:jc w:val="center"/>
        </w:trPr>
        <w:tc>
          <w:tcPr>
            <w:tcW w:w="2362" w:type="pct"/>
            <w:vAlign w:val="bottom"/>
          </w:tcPr>
          <w:p w14:paraId="689C6EBD"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 Okrogli industrijski les – skupaj, od tega:</w:t>
            </w:r>
          </w:p>
        </w:tc>
        <w:tc>
          <w:tcPr>
            <w:tcW w:w="331" w:type="pct"/>
            <w:vAlign w:val="bottom"/>
          </w:tcPr>
          <w:p w14:paraId="5451311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327</w:t>
            </w:r>
          </w:p>
        </w:tc>
        <w:tc>
          <w:tcPr>
            <w:tcW w:w="331" w:type="pct"/>
            <w:vAlign w:val="bottom"/>
          </w:tcPr>
          <w:p w14:paraId="49D5E0F4"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288</w:t>
            </w:r>
          </w:p>
        </w:tc>
        <w:tc>
          <w:tcPr>
            <w:tcW w:w="331" w:type="pct"/>
            <w:vAlign w:val="bottom"/>
          </w:tcPr>
          <w:p w14:paraId="2D23CC0E"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297</w:t>
            </w:r>
          </w:p>
        </w:tc>
        <w:tc>
          <w:tcPr>
            <w:tcW w:w="331" w:type="pct"/>
            <w:vAlign w:val="bottom"/>
          </w:tcPr>
          <w:p w14:paraId="5157FFA4"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274</w:t>
            </w:r>
          </w:p>
        </w:tc>
        <w:tc>
          <w:tcPr>
            <w:tcW w:w="331" w:type="pct"/>
            <w:vAlign w:val="bottom"/>
          </w:tcPr>
          <w:p w14:paraId="37F70627"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318</w:t>
            </w:r>
          </w:p>
        </w:tc>
        <w:tc>
          <w:tcPr>
            <w:tcW w:w="329" w:type="pct"/>
            <w:vAlign w:val="bottom"/>
          </w:tcPr>
          <w:p w14:paraId="1AB3DC43"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346</w:t>
            </w:r>
          </w:p>
        </w:tc>
        <w:tc>
          <w:tcPr>
            <w:tcW w:w="328" w:type="pct"/>
            <w:vAlign w:val="bottom"/>
          </w:tcPr>
          <w:p w14:paraId="0115C4DE"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456</w:t>
            </w:r>
          </w:p>
        </w:tc>
        <w:tc>
          <w:tcPr>
            <w:tcW w:w="326" w:type="pct"/>
            <w:vAlign w:val="bottom"/>
          </w:tcPr>
          <w:p w14:paraId="3B2E39E9"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714</w:t>
            </w:r>
          </w:p>
        </w:tc>
      </w:tr>
      <w:tr w:rsidR="004E1D9A" w:rsidRPr="004E1D9A" w14:paraId="33893B18" w14:textId="77777777" w:rsidTr="004E1D9A">
        <w:trPr>
          <w:trHeight w:val="227"/>
          <w:jc w:val="center"/>
        </w:trPr>
        <w:tc>
          <w:tcPr>
            <w:tcW w:w="2362" w:type="pct"/>
            <w:vAlign w:val="bottom"/>
          </w:tcPr>
          <w:p w14:paraId="3224F959" w14:textId="77777777" w:rsidR="004E1D9A" w:rsidRPr="004E1D9A" w:rsidRDefault="004E1D9A" w:rsidP="004E1D9A">
            <w:pPr>
              <w:keepNext/>
              <w:keepLines/>
              <w:autoSpaceDE w:val="0"/>
              <w:autoSpaceDN w:val="0"/>
              <w:adjustRightInd w:val="0"/>
              <w:spacing w:before="0" w:line="240" w:lineRule="auto"/>
              <w:jc w:val="left"/>
              <w:rPr>
                <w:sz w:val="16"/>
                <w:szCs w:val="16"/>
                <w:lang w:eastAsia="sl-SI"/>
              </w:rPr>
            </w:pPr>
            <w:r w:rsidRPr="004E1D9A">
              <w:rPr>
                <w:sz w:val="16"/>
                <w:szCs w:val="16"/>
                <w:lang w:eastAsia="sl-SI"/>
              </w:rPr>
              <w:t xml:space="preserve">   – Okrogli industrijski les, iglavci, od tega:</w:t>
            </w:r>
          </w:p>
        </w:tc>
        <w:tc>
          <w:tcPr>
            <w:tcW w:w="331" w:type="pct"/>
            <w:vAlign w:val="bottom"/>
          </w:tcPr>
          <w:p w14:paraId="4F7E89B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194</w:t>
            </w:r>
          </w:p>
        </w:tc>
        <w:tc>
          <w:tcPr>
            <w:tcW w:w="331" w:type="pct"/>
            <w:vAlign w:val="bottom"/>
          </w:tcPr>
          <w:p w14:paraId="447749FD"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154</w:t>
            </w:r>
          </w:p>
        </w:tc>
        <w:tc>
          <w:tcPr>
            <w:tcW w:w="331" w:type="pct"/>
            <w:vAlign w:val="bottom"/>
          </w:tcPr>
          <w:p w14:paraId="2F5E5470"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185</w:t>
            </w:r>
          </w:p>
        </w:tc>
        <w:tc>
          <w:tcPr>
            <w:tcW w:w="331" w:type="pct"/>
            <w:vAlign w:val="bottom"/>
          </w:tcPr>
          <w:p w14:paraId="50DA2B3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144</w:t>
            </w:r>
          </w:p>
        </w:tc>
        <w:tc>
          <w:tcPr>
            <w:tcW w:w="331" w:type="pct"/>
            <w:vAlign w:val="bottom"/>
          </w:tcPr>
          <w:p w14:paraId="5CB9F291"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195</w:t>
            </w:r>
          </w:p>
        </w:tc>
        <w:tc>
          <w:tcPr>
            <w:tcW w:w="329" w:type="pct"/>
            <w:vAlign w:val="bottom"/>
          </w:tcPr>
          <w:p w14:paraId="649B86FB"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235</w:t>
            </w:r>
          </w:p>
        </w:tc>
        <w:tc>
          <w:tcPr>
            <w:tcW w:w="328" w:type="pct"/>
            <w:vAlign w:val="bottom"/>
          </w:tcPr>
          <w:p w14:paraId="3D963103"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344</w:t>
            </w:r>
          </w:p>
        </w:tc>
        <w:tc>
          <w:tcPr>
            <w:tcW w:w="326" w:type="pct"/>
            <w:vAlign w:val="bottom"/>
          </w:tcPr>
          <w:p w14:paraId="45E31429"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596</w:t>
            </w:r>
          </w:p>
        </w:tc>
      </w:tr>
      <w:tr w:rsidR="004E1D9A" w:rsidRPr="004E1D9A" w14:paraId="2F72B2C9" w14:textId="77777777" w:rsidTr="004E1D9A">
        <w:trPr>
          <w:trHeight w:val="227"/>
          <w:jc w:val="center"/>
        </w:trPr>
        <w:tc>
          <w:tcPr>
            <w:tcW w:w="2362" w:type="pct"/>
            <w:vAlign w:val="bottom"/>
          </w:tcPr>
          <w:p w14:paraId="32ACC529" w14:textId="77777777" w:rsidR="004E1D9A" w:rsidRPr="004E1D9A" w:rsidRDefault="004E1D9A" w:rsidP="004E1D9A">
            <w:pPr>
              <w:keepNext/>
              <w:keepLines/>
              <w:autoSpaceDE w:val="0"/>
              <w:autoSpaceDN w:val="0"/>
              <w:adjustRightInd w:val="0"/>
              <w:spacing w:before="0" w:line="240" w:lineRule="auto"/>
              <w:jc w:val="left"/>
              <w:rPr>
                <w:i/>
                <w:sz w:val="16"/>
                <w:szCs w:val="16"/>
                <w:lang w:eastAsia="sl-SI"/>
              </w:rPr>
            </w:pPr>
            <w:r w:rsidRPr="004E1D9A">
              <w:rPr>
                <w:i/>
                <w:sz w:val="16"/>
                <w:szCs w:val="16"/>
                <w:lang w:eastAsia="sl-SI"/>
              </w:rPr>
              <w:t xml:space="preserve">      hlodi za žago in furnir, iglavci</w:t>
            </w:r>
          </w:p>
        </w:tc>
        <w:tc>
          <w:tcPr>
            <w:tcW w:w="331" w:type="pct"/>
            <w:vAlign w:val="bottom"/>
          </w:tcPr>
          <w:p w14:paraId="29148DA3"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10</w:t>
            </w:r>
          </w:p>
        </w:tc>
        <w:tc>
          <w:tcPr>
            <w:tcW w:w="331" w:type="pct"/>
            <w:vAlign w:val="bottom"/>
          </w:tcPr>
          <w:p w14:paraId="148A7498"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15</w:t>
            </w:r>
          </w:p>
        </w:tc>
        <w:tc>
          <w:tcPr>
            <w:tcW w:w="331" w:type="pct"/>
            <w:vAlign w:val="bottom"/>
          </w:tcPr>
          <w:p w14:paraId="1EA79E8C"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16</w:t>
            </w:r>
          </w:p>
        </w:tc>
        <w:tc>
          <w:tcPr>
            <w:tcW w:w="331" w:type="pct"/>
            <w:vAlign w:val="bottom"/>
          </w:tcPr>
          <w:p w14:paraId="1F7A2499"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24</w:t>
            </w:r>
          </w:p>
        </w:tc>
        <w:tc>
          <w:tcPr>
            <w:tcW w:w="331" w:type="pct"/>
            <w:vAlign w:val="bottom"/>
          </w:tcPr>
          <w:p w14:paraId="2BDABCDA"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15</w:t>
            </w:r>
          </w:p>
        </w:tc>
        <w:tc>
          <w:tcPr>
            <w:tcW w:w="329" w:type="pct"/>
            <w:vAlign w:val="bottom"/>
          </w:tcPr>
          <w:p w14:paraId="018BC4AD"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28</w:t>
            </w:r>
          </w:p>
        </w:tc>
        <w:tc>
          <w:tcPr>
            <w:tcW w:w="328" w:type="pct"/>
            <w:vAlign w:val="bottom"/>
          </w:tcPr>
          <w:p w14:paraId="6A04CD47"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113</w:t>
            </w:r>
          </w:p>
        </w:tc>
        <w:tc>
          <w:tcPr>
            <w:tcW w:w="326" w:type="pct"/>
            <w:vAlign w:val="bottom"/>
          </w:tcPr>
          <w:p w14:paraId="554411FB"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366</w:t>
            </w:r>
          </w:p>
        </w:tc>
      </w:tr>
      <w:tr w:rsidR="004E1D9A" w:rsidRPr="004E1D9A" w14:paraId="7C6DC194" w14:textId="77777777" w:rsidTr="004E1D9A">
        <w:trPr>
          <w:trHeight w:val="227"/>
          <w:jc w:val="center"/>
        </w:trPr>
        <w:tc>
          <w:tcPr>
            <w:tcW w:w="2362" w:type="pct"/>
            <w:vAlign w:val="bottom"/>
          </w:tcPr>
          <w:p w14:paraId="5E41925F" w14:textId="77777777" w:rsidR="004E1D9A" w:rsidRPr="004E1D9A" w:rsidRDefault="004E1D9A" w:rsidP="004E1D9A">
            <w:pPr>
              <w:keepNext/>
              <w:keepLines/>
              <w:autoSpaceDE w:val="0"/>
              <w:autoSpaceDN w:val="0"/>
              <w:adjustRightInd w:val="0"/>
              <w:spacing w:before="0" w:line="240" w:lineRule="auto"/>
              <w:jc w:val="left"/>
              <w:rPr>
                <w:i/>
                <w:sz w:val="16"/>
                <w:szCs w:val="16"/>
                <w:lang w:eastAsia="sl-SI"/>
              </w:rPr>
            </w:pPr>
            <w:r w:rsidRPr="004E1D9A">
              <w:rPr>
                <w:i/>
                <w:sz w:val="16"/>
                <w:szCs w:val="16"/>
                <w:lang w:eastAsia="sl-SI"/>
              </w:rPr>
              <w:t xml:space="preserve">      les za celulozo in plošče ter drug okrogli industrijski les, iglavci</w:t>
            </w:r>
          </w:p>
        </w:tc>
        <w:tc>
          <w:tcPr>
            <w:tcW w:w="331" w:type="pct"/>
            <w:vAlign w:val="bottom"/>
          </w:tcPr>
          <w:p w14:paraId="1499400C"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184</w:t>
            </w:r>
          </w:p>
        </w:tc>
        <w:tc>
          <w:tcPr>
            <w:tcW w:w="331" w:type="pct"/>
            <w:vAlign w:val="bottom"/>
          </w:tcPr>
          <w:p w14:paraId="563AD7A9"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139</w:t>
            </w:r>
          </w:p>
        </w:tc>
        <w:tc>
          <w:tcPr>
            <w:tcW w:w="331" w:type="pct"/>
            <w:vAlign w:val="bottom"/>
          </w:tcPr>
          <w:p w14:paraId="2A705D4A"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169</w:t>
            </w:r>
          </w:p>
        </w:tc>
        <w:tc>
          <w:tcPr>
            <w:tcW w:w="331" w:type="pct"/>
            <w:vAlign w:val="bottom"/>
          </w:tcPr>
          <w:p w14:paraId="33B7B321"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120</w:t>
            </w:r>
          </w:p>
        </w:tc>
        <w:tc>
          <w:tcPr>
            <w:tcW w:w="331" w:type="pct"/>
            <w:vAlign w:val="bottom"/>
          </w:tcPr>
          <w:p w14:paraId="295FCB43" w14:textId="77777777" w:rsidR="004E1D9A" w:rsidRPr="004E1D9A" w:rsidRDefault="004E1D9A" w:rsidP="004E1D9A">
            <w:pPr>
              <w:keepNext/>
              <w:keepLines/>
              <w:autoSpaceDE w:val="0"/>
              <w:autoSpaceDN w:val="0"/>
              <w:adjustRightInd w:val="0"/>
              <w:spacing w:before="0" w:line="240" w:lineRule="auto"/>
              <w:jc w:val="center"/>
              <w:rPr>
                <w:i/>
                <w:sz w:val="16"/>
                <w:szCs w:val="16"/>
                <w:lang w:eastAsia="sl-SI"/>
              </w:rPr>
            </w:pPr>
            <w:r w:rsidRPr="004E1D9A">
              <w:rPr>
                <w:sz w:val="16"/>
                <w:szCs w:val="16"/>
                <w:lang w:eastAsia="sl-SI"/>
              </w:rPr>
              <w:t>180</w:t>
            </w:r>
          </w:p>
        </w:tc>
        <w:tc>
          <w:tcPr>
            <w:tcW w:w="329" w:type="pct"/>
            <w:vAlign w:val="bottom"/>
          </w:tcPr>
          <w:p w14:paraId="5B058DC0"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208</w:t>
            </w:r>
          </w:p>
        </w:tc>
        <w:tc>
          <w:tcPr>
            <w:tcW w:w="328" w:type="pct"/>
            <w:vAlign w:val="bottom"/>
          </w:tcPr>
          <w:p w14:paraId="7F1BD25E"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231</w:t>
            </w:r>
          </w:p>
        </w:tc>
        <w:tc>
          <w:tcPr>
            <w:tcW w:w="326" w:type="pct"/>
            <w:vAlign w:val="bottom"/>
          </w:tcPr>
          <w:p w14:paraId="69625542"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230</w:t>
            </w:r>
          </w:p>
        </w:tc>
      </w:tr>
      <w:tr w:rsidR="004E1D9A" w:rsidRPr="004E1D9A" w14:paraId="33832469" w14:textId="77777777" w:rsidTr="004E1D9A">
        <w:trPr>
          <w:trHeight w:val="227"/>
          <w:jc w:val="center"/>
        </w:trPr>
        <w:tc>
          <w:tcPr>
            <w:tcW w:w="2362" w:type="pct"/>
            <w:vAlign w:val="bottom"/>
          </w:tcPr>
          <w:p w14:paraId="19A84D98" w14:textId="77777777" w:rsidR="004E1D9A" w:rsidRPr="004E1D9A" w:rsidRDefault="004E1D9A" w:rsidP="004E1D9A">
            <w:pPr>
              <w:keepNext/>
              <w:keepLines/>
              <w:autoSpaceDE w:val="0"/>
              <w:autoSpaceDN w:val="0"/>
              <w:adjustRightInd w:val="0"/>
              <w:spacing w:before="0" w:line="240" w:lineRule="auto"/>
              <w:jc w:val="left"/>
              <w:rPr>
                <w:sz w:val="16"/>
                <w:szCs w:val="16"/>
                <w:lang w:eastAsia="sl-SI"/>
              </w:rPr>
            </w:pPr>
            <w:r w:rsidRPr="004E1D9A">
              <w:rPr>
                <w:sz w:val="16"/>
                <w:szCs w:val="16"/>
                <w:lang w:eastAsia="sl-SI"/>
              </w:rPr>
              <w:t xml:space="preserve">   – Okrogli industrijski les, listavci</w:t>
            </w:r>
          </w:p>
        </w:tc>
        <w:tc>
          <w:tcPr>
            <w:tcW w:w="331" w:type="pct"/>
            <w:vAlign w:val="bottom"/>
          </w:tcPr>
          <w:p w14:paraId="68B5793D"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134</w:t>
            </w:r>
          </w:p>
        </w:tc>
        <w:tc>
          <w:tcPr>
            <w:tcW w:w="331" w:type="pct"/>
            <w:vAlign w:val="bottom"/>
          </w:tcPr>
          <w:p w14:paraId="14F8FBC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134</w:t>
            </w:r>
          </w:p>
        </w:tc>
        <w:tc>
          <w:tcPr>
            <w:tcW w:w="331" w:type="pct"/>
            <w:vAlign w:val="bottom"/>
          </w:tcPr>
          <w:p w14:paraId="2EDF698B"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112</w:t>
            </w:r>
          </w:p>
        </w:tc>
        <w:tc>
          <w:tcPr>
            <w:tcW w:w="331" w:type="pct"/>
            <w:vAlign w:val="bottom"/>
          </w:tcPr>
          <w:p w14:paraId="4BE0BD15"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130</w:t>
            </w:r>
          </w:p>
        </w:tc>
        <w:tc>
          <w:tcPr>
            <w:tcW w:w="331" w:type="pct"/>
            <w:vAlign w:val="bottom"/>
          </w:tcPr>
          <w:p w14:paraId="07C2A254"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124</w:t>
            </w:r>
          </w:p>
        </w:tc>
        <w:tc>
          <w:tcPr>
            <w:tcW w:w="329" w:type="pct"/>
            <w:vAlign w:val="bottom"/>
          </w:tcPr>
          <w:p w14:paraId="50DA1FD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111</w:t>
            </w:r>
          </w:p>
        </w:tc>
        <w:tc>
          <w:tcPr>
            <w:tcW w:w="328" w:type="pct"/>
            <w:vAlign w:val="bottom"/>
          </w:tcPr>
          <w:p w14:paraId="5B05800F"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112</w:t>
            </w:r>
          </w:p>
        </w:tc>
        <w:tc>
          <w:tcPr>
            <w:tcW w:w="326" w:type="pct"/>
            <w:vAlign w:val="bottom"/>
          </w:tcPr>
          <w:p w14:paraId="7D0E9550" w14:textId="77777777" w:rsidR="004E1D9A" w:rsidRPr="004E1D9A" w:rsidRDefault="004E1D9A" w:rsidP="004E1D9A">
            <w:pPr>
              <w:keepNext/>
              <w:keepLines/>
              <w:autoSpaceDE w:val="0"/>
              <w:autoSpaceDN w:val="0"/>
              <w:adjustRightInd w:val="0"/>
              <w:spacing w:before="0" w:line="240" w:lineRule="auto"/>
              <w:jc w:val="center"/>
              <w:rPr>
                <w:sz w:val="16"/>
                <w:szCs w:val="16"/>
                <w:lang w:eastAsia="sl-SI"/>
              </w:rPr>
            </w:pPr>
            <w:r w:rsidRPr="004E1D9A">
              <w:rPr>
                <w:sz w:val="16"/>
                <w:szCs w:val="16"/>
                <w:lang w:eastAsia="sl-SI"/>
              </w:rPr>
              <w:t>119</w:t>
            </w:r>
          </w:p>
        </w:tc>
      </w:tr>
      <w:tr w:rsidR="004E1D9A" w:rsidRPr="004E1D9A" w14:paraId="39D38FB5" w14:textId="77777777" w:rsidTr="004E1D9A">
        <w:trPr>
          <w:trHeight w:val="227"/>
          <w:jc w:val="center"/>
        </w:trPr>
        <w:tc>
          <w:tcPr>
            <w:tcW w:w="2362" w:type="pct"/>
            <w:vAlign w:val="bottom"/>
          </w:tcPr>
          <w:p w14:paraId="49189DD8" w14:textId="77777777" w:rsidR="004E1D9A" w:rsidRPr="004E1D9A" w:rsidRDefault="004E1D9A" w:rsidP="004E1D9A">
            <w:pPr>
              <w:keepNext/>
              <w:keepLines/>
              <w:autoSpaceDE w:val="0"/>
              <w:autoSpaceDN w:val="0"/>
              <w:adjustRightInd w:val="0"/>
              <w:spacing w:before="0" w:line="240" w:lineRule="auto"/>
              <w:jc w:val="left"/>
              <w:rPr>
                <w:b/>
                <w:sz w:val="16"/>
                <w:szCs w:val="16"/>
                <w:lang w:eastAsia="sl-SI"/>
              </w:rPr>
            </w:pPr>
            <w:r w:rsidRPr="004E1D9A">
              <w:rPr>
                <w:b/>
                <w:sz w:val="16"/>
                <w:szCs w:val="16"/>
                <w:lang w:eastAsia="sl-SI"/>
              </w:rPr>
              <w:t>– Les za kurjavo – skupaj</w:t>
            </w:r>
          </w:p>
        </w:tc>
        <w:tc>
          <w:tcPr>
            <w:tcW w:w="331" w:type="pct"/>
            <w:vAlign w:val="bottom"/>
          </w:tcPr>
          <w:p w14:paraId="506C4F2B"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247</w:t>
            </w:r>
          </w:p>
        </w:tc>
        <w:tc>
          <w:tcPr>
            <w:tcW w:w="331" w:type="pct"/>
            <w:vAlign w:val="bottom"/>
          </w:tcPr>
          <w:p w14:paraId="66260D72"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168</w:t>
            </w:r>
          </w:p>
        </w:tc>
        <w:tc>
          <w:tcPr>
            <w:tcW w:w="331" w:type="pct"/>
            <w:vAlign w:val="bottom"/>
          </w:tcPr>
          <w:p w14:paraId="5CDEACAC"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152</w:t>
            </w:r>
          </w:p>
        </w:tc>
        <w:tc>
          <w:tcPr>
            <w:tcW w:w="331" w:type="pct"/>
            <w:vAlign w:val="bottom"/>
          </w:tcPr>
          <w:p w14:paraId="65932FA7"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184</w:t>
            </w:r>
          </w:p>
        </w:tc>
        <w:tc>
          <w:tcPr>
            <w:tcW w:w="331" w:type="pct"/>
            <w:vAlign w:val="bottom"/>
          </w:tcPr>
          <w:p w14:paraId="5A980C75"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178</w:t>
            </w:r>
          </w:p>
        </w:tc>
        <w:tc>
          <w:tcPr>
            <w:tcW w:w="329" w:type="pct"/>
            <w:vAlign w:val="bottom"/>
          </w:tcPr>
          <w:p w14:paraId="1622C8D6"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174</w:t>
            </w:r>
          </w:p>
        </w:tc>
        <w:tc>
          <w:tcPr>
            <w:tcW w:w="328" w:type="pct"/>
            <w:vAlign w:val="bottom"/>
          </w:tcPr>
          <w:p w14:paraId="4F7F7589"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158</w:t>
            </w:r>
          </w:p>
        </w:tc>
        <w:tc>
          <w:tcPr>
            <w:tcW w:w="326" w:type="pct"/>
            <w:vAlign w:val="bottom"/>
          </w:tcPr>
          <w:p w14:paraId="67CCE0A9" w14:textId="77777777" w:rsidR="004E1D9A" w:rsidRPr="004E1D9A" w:rsidRDefault="004E1D9A" w:rsidP="004E1D9A">
            <w:pPr>
              <w:keepNext/>
              <w:keepLines/>
              <w:autoSpaceDE w:val="0"/>
              <w:autoSpaceDN w:val="0"/>
              <w:adjustRightInd w:val="0"/>
              <w:spacing w:before="0" w:line="240" w:lineRule="auto"/>
              <w:jc w:val="center"/>
              <w:rPr>
                <w:b/>
                <w:sz w:val="16"/>
                <w:szCs w:val="16"/>
                <w:lang w:eastAsia="sl-SI"/>
              </w:rPr>
            </w:pPr>
            <w:r w:rsidRPr="004E1D9A">
              <w:rPr>
                <w:b/>
                <w:sz w:val="16"/>
                <w:szCs w:val="16"/>
                <w:lang w:eastAsia="sl-SI"/>
              </w:rPr>
              <w:t>138</w:t>
            </w:r>
          </w:p>
        </w:tc>
      </w:tr>
    </w:tbl>
    <w:p w14:paraId="043CE434" w14:textId="77777777" w:rsidR="004E1D9A" w:rsidRPr="004E1D9A" w:rsidRDefault="004E1D9A" w:rsidP="004E1D9A">
      <w:pPr>
        <w:spacing w:before="0" w:line="240" w:lineRule="auto"/>
        <w:ind w:left="140"/>
        <w:jc w:val="left"/>
        <w:rPr>
          <w:rFonts w:eastAsia="Arial"/>
          <w:sz w:val="16"/>
          <w:szCs w:val="20"/>
          <w:lang w:eastAsia="en-US"/>
        </w:rPr>
      </w:pPr>
      <w:r w:rsidRPr="004E1D9A">
        <w:rPr>
          <w:rFonts w:eastAsia="Arial"/>
          <w:sz w:val="16"/>
          <w:szCs w:val="20"/>
          <w:lang w:eastAsia="en-US"/>
        </w:rPr>
        <w:t>Vir: SURS (2013–2020), Eurostat (2017), preračuni GIS</w:t>
      </w:r>
    </w:p>
    <w:p w14:paraId="2F0B6360" w14:textId="77777777" w:rsidR="004E1D9A" w:rsidRPr="004E1D9A" w:rsidRDefault="004E1D9A" w:rsidP="004E1D9A">
      <w:pPr>
        <w:spacing w:before="0" w:line="240" w:lineRule="auto"/>
        <w:rPr>
          <w:rFonts w:eastAsia="Calibri"/>
          <w:b/>
          <w:bCs/>
          <w:sz w:val="16"/>
          <w:szCs w:val="20"/>
          <w:u w:val="single"/>
        </w:rPr>
      </w:pPr>
    </w:p>
    <w:p w14:paraId="6E31D56E" w14:textId="697964D7" w:rsidR="004E1D9A" w:rsidRPr="005B2A49" w:rsidRDefault="004E1D9A" w:rsidP="00492765">
      <w:pPr>
        <w:spacing w:before="0" w:line="240" w:lineRule="auto"/>
        <w:rPr>
          <w:rFonts w:eastAsia="Calibri"/>
          <w:bCs/>
          <w:szCs w:val="22"/>
        </w:rPr>
      </w:pPr>
      <w:r w:rsidRPr="005B2A49">
        <w:rPr>
          <w:rFonts w:eastAsia="Calibri"/>
          <w:bCs/>
          <w:szCs w:val="22"/>
        </w:rPr>
        <w:t>Uvoz nepredelanega okroglega lesa v Slovenijo od leta 2016 narašča in je v letu 2020 presegel 0,85 milijona m</w:t>
      </w:r>
      <w:r w:rsidRPr="005B2A49">
        <w:rPr>
          <w:rFonts w:eastAsia="Calibri"/>
          <w:bCs/>
          <w:szCs w:val="22"/>
          <w:vertAlign w:val="superscript"/>
        </w:rPr>
        <w:t>3</w:t>
      </w:r>
      <w:r w:rsidRPr="005B2A49">
        <w:rPr>
          <w:rFonts w:eastAsia="Calibri"/>
          <w:bCs/>
          <w:szCs w:val="22"/>
        </w:rPr>
        <w:t>. Glavne države izvoznice nepredelanega lesa v Slovenijo so bile v letu 20</w:t>
      </w:r>
      <w:r w:rsidR="000E44BC">
        <w:rPr>
          <w:rFonts w:eastAsia="Calibri"/>
          <w:bCs/>
          <w:szCs w:val="22"/>
        </w:rPr>
        <w:t>20</w:t>
      </w:r>
      <w:r w:rsidRPr="005B2A49">
        <w:rPr>
          <w:rFonts w:eastAsia="Calibri"/>
          <w:bCs/>
          <w:szCs w:val="22"/>
        </w:rPr>
        <w:t xml:space="preserve"> Hrvaška, Italija in Avstrija. Iz Hrvaške sta se uvažala predvsem okrogli industrijski les listavcev in les za kurjavo listavcev,</w:t>
      </w:r>
      <w:r w:rsidRPr="00282924">
        <w:rPr>
          <w:szCs w:val="22"/>
        </w:rPr>
        <w:t xml:space="preserve"> </w:t>
      </w:r>
      <w:r w:rsidRPr="005B2A49">
        <w:rPr>
          <w:rFonts w:eastAsia="Calibri"/>
          <w:bCs/>
          <w:szCs w:val="22"/>
        </w:rPr>
        <w:t>iz Italije pa sta prevladovala uvoz hlodovine iglavcev ter les za celulozo in plošče iglavcev. Iz Avstrije je bil večinoma uvožen les za celulozo in plošče iglavcev.</w:t>
      </w:r>
      <w:r w:rsidRPr="005B2A49">
        <w:rPr>
          <w:rFonts w:eastAsia="Calibri"/>
          <w:bCs/>
          <w:szCs w:val="22"/>
        </w:rPr>
        <w:cr/>
      </w:r>
    </w:p>
    <w:p w14:paraId="7071B6E5" w14:textId="77777777" w:rsidR="00492765" w:rsidRPr="00492765" w:rsidRDefault="00492765" w:rsidP="00492765">
      <w:pPr>
        <w:spacing w:before="0" w:line="240" w:lineRule="auto"/>
        <w:rPr>
          <w:rFonts w:eastAsia="Calibri"/>
          <w:bCs/>
          <w:sz w:val="20"/>
          <w:szCs w:val="20"/>
        </w:rPr>
      </w:pPr>
    </w:p>
    <w:p w14:paraId="55825A1D" w14:textId="17FC2100" w:rsidR="00492765" w:rsidRPr="00492765" w:rsidRDefault="00492765" w:rsidP="006D4C94">
      <w:pPr>
        <w:pStyle w:val="Naslov2"/>
      </w:pPr>
      <w:bookmarkStart w:id="5625" w:name="_Toc42065174"/>
      <w:bookmarkStart w:id="5626" w:name="_Toc51279992"/>
      <w:bookmarkStart w:id="5627" w:name="_Toc86822628"/>
      <w:r w:rsidRPr="00492765">
        <w:t>Stanje v gozdnem drevesničarstvu</w:t>
      </w:r>
      <w:bookmarkEnd w:id="5625"/>
      <w:bookmarkEnd w:id="5626"/>
      <w:bookmarkEnd w:id="5627"/>
    </w:p>
    <w:p w14:paraId="04C7EC2C" w14:textId="77777777" w:rsidR="00492765" w:rsidRPr="00492765" w:rsidRDefault="00492765" w:rsidP="00492765">
      <w:pPr>
        <w:spacing w:before="0" w:line="240" w:lineRule="auto"/>
        <w:rPr>
          <w:rFonts w:eastAsia="Calibri"/>
          <w:bCs/>
          <w:sz w:val="20"/>
          <w:szCs w:val="20"/>
        </w:rPr>
      </w:pPr>
    </w:p>
    <w:p w14:paraId="04BBFB1A" w14:textId="16A62546" w:rsidR="00492765" w:rsidRPr="006D4C94" w:rsidRDefault="00492765" w:rsidP="00492765">
      <w:pPr>
        <w:spacing w:before="0" w:line="276" w:lineRule="auto"/>
        <w:rPr>
          <w:rFonts w:eastAsia="Calibri"/>
          <w:bCs/>
          <w:szCs w:val="20"/>
        </w:rPr>
      </w:pPr>
      <w:r w:rsidRPr="006D4C94">
        <w:rPr>
          <w:rFonts w:eastAsia="Calibri"/>
          <w:bCs/>
          <w:szCs w:val="20"/>
        </w:rPr>
        <w:t xml:space="preserve">V letu </w:t>
      </w:r>
      <w:r w:rsidR="004E1D9A" w:rsidRPr="006D4C94">
        <w:rPr>
          <w:rFonts w:eastAsia="Calibri"/>
          <w:bCs/>
          <w:szCs w:val="20"/>
        </w:rPr>
        <w:t>20</w:t>
      </w:r>
      <w:r w:rsidR="004E1D9A">
        <w:rPr>
          <w:rFonts w:eastAsia="Calibri"/>
          <w:bCs/>
          <w:szCs w:val="20"/>
        </w:rPr>
        <w:t>20</w:t>
      </w:r>
      <w:r w:rsidR="004E1D9A" w:rsidRPr="006D4C94">
        <w:rPr>
          <w:rFonts w:eastAsia="Calibri"/>
          <w:bCs/>
          <w:szCs w:val="20"/>
        </w:rPr>
        <w:t xml:space="preserve"> </w:t>
      </w:r>
      <w:r w:rsidRPr="006D4C94">
        <w:rPr>
          <w:rFonts w:eastAsia="Calibri"/>
          <w:bCs/>
          <w:szCs w:val="20"/>
        </w:rPr>
        <w:t>je bilo v register dobaviteljev gozdnega reprodukcijskega materiala, ki ga vodi Ministrstvo za kmetijstvo, gozdarstvo in prehrano</w:t>
      </w:r>
      <w:r w:rsidR="00AE1F83" w:rsidRPr="006D4C94">
        <w:rPr>
          <w:rFonts w:eastAsia="Calibri"/>
          <w:bCs/>
          <w:szCs w:val="20"/>
        </w:rPr>
        <w:t>,</w:t>
      </w:r>
      <w:r w:rsidRPr="006D4C94">
        <w:rPr>
          <w:rFonts w:eastAsia="Calibri"/>
          <w:bCs/>
          <w:szCs w:val="20"/>
        </w:rPr>
        <w:t xml:space="preserve"> vpisanih </w:t>
      </w:r>
      <w:r w:rsidR="004E1D9A">
        <w:rPr>
          <w:rFonts w:eastAsia="Calibri"/>
          <w:bCs/>
          <w:szCs w:val="20"/>
        </w:rPr>
        <w:t>osem</w:t>
      </w:r>
      <w:r w:rsidR="004E1D9A" w:rsidRPr="006D4C94">
        <w:rPr>
          <w:rFonts w:eastAsia="Calibri"/>
          <w:bCs/>
          <w:szCs w:val="20"/>
        </w:rPr>
        <w:t xml:space="preserve"> </w:t>
      </w:r>
      <w:r w:rsidRPr="006D4C94">
        <w:rPr>
          <w:rFonts w:eastAsia="Calibri"/>
          <w:bCs/>
          <w:szCs w:val="20"/>
        </w:rPr>
        <w:t>dobaviteljev, ki se ukvarjajo s pridelovanjem, trženjem in uporabo gozdnega reprodukcijskega materiala. Ta obsega semenski material, dele rastlin in sadilni material tistih drevesnih vrst in umetnih križancev, ki se v skladu s predpisi uporabljajo za obnovo gozdov s sadnjo in setvijo, pogozdovanje, snovanje in vzdrževanje trajnih zaščitnih ali protierozijskih pasov gozdnega drevja ter snovanje in vzdrževanje plantaž gozdnega drevja.</w:t>
      </w:r>
    </w:p>
    <w:p w14:paraId="3A9CC0E1" w14:textId="77777777" w:rsidR="00492765" w:rsidRPr="006D4C94" w:rsidRDefault="00492765" w:rsidP="00492765">
      <w:pPr>
        <w:spacing w:before="0" w:line="276" w:lineRule="auto"/>
        <w:rPr>
          <w:rFonts w:eastAsia="Calibri"/>
          <w:bCs/>
          <w:szCs w:val="20"/>
        </w:rPr>
      </w:pPr>
    </w:p>
    <w:p w14:paraId="77416FA2" w14:textId="77777777" w:rsidR="004E1D9A" w:rsidRPr="005B2A49" w:rsidRDefault="004E1D9A" w:rsidP="004E1D9A">
      <w:pPr>
        <w:spacing w:before="0" w:line="276" w:lineRule="auto"/>
        <w:rPr>
          <w:rFonts w:eastAsia="Calibri"/>
          <w:bCs/>
          <w:szCs w:val="22"/>
        </w:rPr>
      </w:pPr>
      <w:r w:rsidRPr="005B2A49">
        <w:rPr>
          <w:rFonts w:eastAsia="Calibri"/>
          <w:bCs/>
          <w:szCs w:val="22"/>
        </w:rPr>
        <w:t>Leta 2019 je bilo za obnovo gozdov s sadnjo ter za sanacijo po ujmah in v požarih poškodovanih gozdov uporabljenih skupno 1.295.561 sadik gozdnega drevja 26 drevesnih vrst (56 % iglavcev in 44 % listavcev). Za izvedbo biomeliorativnih del, katerih namen je izboljšanje okolja za gozdne živali, je bilo dodatno posajenih še 3.260 sadik plodonosnih vrst. Za obnovo gozda so lastniki gozdov sami zagotovili 80 kg semena doba in 75 kg semena plodonosnih drevesnih vrst (oreh, kostanj ipd).</w:t>
      </w:r>
    </w:p>
    <w:p w14:paraId="61BFDF72" w14:textId="77777777" w:rsidR="00492765" w:rsidRPr="006D4C94" w:rsidRDefault="00492765" w:rsidP="00492765">
      <w:pPr>
        <w:spacing w:before="0" w:line="276" w:lineRule="auto"/>
        <w:rPr>
          <w:rFonts w:eastAsia="Calibri"/>
          <w:bCs/>
          <w:szCs w:val="20"/>
        </w:rPr>
      </w:pPr>
    </w:p>
    <w:p w14:paraId="1EBC6F8D" w14:textId="2B4AAD6E" w:rsidR="004E1D9A" w:rsidRPr="004E1D9A" w:rsidRDefault="004E1D9A" w:rsidP="004E1D9A">
      <w:pPr>
        <w:spacing w:before="0" w:line="276" w:lineRule="auto"/>
        <w:rPr>
          <w:rFonts w:eastAsia="Calibri"/>
          <w:bCs/>
          <w:szCs w:val="20"/>
        </w:rPr>
      </w:pPr>
      <w:r w:rsidRPr="004E1D9A">
        <w:rPr>
          <w:rFonts w:eastAsia="Calibri"/>
          <w:bCs/>
          <w:szCs w:val="20"/>
        </w:rPr>
        <w:t>V Sloveniji prevladujejo majhne drevesnice, katere težko zagotovijo ustrezno količino sadilnega materiala, ki je potreben za sadnjo v gozdovih, poškodovanih v naravnih ujmah. Razvoj slovenskega drevesničarstva lahko dosežemo z investicijami v gozdne drevesnice in s sklepanjem večletnih pogodb drevesničarjev z odjemalci sadik.</w:t>
      </w:r>
      <w:r w:rsidR="000E44BC">
        <w:rPr>
          <w:rFonts w:eastAsia="Calibri"/>
          <w:bCs/>
          <w:szCs w:val="20"/>
        </w:rPr>
        <w:t xml:space="preserve"> </w:t>
      </w:r>
      <w:r w:rsidRPr="004E1D9A">
        <w:rPr>
          <w:rFonts w:eastAsia="Calibri"/>
          <w:bCs/>
          <w:szCs w:val="20"/>
        </w:rPr>
        <w:t>Ustrezen</w:t>
      </w:r>
      <w:r w:rsidR="000E44BC">
        <w:rPr>
          <w:rFonts w:eastAsia="Calibri"/>
          <w:bCs/>
          <w:szCs w:val="20"/>
        </w:rPr>
        <w:t xml:space="preserve"> </w:t>
      </w:r>
      <w:r w:rsidRPr="004E1D9A">
        <w:rPr>
          <w:rFonts w:eastAsia="Calibri"/>
          <w:bCs/>
          <w:szCs w:val="20"/>
        </w:rPr>
        <w:t xml:space="preserve">in kakovosten  sadilni material je pogoj za uspešno obnovo gozda. </w:t>
      </w:r>
    </w:p>
    <w:p w14:paraId="333465AF" w14:textId="77777777" w:rsidR="00492765" w:rsidRPr="00492765" w:rsidRDefault="00492765" w:rsidP="00492765">
      <w:pPr>
        <w:spacing w:before="0" w:line="276" w:lineRule="auto"/>
        <w:rPr>
          <w:rFonts w:eastAsia="Calibri"/>
          <w:bCs/>
          <w:sz w:val="20"/>
          <w:szCs w:val="20"/>
        </w:rPr>
      </w:pPr>
    </w:p>
    <w:p w14:paraId="7C2DC948" w14:textId="77777777" w:rsidR="00492765" w:rsidRPr="00492765" w:rsidRDefault="00492765" w:rsidP="00492765">
      <w:pPr>
        <w:spacing w:before="0" w:line="240" w:lineRule="auto"/>
        <w:rPr>
          <w:rFonts w:eastAsia="Calibri"/>
          <w:bCs/>
          <w:sz w:val="20"/>
          <w:szCs w:val="20"/>
        </w:rPr>
      </w:pPr>
    </w:p>
    <w:p w14:paraId="038FBFC7" w14:textId="2573CDD3" w:rsidR="00492765" w:rsidRPr="00492765" w:rsidRDefault="00492765" w:rsidP="006D4C94">
      <w:pPr>
        <w:pStyle w:val="Naslov2"/>
      </w:pPr>
      <w:bookmarkStart w:id="5628" w:name="_Toc42065175"/>
      <w:bookmarkStart w:id="5629" w:name="_Toc51279993"/>
      <w:bookmarkStart w:id="5630" w:name="_Toc86822629"/>
      <w:r w:rsidRPr="00492765">
        <w:t>Stanje v proizvodnji žaganega lesa</w:t>
      </w:r>
      <w:bookmarkEnd w:id="5628"/>
      <w:bookmarkEnd w:id="5629"/>
      <w:bookmarkEnd w:id="5630"/>
    </w:p>
    <w:p w14:paraId="3CBCE912" w14:textId="77777777" w:rsidR="00492765" w:rsidRPr="00492765" w:rsidRDefault="00492765" w:rsidP="00492765">
      <w:pPr>
        <w:spacing w:before="0" w:line="240" w:lineRule="auto"/>
        <w:rPr>
          <w:rFonts w:eastAsia="Calibri"/>
          <w:sz w:val="20"/>
          <w:szCs w:val="20"/>
        </w:rPr>
      </w:pPr>
    </w:p>
    <w:p w14:paraId="22EE1D7D" w14:textId="77777777" w:rsidR="00FF65FB" w:rsidRPr="00FF65FB" w:rsidRDefault="00FF65FB" w:rsidP="00FF65FB">
      <w:pPr>
        <w:spacing w:before="0" w:line="276" w:lineRule="auto"/>
        <w:rPr>
          <w:rFonts w:eastAsia="Calibri"/>
          <w:szCs w:val="20"/>
        </w:rPr>
      </w:pPr>
      <w:r w:rsidRPr="00FF65FB">
        <w:rPr>
          <w:rFonts w:eastAsia="Calibri"/>
          <w:szCs w:val="20"/>
        </w:rPr>
        <w:t xml:space="preserve">V letu 2019 je bilo v panogi obdelave in predelave lesa registriranih 997 pravnih in fizičnih oseb, v katerih je bilo 11.288 zaposlenih.  </w:t>
      </w:r>
    </w:p>
    <w:p w14:paraId="23EE1B54" w14:textId="77777777" w:rsidR="00FF65FB" w:rsidRPr="00FF65FB" w:rsidRDefault="00FF65FB" w:rsidP="00FF65FB">
      <w:pPr>
        <w:spacing w:before="0" w:line="276" w:lineRule="auto"/>
        <w:rPr>
          <w:rFonts w:eastAsia="Calibri"/>
          <w:szCs w:val="20"/>
        </w:rPr>
      </w:pPr>
    </w:p>
    <w:p w14:paraId="009B33F8" w14:textId="77777777" w:rsidR="00FF65FB" w:rsidRPr="00FF65FB" w:rsidRDefault="00FF65FB" w:rsidP="00FF65FB">
      <w:pPr>
        <w:spacing w:before="0" w:line="276" w:lineRule="auto"/>
        <w:rPr>
          <w:rFonts w:eastAsia="Calibri"/>
          <w:szCs w:val="20"/>
        </w:rPr>
      </w:pPr>
      <w:r w:rsidRPr="00FF65FB">
        <w:rPr>
          <w:rFonts w:eastAsia="Calibri"/>
          <w:szCs w:val="20"/>
        </w:rPr>
        <w:t xml:space="preserve">Po številu v Sloveniji prevladujejo žagarski obrati z do 5 zaposlenimi. Količinsko največ razžagajo večji žagarski obrati (nad 20 zaposlenih). V strukturi razreza prevladujejo hlodi iglavcev z več kot 75 % deležem. </w:t>
      </w:r>
    </w:p>
    <w:p w14:paraId="5D256B63" w14:textId="77777777" w:rsidR="00FF65FB" w:rsidRPr="00FF65FB" w:rsidRDefault="00FF65FB" w:rsidP="00FF65FB">
      <w:pPr>
        <w:spacing w:before="0" w:line="276" w:lineRule="auto"/>
        <w:rPr>
          <w:rFonts w:eastAsia="Calibri"/>
          <w:szCs w:val="20"/>
        </w:rPr>
      </w:pPr>
    </w:p>
    <w:p w14:paraId="2965FD06" w14:textId="195722DF" w:rsidR="00FF65FB" w:rsidRPr="00FF65FB" w:rsidRDefault="00FF65FB" w:rsidP="00FF65FB">
      <w:pPr>
        <w:spacing w:before="0" w:line="276" w:lineRule="auto"/>
        <w:rPr>
          <w:rFonts w:eastAsia="Calibri"/>
          <w:szCs w:val="20"/>
        </w:rPr>
      </w:pPr>
      <w:r w:rsidRPr="00FF65FB">
        <w:rPr>
          <w:rFonts w:eastAsia="Calibri"/>
          <w:szCs w:val="20"/>
        </w:rPr>
        <w:t>Največji obrati za proizvodnjo žaganega lesa so:</w:t>
      </w:r>
      <w:r w:rsidR="00282924">
        <w:rPr>
          <w:rFonts w:eastAsia="Calibri"/>
          <w:szCs w:val="20"/>
        </w:rPr>
        <w:t xml:space="preserve"> </w:t>
      </w:r>
      <w:r w:rsidRPr="00FF65FB">
        <w:rPr>
          <w:rFonts w:eastAsia="Calibri"/>
          <w:szCs w:val="20"/>
        </w:rPr>
        <w:t>LIP, Lesna Industrija BLED, d.o.o., Gozdarstvo Grča gozdna proizvodnja, razrez lesa in trgovina, d.o.o., Razrez Hlodovine Alojz Cugmajster s.p. in ELVIPO d.o.o.</w:t>
      </w:r>
    </w:p>
    <w:p w14:paraId="48A89131" w14:textId="77777777" w:rsidR="00FF65FB" w:rsidRPr="00FF65FB" w:rsidRDefault="00FF65FB" w:rsidP="00FF65FB">
      <w:pPr>
        <w:spacing w:before="0" w:line="276" w:lineRule="auto"/>
        <w:rPr>
          <w:rFonts w:eastAsia="Calibri"/>
          <w:szCs w:val="20"/>
        </w:rPr>
      </w:pPr>
    </w:p>
    <w:p w14:paraId="6E11D419" w14:textId="77777777" w:rsidR="00492765" w:rsidRPr="00492765" w:rsidRDefault="00492765" w:rsidP="00492765">
      <w:pPr>
        <w:spacing w:before="0" w:line="240" w:lineRule="auto"/>
        <w:rPr>
          <w:sz w:val="20"/>
          <w:szCs w:val="20"/>
        </w:rPr>
      </w:pPr>
    </w:p>
    <w:p w14:paraId="3D02C442" w14:textId="0366E171" w:rsidR="00492765" w:rsidRPr="00492765" w:rsidRDefault="00492765" w:rsidP="006D4C94">
      <w:pPr>
        <w:pStyle w:val="Naslov2"/>
      </w:pPr>
      <w:bookmarkStart w:id="5631" w:name="_Toc42065176"/>
      <w:bookmarkStart w:id="5632" w:name="_Toc51279994"/>
      <w:bookmarkStart w:id="5633" w:name="_Toc86822630"/>
      <w:r w:rsidRPr="00492765">
        <w:t>Ekonomski rezultati gozdarstva</w:t>
      </w:r>
      <w:bookmarkEnd w:id="5631"/>
      <w:bookmarkEnd w:id="5632"/>
      <w:bookmarkEnd w:id="5633"/>
    </w:p>
    <w:p w14:paraId="2E2FF783" w14:textId="77777777" w:rsidR="00492765" w:rsidRPr="00492765" w:rsidRDefault="00492765" w:rsidP="00492765">
      <w:pPr>
        <w:spacing w:before="0" w:line="240" w:lineRule="auto"/>
        <w:rPr>
          <w:sz w:val="20"/>
          <w:szCs w:val="20"/>
        </w:rPr>
      </w:pPr>
    </w:p>
    <w:p w14:paraId="3BD726AA" w14:textId="14C8ADBF" w:rsidR="00492765" w:rsidRPr="00492765" w:rsidRDefault="00FF65FB" w:rsidP="00492765">
      <w:pPr>
        <w:spacing w:before="0" w:line="240" w:lineRule="auto"/>
        <w:rPr>
          <w:sz w:val="24"/>
          <w:szCs w:val="20"/>
        </w:rPr>
      </w:pPr>
      <w:r w:rsidRPr="00FF65FB">
        <w:rPr>
          <w:szCs w:val="20"/>
        </w:rPr>
        <w:t>Odkupna cena hlodovine listavcev in iglavcev iz zasebnih dozdov je skozi leta nihala, cena listavcev počasi narašča, cena iglavcev ima zaradi posledic naravnih ujm in prenamoženih populacij podlubnikov še nizko vrednost v primerjavi s prejšnjimi leti. Cena hlodovine bukve je po letu 2014, ko se je zgodil obsežen žledolom, začela počasi naraščati, večji porast je zaznati od leta 2017 naprej. Najbolj izrazito pa vse od leta 2012 naprej raste cena hlodovine hrasta, glavni razlog za to je povečano povpraševanje po tem lesu, predvsem po hlodovini izredne kakovosti. V zadnjih letih torej cena hlodovine listavcev počasi narašča, predvsem zaradi povečanega povpraševanja po tem lesu tako za predelavo kot za energetsko rabo ter tudi za izvozni trg.</w:t>
      </w:r>
      <w:r w:rsidRPr="00FF65FB" w:rsidDel="00AD430A">
        <w:rPr>
          <w:szCs w:val="20"/>
        </w:rPr>
        <w:t xml:space="preserve"> </w:t>
      </w:r>
    </w:p>
    <w:p w14:paraId="47F30C18" w14:textId="0DCE3CFD" w:rsidR="00492765" w:rsidRPr="00492765" w:rsidRDefault="007A411D" w:rsidP="006D4C94">
      <w:pPr>
        <w:pStyle w:val="SCSlika0"/>
        <w:rPr>
          <w:rFonts w:eastAsia="Calibri"/>
          <w:b/>
          <w:bCs/>
        </w:rPr>
      </w:pPr>
      <w:bookmarkStart w:id="5634" w:name="_Toc51280085"/>
      <w:bookmarkStart w:id="5635" w:name="_Toc86822778"/>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106</w:t>
      </w:r>
      <w:r w:rsidR="009F2591">
        <w:rPr>
          <w:noProof/>
        </w:rPr>
        <w:fldChar w:fldCharType="end"/>
      </w:r>
      <w:r w:rsidR="00492765" w:rsidRPr="00492765">
        <w:rPr>
          <w:szCs w:val="16"/>
        </w:rPr>
        <w:t>:</w:t>
      </w:r>
      <w:r w:rsidR="00492765" w:rsidRPr="00492765">
        <w:rPr>
          <w:i/>
        </w:rPr>
        <w:t xml:space="preserve"> </w:t>
      </w:r>
      <w:r w:rsidR="00492765" w:rsidRPr="00492765">
        <w:t>Nihanje cen hlodovine po letih</w:t>
      </w:r>
      <w:bookmarkEnd w:id="5634"/>
      <w:bookmarkEnd w:id="5635"/>
    </w:p>
    <w:p w14:paraId="5223CCD5" w14:textId="77777777" w:rsidR="00492765" w:rsidRPr="00492765" w:rsidRDefault="00492765" w:rsidP="00492765">
      <w:pPr>
        <w:spacing w:before="0" w:line="240" w:lineRule="auto"/>
        <w:rPr>
          <w:sz w:val="20"/>
          <w:szCs w:val="20"/>
        </w:rPr>
      </w:pPr>
      <w:r w:rsidRPr="00492765">
        <w:rPr>
          <w:noProof/>
          <w:lang w:eastAsia="sl-SI"/>
        </w:rPr>
        <w:drawing>
          <wp:inline distT="0" distB="0" distL="0" distR="0" wp14:anchorId="09592C92" wp14:editId="3D0F966F">
            <wp:extent cx="4902200" cy="2812796"/>
            <wp:effectExtent l="19050" t="19050" r="12700" b="26035"/>
            <wp:docPr id="1631865359" name="Slika 16318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899715" cy="2811370"/>
                    </a:xfrm>
                    <a:prstGeom prst="rect">
                      <a:avLst/>
                    </a:prstGeom>
                    <a:ln>
                      <a:solidFill>
                        <a:sysClr val="windowText" lastClr="000000"/>
                      </a:solidFill>
                    </a:ln>
                  </pic:spPr>
                </pic:pic>
              </a:graphicData>
            </a:graphic>
          </wp:inline>
        </w:drawing>
      </w:r>
    </w:p>
    <w:p w14:paraId="4275F899" w14:textId="77777777" w:rsidR="00492765" w:rsidRPr="00492765" w:rsidRDefault="00492765" w:rsidP="00492765">
      <w:pPr>
        <w:spacing w:before="0" w:line="240" w:lineRule="auto"/>
        <w:rPr>
          <w:sz w:val="20"/>
          <w:szCs w:val="20"/>
        </w:rPr>
      </w:pPr>
    </w:p>
    <w:p w14:paraId="42CECAAB" w14:textId="77777777" w:rsidR="00492765" w:rsidRPr="00492765" w:rsidRDefault="00492765" w:rsidP="00492765">
      <w:pPr>
        <w:spacing w:before="0" w:line="240" w:lineRule="auto"/>
        <w:rPr>
          <w:sz w:val="20"/>
          <w:szCs w:val="20"/>
        </w:rPr>
      </w:pPr>
    </w:p>
    <w:p w14:paraId="1241C7BC" w14:textId="77777777" w:rsidR="00492765" w:rsidRPr="006D4C94" w:rsidRDefault="00492765" w:rsidP="00492765">
      <w:pPr>
        <w:spacing w:before="0" w:line="240" w:lineRule="auto"/>
        <w:rPr>
          <w:szCs w:val="20"/>
        </w:rPr>
      </w:pPr>
      <w:r w:rsidRPr="006D4C94">
        <w:rPr>
          <w:szCs w:val="20"/>
        </w:rPr>
        <w:t xml:space="preserve">Cena sečnje in spravila se je dvignila v letu 2018. Cena strojne sečnje in spravila je ostala na enaki </w:t>
      </w:r>
      <w:r w:rsidRPr="006D4C94">
        <w:rPr>
          <w:sz w:val="24"/>
          <w:szCs w:val="20"/>
        </w:rPr>
        <w:t>vrednosti</w:t>
      </w:r>
      <w:r w:rsidRPr="006D4C94">
        <w:rPr>
          <w:szCs w:val="20"/>
        </w:rPr>
        <w:t>, cena sečnje z motorno žago in traktoskega spravila pa se je v letu 2020 znižala in skoraj približala ceni, ki jo je dosegla v letu 2017.</w:t>
      </w:r>
    </w:p>
    <w:p w14:paraId="009820F6" w14:textId="77777777" w:rsidR="00492765" w:rsidRPr="00492765" w:rsidRDefault="00492765" w:rsidP="00492765">
      <w:pPr>
        <w:spacing w:before="0" w:line="240" w:lineRule="auto"/>
        <w:rPr>
          <w:sz w:val="20"/>
          <w:szCs w:val="20"/>
        </w:rPr>
      </w:pPr>
    </w:p>
    <w:p w14:paraId="6735308B" w14:textId="32C7A307" w:rsidR="00492765" w:rsidRPr="00492765" w:rsidRDefault="007A411D" w:rsidP="006D4C94">
      <w:pPr>
        <w:pStyle w:val="SCSlika0"/>
        <w:rPr>
          <w:rFonts w:eastAsia="Calibri"/>
          <w:b/>
          <w:bCs/>
        </w:rPr>
      </w:pPr>
      <w:bookmarkStart w:id="5636" w:name="_Toc86822779"/>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107</w:t>
      </w:r>
      <w:r w:rsidR="009F2591">
        <w:rPr>
          <w:noProof/>
        </w:rPr>
        <w:fldChar w:fldCharType="end"/>
      </w:r>
      <w:r w:rsidR="00492765" w:rsidRPr="00492765">
        <w:rPr>
          <w:szCs w:val="16"/>
        </w:rPr>
        <w:t>:</w:t>
      </w:r>
      <w:r w:rsidR="00492765" w:rsidRPr="00492765">
        <w:rPr>
          <w:i/>
        </w:rPr>
        <w:t xml:space="preserve"> </w:t>
      </w:r>
      <w:r w:rsidR="00492765" w:rsidRPr="00492765">
        <w:t>Nihanje cen sečnje in spravila po letih</w:t>
      </w:r>
      <w:bookmarkEnd w:id="5636"/>
    </w:p>
    <w:p w14:paraId="7E9420A8" w14:textId="77777777" w:rsidR="00492765" w:rsidRPr="00492765" w:rsidRDefault="00492765" w:rsidP="00492765">
      <w:pPr>
        <w:spacing w:before="0" w:line="276" w:lineRule="auto"/>
        <w:rPr>
          <w:sz w:val="20"/>
          <w:szCs w:val="20"/>
        </w:rPr>
      </w:pPr>
      <w:r w:rsidRPr="00492765">
        <w:rPr>
          <w:noProof/>
          <w:sz w:val="20"/>
          <w:szCs w:val="20"/>
          <w:lang w:eastAsia="sl-SI"/>
        </w:rPr>
        <w:drawing>
          <wp:inline distT="0" distB="0" distL="0" distR="0" wp14:anchorId="1A0AFF69" wp14:editId="32F525E1">
            <wp:extent cx="4877435" cy="2743200"/>
            <wp:effectExtent l="19050" t="19050" r="18415" b="190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a:ln>
                      <a:solidFill>
                        <a:sysClr val="windowText" lastClr="000000"/>
                      </a:solidFill>
                    </a:ln>
                  </pic:spPr>
                </pic:pic>
              </a:graphicData>
            </a:graphic>
          </wp:inline>
        </w:drawing>
      </w:r>
    </w:p>
    <w:p w14:paraId="13B5C25F" w14:textId="77777777" w:rsidR="00492765" w:rsidRPr="00492765" w:rsidRDefault="00492765" w:rsidP="00492765">
      <w:pPr>
        <w:spacing w:before="0" w:line="276" w:lineRule="auto"/>
        <w:rPr>
          <w:sz w:val="20"/>
          <w:szCs w:val="20"/>
        </w:rPr>
      </w:pPr>
    </w:p>
    <w:p w14:paraId="3EEE7B5F" w14:textId="77777777" w:rsidR="00492765" w:rsidRPr="00492765" w:rsidRDefault="00492765" w:rsidP="00492765">
      <w:pPr>
        <w:spacing w:before="0" w:line="276" w:lineRule="auto"/>
        <w:rPr>
          <w:sz w:val="20"/>
          <w:szCs w:val="20"/>
        </w:rPr>
      </w:pPr>
    </w:p>
    <w:p w14:paraId="35187DE7" w14:textId="77777777" w:rsidR="00FF65FB" w:rsidRPr="00FF65FB" w:rsidRDefault="00FF65FB" w:rsidP="00FF65FB">
      <w:pPr>
        <w:spacing w:before="0" w:line="276" w:lineRule="auto"/>
        <w:rPr>
          <w:szCs w:val="20"/>
        </w:rPr>
      </w:pPr>
      <w:r w:rsidRPr="00FF65FB">
        <w:rPr>
          <w:szCs w:val="20"/>
        </w:rPr>
        <w:t>Bruto dodana vrednost v gozdarstvu se je od leta 2016 povečevala in v letu 2018 znašala 268 milijonov EUR ali 0,6 % bruto domačega proizvoda.</w:t>
      </w:r>
    </w:p>
    <w:p w14:paraId="37D88427" w14:textId="77777777" w:rsidR="00492765" w:rsidRPr="006D4C94" w:rsidRDefault="00492765" w:rsidP="00492765">
      <w:pPr>
        <w:spacing w:before="0" w:line="276" w:lineRule="auto"/>
        <w:rPr>
          <w:szCs w:val="20"/>
        </w:rPr>
      </w:pPr>
    </w:p>
    <w:p w14:paraId="0852A496" w14:textId="77777777" w:rsidR="00492765" w:rsidRPr="006D4C94" w:rsidRDefault="00492765" w:rsidP="00492765">
      <w:pPr>
        <w:spacing w:before="0" w:line="276" w:lineRule="auto"/>
        <w:rPr>
          <w:szCs w:val="20"/>
        </w:rPr>
      </w:pPr>
      <w:r w:rsidRPr="006D4C94">
        <w:rPr>
          <w:szCs w:val="20"/>
        </w:rPr>
        <w:t>Faktorski dohodek na zaposlenega se je skozi leta zmanjševal v letu 2018 je bil v primerjavi s prejšnjim letom nižji za 4 %, znašal je 24.472 EUR na zaposlenega. Na višino dohodka so vplivale višje vrednosti gozdarske proizvodnje (za 7 %), vmesne potrošnje (za 13 %) ter zaposlenosti (za 1 %).</w:t>
      </w:r>
    </w:p>
    <w:p w14:paraId="6580CEDB" w14:textId="77777777" w:rsidR="00492765" w:rsidRPr="00492765" w:rsidRDefault="00492765" w:rsidP="00492765">
      <w:pPr>
        <w:spacing w:before="0" w:line="276" w:lineRule="auto"/>
        <w:rPr>
          <w:b/>
          <w:bCs/>
          <w:sz w:val="20"/>
          <w:szCs w:val="20"/>
        </w:rPr>
      </w:pPr>
    </w:p>
    <w:p w14:paraId="198C8286" w14:textId="77777777" w:rsidR="00492765" w:rsidRPr="00DB743C" w:rsidRDefault="00492765" w:rsidP="00492765">
      <w:pPr>
        <w:spacing w:before="0" w:line="276" w:lineRule="auto"/>
        <w:rPr>
          <w:szCs w:val="20"/>
        </w:rPr>
      </w:pPr>
      <w:r w:rsidRPr="00DB743C">
        <w:rPr>
          <w:b/>
          <w:bCs/>
          <w:szCs w:val="20"/>
        </w:rPr>
        <w:t>Vrednost gozdarske proizvodnje se viša zaradi večje proizvodnje in višjih cen</w:t>
      </w:r>
    </w:p>
    <w:p w14:paraId="3E7815C9" w14:textId="77777777" w:rsidR="00492765" w:rsidRPr="00DB743C" w:rsidRDefault="00492765" w:rsidP="00492765">
      <w:pPr>
        <w:spacing w:before="0" w:line="276" w:lineRule="auto"/>
        <w:rPr>
          <w:szCs w:val="20"/>
        </w:rPr>
      </w:pPr>
    </w:p>
    <w:p w14:paraId="1FE8A852" w14:textId="616972CA" w:rsidR="00492765" w:rsidRPr="00A017FF" w:rsidRDefault="00492765" w:rsidP="00A017FF">
      <w:pPr>
        <w:spacing w:before="0" w:line="276" w:lineRule="auto"/>
        <w:rPr>
          <w:szCs w:val="20"/>
        </w:rPr>
      </w:pPr>
      <w:r w:rsidRPr="00DB743C">
        <w:rPr>
          <w:szCs w:val="20"/>
        </w:rPr>
        <w:t>Vrednost gozdarske proizvodnje se je skozi leta višala in je v letu 201</w:t>
      </w:r>
      <w:r w:rsidR="00B26C87">
        <w:rPr>
          <w:szCs w:val="20"/>
        </w:rPr>
        <w:t>9</w:t>
      </w:r>
      <w:r w:rsidRPr="00DB743C">
        <w:rPr>
          <w:szCs w:val="20"/>
        </w:rPr>
        <w:t xml:space="preserve"> znašala </w:t>
      </w:r>
      <w:r w:rsidR="00B26C87">
        <w:rPr>
          <w:szCs w:val="20"/>
        </w:rPr>
        <w:t>548</w:t>
      </w:r>
      <w:r w:rsidRPr="00DB743C">
        <w:rPr>
          <w:szCs w:val="20"/>
        </w:rPr>
        <w:t xml:space="preserve"> milijonov EUR, </w:t>
      </w:r>
      <w:r w:rsidR="00B26C87" w:rsidRPr="00B26C87">
        <w:rPr>
          <w:szCs w:val="20"/>
        </w:rPr>
        <w:t>kar je bilo 7 % manj kot v letu 2018</w:t>
      </w:r>
      <w:r w:rsidR="00B26C87">
        <w:rPr>
          <w:szCs w:val="20"/>
        </w:rPr>
        <w:t xml:space="preserve"> in</w:t>
      </w:r>
      <w:r w:rsidR="00B26C87" w:rsidRPr="00B26C87">
        <w:rPr>
          <w:szCs w:val="20"/>
        </w:rPr>
        <w:t xml:space="preserve"> </w:t>
      </w:r>
      <w:r w:rsidRPr="00DB743C">
        <w:rPr>
          <w:szCs w:val="20"/>
        </w:rPr>
        <w:t>kar za 28 % več kot v letu 2012, ko slovenski gozdovi še niso bili poškodovani zaradi ujm. Vrednost proizvodnje gozdarske dejavnosti je seštevek vrednosti proizvodnje gozdnih proizvodov in gozdarskih storitev. Na povečanje vrednosti v zadnjem desetletju je vplivala večja proizvodnja gozdnih lesnih sortimentov, višje cene gozdno lesnih sortimentov (pri iglavcih do 2014) ter gozdarskih storitev kot tudi višji letni prirastek lesa v gozdu. Proizvodnja okroglega lesa oziroma gozdnih lesnih sortimentov je bila v zadnjem obdobju (2014-2018) zaradi sanacije žledoloma iz leta 2014, ki je prizadel več kot polovico slovenskih gozdov, prenamnožitve podlubnikov (2015-2018) ter sanacije vetrolomov (2017, 2018) na rekordno visoki ravni. Posledično je bila večja tudi vrednost gozdarskih storitev.</w:t>
      </w:r>
      <w:r w:rsidR="00B26C87">
        <w:rPr>
          <w:szCs w:val="20"/>
        </w:rPr>
        <w:t xml:space="preserve"> V letu 2019 se je slednja zmanjšala za </w:t>
      </w:r>
      <w:r w:rsidR="00A017FF">
        <w:rPr>
          <w:szCs w:val="20"/>
        </w:rPr>
        <w:t>51</w:t>
      </w:r>
      <w:r w:rsidR="00B26C87">
        <w:rPr>
          <w:szCs w:val="20"/>
        </w:rPr>
        <w:t xml:space="preserve"> %. </w:t>
      </w:r>
      <w:r w:rsidR="00A017FF" w:rsidRPr="00A017FF">
        <w:rPr>
          <w:szCs w:val="20"/>
        </w:rPr>
        <w:t>Delež bruto dodane vrednosti gozdarstva v bruto domačem proizvodu je znašal 0,6 % BDP. Tudi faktorski dohodek na zaposlenega je bil v primerjavi s prejšnjim letom višji za 10 %, znašal je namreč 29.183 EUR na zaposlenega.</w:t>
      </w:r>
    </w:p>
    <w:p w14:paraId="3B8E25A2" w14:textId="77777777" w:rsidR="00492765" w:rsidRPr="00492765" w:rsidRDefault="00492765" w:rsidP="00492765">
      <w:pPr>
        <w:spacing w:before="0" w:line="276" w:lineRule="auto"/>
        <w:rPr>
          <w:sz w:val="20"/>
          <w:szCs w:val="20"/>
        </w:rPr>
      </w:pPr>
    </w:p>
    <w:p w14:paraId="4AC89408" w14:textId="789EB3E1" w:rsidR="00492765" w:rsidRPr="00492765" w:rsidRDefault="007A411D" w:rsidP="0022702B">
      <w:pPr>
        <w:pStyle w:val="SCSlika0"/>
        <w:rPr>
          <w:sz w:val="20"/>
          <w:szCs w:val="20"/>
        </w:rPr>
      </w:pPr>
      <w:bookmarkStart w:id="5637" w:name="_Toc86822780"/>
      <w:r w:rsidRPr="00492765">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108</w:t>
      </w:r>
      <w:r w:rsidR="009F2591">
        <w:rPr>
          <w:noProof/>
        </w:rPr>
        <w:fldChar w:fldCharType="end"/>
      </w:r>
      <w:r w:rsidR="00492765" w:rsidRPr="00492765">
        <w:t>: Količina poseka iglavcev napadenih z insekti v obdobju 1994 – 2018 (vir: ZGS, obdelava GIS-GTE)</w:t>
      </w:r>
      <w:bookmarkEnd w:id="5637"/>
    </w:p>
    <w:p w14:paraId="0BE3CD87" w14:textId="1F5A775A" w:rsidR="00492765" w:rsidRPr="00492765" w:rsidRDefault="00492765" w:rsidP="00492765">
      <w:pPr>
        <w:spacing w:before="0" w:line="276" w:lineRule="auto"/>
        <w:rPr>
          <w:sz w:val="20"/>
          <w:szCs w:val="20"/>
        </w:rPr>
      </w:pPr>
      <w:r w:rsidRPr="00492765">
        <w:rPr>
          <w:noProof/>
          <w:sz w:val="20"/>
          <w:szCs w:val="20"/>
          <w:lang w:eastAsia="sl-SI"/>
        </w:rPr>
        <w:drawing>
          <wp:inline distT="0" distB="0" distL="0" distR="0" wp14:anchorId="01BAEE33" wp14:editId="14B52F53">
            <wp:extent cx="4319953" cy="2594847"/>
            <wp:effectExtent l="19050" t="19050" r="23495" b="152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30016" cy="2600892"/>
                    </a:xfrm>
                    <a:prstGeom prst="rect">
                      <a:avLst/>
                    </a:prstGeom>
                    <a:noFill/>
                    <a:ln>
                      <a:solidFill>
                        <a:sysClr val="windowText" lastClr="000000"/>
                      </a:solidFill>
                    </a:ln>
                  </pic:spPr>
                </pic:pic>
              </a:graphicData>
            </a:graphic>
          </wp:inline>
        </w:drawing>
      </w:r>
    </w:p>
    <w:p w14:paraId="3D50669F" w14:textId="77777777" w:rsidR="00492765" w:rsidRPr="00492765" w:rsidRDefault="00492765" w:rsidP="00492765">
      <w:pPr>
        <w:spacing w:before="0" w:line="276" w:lineRule="auto"/>
        <w:rPr>
          <w:sz w:val="20"/>
          <w:szCs w:val="20"/>
        </w:rPr>
      </w:pPr>
    </w:p>
    <w:p w14:paraId="699B8F75" w14:textId="4763E607" w:rsidR="00A017FF" w:rsidRDefault="00A017FF" w:rsidP="00492765">
      <w:pPr>
        <w:spacing w:before="0" w:line="276" w:lineRule="auto"/>
        <w:rPr>
          <w:szCs w:val="20"/>
        </w:rPr>
      </w:pPr>
      <w:r w:rsidRPr="00A017FF">
        <w:rPr>
          <w:szCs w:val="20"/>
        </w:rPr>
        <w:t>Vrednost proizvodnje hlodov za žago in furnir je bila v letu 2019 ocenjena na 159 milijonov EUR; to je bilo 29 % vrednosti celotne gozdarske proizvodnje v navedenem letu ali za 3 odstotne točke manj kot v prejšnjem letu. Obseg proizvodnje hlodovine je bil v primerjavi z letom 2018 nižji za 13 %, povprečne cene hlodovine pa so ostale na primerljivi ravni, zato je bila nižja tudi vrednost njene proizvodnje (za 15 %). Višji sta bili vrednosti proizvodnje lesa za kurjavo (za 9 %) ter lesa za celulozo in plošče (za 2 %).</w:t>
      </w:r>
    </w:p>
    <w:p w14:paraId="40AA66C4" w14:textId="4973F616" w:rsidR="00492765" w:rsidRPr="0022702B" w:rsidRDefault="00492765" w:rsidP="00492765">
      <w:pPr>
        <w:spacing w:before="0" w:line="276" w:lineRule="auto"/>
        <w:rPr>
          <w:szCs w:val="20"/>
        </w:rPr>
      </w:pPr>
      <w:r w:rsidRPr="0022702B">
        <w:rPr>
          <w:b/>
          <w:bCs/>
          <w:szCs w:val="20"/>
        </w:rPr>
        <w:br/>
      </w:r>
      <w:r w:rsidRPr="0022702B">
        <w:rPr>
          <w:szCs w:val="20"/>
        </w:rPr>
        <w:t>Vrednost vmesne potrošnje se je skozi leta povečevala in je 201</w:t>
      </w:r>
      <w:r w:rsidR="00A017FF">
        <w:rPr>
          <w:szCs w:val="20"/>
        </w:rPr>
        <w:t>9</w:t>
      </w:r>
      <w:r w:rsidRPr="0022702B">
        <w:rPr>
          <w:szCs w:val="20"/>
        </w:rPr>
        <w:t xml:space="preserve"> znašala  </w:t>
      </w:r>
      <w:r w:rsidR="00A017FF">
        <w:rPr>
          <w:szCs w:val="20"/>
        </w:rPr>
        <w:t>255</w:t>
      </w:r>
      <w:r w:rsidRPr="0022702B">
        <w:rPr>
          <w:szCs w:val="20"/>
        </w:rPr>
        <w:t xml:space="preserve"> milijonov EUR - je bila </w:t>
      </w:r>
      <w:r w:rsidR="00A017FF">
        <w:rPr>
          <w:szCs w:val="20"/>
        </w:rPr>
        <w:t xml:space="preserve">nižja v primerjavi s predhodnim letom </w:t>
      </w:r>
      <w:r w:rsidR="00A017FF" w:rsidRPr="00A017FF">
        <w:rPr>
          <w:szCs w:val="20"/>
        </w:rPr>
        <w:t>zaradi nižje vrednosti opravljenih gozdarskih storitev</w:t>
      </w:r>
      <w:r w:rsidRPr="0022702B">
        <w:rPr>
          <w:szCs w:val="20"/>
        </w:rPr>
        <w:t xml:space="preserve"> Zaradi saniranja poškodb od podlubnikov je bil v letu 2018 zabeležen za približno 50 % večji posek kot v letu pred žledolomom (2013), oz. več kot 6 milijonov m</w:t>
      </w:r>
      <w:r w:rsidRPr="0022702B">
        <w:rPr>
          <w:szCs w:val="20"/>
          <w:vertAlign w:val="superscript"/>
        </w:rPr>
        <w:t>3</w:t>
      </w:r>
      <w:r w:rsidRPr="0022702B">
        <w:rPr>
          <w:szCs w:val="20"/>
        </w:rPr>
        <w:t xml:space="preserve"> lesa. </w:t>
      </w:r>
      <w:r w:rsidR="004849A8" w:rsidRPr="004849A8">
        <w:rPr>
          <w:szCs w:val="20"/>
        </w:rPr>
        <w:t>Vrednost v proizvodnem procesu posekanega lesa (vrednotimo ga s povprečno ceno lesa na panju) se je v primerjavi z letom 2018 v letu 2019 povečala (za 5 %). V primerjavi s prejšnjim letom sta bili nižji tudi vrednosti potrošene energije (za 15 %) in vzdrževanja opreme (za 9 %).</w:t>
      </w:r>
    </w:p>
    <w:p w14:paraId="64353CDA" w14:textId="77777777" w:rsidR="00492765" w:rsidRPr="00492765" w:rsidRDefault="00492765" w:rsidP="00492765">
      <w:pPr>
        <w:spacing w:before="0" w:line="240" w:lineRule="auto"/>
        <w:rPr>
          <w:rFonts w:eastAsia="Arial"/>
          <w:sz w:val="20"/>
          <w:szCs w:val="20"/>
          <w:lang w:eastAsia="en-US"/>
        </w:rPr>
      </w:pPr>
    </w:p>
    <w:p w14:paraId="696C62A4" w14:textId="5BADB04B" w:rsidR="00492765" w:rsidRDefault="007A411D" w:rsidP="0022702B">
      <w:pPr>
        <w:pStyle w:val="SCPreglednica"/>
      </w:pPr>
      <w:bookmarkStart w:id="5638" w:name="_Toc42170412"/>
      <w:bookmarkStart w:id="5639" w:name="_Toc51280019"/>
      <w:bookmarkStart w:id="5640" w:name="_Toc86822672"/>
      <w:r w:rsidRPr="00492765">
        <w:t xml:space="preserve">Tabela </w:t>
      </w:r>
      <w:r w:rsidR="009F2591">
        <w:rPr>
          <w:noProof/>
        </w:rPr>
        <w:fldChar w:fldCharType="begin"/>
      </w:r>
      <w:r w:rsidR="009F2591">
        <w:rPr>
          <w:noProof/>
        </w:rPr>
        <w:instrText xml:space="preserve"> SEQ Tabela \* ARABIC </w:instrText>
      </w:r>
      <w:r w:rsidR="009F2591">
        <w:rPr>
          <w:noProof/>
        </w:rPr>
        <w:fldChar w:fldCharType="separate"/>
      </w:r>
      <w:r w:rsidR="0088117A">
        <w:rPr>
          <w:noProof/>
        </w:rPr>
        <w:t>34</w:t>
      </w:r>
      <w:r w:rsidR="009F2591">
        <w:rPr>
          <w:noProof/>
        </w:rPr>
        <w:fldChar w:fldCharType="end"/>
      </w:r>
      <w:r w:rsidR="00492765" w:rsidRPr="00492765">
        <w:t>: Temeljni agregati ekonomskih računov za gozdarstvo</w:t>
      </w:r>
      <w:bookmarkEnd w:id="5638"/>
      <w:bookmarkEnd w:id="5639"/>
      <w:bookmarkEnd w:id="5640"/>
    </w:p>
    <w:p w14:paraId="35834C2F" w14:textId="4F162297" w:rsidR="000B4403" w:rsidRDefault="000B4403" w:rsidP="000B4403">
      <w:r>
        <w:rPr>
          <w:noProof/>
          <w:lang w:eastAsia="sl-SI"/>
        </w:rPr>
        <w:drawing>
          <wp:inline distT="0" distB="0" distL="0" distR="0" wp14:anchorId="025A2290" wp14:editId="2327F607">
            <wp:extent cx="5261610" cy="5633085"/>
            <wp:effectExtent l="0" t="0" r="0" b="5715"/>
            <wp:docPr id="24169622" name="Slika 241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61610" cy="5633085"/>
                    </a:xfrm>
                    <a:prstGeom prst="rect">
                      <a:avLst/>
                    </a:prstGeom>
                    <a:noFill/>
                  </pic:spPr>
                </pic:pic>
              </a:graphicData>
            </a:graphic>
          </wp:inline>
        </w:drawing>
      </w:r>
    </w:p>
    <w:p w14:paraId="4212786D" w14:textId="77777777" w:rsidR="00492765" w:rsidRPr="00492765" w:rsidRDefault="00492765" w:rsidP="00492765">
      <w:pPr>
        <w:spacing w:before="0" w:line="240" w:lineRule="auto"/>
        <w:rPr>
          <w:sz w:val="20"/>
          <w:szCs w:val="20"/>
        </w:rPr>
      </w:pPr>
    </w:p>
    <w:p w14:paraId="59A2C9D5" w14:textId="77777777" w:rsidR="00492765" w:rsidRPr="0022702B" w:rsidRDefault="00492765" w:rsidP="00492765">
      <w:pPr>
        <w:spacing w:before="0" w:line="276" w:lineRule="auto"/>
        <w:rPr>
          <w:szCs w:val="20"/>
        </w:rPr>
      </w:pPr>
      <w:r w:rsidRPr="0022702B">
        <w:rPr>
          <w:szCs w:val="20"/>
        </w:rPr>
        <w:t>Z intervencijami, kot so naložbe v ureditev gozdne infrastrukture lastnikom gozdov zmanjšamo stroške, z novo mehanizacijo se poveča učinkovitost dela in s tem lastnikom omogočamo večjo konkurenčnost na trgu z gozdno lesnimi sortimenti.</w:t>
      </w:r>
    </w:p>
    <w:p w14:paraId="5525E138" w14:textId="77777777" w:rsidR="00492765" w:rsidRPr="00492765" w:rsidRDefault="00492765" w:rsidP="00492765">
      <w:pPr>
        <w:spacing w:before="0" w:line="276" w:lineRule="auto"/>
        <w:rPr>
          <w:sz w:val="20"/>
          <w:szCs w:val="20"/>
        </w:rPr>
      </w:pPr>
    </w:p>
    <w:p w14:paraId="293E1050" w14:textId="4AC7F382" w:rsidR="00492765" w:rsidRPr="007A411D" w:rsidRDefault="00492765" w:rsidP="0022702B">
      <w:pPr>
        <w:pStyle w:val="Naslov2"/>
      </w:pPr>
      <w:bookmarkStart w:id="5641" w:name="_Toc86822631"/>
      <w:r w:rsidRPr="00492765">
        <w:t>Investicije v gozdarstvo in gozdno-lesno verigo preko PRP 2007–2013 in PRP 2014-2020</w:t>
      </w:r>
      <w:bookmarkEnd w:id="5641"/>
    </w:p>
    <w:p w14:paraId="4D04A747" w14:textId="77777777" w:rsidR="00492765" w:rsidRPr="00492765" w:rsidRDefault="00492765" w:rsidP="00492765">
      <w:pPr>
        <w:spacing w:before="0" w:line="276" w:lineRule="auto"/>
        <w:rPr>
          <w:sz w:val="20"/>
          <w:szCs w:val="20"/>
        </w:rPr>
      </w:pPr>
      <w:r w:rsidRPr="00492765">
        <w:rPr>
          <w:sz w:val="20"/>
          <w:szCs w:val="20"/>
        </w:rPr>
        <w:t xml:space="preserve"> </w:t>
      </w:r>
    </w:p>
    <w:p w14:paraId="46921CF1" w14:textId="77777777" w:rsidR="00492765" w:rsidRPr="00492765" w:rsidRDefault="00492765" w:rsidP="0022702B">
      <w:pPr>
        <w:rPr>
          <w:rFonts w:eastAsiaTheme="minorHAnsi"/>
        </w:rPr>
      </w:pPr>
      <w:r w:rsidRPr="00492765">
        <w:rPr>
          <w:rFonts w:eastAsiaTheme="minorHAnsi"/>
        </w:rPr>
        <w:t xml:space="preserve">Vlaganja v gozdarstvo in gozdno-lesno verigo so bila v zadnjih dveh programskih obdobjih PRP 2007–2013 in PRP 2014–2020 lastnikom gozdov spodbujena tudi zaradi nepovratnih sredstev v okviru PRP. </w:t>
      </w:r>
    </w:p>
    <w:p w14:paraId="6E8B8720" w14:textId="77777777" w:rsidR="00492765" w:rsidRPr="00492765" w:rsidRDefault="00492765" w:rsidP="0022702B">
      <w:pPr>
        <w:rPr>
          <w:rFonts w:eastAsiaTheme="minorHAnsi"/>
        </w:rPr>
      </w:pPr>
      <w:r w:rsidRPr="00492765">
        <w:rPr>
          <w:rFonts w:eastAsiaTheme="minorHAnsi"/>
        </w:rPr>
        <w:t>V okviru PRP 2007–2014 so upravičenci do podpore iz ukrepov 122 - Povečanje gospodarske vrednosti gozdov, 123 - Dodajanje vrednosti kmetijskim in gozdarskim proizvodom, 311 - Diverzifikacija v nekmetijske dejavnosti in 312 - Podpora ustanavljanju in razvoju mikro podjetij skupno prejeli 49 milijonov evrov.</w:t>
      </w:r>
    </w:p>
    <w:p w14:paraId="17404B57" w14:textId="46EFF8D8" w:rsidR="00492765" w:rsidRPr="00492765" w:rsidRDefault="00492765" w:rsidP="0022702B">
      <w:pPr>
        <w:rPr>
          <w:rFonts w:eastAsiaTheme="minorHAnsi"/>
        </w:rPr>
      </w:pPr>
      <w:r w:rsidRPr="00492765">
        <w:rPr>
          <w:rFonts w:eastAsiaTheme="minorHAnsi"/>
        </w:rPr>
        <w:t xml:space="preserve">V okviru PRP 2014–2020 je bilo na področju gozdarstva in gozdno-lesne verige iz operacije Ureditev gozdne infrastrukture, podukrepa 8.4 Preprečevanje in odprava škode v gozdovih zaradi gozdnih požarov ter naravnih nesreč in katastrofičnih dogodkov ter podukrepa 8.6 Naložbe v gozdarske tehnologije ter predelavo in mobilizacijo lesa do 31. </w:t>
      </w:r>
      <w:r w:rsidR="00282924">
        <w:rPr>
          <w:rFonts w:eastAsiaTheme="minorHAnsi"/>
        </w:rPr>
        <w:t>7</w:t>
      </w:r>
      <w:r w:rsidRPr="00492765">
        <w:rPr>
          <w:rFonts w:eastAsiaTheme="minorHAnsi"/>
        </w:rPr>
        <w:t xml:space="preserve">. </w:t>
      </w:r>
      <w:r w:rsidR="00FF65FB" w:rsidRPr="00492765">
        <w:rPr>
          <w:rFonts w:eastAsiaTheme="minorHAnsi"/>
        </w:rPr>
        <w:t>202</w:t>
      </w:r>
      <w:r w:rsidR="00FF65FB">
        <w:rPr>
          <w:rFonts w:eastAsiaTheme="minorHAnsi"/>
        </w:rPr>
        <w:t>1</w:t>
      </w:r>
      <w:r w:rsidR="00FF65FB" w:rsidRPr="00492765">
        <w:rPr>
          <w:rFonts w:eastAsiaTheme="minorHAnsi"/>
        </w:rPr>
        <w:t xml:space="preserve"> </w:t>
      </w:r>
      <w:r w:rsidRPr="00492765">
        <w:rPr>
          <w:rFonts w:eastAsiaTheme="minorHAnsi"/>
        </w:rPr>
        <w:t xml:space="preserve">skupno odobrenih </w:t>
      </w:r>
      <w:r w:rsidR="00FF65FB">
        <w:rPr>
          <w:rFonts w:eastAsiaTheme="minorHAnsi"/>
        </w:rPr>
        <w:t>48</w:t>
      </w:r>
      <w:r w:rsidR="00FF65FB" w:rsidRPr="00492765">
        <w:rPr>
          <w:rFonts w:eastAsiaTheme="minorHAnsi"/>
        </w:rPr>
        <w:t xml:space="preserve"> </w:t>
      </w:r>
      <w:r w:rsidRPr="00492765">
        <w:rPr>
          <w:rFonts w:eastAsiaTheme="minorHAnsi"/>
        </w:rPr>
        <w:t xml:space="preserve">milijonov evrov, ter izplačanih </w:t>
      </w:r>
      <w:r w:rsidR="00FF65FB">
        <w:rPr>
          <w:rFonts w:eastAsiaTheme="minorHAnsi"/>
        </w:rPr>
        <w:t>30</w:t>
      </w:r>
      <w:r w:rsidRPr="00492765">
        <w:rPr>
          <w:rFonts w:eastAsiaTheme="minorHAnsi"/>
        </w:rPr>
        <w:t xml:space="preserve"> milijonov evrov.</w:t>
      </w:r>
    </w:p>
    <w:p w14:paraId="3C1DB227" w14:textId="77777777" w:rsidR="00492765" w:rsidRPr="00492765" w:rsidRDefault="00492765" w:rsidP="00492765">
      <w:pPr>
        <w:spacing w:before="0" w:line="276" w:lineRule="auto"/>
        <w:rPr>
          <w:sz w:val="20"/>
          <w:szCs w:val="20"/>
        </w:rPr>
      </w:pPr>
    </w:p>
    <w:p w14:paraId="5A486466" w14:textId="26EAD65A" w:rsidR="00492765" w:rsidRPr="00492765" w:rsidRDefault="00492765" w:rsidP="0022702B">
      <w:pPr>
        <w:pStyle w:val="Naslov2"/>
      </w:pPr>
      <w:bookmarkStart w:id="5642" w:name="_Toc42065177"/>
      <w:bookmarkStart w:id="5643" w:name="_Toc51279995"/>
      <w:bookmarkStart w:id="5644" w:name="_Toc86822632"/>
      <w:r w:rsidRPr="00492765">
        <w:t>Ključne ugotovitve</w:t>
      </w:r>
      <w:bookmarkEnd w:id="5642"/>
      <w:bookmarkEnd w:id="5643"/>
      <w:bookmarkEnd w:id="5644"/>
    </w:p>
    <w:p w14:paraId="26407BEA" w14:textId="77777777" w:rsidR="00492765" w:rsidRPr="00492765" w:rsidRDefault="00492765" w:rsidP="00492765">
      <w:pPr>
        <w:spacing w:before="0" w:line="276" w:lineRule="auto"/>
        <w:ind w:left="720"/>
        <w:rPr>
          <w:sz w:val="20"/>
          <w:szCs w:val="20"/>
        </w:rPr>
      </w:pPr>
    </w:p>
    <w:p w14:paraId="12DE9834" w14:textId="7F2A619D" w:rsidR="00492765" w:rsidRPr="0022702B" w:rsidRDefault="00492765" w:rsidP="00492765">
      <w:pPr>
        <w:numPr>
          <w:ilvl w:val="0"/>
          <w:numId w:val="115"/>
        </w:numPr>
        <w:spacing w:before="0" w:line="276" w:lineRule="auto"/>
        <w:ind w:left="426" w:hanging="284"/>
        <w:rPr>
          <w:szCs w:val="20"/>
        </w:rPr>
      </w:pPr>
      <w:r w:rsidRPr="0022702B">
        <w:rPr>
          <w:szCs w:val="20"/>
        </w:rPr>
        <w:t>Velik delež ozemlja države pokrivajo gozdovi (58 %), zato dodatno pogozdovanje ni potrebno.</w:t>
      </w:r>
    </w:p>
    <w:p w14:paraId="0081AE5A" w14:textId="77777777" w:rsidR="00492765" w:rsidRPr="0022702B" w:rsidRDefault="00492765" w:rsidP="00492765">
      <w:pPr>
        <w:numPr>
          <w:ilvl w:val="0"/>
          <w:numId w:val="115"/>
        </w:numPr>
        <w:spacing w:before="0" w:line="276" w:lineRule="auto"/>
        <w:ind w:left="426" w:hanging="284"/>
        <w:rPr>
          <w:szCs w:val="20"/>
        </w:rPr>
      </w:pPr>
      <w:r w:rsidRPr="0022702B">
        <w:rPr>
          <w:bCs/>
          <w:szCs w:val="20"/>
        </w:rPr>
        <w:t>Lastniška struktura zasebnih gozdov ostaja izrazito neugodna, zato je gospodarjenje z gozdovi oteženo</w:t>
      </w:r>
      <w:r w:rsidRPr="0022702B">
        <w:rPr>
          <w:szCs w:val="20"/>
        </w:rPr>
        <w:t>.</w:t>
      </w:r>
    </w:p>
    <w:p w14:paraId="0A0A73A9" w14:textId="77777777" w:rsidR="00492765" w:rsidRPr="0022702B" w:rsidRDefault="00492765" w:rsidP="00492765">
      <w:pPr>
        <w:numPr>
          <w:ilvl w:val="0"/>
          <w:numId w:val="115"/>
        </w:numPr>
        <w:spacing w:before="0" w:line="276" w:lineRule="auto"/>
        <w:ind w:left="426" w:hanging="284"/>
        <w:rPr>
          <w:bCs/>
          <w:szCs w:val="20"/>
        </w:rPr>
      </w:pPr>
      <w:r w:rsidRPr="0022702B">
        <w:rPr>
          <w:bCs/>
          <w:szCs w:val="20"/>
        </w:rPr>
        <w:t>Odprtost z gozdnimi prometnicami v Sloveniji še ni optimalna.</w:t>
      </w:r>
    </w:p>
    <w:p w14:paraId="4E03E061" w14:textId="77777777" w:rsidR="00492765" w:rsidRPr="0022702B" w:rsidRDefault="00492765" w:rsidP="00492765">
      <w:pPr>
        <w:numPr>
          <w:ilvl w:val="0"/>
          <w:numId w:val="115"/>
        </w:numPr>
        <w:spacing w:before="0" w:line="276" w:lineRule="auto"/>
        <w:ind w:left="426" w:hanging="284"/>
        <w:rPr>
          <w:szCs w:val="20"/>
        </w:rPr>
      </w:pPr>
      <w:r w:rsidRPr="0022702B">
        <w:rPr>
          <w:szCs w:val="20"/>
        </w:rPr>
        <w:t>V Sloveniji še vedno prevladuje zastarela in neučinkovita gozdarska mehanizacija.</w:t>
      </w:r>
    </w:p>
    <w:p w14:paraId="05C3C13F" w14:textId="77777777" w:rsidR="00492765" w:rsidRPr="0022702B" w:rsidRDefault="00492765" w:rsidP="00492765">
      <w:pPr>
        <w:numPr>
          <w:ilvl w:val="0"/>
          <w:numId w:val="115"/>
        </w:numPr>
        <w:spacing w:before="0" w:line="276" w:lineRule="auto"/>
        <w:ind w:left="426" w:hanging="284"/>
        <w:rPr>
          <w:rFonts w:ascii="Times New Roman" w:eastAsia="Arial" w:hAnsi="Times New Roman"/>
          <w:szCs w:val="20"/>
          <w:lang w:eastAsia="en-US"/>
        </w:rPr>
      </w:pPr>
      <w:r w:rsidRPr="0022702B">
        <w:rPr>
          <w:szCs w:val="20"/>
        </w:rPr>
        <w:t xml:space="preserve">Gozdarstvo spada med najbolj tvegane dejavnosti tudi v Sloveniji, nezgode v gozdovih so pogoste, pojavljajo se tudi nezgode s smrtnim izidom. </w:t>
      </w:r>
    </w:p>
    <w:p w14:paraId="41D93B25" w14:textId="77777777" w:rsidR="00492765" w:rsidRPr="0022702B" w:rsidRDefault="00492765" w:rsidP="00492765">
      <w:pPr>
        <w:numPr>
          <w:ilvl w:val="0"/>
          <w:numId w:val="115"/>
        </w:numPr>
        <w:spacing w:before="0" w:line="276" w:lineRule="auto"/>
        <w:ind w:left="426" w:hanging="284"/>
        <w:rPr>
          <w:rFonts w:eastAsia="Arial"/>
          <w:szCs w:val="20"/>
          <w:lang w:eastAsia="en-US"/>
        </w:rPr>
      </w:pPr>
      <w:r w:rsidRPr="0022702B">
        <w:rPr>
          <w:rFonts w:eastAsia="Arial"/>
          <w:szCs w:val="20"/>
          <w:lang w:eastAsia="en-US"/>
        </w:rPr>
        <w:t>Slovenija je izrazita izvoznica nepredelanega okroglega lesa. S tem se izgublja dodana vrednost lesa, ki bi se lahko ustvarila, če bi se surovina predelala doma.</w:t>
      </w:r>
    </w:p>
    <w:p w14:paraId="13399DDA" w14:textId="77777777" w:rsidR="00FA0AA9" w:rsidRPr="0047652B" w:rsidRDefault="00FA0AA9" w:rsidP="00FA3FBA">
      <w:pPr>
        <w:pStyle w:val="Odstavekseznama"/>
        <w:spacing w:before="0" w:line="260" w:lineRule="atLeast"/>
        <w:ind w:left="360"/>
        <w:contextualSpacing/>
        <w:rPr>
          <w:rFonts w:ascii="Arial" w:hAnsi="Arial"/>
        </w:rPr>
      </w:pPr>
    </w:p>
    <w:p w14:paraId="24697B28" w14:textId="163FE348" w:rsidR="00931DC7" w:rsidRDefault="00931DC7" w:rsidP="00FA3FBA">
      <w:pPr>
        <w:spacing w:before="0" w:line="260" w:lineRule="atLeast"/>
        <w:jc w:val="left"/>
        <w:rPr>
          <w:rFonts w:eastAsia="Calibri"/>
          <w:b/>
          <w:sz w:val="20"/>
          <w:szCs w:val="20"/>
          <w:lang w:eastAsia="en-US"/>
        </w:rPr>
      </w:pPr>
      <w:bookmarkStart w:id="5645" w:name="_Toc40951504"/>
      <w:bookmarkStart w:id="5646" w:name="_Toc40951787"/>
      <w:bookmarkStart w:id="5647" w:name="_Toc40951926"/>
      <w:bookmarkStart w:id="5648" w:name="_Toc40952175"/>
      <w:bookmarkStart w:id="5649" w:name="_Toc40952246"/>
      <w:bookmarkStart w:id="5650" w:name="_Toc40952313"/>
      <w:bookmarkStart w:id="5651" w:name="_Toc40952538"/>
      <w:bookmarkStart w:id="5652" w:name="_Toc40952625"/>
      <w:bookmarkStart w:id="5653" w:name="_Toc40952697"/>
      <w:bookmarkStart w:id="5654" w:name="_Toc40952769"/>
      <w:bookmarkStart w:id="5655" w:name="_Toc40952841"/>
      <w:bookmarkStart w:id="5656" w:name="_Toc40953020"/>
      <w:bookmarkStart w:id="5657" w:name="_Toc40956704"/>
      <w:bookmarkStart w:id="5658" w:name="_Toc40959293"/>
      <w:bookmarkStart w:id="5659" w:name="_Toc40951505"/>
      <w:bookmarkStart w:id="5660" w:name="_Toc40951788"/>
      <w:bookmarkStart w:id="5661" w:name="_Toc40951927"/>
      <w:bookmarkStart w:id="5662" w:name="_Toc40952176"/>
      <w:bookmarkStart w:id="5663" w:name="_Toc40952247"/>
      <w:bookmarkStart w:id="5664" w:name="_Toc40952314"/>
      <w:bookmarkStart w:id="5665" w:name="_Toc40952539"/>
      <w:bookmarkStart w:id="5666" w:name="_Toc40952626"/>
      <w:bookmarkStart w:id="5667" w:name="_Toc40952698"/>
      <w:bookmarkStart w:id="5668" w:name="_Toc40952770"/>
      <w:bookmarkStart w:id="5669" w:name="_Toc40952842"/>
      <w:bookmarkStart w:id="5670" w:name="_Toc40953021"/>
      <w:bookmarkStart w:id="5671" w:name="_Toc40956705"/>
      <w:bookmarkStart w:id="5672" w:name="_Toc40959294"/>
      <w:bookmarkStart w:id="5673" w:name="_Toc31673795"/>
      <w:bookmarkStart w:id="5674" w:name="_Toc31674634"/>
      <w:bookmarkStart w:id="5675" w:name="_Toc31675473"/>
      <w:bookmarkStart w:id="5676" w:name="_Toc31673796"/>
      <w:bookmarkStart w:id="5677" w:name="_Toc31674635"/>
      <w:bookmarkStart w:id="5678" w:name="_Toc31675474"/>
      <w:bookmarkStart w:id="5679" w:name="_Toc31673797"/>
      <w:bookmarkStart w:id="5680" w:name="_Toc31674636"/>
      <w:bookmarkStart w:id="5681" w:name="_Toc31675475"/>
      <w:bookmarkStart w:id="5682" w:name="_Toc31673798"/>
      <w:bookmarkStart w:id="5683" w:name="_Toc31674637"/>
      <w:bookmarkStart w:id="5684" w:name="_Toc31675476"/>
      <w:bookmarkStart w:id="5685" w:name="_Toc31673799"/>
      <w:bookmarkStart w:id="5686" w:name="_Toc31674638"/>
      <w:bookmarkStart w:id="5687" w:name="_Toc31675477"/>
      <w:bookmarkStart w:id="5688" w:name="_Toc29450289"/>
      <w:bookmarkStart w:id="5689" w:name="_Toc29450398"/>
      <w:bookmarkStart w:id="5690" w:name="_Toc29458756"/>
      <w:bookmarkStart w:id="5691" w:name="_Toc29450290"/>
      <w:bookmarkStart w:id="5692" w:name="_Toc29450399"/>
      <w:bookmarkStart w:id="5693" w:name="_Toc29458757"/>
      <w:bookmarkStart w:id="5694" w:name="_Toc29450291"/>
      <w:bookmarkStart w:id="5695" w:name="_Toc29450400"/>
      <w:bookmarkStart w:id="5696" w:name="_Toc29458758"/>
      <w:bookmarkStart w:id="5697" w:name="_Toc29450292"/>
      <w:bookmarkStart w:id="5698" w:name="_Toc29450401"/>
      <w:bookmarkStart w:id="5699" w:name="_Toc29458759"/>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14:paraId="0DB41E1D" w14:textId="77777777" w:rsidR="00C25531" w:rsidRDefault="00C25531">
      <w:pPr>
        <w:spacing w:before="0" w:after="200" w:line="276" w:lineRule="auto"/>
        <w:jc w:val="left"/>
        <w:rPr>
          <w:rFonts w:eastAsia="Calibri"/>
          <w:b/>
          <w:sz w:val="24"/>
          <w:szCs w:val="20"/>
          <w:lang w:eastAsia="en-US"/>
        </w:rPr>
      </w:pPr>
      <w:r>
        <w:br w:type="page"/>
      </w:r>
    </w:p>
    <w:p w14:paraId="7DA66187" w14:textId="7B69321B" w:rsidR="00157FC2" w:rsidRDefault="00F54A4A" w:rsidP="001261F1">
      <w:pPr>
        <w:pStyle w:val="Naslov1"/>
      </w:pPr>
      <w:bookmarkStart w:id="5700" w:name="_Toc86822633"/>
      <w:r w:rsidRPr="009F3567">
        <w:t xml:space="preserve">Nove tehnologije in digitalizacija </w:t>
      </w:r>
      <w:r w:rsidR="00C80F07">
        <w:t>ter vloga AKIS</w:t>
      </w:r>
      <w:bookmarkEnd w:id="5700"/>
    </w:p>
    <w:p w14:paraId="72F87A7E" w14:textId="77777777" w:rsidR="007F7ACE" w:rsidRPr="009F3567" w:rsidRDefault="007F7ACE" w:rsidP="001261F1"/>
    <w:p w14:paraId="418016C1" w14:textId="77777777" w:rsidR="00333DE2" w:rsidRDefault="00333DE2" w:rsidP="00FA3FBA">
      <w:pPr>
        <w:spacing w:before="0" w:line="260" w:lineRule="atLeast"/>
        <w:rPr>
          <w:sz w:val="20"/>
        </w:rPr>
      </w:pPr>
    </w:p>
    <w:p w14:paraId="69F5C200" w14:textId="2732C186" w:rsidR="00333DE2" w:rsidRPr="00333DE2" w:rsidRDefault="00333DE2" w:rsidP="001261F1">
      <w:pPr>
        <w:pStyle w:val="Naslov2"/>
      </w:pPr>
      <w:bookmarkStart w:id="5701" w:name="_Toc86822634"/>
      <w:r w:rsidRPr="00333DE2">
        <w:t>Pomen</w:t>
      </w:r>
      <w:r w:rsidR="00A11175">
        <w:t xml:space="preserve"> uvajanja</w:t>
      </w:r>
      <w:r w:rsidRPr="00333DE2">
        <w:t xml:space="preserve"> novih tehnologij in digitalizacije </w:t>
      </w:r>
      <w:r w:rsidR="003954F9">
        <w:t>ter stanje na tem področju</w:t>
      </w:r>
      <w:bookmarkEnd w:id="5701"/>
      <w:r>
        <w:t xml:space="preserve"> </w:t>
      </w:r>
    </w:p>
    <w:p w14:paraId="14207CAE" w14:textId="77777777" w:rsidR="00333DE2" w:rsidRDefault="00333DE2" w:rsidP="00FA3FBA">
      <w:pPr>
        <w:spacing w:before="0" w:line="260" w:lineRule="atLeast"/>
        <w:rPr>
          <w:sz w:val="20"/>
        </w:rPr>
      </w:pPr>
    </w:p>
    <w:p w14:paraId="15B68E4F" w14:textId="4A7C4377" w:rsidR="001912AE" w:rsidRPr="001261F1" w:rsidRDefault="00C80F07" w:rsidP="00FA3FBA">
      <w:pPr>
        <w:spacing w:before="0" w:line="260" w:lineRule="atLeast"/>
        <w:rPr>
          <w:szCs w:val="22"/>
        </w:rPr>
      </w:pPr>
      <w:r w:rsidRPr="001261F1">
        <w:rPr>
          <w:szCs w:val="22"/>
        </w:rPr>
        <w:t xml:space="preserve">Kmetijstvo se - globalno gledano - sooča s številnimi izzivi: </w:t>
      </w:r>
      <w:r w:rsidR="005B100A" w:rsidRPr="001261F1">
        <w:rPr>
          <w:szCs w:val="22"/>
        </w:rPr>
        <w:t xml:space="preserve">z </w:t>
      </w:r>
      <w:r w:rsidRPr="001261F1">
        <w:rPr>
          <w:szCs w:val="22"/>
        </w:rPr>
        <w:t xml:space="preserve">izzivi povečevanja povpraševanja po hrani, naraščajočimi pritiski na naravne vire, podnebnimi spremembami, ki neposredno zmanjšujejo produktivnost ter velikimi količinami zavržene hrane, kar je </w:t>
      </w:r>
      <w:r w:rsidR="005B100A" w:rsidRPr="001261F1">
        <w:rPr>
          <w:szCs w:val="22"/>
        </w:rPr>
        <w:t xml:space="preserve">prepoznano kot </w:t>
      </w:r>
      <w:r w:rsidRPr="001261F1">
        <w:rPr>
          <w:szCs w:val="22"/>
        </w:rPr>
        <w:t>velika anomalija trga in okoljska grožnja.</w:t>
      </w:r>
      <w:r w:rsidR="00A11175" w:rsidRPr="001261F1">
        <w:rPr>
          <w:szCs w:val="22"/>
        </w:rPr>
        <w:t xml:space="preserve"> Razvoj in uporaba novih tehnologij, povečanje tehnološke učinkovitosti, digitalna transformacija so v središču koncepta t.i. »kmetijstva 4.0«, ki naj bi postalo pametno, digitalno podprto in prezicno.</w:t>
      </w:r>
    </w:p>
    <w:p w14:paraId="1C351BE0" w14:textId="77777777" w:rsidR="001912AE" w:rsidRPr="001261F1" w:rsidRDefault="001912AE" w:rsidP="00FA3FBA">
      <w:pPr>
        <w:spacing w:before="0" w:line="260" w:lineRule="atLeast"/>
        <w:rPr>
          <w:szCs w:val="22"/>
        </w:rPr>
      </w:pPr>
    </w:p>
    <w:p w14:paraId="7D291E2B" w14:textId="0B0501FA" w:rsidR="001912AE" w:rsidRPr="001261F1" w:rsidRDefault="001912AE" w:rsidP="001912AE">
      <w:pPr>
        <w:spacing w:before="0" w:line="260" w:lineRule="atLeast"/>
        <w:rPr>
          <w:szCs w:val="22"/>
        </w:rPr>
      </w:pPr>
      <w:r w:rsidRPr="001261F1">
        <w:rPr>
          <w:szCs w:val="22"/>
        </w:rPr>
        <w:t>Nadalje, obstoječe in nove digitalne tehnologije, kot so internet stvari, umetna inteligenca, tehnologije veriženja blokov, robotika in velepodatki, lahko prispevajo k učinkovitejšim procesom ter privedejo do oblikovanja novih proizvodov in storitev. Pričakovati pa je koristi tudi naprej vzdolž celotne verige vrednosti z vidika boljše sledljivosti surovin, zmanjševanja količine embalaže, zmanjševanja količin odpadkov, ponovne uporabe le-teh itd., kar vse je v ospredju koncepta krožnega gospodarstva. Digitalne tehnologije pa so ključne za bolj privlačno, pametno in trajnostno delovanje podeželskih skupnosti na sploh.</w:t>
      </w:r>
    </w:p>
    <w:p w14:paraId="5BB96E04" w14:textId="77777777" w:rsidR="001912AE" w:rsidRPr="001261F1" w:rsidRDefault="001912AE" w:rsidP="00FA3FBA">
      <w:pPr>
        <w:spacing w:before="0" w:line="260" w:lineRule="atLeast"/>
        <w:rPr>
          <w:szCs w:val="22"/>
        </w:rPr>
      </w:pPr>
    </w:p>
    <w:p w14:paraId="3D5BCA4C" w14:textId="491DD0FA" w:rsidR="00B638A7" w:rsidRPr="001261F1" w:rsidRDefault="00A7730B" w:rsidP="00FA3FBA">
      <w:pPr>
        <w:spacing w:before="0" w:line="260" w:lineRule="atLeast"/>
        <w:rPr>
          <w:szCs w:val="22"/>
        </w:rPr>
      </w:pPr>
      <w:r w:rsidRPr="001261F1">
        <w:rPr>
          <w:szCs w:val="22"/>
        </w:rPr>
        <w:t>Neposredne k</w:t>
      </w:r>
      <w:r w:rsidR="00A47672" w:rsidRPr="001261F1">
        <w:rPr>
          <w:szCs w:val="22"/>
        </w:rPr>
        <w:t xml:space="preserve">oristi uporabe </w:t>
      </w:r>
      <w:r w:rsidR="00A11175" w:rsidRPr="001261F1">
        <w:rPr>
          <w:szCs w:val="22"/>
        </w:rPr>
        <w:t>(</w:t>
      </w:r>
      <w:r w:rsidR="00A47672" w:rsidRPr="001261F1">
        <w:rPr>
          <w:szCs w:val="22"/>
        </w:rPr>
        <w:t>digitalnih</w:t>
      </w:r>
      <w:r w:rsidR="00A11175" w:rsidRPr="001261F1">
        <w:rPr>
          <w:szCs w:val="22"/>
        </w:rPr>
        <w:t>)</w:t>
      </w:r>
      <w:r w:rsidR="00A47672" w:rsidRPr="001261F1">
        <w:rPr>
          <w:szCs w:val="22"/>
        </w:rPr>
        <w:t xml:space="preserve"> tehnologij v kmetijstvu so </w:t>
      </w:r>
      <w:r w:rsidR="00A11175" w:rsidRPr="001261F1">
        <w:rPr>
          <w:szCs w:val="22"/>
        </w:rPr>
        <w:t xml:space="preserve">namreč </w:t>
      </w:r>
      <w:r w:rsidR="00A47672" w:rsidRPr="001261F1">
        <w:rPr>
          <w:szCs w:val="22"/>
        </w:rPr>
        <w:t>lahko izboljšani donosi pridelkov</w:t>
      </w:r>
      <w:r w:rsidR="005B100A" w:rsidRPr="001261F1">
        <w:rPr>
          <w:szCs w:val="22"/>
        </w:rPr>
        <w:t xml:space="preserve"> ob hkratnem zmanjšanju inputov (precizno kmetijstvo), dvig</w:t>
      </w:r>
      <w:r w:rsidR="00A47672" w:rsidRPr="001261F1">
        <w:rPr>
          <w:szCs w:val="22"/>
        </w:rPr>
        <w:t xml:space="preserve"> proizvodnost</w:t>
      </w:r>
      <w:r w:rsidR="00B638A7" w:rsidRPr="001261F1">
        <w:rPr>
          <w:szCs w:val="22"/>
        </w:rPr>
        <w:t>i</w:t>
      </w:r>
      <w:r w:rsidR="00A47672" w:rsidRPr="001261F1">
        <w:rPr>
          <w:szCs w:val="22"/>
        </w:rPr>
        <w:t xml:space="preserve"> živali, </w:t>
      </w:r>
      <w:r w:rsidRPr="001261F1">
        <w:rPr>
          <w:szCs w:val="22"/>
        </w:rPr>
        <w:t xml:space="preserve">boljše zdravstveno stanje živali, </w:t>
      </w:r>
      <w:r w:rsidR="00D20008" w:rsidRPr="001261F1">
        <w:rPr>
          <w:szCs w:val="22"/>
        </w:rPr>
        <w:t xml:space="preserve">ustreznejše zdravstveno varstvo rastlin, </w:t>
      </w:r>
      <w:r w:rsidR="00A47672" w:rsidRPr="001261F1">
        <w:rPr>
          <w:szCs w:val="22"/>
        </w:rPr>
        <w:t>optimizacija vložkov v postopke in zmanjšanje obsega dela, vse to pa lahko poveča</w:t>
      </w:r>
      <w:r w:rsidR="005B100A" w:rsidRPr="001261F1">
        <w:rPr>
          <w:szCs w:val="22"/>
        </w:rPr>
        <w:t xml:space="preserve"> produktivnost, konkurenčnost in</w:t>
      </w:r>
      <w:r w:rsidR="00A47672" w:rsidRPr="001261F1">
        <w:rPr>
          <w:szCs w:val="22"/>
        </w:rPr>
        <w:t xml:space="preserve"> dobičkonosnost. </w:t>
      </w:r>
      <w:r w:rsidR="005B100A" w:rsidRPr="001261F1">
        <w:rPr>
          <w:szCs w:val="22"/>
        </w:rPr>
        <w:t xml:space="preserve">Ne samo, da kmetom pomagajo </w:t>
      </w:r>
      <w:r w:rsidR="00AE1F83" w:rsidRPr="001261F1">
        <w:rPr>
          <w:szCs w:val="22"/>
        </w:rPr>
        <w:t>»</w:t>
      </w:r>
      <w:r w:rsidR="005B100A" w:rsidRPr="001261F1">
        <w:rPr>
          <w:szCs w:val="22"/>
        </w:rPr>
        <w:t>pridelati več z manj</w:t>
      </w:r>
      <w:r w:rsidR="00AE1F83" w:rsidRPr="001261F1">
        <w:rPr>
          <w:szCs w:val="22"/>
        </w:rPr>
        <w:t xml:space="preserve">«, </w:t>
      </w:r>
      <w:r w:rsidR="00B638A7" w:rsidRPr="001261F1">
        <w:rPr>
          <w:szCs w:val="22"/>
        </w:rPr>
        <w:t xml:space="preserve">zmanjšujejo vplive na okolje, </w:t>
      </w:r>
      <w:r w:rsidR="005B100A" w:rsidRPr="001261F1">
        <w:rPr>
          <w:szCs w:val="22"/>
        </w:rPr>
        <w:t xml:space="preserve">ampak lahko prispevajo tudi k boju proti podnebnim spremembam. </w:t>
      </w:r>
    </w:p>
    <w:p w14:paraId="3B3EC254" w14:textId="77777777" w:rsidR="00A47672" w:rsidRPr="001261F1" w:rsidRDefault="00A47672" w:rsidP="00FA3FBA">
      <w:pPr>
        <w:spacing w:before="0" w:line="260" w:lineRule="atLeast"/>
        <w:rPr>
          <w:szCs w:val="22"/>
        </w:rPr>
      </w:pPr>
    </w:p>
    <w:p w14:paraId="2A2379B9" w14:textId="77777777" w:rsidR="00E46686" w:rsidRPr="001261F1" w:rsidRDefault="00E46686" w:rsidP="00FA3FBA">
      <w:pPr>
        <w:spacing w:before="0" w:line="260" w:lineRule="atLeast"/>
        <w:rPr>
          <w:szCs w:val="22"/>
        </w:rPr>
      </w:pPr>
      <w:r w:rsidRPr="001261F1">
        <w:rPr>
          <w:szCs w:val="22"/>
        </w:rPr>
        <w:t xml:space="preserve">Za gozdarski sektor velja podobno kot za kmetijstvo in sektor prehrane. Digitalizacija v gozdarstvu omogoča sprotno spreminjanje in prilagajanje poslovnih modelov spremenjenim tržnim razmeram. Digitalizacija v gozdarstvu se v Sloveniji poleg razvoja strojne sečnje izvaja na področju optimizacije gozdno-lesne verige </w:t>
      </w:r>
      <w:r w:rsidRPr="001261F1">
        <w:rPr>
          <w:bCs/>
          <w:szCs w:val="22"/>
        </w:rPr>
        <w:t>s pomočjo prenosa podatkov med kupcem surovine, lastnikom gozda do upravljavca stroja</w:t>
      </w:r>
      <w:r w:rsidRPr="001261F1">
        <w:rPr>
          <w:szCs w:val="22"/>
        </w:rPr>
        <w:t xml:space="preserve"> spodbuja dvig produktivnost dela ter izboljšuje odziv na pričakovanja kupcev in sledljivost lesa od gozda do primarne predelave.</w:t>
      </w:r>
      <w:r w:rsidRPr="001261F1">
        <w:rPr>
          <w:bCs/>
          <w:szCs w:val="22"/>
        </w:rPr>
        <w:t xml:space="preserve"> </w:t>
      </w:r>
      <w:r w:rsidRPr="001261F1">
        <w:rPr>
          <w:szCs w:val="22"/>
        </w:rPr>
        <w:t>Naložbe v digitalizacijo zajemajo IKT opremo na področju gozdno-lesne verige.</w:t>
      </w:r>
    </w:p>
    <w:p w14:paraId="50F9FC6C" w14:textId="77777777" w:rsidR="00B638A7" w:rsidRPr="001261F1" w:rsidRDefault="00B638A7" w:rsidP="00FA3FBA">
      <w:pPr>
        <w:spacing w:before="0" w:line="260" w:lineRule="atLeast"/>
        <w:rPr>
          <w:szCs w:val="22"/>
        </w:rPr>
      </w:pPr>
    </w:p>
    <w:p w14:paraId="21558A49" w14:textId="77777777" w:rsidR="00D20008" w:rsidRPr="001261F1" w:rsidRDefault="003954F9" w:rsidP="00FA3FBA">
      <w:pPr>
        <w:spacing w:before="0" w:line="260" w:lineRule="atLeast"/>
        <w:rPr>
          <w:szCs w:val="20"/>
        </w:rPr>
      </w:pPr>
      <w:bookmarkStart w:id="5702" w:name="_Toc51106401"/>
      <w:bookmarkStart w:id="5703" w:name="_Toc51107829"/>
      <w:bookmarkStart w:id="5704" w:name="_Toc51110152"/>
      <w:bookmarkStart w:id="5705" w:name="_Toc51106402"/>
      <w:bookmarkStart w:id="5706" w:name="_Toc51107830"/>
      <w:bookmarkStart w:id="5707" w:name="_Toc51110153"/>
      <w:bookmarkEnd w:id="5702"/>
      <w:bookmarkEnd w:id="5703"/>
      <w:bookmarkEnd w:id="5704"/>
      <w:bookmarkEnd w:id="5705"/>
      <w:bookmarkEnd w:id="5706"/>
      <w:bookmarkEnd w:id="5707"/>
      <w:r w:rsidRPr="001261F1">
        <w:rPr>
          <w:sz w:val="24"/>
          <w:szCs w:val="22"/>
        </w:rPr>
        <w:t>Čeprav so nove tehnologije in digitalizacija ključnega pomena, pa se s</w:t>
      </w:r>
      <w:r w:rsidR="00D20008" w:rsidRPr="001261F1">
        <w:rPr>
          <w:sz w:val="24"/>
          <w:szCs w:val="22"/>
        </w:rPr>
        <w:t xml:space="preserve">tanja na področju razvoja in uvajanja novih tehnologij ter digitalizacije sistematično ne spremlja. </w:t>
      </w:r>
      <w:r w:rsidRPr="001261F1">
        <w:rPr>
          <w:sz w:val="24"/>
          <w:szCs w:val="22"/>
        </w:rPr>
        <w:t>P</w:t>
      </w:r>
      <w:r w:rsidR="00D20008" w:rsidRPr="001261F1">
        <w:rPr>
          <w:sz w:val="24"/>
          <w:szCs w:val="22"/>
        </w:rPr>
        <w:t>odatkovnih baz, ki bi bile specifično namenjene spremljanju napredka na tem področju ali pa empiričnih študij, na podlagi katerih bi lahko</w:t>
      </w:r>
      <w:r w:rsidR="00D20008" w:rsidRPr="001261F1">
        <w:rPr>
          <w:szCs w:val="20"/>
        </w:rPr>
        <w:t xml:space="preserve"> podali oceno o stanju na tem področju ni oz. so </w:t>
      </w:r>
      <w:r w:rsidRPr="001261F1">
        <w:rPr>
          <w:szCs w:val="20"/>
        </w:rPr>
        <w:t xml:space="preserve">le </w:t>
      </w:r>
      <w:r w:rsidR="00D20008" w:rsidRPr="001261F1">
        <w:rPr>
          <w:szCs w:val="20"/>
        </w:rPr>
        <w:t>parcialne. Izhajamo lahko predvsem iz posameznih raziskav</w:t>
      </w:r>
      <w:r w:rsidR="00B9724E" w:rsidRPr="001261F1">
        <w:rPr>
          <w:szCs w:val="20"/>
        </w:rPr>
        <w:t>,</w:t>
      </w:r>
      <w:r w:rsidR="00D20008" w:rsidRPr="001261F1">
        <w:rPr>
          <w:szCs w:val="20"/>
        </w:rPr>
        <w:t xml:space="preserve"> v okviru katerih so bile preučene ali razvite nove tehnologije in </w:t>
      </w:r>
      <w:r w:rsidR="000455F1" w:rsidRPr="001261F1">
        <w:rPr>
          <w:szCs w:val="20"/>
        </w:rPr>
        <w:t xml:space="preserve">nato </w:t>
      </w:r>
      <w:r w:rsidR="00D20008" w:rsidRPr="001261F1">
        <w:rPr>
          <w:szCs w:val="20"/>
        </w:rPr>
        <w:t xml:space="preserve">preizkušene </w:t>
      </w:r>
      <w:r w:rsidR="000455F1" w:rsidRPr="001261F1">
        <w:rPr>
          <w:szCs w:val="20"/>
        </w:rPr>
        <w:t xml:space="preserve">tudi </w:t>
      </w:r>
      <w:r w:rsidR="00D20008" w:rsidRPr="001261F1">
        <w:rPr>
          <w:szCs w:val="20"/>
        </w:rPr>
        <w:t>v praksi</w:t>
      </w:r>
      <w:r w:rsidR="00B9724E" w:rsidRPr="001261F1">
        <w:rPr>
          <w:szCs w:val="20"/>
        </w:rPr>
        <w:t xml:space="preserve"> na kmetijskih gospodarstvih</w:t>
      </w:r>
      <w:r w:rsidR="00D20008" w:rsidRPr="001261F1">
        <w:rPr>
          <w:szCs w:val="20"/>
        </w:rPr>
        <w:t>.</w:t>
      </w:r>
      <w:r w:rsidRPr="001261F1">
        <w:rPr>
          <w:szCs w:val="20"/>
        </w:rPr>
        <w:t xml:space="preserve"> Iz vsebine teh raziskav je možno sklepati predvsem to, katera so </w:t>
      </w:r>
      <w:r w:rsidR="00F16BF3" w:rsidRPr="001261F1">
        <w:rPr>
          <w:szCs w:val="20"/>
        </w:rPr>
        <w:t xml:space="preserve">tista </w:t>
      </w:r>
      <w:r w:rsidRPr="001261F1">
        <w:rPr>
          <w:szCs w:val="20"/>
        </w:rPr>
        <w:t xml:space="preserve">področja, </w:t>
      </w:r>
      <w:r w:rsidR="00F16BF3" w:rsidRPr="001261F1">
        <w:rPr>
          <w:szCs w:val="20"/>
        </w:rPr>
        <w:t xml:space="preserve">kjer se v določeni kmetijski panogi pojavljajo tehnološki izzivi in so zato zanimiva </w:t>
      </w:r>
      <w:r w:rsidRPr="001261F1">
        <w:rPr>
          <w:szCs w:val="20"/>
        </w:rPr>
        <w:t xml:space="preserve">z vidika </w:t>
      </w:r>
      <w:r w:rsidR="00F16BF3" w:rsidRPr="001261F1">
        <w:rPr>
          <w:szCs w:val="20"/>
        </w:rPr>
        <w:t xml:space="preserve">razvoja novih </w:t>
      </w:r>
      <w:r w:rsidRPr="001261F1">
        <w:rPr>
          <w:szCs w:val="20"/>
        </w:rPr>
        <w:t>tehnoloških rešitev.</w:t>
      </w:r>
      <w:r w:rsidR="000455F1" w:rsidRPr="001261F1">
        <w:rPr>
          <w:szCs w:val="20"/>
        </w:rPr>
        <w:t xml:space="preserve"> Iz informacijskega sistema SICRIS, v katerem so zajeti raziskovalni projekti na področju biotehnike, </w:t>
      </w:r>
      <w:r w:rsidR="00B9724E" w:rsidRPr="001261F1">
        <w:rPr>
          <w:szCs w:val="20"/>
        </w:rPr>
        <w:t>sofinancira</w:t>
      </w:r>
      <w:r w:rsidRPr="001261F1">
        <w:rPr>
          <w:szCs w:val="20"/>
        </w:rPr>
        <w:t>ni</w:t>
      </w:r>
      <w:r w:rsidR="00B9724E" w:rsidRPr="001261F1">
        <w:rPr>
          <w:szCs w:val="20"/>
        </w:rPr>
        <w:t xml:space="preserve"> iz javnih sredstev, </w:t>
      </w:r>
      <w:r w:rsidR="000455F1" w:rsidRPr="001261F1">
        <w:rPr>
          <w:szCs w:val="20"/>
        </w:rPr>
        <w:t xml:space="preserve">je razvidno, da se raziskave s področja novih tehnologij na področju živalske produkcije in predelave usmerjajo </w:t>
      </w:r>
      <w:r w:rsidR="00B9724E" w:rsidRPr="001261F1">
        <w:rPr>
          <w:szCs w:val="20"/>
        </w:rPr>
        <w:t>npr.</w:t>
      </w:r>
      <w:r w:rsidR="000455F1" w:rsidRPr="001261F1">
        <w:rPr>
          <w:szCs w:val="20"/>
        </w:rPr>
        <w:t xml:space="preserve"> na genomsk</w:t>
      </w:r>
      <w:r w:rsidR="00B9724E" w:rsidRPr="001261F1">
        <w:rPr>
          <w:szCs w:val="20"/>
        </w:rPr>
        <w:t>o</w:t>
      </w:r>
      <w:r w:rsidR="000455F1" w:rsidRPr="001261F1">
        <w:rPr>
          <w:szCs w:val="20"/>
        </w:rPr>
        <w:t xml:space="preserve"> selekcij</w:t>
      </w:r>
      <w:r w:rsidR="00B9724E" w:rsidRPr="001261F1">
        <w:rPr>
          <w:szCs w:val="20"/>
        </w:rPr>
        <w:t>o</w:t>
      </w:r>
      <w:r w:rsidR="000455F1" w:rsidRPr="001261F1">
        <w:rPr>
          <w:szCs w:val="20"/>
        </w:rPr>
        <w:t xml:space="preserve"> in genotipizacij</w:t>
      </w:r>
      <w:r w:rsidR="00B9724E" w:rsidRPr="001261F1">
        <w:rPr>
          <w:szCs w:val="20"/>
        </w:rPr>
        <w:t>o</w:t>
      </w:r>
      <w:r w:rsidR="000455F1" w:rsidRPr="001261F1">
        <w:rPr>
          <w:szCs w:val="20"/>
        </w:rPr>
        <w:t xml:space="preserve">, dobrobit živali, </w:t>
      </w:r>
      <w:r w:rsidR="00B9724E" w:rsidRPr="001261F1">
        <w:rPr>
          <w:szCs w:val="20"/>
        </w:rPr>
        <w:t xml:space="preserve">izboljšanje ekonomike in </w:t>
      </w:r>
      <w:r w:rsidR="000455F1" w:rsidRPr="001261F1">
        <w:rPr>
          <w:szCs w:val="20"/>
        </w:rPr>
        <w:t>tehnologij reje</w:t>
      </w:r>
      <w:r w:rsidR="00B9724E" w:rsidRPr="001261F1">
        <w:rPr>
          <w:szCs w:val="20"/>
        </w:rPr>
        <w:t xml:space="preserve">, prehrano živali, ohranjanje avtohtonih pasem živali; </w:t>
      </w:r>
      <w:r w:rsidR="000455F1" w:rsidRPr="001261F1">
        <w:rPr>
          <w:szCs w:val="20"/>
        </w:rPr>
        <w:t xml:space="preserve">na področju rastlinske proizvodnje pa </w:t>
      </w:r>
      <w:r w:rsidR="00B9724E" w:rsidRPr="001261F1">
        <w:rPr>
          <w:szCs w:val="20"/>
        </w:rPr>
        <w:t xml:space="preserve">se raziskave usmerjajo npr. na področje </w:t>
      </w:r>
      <w:r w:rsidR="000455F1" w:rsidRPr="001261F1">
        <w:rPr>
          <w:szCs w:val="20"/>
        </w:rPr>
        <w:t>obvladovanja bolezni</w:t>
      </w:r>
      <w:r w:rsidR="00B9724E" w:rsidRPr="001261F1">
        <w:rPr>
          <w:szCs w:val="20"/>
        </w:rPr>
        <w:t xml:space="preserve"> oz.</w:t>
      </w:r>
      <w:r w:rsidR="000455F1" w:rsidRPr="001261F1">
        <w:rPr>
          <w:szCs w:val="20"/>
        </w:rPr>
        <w:t xml:space="preserve"> zdravstvenega varstva rastlin, rajonizacije, </w:t>
      </w:r>
      <w:r w:rsidR="00B9724E" w:rsidRPr="001261F1">
        <w:rPr>
          <w:szCs w:val="20"/>
        </w:rPr>
        <w:t xml:space="preserve">ohranjanja ogroženih sort, </w:t>
      </w:r>
      <w:r w:rsidR="000455F1" w:rsidRPr="001261F1">
        <w:rPr>
          <w:szCs w:val="20"/>
        </w:rPr>
        <w:t xml:space="preserve">učinkovitejše rabe vode in hranil, izboljšanja tehnologij </w:t>
      </w:r>
      <w:r w:rsidR="00B9724E" w:rsidRPr="001261F1">
        <w:rPr>
          <w:szCs w:val="20"/>
        </w:rPr>
        <w:t xml:space="preserve">in ekonomike rastlinske pridelave. </w:t>
      </w:r>
      <w:r w:rsidR="000455F1" w:rsidRPr="001261F1">
        <w:rPr>
          <w:szCs w:val="20"/>
        </w:rPr>
        <w:t xml:space="preserve">  </w:t>
      </w:r>
    </w:p>
    <w:p w14:paraId="69A6DE32" w14:textId="77777777" w:rsidR="00D20008" w:rsidRDefault="00D20008" w:rsidP="00FA3FBA">
      <w:pPr>
        <w:spacing w:before="0" w:line="260" w:lineRule="atLeast"/>
        <w:rPr>
          <w:sz w:val="20"/>
          <w:szCs w:val="20"/>
        </w:rPr>
      </w:pPr>
    </w:p>
    <w:p w14:paraId="5B780B28" w14:textId="7103911F" w:rsidR="00E643C4" w:rsidRPr="001261F1" w:rsidRDefault="00B9724E" w:rsidP="00FA3FBA">
      <w:pPr>
        <w:spacing w:before="0" w:line="260" w:lineRule="atLeast"/>
        <w:rPr>
          <w:szCs w:val="20"/>
        </w:rPr>
      </w:pPr>
      <w:r w:rsidRPr="001261F1">
        <w:rPr>
          <w:szCs w:val="20"/>
        </w:rPr>
        <w:t>Tudi za področje digitalizacije velja, da sistematičnega spremljanja ni. Razvoj na področju digitalizacije smo v okviru PRP 2014–2020 spodbujali preko ukrepa Sodelovanje (M16). Odobrenih je bilo 9 projektov, vezanih na digitalizacijo, ka</w:t>
      </w:r>
      <w:r w:rsidR="003954F9" w:rsidRPr="001261F1">
        <w:rPr>
          <w:szCs w:val="20"/>
        </w:rPr>
        <w:t>terih vsebina</w:t>
      </w:r>
      <w:r w:rsidRPr="001261F1">
        <w:rPr>
          <w:szCs w:val="20"/>
        </w:rPr>
        <w:t xml:space="preserve"> je podrobneje predstavljen</w:t>
      </w:r>
      <w:r w:rsidR="003954F9" w:rsidRPr="001261F1">
        <w:rPr>
          <w:szCs w:val="20"/>
        </w:rPr>
        <w:t>a</w:t>
      </w:r>
      <w:r w:rsidRPr="001261F1">
        <w:rPr>
          <w:szCs w:val="20"/>
        </w:rPr>
        <w:t xml:space="preserve"> v analizi stanja za cilj 10. Rezultatov teh pojektov </w:t>
      </w:r>
      <w:r w:rsidR="003954F9" w:rsidRPr="001261F1">
        <w:rPr>
          <w:szCs w:val="20"/>
        </w:rPr>
        <w:t xml:space="preserve">sicer </w:t>
      </w:r>
      <w:r w:rsidRPr="001261F1">
        <w:rPr>
          <w:szCs w:val="20"/>
        </w:rPr>
        <w:t>še ni, ker so še v izvajanju.</w:t>
      </w:r>
      <w:r w:rsidR="003954F9" w:rsidRPr="001261F1">
        <w:rPr>
          <w:szCs w:val="20"/>
        </w:rPr>
        <w:t xml:space="preserve"> </w:t>
      </w:r>
      <w:r w:rsidR="00E7612F" w:rsidRPr="001261F1">
        <w:rPr>
          <w:szCs w:val="20"/>
        </w:rPr>
        <w:t xml:space="preserve">O digitalizaciji lahko sklepamo </w:t>
      </w:r>
      <w:r w:rsidR="003954F9" w:rsidRPr="001261F1">
        <w:rPr>
          <w:szCs w:val="20"/>
        </w:rPr>
        <w:t>predvsem</w:t>
      </w:r>
      <w:r w:rsidR="00E7612F" w:rsidRPr="001261F1">
        <w:rPr>
          <w:szCs w:val="20"/>
        </w:rPr>
        <w:t xml:space="preserve"> posredno, na podlagi posamičnih primerov dobrih praks podjetij in preko grobe analize izvedenih naložb, financiranih s pomočjo sredstev PRP 2014–2020. Digitalizacija v kmetijstvu se kaže preko naložb v </w:t>
      </w:r>
      <w:r w:rsidR="00A47672" w:rsidRPr="001261F1">
        <w:rPr>
          <w:szCs w:val="20"/>
        </w:rPr>
        <w:t>molzn</w:t>
      </w:r>
      <w:r w:rsidR="00E7612F" w:rsidRPr="001261F1">
        <w:rPr>
          <w:szCs w:val="20"/>
        </w:rPr>
        <w:t>e</w:t>
      </w:r>
      <w:r w:rsidR="00A47672" w:rsidRPr="001261F1">
        <w:rPr>
          <w:szCs w:val="20"/>
        </w:rPr>
        <w:t xml:space="preserve"> </w:t>
      </w:r>
      <w:r w:rsidR="00E7612F" w:rsidRPr="001261F1">
        <w:rPr>
          <w:szCs w:val="20"/>
        </w:rPr>
        <w:t>robote</w:t>
      </w:r>
      <w:r w:rsidR="00A47672" w:rsidRPr="001261F1">
        <w:rPr>
          <w:szCs w:val="20"/>
        </w:rPr>
        <w:t xml:space="preserve">, </w:t>
      </w:r>
      <w:r w:rsidR="00E7612F" w:rsidRPr="001261F1">
        <w:rPr>
          <w:szCs w:val="20"/>
        </w:rPr>
        <w:t xml:space="preserve">robote </w:t>
      </w:r>
      <w:r w:rsidR="00A47672" w:rsidRPr="001261F1">
        <w:rPr>
          <w:szCs w:val="20"/>
        </w:rPr>
        <w:t xml:space="preserve">za čiščenje hlevov, dronov za spremljanje zdravstvenega stanja rastlin in zgodnje odkrivanje bolezni rastlin ter njihove oskrbe, </w:t>
      </w:r>
      <w:r w:rsidR="00E7612F" w:rsidRPr="001261F1">
        <w:rPr>
          <w:szCs w:val="20"/>
        </w:rPr>
        <w:t xml:space="preserve">senzorjev </w:t>
      </w:r>
      <w:r w:rsidR="00A47672" w:rsidRPr="001261F1">
        <w:rPr>
          <w:szCs w:val="20"/>
        </w:rPr>
        <w:t xml:space="preserve">za namakanje in nadziranje stanja tal, </w:t>
      </w:r>
      <w:r w:rsidR="00E7612F" w:rsidRPr="001261F1">
        <w:rPr>
          <w:szCs w:val="20"/>
        </w:rPr>
        <w:t xml:space="preserve">traktorjev </w:t>
      </w:r>
      <w:r w:rsidR="00A47672" w:rsidRPr="001261F1">
        <w:rPr>
          <w:szCs w:val="20"/>
        </w:rPr>
        <w:t xml:space="preserve">in </w:t>
      </w:r>
      <w:r w:rsidR="00E7612F" w:rsidRPr="001261F1">
        <w:rPr>
          <w:szCs w:val="20"/>
        </w:rPr>
        <w:t xml:space="preserve">priključkov </w:t>
      </w:r>
      <w:r w:rsidR="00A47672" w:rsidRPr="001261F1">
        <w:rPr>
          <w:szCs w:val="20"/>
        </w:rPr>
        <w:t xml:space="preserve">za obdelavo tal, varstvo rastlin in spravilo pridelka, ki so satelitsko vodeni in delno robotizirani ter nekaj poskusnih tehnologij (samohodni stroji z različnimi senzorji opravil). Enako velja za nove tehnologije v predelavi </w:t>
      </w:r>
      <w:r w:rsidR="0072639D" w:rsidRPr="001261F1">
        <w:rPr>
          <w:szCs w:val="20"/>
        </w:rPr>
        <w:t xml:space="preserve">kmetijskih proizvodov </w:t>
      </w:r>
      <w:r w:rsidR="00A47672" w:rsidRPr="001261F1">
        <w:rPr>
          <w:szCs w:val="20"/>
        </w:rPr>
        <w:t>oz. žlahtnjenju</w:t>
      </w:r>
      <w:r w:rsidR="0072639D" w:rsidRPr="001261F1">
        <w:rPr>
          <w:szCs w:val="20"/>
        </w:rPr>
        <w:t xml:space="preserve"> kmetijskih rastlin</w:t>
      </w:r>
      <w:r w:rsidR="00A47672" w:rsidRPr="001261F1">
        <w:rPr>
          <w:szCs w:val="20"/>
        </w:rPr>
        <w:t xml:space="preserve">. </w:t>
      </w:r>
      <w:r w:rsidR="00E7612F" w:rsidRPr="001261F1">
        <w:rPr>
          <w:szCs w:val="20"/>
        </w:rPr>
        <w:t>Določen segment kmetov se vse bolj opira na pametne telefone, tablice, senzorje na terenu, mobilne aplikacije, ki so jih razvila podjetja, ki se v Sloveniji ukvarjajo z razvojem novih tehnologij na področju kmetijstva.</w:t>
      </w:r>
      <w:r w:rsidR="00C7691B" w:rsidRPr="001261F1">
        <w:rPr>
          <w:szCs w:val="20"/>
        </w:rPr>
        <w:t xml:space="preserve"> </w:t>
      </w:r>
    </w:p>
    <w:p w14:paraId="7CB8E54F" w14:textId="77777777" w:rsidR="00E643C4" w:rsidRPr="001261F1" w:rsidRDefault="00E643C4" w:rsidP="00FA3FBA">
      <w:pPr>
        <w:spacing w:before="0" w:line="260" w:lineRule="atLeast"/>
        <w:rPr>
          <w:szCs w:val="20"/>
        </w:rPr>
      </w:pPr>
    </w:p>
    <w:p w14:paraId="41A70F89" w14:textId="14C8F703" w:rsidR="00E7612F" w:rsidRPr="001261F1" w:rsidRDefault="00C7691B" w:rsidP="00FA3FBA">
      <w:pPr>
        <w:spacing w:before="0" w:line="260" w:lineRule="atLeast"/>
        <w:rPr>
          <w:szCs w:val="20"/>
        </w:rPr>
      </w:pPr>
      <w:r w:rsidRPr="001261F1">
        <w:rPr>
          <w:szCs w:val="20"/>
        </w:rPr>
        <w:t xml:space="preserve">Digitalizacijo v kmetijstvu uvajajo predvsem večja kmetijska gospodarstva, podjetja, zato se v bodoče kot izziv kaže, kako spodbuditi digitalizacijo in pa prevzemanje novih tehnologij tudi na srednje velikih in majhnih kmetijah. V Sloveniji ni študije, ki bi na primeru slovenskih kmetij prikazala, pri kateri velikosti je stroškovno smiselno uvajanje digitalizacije, tehnologij. </w:t>
      </w:r>
    </w:p>
    <w:p w14:paraId="5180F102" w14:textId="77777777" w:rsidR="003954F9" w:rsidRDefault="003954F9" w:rsidP="00FA3FBA">
      <w:pPr>
        <w:spacing w:before="0" w:line="260" w:lineRule="atLeast"/>
        <w:rPr>
          <w:sz w:val="20"/>
          <w:szCs w:val="20"/>
        </w:rPr>
      </w:pPr>
    </w:p>
    <w:p w14:paraId="5AAABFDA" w14:textId="66D08098" w:rsidR="00466069" w:rsidRPr="001F3065" w:rsidRDefault="00A34306" w:rsidP="001261F1">
      <w:pPr>
        <w:pStyle w:val="Naslov2"/>
      </w:pPr>
      <w:bookmarkStart w:id="5708" w:name="_Toc51106404"/>
      <w:bookmarkStart w:id="5709" w:name="_Toc51107832"/>
      <w:bookmarkStart w:id="5710" w:name="_Toc51110155"/>
      <w:bookmarkStart w:id="5711" w:name="_Toc51106414"/>
      <w:bookmarkStart w:id="5712" w:name="_Toc51107842"/>
      <w:bookmarkStart w:id="5713" w:name="_Toc51110165"/>
      <w:bookmarkStart w:id="5714" w:name="_Toc51106415"/>
      <w:bookmarkStart w:id="5715" w:name="_Toc51107843"/>
      <w:bookmarkStart w:id="5716" w:name="_Toc51110166"/>
      <w:bookmarkStart w:id="5717" w:name="_Toc51106416"/>
      <w:bookmarkStart w:id="5718" w:name="_Toc51107844"/>
      <w:bookmarkStart w:id="5719" w:name="_Toc51110167"/>
      <w:bookmarkStart w:id="5720" w:name="_Toc86822635"/>
      <w:bookmarkEnd w:id="5708"/>
      <w:bookmarkEnd w:id="5709"/>
      <w:bookmarkEnd w:id="5710"/>
      <w:bookmarkEnd w:id="5711"/>
      <w:bookmarkEnd w:id="5712"/>
      <w:bookmarkEnd w:id="5713"/>
      <w:bookmarkEnd w:id="5714"/>
      <w:bookmarkEnd w:id="5715"/>
      <w:bookmarkEnd w:id="5716"/>
      <w:bookmarkEnd w:id="5717"/>
      <w:bookmarkEnd w:id="5718"/>
      <w:bookmarkEnd w:id="5719"/>
      <w:r w:rsidRPr="001F3065">
        <w:t>Vloga</w:t>
      </w:r>
      <w:r w:rsidR="00007A57">
        <w:t xml:space="preserve"> AKIS</w:t>
      </w:r>
      <w:r w:rsidRPr="001F3065">
        <w:t xml:space="preserve"> </w:t>
      </w:r>
      <w:r w:rsidR="00EB7726">
        <w:t>pri povečanju</w:t>
      </w:r>
      <w:r w:rsidRPr="001F3065">
        <w:t xml:space="preserve"> produktivnosti</w:t>
      </w:r>
      <w:r w:rsidR="00EB7726">
        <w:t xml:space="preserve"> in prevzemanju novih tehnologij in inovacij</w:t>
      </w:r>
      <w:bookmarkEnd w:id="5720"/>
      <w:r w:rsidR="00EB7726">
        <w:t xml:space="preserve"> </w:t>
      </w:r>
      <w:r w:rsidRPr="001F3065">
        <w:t xml:space="preserve"> </w:t>
      </w:r>
      <w:r w:rsidR="00007A57">
        <w:t xml:space="preserve"> </w:t>
      </w:r>
    </w:p>
    <w:p w14:paraId="638EFE23" w14:textId="77777777" w:rsidR="00E52A36" w:rsidRPr="0047652B" w:rsidRDefault="00E52A36" w:rsidP="00FA3FBA">
      <w:pPr>
        <w:spacing w:before="0" w:line="260" w:lineRule="atLeast"/>
        <w:rPr>
          <w:sz w:val="20"/>
          <w:szCs w:val="20"/>
        </w:rPr>
      </w:pPr>
    </w:p>
    <w:p w14:paraId="7FB86CC9" w14:textId="30E343C8" w:rsidR="00C7691B" w:rsidRPr="001261F1" w:rsidRDefault="00EB7726" w:rsidP="00FA3FBA">
      <w:pPr>
        <w:spacing w:before="0" w:line="260" w:lineRule="atLeast"/>
        <w:rPr>
          <w:szCs w:val="20"/>
        </w:rPr>
      </w:pPr>
      <w:r w:rsidRPr="001261F1">
        <w:rPr>
          <w:szCs w:val="20"/>
        </w:rPr>
        <w:t>Številne študije, kot je študija organizacije FAO z naslovom »Digital technologies in agriculture and rural areas« (Trendov, N. M., Varas, S. &amp; Zeng, M., 2019)</w:t>
      </w:r>
      <w:r w:rsidR="000935EF" w:rsidRPr="001261F1">
        <w:rPr>
          <w:szCs w:val="20"/>
        </w:rPr>
        <w:t>,</w:t>
      </w:r>
      <w:r w:rsidRPr="001261F1">
        <w:rPr>
          <w:szCs w:val="20"/>
        </w:rPr>
        <w:t xml:space="preserve"> izpostavljajo </w:t>
      </w:r>
      <w:r w:rsidR="00F16BF3" w:rsidRPr="001261F1">
        <w:rPr>
          <w:szCs w:val="20"/>
        </w:rPr>
        <w:t xml:space="preserve">ključne predpogoje za digitalno transformacijo v kmetijstvu in na podeželju, in sicer IKT infrastrukturo, človeški kapital </w:t>
      </w:r>
      <w:r w:rsidR="00152DDF" w:rsidRPr="001261F1">
        <w:rPr>
          <w:szCs w:val="20"/>
        </w:rPr>
        <w:t xml:space="preserve">kot na primer </w:t>
      </w:r>
      <w:r w:rsidRPr="001261F1">
        <w:rPr>
          <w:szCs w:val="20"/>
        </w:rPr>
        <w:t>izobrazb</w:t>
      </w:r>
      <w:r w:rsidR="00F16BF3" w:rsidRPr="001261F1">
        <w:rPr>
          <w:szCs w:val="20"/>
        </w:rPr>
        <w:t>a</w:t>
      </w:r>
      <w:r w:rsidRPr="001261F1">
        <w:rPr>
          <w:szCs w:val="20"/>
        </w:rPr>
        <w:t>, digitaln</w:t>
      </w:r>
      <w:r w:rsidR="00F16BF3" w:rsidRPr="001261F1">
        <w:rPr>
          <w:szCs w:val="20"/>
        </w:rPr>
        <w:t>e</w:t>
      </w:r>
      <w:r w:rsidRPr="001261F1">
        <w:rPr>
          <w:szCs w:val="20"/>
        </w:rPr>
        <w:t xml:space="preserve"> veščin</w:t>
      </w:r>
      <w:r w:rsidR="00F16BF3" w:rsidRPr="001261F1">
        <w:rPr>
          <w:szCs w:val="20"/>
        </w:rPr>
        <w:t>e</w:t>
      </w:r>
      <w:r w:rsidRPr="001261F1">
        <w:rPr>
          <w:szCs w:val="20"/>
        </w:rPr>
        <w:t xml:space="preserve"> in digitaln</w:t>
      </w:r>
      <w:r w:rsidR="00F16BF3" w:rsidRPr="001261F1">
        <w:rPr>
          <w:szCs w:val="20"/>
        </w:rPr>
        <w:t>a pismenost ter</w:t>
      </w:r>
      <w:r w:rsidR="00B87347" w:rsidRPr="001261F1">
        <w:rPr>
          <w:szCs w:val="20"/>
        </w:rPr>
        <w:t xml:space="preserve"> podporn</w:t>
      </w:r>
      <w:r w:rsidR="00F16BF3" w:rsidRPr="001261F1">
        <w:rPr>
          <w:szCs w:val="20"/>
        </w:rPr>
        <w:t>o</w:t>
      </w:r>
      <w:r w:rsidR="00B87347" w:rsidRPr="001261F1">
        <w:rPr>
          <w:szCs w:val="20"/>
        </w:rPr>
        <w:t xml:space="preserve"> institucionaln</w:t>
      </w:r>
      <w:r w:rsidR="00F16BF3" w:rsidRPr="001261F1">
        <w:rPr>
          <w:szCs w:val="20"/>
        </w:rPr>
        <w:t>o okolje</w:t>
      </w:r>
      <w:r w:rsidR="00C7691B" w:rsidRPr="001261F1">
        <w:rPr>
          <w:szCs w:val="20"/>
        </w:rPr>
        <w:t xml:space="preserve"> (celoten institucionalni okvir)</w:t>
      </w:r>
      <w:r w:rsidR="00B87347" w:rsidRPr="001261F1">
        <w:rPr>
          <w:szCs w:val="20"/>
        </w:rPr>
        <w:t>.</w:t>
      </w:r>
      <w:r w:rsidR="003412D5" w:rsidRPr="001261F1">
        <w:rPr>
          <w:szCs w:val="20"/>
        </w:rPr>
        <w:t xml:space="preserve"> </w:t>
      </w:r>
      <w:r w:rsidR="00D47E10" w:rsidRPr="001261F1">
        <w:rPr>
          <w:szCs w:val="20"/>
        </w:rPr>
        <w:t>Za uvajanje digitalizacije in tehnologij v praksi pa so pomembna tudi vlaganja</w:t>
      </w:r>
      <w:r w:rsidR="00C7691B" w:rsidRPr="001261F1">
        <w:rPr>
          <w:szCs w:val="20"/>
        </w:rPr>
        <w:t xml:space="preserve"> kapitala</w:t>
      </w:r>
      <w:r w:rsidR="00D47E10" w:rsidRPr="001261F1">
        <w:rPr>
          <w:szCs w:val="20"/>
        </w:rPr>
        <w:t>.</w:t>
      </w:r>
      <w:r w:rsidR="00C7691B" w:rsidRPr="001261F1">
        <w:rPr>
          <w:szCs w:val="20"/>
        </w:rPr>
        <w:t xml:space="preserve"> </w:t>
      </w:r>
    </w:p>
    <w:p w14:paraId="613266AF" w14:textId="77777777" w:rsidR="00C7691B" w:rsidRPr="001261F1" w:rsidRDefault="00C7691B" w:rsidP="00FA3FBA">
      <w:pPr>
        <w:spacing w:before="0" w:line="260" w:lineRule="atLeast"/>
        <w:rPr>
          <w:szCs w:val="20"/>
        </w:rPr>
      </w:pPr>
    </w:p>
    <w:p w14:paraId="659A3797" w14:textId="19AC0A54" w:rsidR="00F16BF3" w:rsidRPr="001261F1" w:rsidRDefault="00F16BF3" w:rsidP="00FA3FBA">
      <w:pPr>
        <w:spacing w:before="0" w:line="260" w:lineRule="atLeast"/>
        <w:rPr>
          <w:szCs w:val="20"/>
        </w:rPr>
      </w:pPr>
      <w:r w:rsidRPr="001261F1">
        <w:rPr>
          <w:szCs w:val="20"/>
        </w:rPr>
        <w:t xml:space="preserve">Za digitalno transformacijo je v prvi vrsti bistven </w:t>
      </w:r>
      <w:r w:rsidRPr="001261F1">
        <w:rPr>
          <w:bCs/>
          <w:szCs w:val="20"/>
        </w:rPr>
        <w:t>dostop do IKT oz. dostop do širokopasovnega</w:t>
      </w:r>
      <w:r w:rsidRPr="001261F1">
        <w:rPr>
          <w:szCs w:val="20"/>
        </w:rPr>
        <w:t xml:space="preserve"> </w:t>
      </w:r>
      <w:r w:rsidRPr="001261F1">
        <w:rPr>
          <w:bCs/>
          <w:szCs w:val="20"/>
        </w:rPr>
        <w:t>interneta</w:t>
      </w:r>
      <w:r w:rsidRPr="001261F1">
        <w:rPr>
          <w:szCs w:val="20"/>
        </w:rPr>
        <w:t>. Eden od pomembnejših kazalcev razvitosti trga elektronskih komunikacij je t.i.</w:t>
      </w:r>
      <w:r w:rsidR="00CD7C8F" w:rsidRPr="001261F1">
        <w:rPr>
          <w:szCs w:val="20"/>
        </w:rPr>
        <w:t xml:space="preserve"> </w:t>
      </w:r>
      <w:r w:rsidRPr="001261F1">
        <w:rPr>
          <w:szCs w:val="20"/>
        </w:rPr>
        <w:t xml:space="preserve">»penetracija širokopasovnega dostopa«, ki je izračunana kot število širokopasovnih rezidenčnih in poslovnih priključkov na število prebivalcev oz. gospodinjstev v Republiki Sloveniji. </w:t>
      </w:r>
    </w:p>
    <w:p w14:paraId="68538AE6" w14:textId="77777777" w:rsidR="00F16BF3" w:rsidRDefault="00F16BF3" w:rsidP="00FA3FBA">
      <w:pPr>
        <w:spacing w:before="0" w:line="260" w:lineRule="atLeast"/>
        <w:rPr>
          <w:sz w:val="20"/>
          <w:szCs w:val="20"/>
        </w:rPr>
      </w:pPr>
    </w:p>
    <w:p w14:paraId="68047ABC" w14:textId="713DBD42" w:rsidR="00F16BF3" w:rsidRPr="00F16BF3" w:rsidRDefault="008949F4" w:rsidP="001261F1">
      <w:pPr>
        <w:pStyle w:val="SCSlika0"/>
      </w:pPr>
      <w:bookmarkStart w:id="5721" w:name="_Toc86822781"/>
      <w:r w:rsidRPr="000429A3">
        <w:t xml:space="preserve">Slika </w:t>
      </w:r>
      <w:r w:rsidR="009F2591">
        <w:rPr>
          <w:noProof/>
        </w:rPr>
        <w:fldChar w:fldCharType="begin"/>
      </w:r>
      <w:r w:rsidR="009F2591">
        <w:rPr>
          <w:noProof/>
        </w:rPr>
        <w:instrText xml:space="preserve"> SEQ Slika \* ARABIC </w:instrText>
      </w:r>
      <w:r w:rsidR="009F2591">
        <w:rPr>
          <w:noProof/>
        </w:rPr>
        <w:fldChar w:fldCharType="separate"/>
      </w:r>
      <w:r w:rsidR="0088117A">
        <w:rPr>
          <w:noProof/>
        </w:rPr>
        <w:t>109</w:t>
      </w:r>
      <w:r w:rsidR="009F2591">
        <w:rPr>
          <w:noProof/>
        </w:rPr>
        <w:fldChar w:fldCharType="end"/>
      </w:r>
      <w:r w:rsidR="00F16BF3" w:rsidRPr="00F16BF3">
        <w:t>: Penetracija fiksnega širokopasovnega dostopa</w:t>
      </w:r>
      <w:bookmarkEnd w:id="5721"/>
    </w:p>
    <w:p w14:paraId="0EE56EB1" w14:textId="77777777" w:rsidR="00F16BF3" w:rsidRDefault="00F16BF3" w:rsidP="00F16BF3">
      <w:pPr>
        <w:spacing w:before="0" w:line="276" w:lineRule="auto"/>
        <w:rPr>
          <w:sz w:val="20"/>
          <w:szCs w:val="20"/>
        </w:rPr>
      </w:pPr>
      <w:r>
        <w:rPr>
          <w:noProof/>
          <w:lang w:eastAsia="sl-SI"/>
        </w:rPr>
        <w:drawing>
          <wp:inline distT="0" distB="0" distL="0" distR="0" wp14:anchorId="4105C249" wp14:editId="14FB49FB">
            <wp:extent cx="5651500" cy="4267200"/>
            <wp:effectExtent l="0" t="0" r="635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12D44176" w14:textId="77777777" w:rsidR="00F16BF3" w:rsidRDefault="00F16BF3" w:rsidP="00F16BF3">
      <w:pPr>
        <w:spacing w:before="0" w:line="276" w:lineRule="auto"/>
        <w:rPr>
          <w:sz w:val="20"/>
          <w:szCs w:val="20"/>
        </w:rPr>
      </w:pPr>
      <w:r w:rsidRPr="00A973A4">
        <w:rPr>
          <w:sz w:val="16"/>
          <w:szCs w:val="20"/>
        </w:rPr>
        <w:t xml:space="preserve">Vir: </w:t>
      </w:r>
      <w:r>
        <w:rPr>
          <w:sz w:val="16"/>
          <w:szCs w:val="20"/>
        </w:rPr>
        <w:t>s</w:t>
      </w:r>
      <w:r w:rsidRPr="00A973A4">
        <w:rPr>
          <w:sz w:val="16"/>
          <w:szCs w:val="20"/>
        </w:rPr>
        <w:t xml:space="preserve">pletna stran AKOS, po podatkih SURS. Dostopno na:  </w:t>
      </w:r>
      <w:hyperlink r:id="rId147" w:history="1">
        <w:r w:rsidRPr="00A973A4">
          <w:rPr>
            <w:rStyle w:val="Hiperpovezava"/>
            <w:sz w:val="16"/>
            <w:szCs w:val="20"/>
          </w:rPr>
          <w:t>https://eanalitik.akos-rs.si/?tx_agindicator_filter%5Baction%5D=indicator&amp;tx_agindicator_filter%5Bcontroller%5D=Filter&amp;tx_agindicator_filter%5Bi%5D%5B0%5D=7&amp;cHash=c96f5feaffe16e8f02c044107d0a3860</w:t>
        </w:r>
      </w:hyperlink>
    </w:p>
    <w:p w14:paraId="73E01871" w14:textId="77777777" w:rsidR="00F16BF3" w:rsidRDefault="00F16BF3" w:rsidP="00FA3FBA">
      <w:pPr>
        <w:spacing w:before="0" w:line="260" w:lineRule="atLeast"/>
        <w:rPr>
          <w:sz w:val="20"/>
          <w:szCs w:val="20"/>
        </w:rPr>
      </w:pPr>
    </w:p>
    <w:p w14:paraId="77169950" w14:textId="4C4584CF" w:rsidR="00F16BF3" w:rsidRPr="001261F1" w:rsidRDefault="00F16BF3" w:rsidP="00FA3FBA">
      <w:pPr>
        <w:spacing w:before="0" w:line="260" w:lineRule="atLeast"/>
        <w:rPr>
          <w:szCs w:val="20"/>
        </w:rPr>
      </w:pPr>
      <w:r w:rsidRPr="001261F1">
        <w:rPr>
          <w:szCs w:val="20"/>
        </w:rPr>
        <w:t>V okviru PRP 2014</w:t>
      </w:r>
      <w:r w:rsidR="008177D0" w:rsidRPr="001261F1">
        <w:rPr>
          <w:szCs w:val="20"/>
        </w:rPr>
        <w:t>–</w:t>
      </w:r>
      <w:r w:rsidRPr="001261F1">
        <w:rPr>
          <w:szCs w:val="20"/>
        </w:rPr>
        <w:t>2020 smo z namenom povečanja deleža širokopasovnega dostopa vzpostavili podukrep 7.3</w:t>
      </w:r>
      <w:r w:rsidRPr="001261F1">
        <w:rPr>
          <w:rStyle w:val="Sprotnaopomba-sklic"/>
          <w:sz w:val="22"/>
        </w:rPr>
        <w:footnoteReference w:id="24"/>
      </w:r>
      <w:r w:rsidRPr="001261F1">
        <w:rPr>
          <w:szCs w:val="20"/>
        </w:rPr>
        <w:t>, ki je namenjen izgradnji širokopasovne internetne infrastrukture, ki bi omogočala prenosno hitrost najmanj 100 Mb/s in dostop do elektronskih komunikacijskih storitev po teh omrežjih. Sredstva PRP 2014–2020 so sicer namenjena zagotavljanju dostopa tistim belim lisam, za katere ni bilo izkazanega tržnega interesa, in sicer v podravski, pomurski in koroški regiji. Projekt je še v teku, zato rezultati še ni</w:t>
      </w:r>
      <w:r w:rsidR="008177D0" w:rsidRPr="001261F1">
        <w:rPr>
          <w:szCs w:val="20"/>
        </w:rPr>
        <w:t>so na voljo.</w:t>
      </w:r>
    </w:p>
    <w:p w14:paraId="3904926A" w14:textId="77777777" w:rsidR="00F16BF3" w:rsidRPr="001261F1" w:rsidRDefault="00F16BF3" w:rsidP="00FA3FBA">
      <w:pPr>
        <w:spacing w:before="0" w:line="260" w:lineRule="atLeast"/>
        <w:rPr>
          <w:szCs w:val="20"/>
        </w:rPr>
      </w:pPr>
    </w:p>
    <w:p w14:paraId="7F71CC30" w14:textId="2D2F832B" w:rsidR="00D47E10" w:rsidRPr="001261F1" w:rsidRDefault="00F16BF3" w:rsidP="00FA3FBA">
      <w:pPr>
        <w:spacing w:before="0" w:line="260" w:lineRule="atLeast"/>
        <w:rPr>
          <w:szCs w:val="20"/>
        </w:rPr>
      </w:pPr>
      <w:r w:rsidRPr="001261F1">
        <w:rPr>
          <w:szCs w:val="20"/>
        </w:rPr>
        <w:t xml:space="preserve">Naslednji </w:t>
      </w:r>
      <w:r w:rsidR="008177D0" w:rsidRPr="001261F1">
        <w:rPr>
          <w:szCs w:val="20"/>
        </w:rPr>
        <w:t>dejavnik</w:t>
      </w:r>
      <w:r w:rsidRPr="001261F1">
        <w:rPr>
          <w:szCs w:val="20"/>
        </w:rPr>
        <w:t>, ki izrazito vpliva na h</w:t>
      </w:r>
      <w:r w:rsidR="003412D5" w:rsidRPr="001261F1">
        <w:rPr>
          <w:szCs w:val="20"/>
        </w:rPr>
        <w:t>itrost</w:t>
      </w:r>
      <w:r w:rsidR="00E64A26" w:rsidRPr="001261F1">
        <w:rPr>
          <w:szCs w:val="20"/>
        </w:rPr>
        <w:t xml:space="preserve"> prevzemanja novih digitalnih rešitev, tehnologij, inovacij v prakso</w:t>
      </w:r>
      <w:r w:rsidRPr="001261F1">
        <w:rPr>
          <w:szCs w:val="20"/>
        </w:rPr>
        <w:t xml:space="preserve">, je tudi že omenjena </w:t>
      </w:r>
      <w:r w:rsidR="003412D5" w:rsidRPr="001261F1">
        <w:rPr>
          <w:szCs w:val="20"/>
        </w:rPr>
        <w:t>usposobljenost,</w:t>
      </w:r>
      <w:r w:rsidRPr="001261F1">
        <w:rPr>
          <w:szCs w:val="20"/>
        </w:rPr>
        <w:t xml:space="preserve"> kompetence, izobrazba, </w:t>
      </w:r>
      <w:r w:rsidR="003412D5" w:rsidRPr="001261F1">
        <w:rPr>
          <w:szCs w:val="20"/>
        </w:rPr>
        <w:t>hkrati pa je potrebno k temu dodati še vidik starosti nosilca kmetijskega gospodarstva in profesionaliziranost KMG. Upoštevajoč neugodno starostno strukturo v slovenskem kmetijstvu</w:t>
      </w:r>
      <w:r w:rsidRPr="001261F1">
        <w:rPr>
          <w:szCs w:val="20"/>
        </w:rPr>
        <w:t>, ki je podrobno opisana v analizi stanja za cilj 7</w:t>
      </w:r>
      <w:r w:rsidR="003412D5" w:rsidRPr="001261F1">
        <w:rPr>
          <w:szCs w:val="20"/>
        </w:rPr>
        <w:t xml:space="preserve"> in nižjo raven usposobljenosti in formalne izobrazbe,</w:t>
      </w:r>
      <w:r w:rsidRPr="001261F1">
        <w:rPr>
          <w:szCs w:val="20"/>
        </w:rPr>
        <w:t xml:space="preserve"> ki je predstavljena v splošnem, uvodnem poglavju o kmetijstvu, </w:t>
      </w:r>
      <w:r w:rsidR="003412D5" w:rsidRPr="001261F1">
        <w:rPr>
          <w:szCs w:val="20"/>
        </w:rPr>
        <w:t xml:space="preserve">perspektive za hitrost prevzemanja novih (digitalnih) tehnologij in inovacij v prakso niso najboljše. </w:t>
      </w:r>
    </w:p>
    <w:p w14:paraId="4BB34BEB" w14:textId="77777777" w:rsidR="00D47E10" w:rsidRPr="001261F1" w:rsidRDefault="00D47E10" w:rsidP="00FA3FBA">
      <w:pPr>
        <w:spacing w:before="0" w:line="260" w:lineRule="atLeast"/>
        <w:rPr>
          <w:szCs w:val="20"/>
        </w:rPr>
      </w:pPr>
    </w:p>
    <w:p w14:paraId="3874413A" w14:textId="77777777" w:rsidR="003412D5" w:rsidRPr="001261F1" w:rsidRDefault="00D47E10" w:rsidP="00FA3FBA">
      <w:pPr>
        <w:spacing w:before="0" w:line="260" w:lineRule="atLeast"/>
        <w:rPr>
          <w:szCs w:val="20"/>
        </w:rPr>
      </w:pPr>
      <w:r w:rsidRPr="001261F1">
        <w:rPr>
          <w:szCs w:val="20"/>
        </w:rPr>
        <w:t>Evropska komisija (2019c) navaja, da v</w:t>
      </w:r>
      <w:r w:rsidR="003412D5" w:rsidRPr="001261F1">
        <w:rPr>
          <w:szCs w:val="20"/>
        </w:rPr>
        <w:t xml:space="preserve"> povprečju traja kar 20 let od pričetka raziskave do vsesplošne uporabe njenih rezultatov v praksi. Nezadosten in prepočasen sprejem novega znanja in inovativnih rešitev v kmetijstvu, še posebej pri majhnih in srednje-velikih kmetijskih gospodarstvih, ovira mehkejši prehod v trajnostno in konkurenčno kmetijstvo.  </w:t>
      </w:r>
    </w:p>
    <w:p w14:paraId="5EF71327" w14:textId="77777777" w:rsidR="003412D5" w:rsidRDefault="003412D5" w:rsidP="00C36861">
      <w:pPr>
        <w:pStyle w:val="1"/>
      </w:pPr>
    </w:p>
    <w:p w14:paraId="6000541A" w14:textId="302A0EA4" w:rsidR="003412D5" w:rsidRPr="0047652B" w:rsidRDefault="003412D5" w:rsidP="001261F1">
      <w:pPr>
        <w:pStyle w:val="SCSlika0"/>
      </w:pPr>
      <w:bookmarkStart w:id="5722" w:name="_Toc86822782"/>
      <w:r w:rsidRPr="001F3065">
        <w:t xml:space="preserve">Slika </w:t>
      </w:r>
      <w:r w:rsidR="00A87628">
        <w:rPr>
          <w:noProof/>
        </w:rPr>
        <w:fldChar w:fldCharType="begin"/>
      </w:r>
      <w:r w:rsidR="00A87628">
        <w:rPr>
          <w:noProof/>
        </w:rPr>
        <w:instrText xml:space="preserve"> SEQ Slika \* ARABIC </w:instrText>
      </w:r>
      <w:r w:rsidR="00A87628">
        <w:rPr>
          <w:noProof/>
        </w:rPr>
        <w:fldChar w:fldCharType="separate"/>
      </w:r>
      <w:r w:rsidR="0088117A">
        <w:rPr>
          <w:noProof/>
        </w:rPr>
        <w:t>110</w:t>
      </w:r>
      <w:r w:rsidR="00A87628">
        <w:rPr>
          <w:noProof/>
        </w:rPr>
        <w:fldChar w:fldCharType="end"/>
      </w:r>
      <w:r w:rsidRPr="001F3065">
        <w:t>:</w:t>
      </w:r>
      <w:r w:rsidRPr="001F3065">
        <w:rPr>
          <w:i/>
        </w:rPr>
        <w:t xml:space="preserve"> </w:t>
      </w:r>
      <w:r w:rsidRPr="001F3065">
        <w:t>Hitrost prevzemanja novih tehnologij v kmetijstvu</w:t>
      </w:r>
      <w:bookmarkEnd w:id="5722"/>
      <w:r w:rsidRPr="001F3065">
        <w:t xml:space="preserve"> </w:t>
      </w:r>
    </w:p>
    <w:p w14:paraId="07A742FD" w14:textId="77777777" w:rsidR="003412D5" w:rsidRPr="0047652B" w:rsidRDefault="003412D5" w:rsidP="003412D5">
      <w:pPr>
        <w:keepNext/>
        <w:keepLines/>
        <w:spacing w:before="0" w:line="276" w:lineRule="auto"/>
        <w:rPr>
          <w:sz w:val="20"/>
          <w:szCs w:val="20"/>
        </w:rPr>
      </w:pPr>
      <w:r w:rsidRPr="0047652B">
        <w:rPr>
          <w:sz w:val="20"/>
          <w:szCs w:val="20"/>
        </w:rPr>
        <w:t xml:space="preserve">  </w:t>
      </w:r>
      <w:r w:rsidRPr="0047652B">
        <w:rPr>
          <w:noProof/>
          <w:sz w:val="20"/>
          <w:szCs w:val="20"/>
          <w:lang w:eastAsia="sl-SI"/>
        </w:rPr>
        <w:drawing>
          <wp:inline distT="0" distB="0" distL="0" distR="0" wp14:anchorId="0751E566" wp14:editId="1DFF0A7E">
            <wp:extent cx="3098042" cy="1723165"/>
            <wp:effectExtent l="19050" t="19050" r="26670" b="10795"/>
            <wp:docPr id="1631865563" name="Slika 163186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098083" cy="1723188"/>
                    </a:xfrm>
                    <a:prstGeom prst="rect">
                      <a:avLst/>
                    </a:prstGeom>
                    <a:noFill/>
                    <a:ln>
                      <a:solidFill>
                        <a:schemeClr val="accent1"/>
                      </a:solidFill>
                    </a:ln>
                  </pic:spPr>
                </pic:pic>
              </a:graphicData>
            </a:graphic>
          </wp:inline>
        </w:drawing>
      </w:r>
    </w:p>
    <w:p w14:paraId="36C199B6" w14:textId="77777777" w:rsidR="003412D5" w:rsidRPr="0047652B" w:rsidRDefault="003412D5" w:rsidP="003412D5">
      <w:pPr>
        <w:keepNext/>
        <w:keepLines/>
        <w:spacing w:before="0" w:line="276" w:lineRule="auto"/>
        <w:rPr>
          <w:sz w:val="16"/>
          <w:szCs w:val="16"/>
        </w:rPr>
      </w:pPr>
      <w:r w:rsidRPr="0047652B">
        <w:rPr>
          <w:sz w:val="16"/>
          <w:szCs w:val="16"/>
        </w:rPr>
        <w:t>Vir: E</w:t>
      </w:r>
      <w:r w:rsidR="00EF54A6">
        <w:rPr>
          <w:sz w:val="16"/>
          <w:szCs w:val="16"/>
        </w:rPr>
        <w:t>vropska komisija</w:t>
      </w:r>
      <w:r w:rsidRPr="0047652B">
        <w:rPr>
          <w:sz w:val="16"/>
          <w:szCs w:val="16"/>
        </w:rPr>
        <w:t xml:space="preserve"> (2019</w:t>
      </w:r>
      <w:r w:rsidR="00EF54A6">
        <w:rPr>
          <w:sz w:val="16"/>
          <w:szCs w:val="16"/>
        </w:rPr>
        <w:t>c</w:t>
      </w:r>
      <w:r w:rsidRPr="0047652B">
        <w:rPr>
          <w:sz w:val="16"/>
          <w:szCs w:val="16"/>
        </w:rPr>
        <w:t>): Building stronger agricultural knowledge and innovation systems (AKIS) to foster advice, knowledge and innovation in agriculture and rural areas</w:t>
      </w:r>
      <w:r w:rsidR="00EF54A6">
        <w:rPr>
          <w:sz w:val="16"/>
          <w:szCs w:val="16"/>
        </w:rPr>
        <w:t>.</w:t>
      </w:r>
    </w:p>
    <w:p w14:paraId="3C329EA1" w14:textId="77777777" w:rsidR="003412D5" w:rsidRDefault="003412D5" w:rsidP="00FA3FBA">
      <w:pPr>
        <w:spacing w:before="0" w:line="260" w:lineRule="atLeast"/>
        <w:rPr>
          <w:sz w:val="20"/>
          <w:szCs w:val="20"/>
        </w:rPr>
      </w:pPr>
    </w:p>
    <w:p w14:paraId="7CFC5336" w14:textId="767CF717" w:rsidR="000935EF" w:rsidRPr="001261F1" w:rsidRDefault="000935EF" w:rsidP="00FA3FBA">
      <w:pPr>
        <w:spacing w:before="0" w:line="260" w:lineRule="atLeast"/>
        <w:rPr>
          <w:szCs w:val="20"/>
        </w:rPr>
      </w:pPr>
      <w:r w:rsidRPr="001261F1">
        <w:rPr>
          <w:szCs w:val="20"/>
        </w:rPr>
        <w:t xml:space="preserve">Podobno sicer velja tudi drugod v EU, zato bo digitalni in zeleni prehod za kmetijski sektor t.j. prehoda v kmetijstvo 4.0 </w:t>
      </w:r>
      <w:r w:rsidR="008177D0" w:rsidRPr="001261F1">
        <w:rPr>
          <w:szCs w:val="20"/>
        </w:rPr>
        <w:t>-</w:t>
      </w:r>
      <w:r w:rsidRPr="001261F1">
        <w:rPr>
          <w:szCs w:val="20"/>
        </w:rPr>
        <w:t xml:space="preserve"> izrazito velik izziv. Prav zaradi izrazitega zavedanja, da obstaja na tem področju v kmetijstvu vrzel v znanju, usposobljenosti, hitrosti prenosa tehnologij, znanja in inovacij v prakso, se v zadnjem času močno izpostavlja smiselnost izdatnejših vlaganj v učinkovito podporno okolje kmetijskega sistema znanja in inovacij (»</w:t>
      </w:r>
      <w:r w:rsidRPr="001261F1">
        <w:rPr>
          <w:i/>
          <w:szCs w:val="20"/>
        </w:rPr>
        <w:t>agriculture knowledge and innovation system</w:t>
      </w:r>
      <w:r w:rsidRPr="001261F1">
        <w:rPr>
          <w:szCs w:val="20"/>
        </w:rPr>
        <w:t xml:space="preserve">«, v nadaljevanju: AKIS). </w:t>
      </w:r>
    </w:p>
    <w:p w14:paraId="77113ED1" w14:textId="77777777" w:rsidR="000935EF" w:rsidRPr="001261F1" w:rsidRDefault="000935EF" w:rsidP="00FA3FBA">
      <w:pPr>
        <w:spacing w:before="0" w:line="260" w:lineRule="atLeast"/>
        <w:rPr>
          <w:szCs w:val="20"/>
        </w:rPr>
      </w:pPr>
    </w:p>
    <w:p w14:paraId="6BA3D009" w14:textId="33202205" w:rsidR="003412D5" w:rsidRPr="001261F1" w:rsidRDefault="003412D5" w:rsidP="00FA3FBA">
      <w:pPr>
        <w:spacing w:before="0" w:line="260" w:lineRule="atLeast"/>
        <w:rPr>
          <w:szCs w:val="20"/>
        </w:rPr>
      </w:pPr>
      <w:r w:rsidRPr="001261F1">
        <w:rPr>
          <w:szCs w:val="20"/>
        </w:rPr>
        <w:t xml:space="preserve">Inovacije so </w:t>
      </w:r>
      <w:r w:rsidR="000935EF" w:rsidRPr="001261F1">
        <w:rPr>
          <w:szCs w:val="20"/>
        </w:rPr>
        <w:t xml:space="preserve">namreč </w:t>
      </w:r>
      <w:r w:rsidRPr="001261F1">
        <w:rPr>
          <w:szCs w:val="20"/>
        </w:rPr>
        <w:t xml:space="preserve">tisti najpomembnejši </w:t>
      </w:r>
      <w:r w:rsidR="008177D0" w:rsidRPr="001261F1">
        <w:rPr>
          <w:szCs w:val="20"/>
        </w:rPr>
        <w:t>dejavnik</w:t>
      </w:r>
      <w:r w:rsidRPr="001261F1">
        <w:rPr>
          <w:szCs w:val="20"/>
        </w:rPr>
        <w:t>, ki na dolgi rok določa rast produktivnosti, spodbujajo pa jih vlaganja v raziskave. Večina študij</w:t>
      </w:r>
      <w:r w:rsidR="00612824" w:rsidRPr="001261F1">
        <w:rPr>
          <w:szCs w:val="20"/>
        </w:rPr>
        <w:t xml:space="preserve"> (Evropska komisija, 2016</w:t>
      </w:r>
      <w:r w:rsidR="00EF54A6" w:rsidRPr="001261F1">
        <w:rPr>
          <w:szCs w:val="20"/>
        </w:rPr>
        <w:t>b</w:t>
      </w:r>
      <w:r w:rsidR="00612824" w:rsidRPr="001261F1">
        <w:rPr>
          <w:szCs w:val="20"/>
        </w:rPr>
        <w:t xml:space="preserve"> in </w:t>
      </w:r>
      <w:r w:rsidR="00EF54A6" w:rsidRPr="001261F1">
        <w:rPr>
          <w:szCs w:val="20"/>
        </w:rPr>
        <w:t xml:space="preserve">Evropska komisija, </w:t>
      </w:r>
      <w:r w:rsidR="00612824" w:rsidRPr="001261F1">
        <w:rPr>
          <w:szCs w:val="20"/>
        </w:rPr>
        <w:t>201</w:t>
      </w:r>
      <w:r w:rsidR="00EF54A6" w:rsidRPr="001261F1">
        <w:rPr>
          <w:szCs w:val="20"/>
        </w:rPr>
        <w:t>9c</w:t>
      </w:r>
      <w:r w:rsidR="00612824" w:rsidRPr="001261F1">
        <w:rPr>
          <w:szCs w:val="20"/>
        </w:rPr>
        <w:t>; Evropski parlament, 2016, CEMA, 2017, EIP-AGRI, 2017)</w:t>
      </w:r>
      <w:r w:rsidRPr="001261F1">
        <w:rPr>
          <w:szCs w:val="20"/>
        </w:rPr>
        <w:t xml:space="preserve"> navaja, da imajo vlaganja v inovativne tehnologije (velepodatki, precizno kmetijstvo, daljinsko zaznavanje, internet stvari, umetna inteligenca, robotika ipd.) znaten pozitiven učinek na produktivnost. Tehnološke spremembe so tiste, ki največ prispevajo k razvoju TFP. Izboljšanje tehnološke učinkovitosti tako prinaša ohranjanje ali celo povečanje obsega proizvodnje ob nespremenjenem ali celo zmanjšanem obsegu vložkov (ang. »inputs«).</w:t>
      </w:r>
      <w:r w:rsidRPr="001261F1">
        <w:rPr>
          <w:rStyle w:val="Sprotnaopomba-sklic"/>
          <w:sz w:val="22"/>
        </w:rPr>
        <w:t xml:space="preserve"> </w:t>
      </w:r>
      <w:r w:rsidRPr="001261F1">
        <w:rPr>
          <w:szCs w:val="20"/>
        </w:rPr>
        <w:t xml:space="preserve">To pa je dandanes ključna paradigma razvoja kmetijstva v EU in tudi v Sloveniji. </w:t>
      </w:r>
    </w:p>
    <w:p w14:paraId="0670C9B5" w14:textId="77777777" w:rsidR="003412D5" w:rsidRPr="001261F1" w:rsidRDefault="003412D5" w:rsidP="00FA3FBA">
      <w:pPr>
        <w:spacing w:before="0" w:line="260" w:lineRule="atLeast"/>
        <w:rPr>
          <w:szCs w:val="20"/>
        </w:rPr>
      </w:pPr>
    </w:p>
    <w:p w14:paraId="2FF6CF8A" w14:textId="77777777" w:rsidR="003412D5" w:rsidRPr="001261F1" w:rsidRDefault="003412D5" w:rsidP="00FA3FBA">
      <w:pPr>
        <w:spacing w:before="0" w:line="260" w:lineRule="atLeast"/>
        <w:rPr>
          <w:sz w:val="18"/>
          <w:szCs w:val="16"/>
        </w:rPr>
      </w:pPr>
      <w:r w:rsidRPr="001261F1">
        <w:rPr>
          <w:szCs w:val="20"/>
        </w:rPr>
        <w:t xml:space="preserve">Zajem ekonomskega potenciala teh sprememb terja prevzem drugačnih poslovnih modelov in se povezuje s konceptom prehoda v kmetijstvo 4.0. </w:t>
      </w:r>
    </w:p>
    <w:p w14:paraId="2A84B01C" w14:textId="77777777" w:rsidR="003412D5" w:rsidRPr="001261F1" w:rsidRDefault="003412D5" w:rsidP="00FA3FBA">
      <w:pPr>
        <w:spacing w:before="0" w:line="260" w:lineRule="atLeast"/>
        <w:rPr>
          <w:szCs w:val="20"/>
        </w:rPr>
      </w:pPr>
    </w:p>
    <w:p w14:paraId="3F64E6E2" w14:textId="77777777" w:rsidR="000935EF" w:rsidRPr="001261F1" w:rsidRDefault="000935EF" w:rsidP="00FA3FBA">
      <w:pPr>
        <w:spacing w:before="0" w:line="260" w:lineRule="atLeast"/>
        <w:rPr>
          <w:rFonts w:eastAsia="SimSun"/>
          <w:szCs w:val="20"/>
          <w:lang w:eastAsia="sl-SI"/>
        </w:rPr>
      </w:pPr>
      <w:r w:rsidRPr="001261F1">
        <w:rPr>
          <w:szCs w:val="20"/>
        </w:rPr>
        <w:t xml:space="preserve">Čeprav je splošno prepoznano, kako pomembna je vloga AKIS sistema z vidika razvoja in hitrosti uvedbe tehnoloških sprememb v kmetijskem sektorju, se v obstoječem AKIS sistemu ne le v Sloveniji, temveč tudi drugod po EU kažejo šibkosti, in sicer predvsem v smislu razdrobljenosti in šibke povezanosti med akterji, ki ustvarjajo znanje (fakultete, inštituti…), prenašajo znanje (svetovalne službe) ter končnimi uporabniki, to je kmetijska praksa. </w:t>
      </w:r>
      <w:r w:rsidRPr="001261F1">
        <w:rPr>
          <w:rFonts w:eastAsia="SimSun"/>
          <w:szCs w:val="20"/>
          <w:lang w:eastAsia="sl-SI"/>
        </w:rPr>
        <w:t>Prenos znanja v prakso je nezadosten, prav tako pa tudi povratni tok o zaznanih potrebah kmetijske prakse.</w:t>
      </w:r>
    </w:p>
    <w:p w14:paraId="1CFA353C" w14:textId="77777777" w:rsidR="000935EF" w:rsidRPr="001261F1" w:rsidRDefault="000935EF" w:rsidP="00FA3FBA">
      <w:pPr>
        <w:spacing w:before="0" w:line="260" w:lineRule="atLeast"/>
        <w:rPr>
          <w:szCs w:val="20"/>
        </w:rPr>
      </w:pPr>
    </w:p>
    <w:p w14:paraId="45D8FD10" w14:textId="56F8D212" w:rsidR="00E64A26" w:rsidRPr="001261F1" w:rsidRDefault="00612824" w:rsidP="00FA3FBA">
      <w:pPr>
        <w:spacing w:before="0" w:line="260" w:lineRule="atLeast"/>
        <w:rPr>
          <w:szCs w:val="20"/>
        </w:rPr>
      </w:pPr>
      <w:r w:rsidRPr="001261F1">
        <w:rPr>
          <w:szCs w:val="20"/>
        </w:rPr>
        <w:t xml:space="preserve">Prav tako pa tudi ni razvitih celovitih programov usposabljanja in svetovanja o tematikah, ki bi pokrivali celotno upravljanje kmetijskega gospodarstva, kot so: spodbujanje podjetniških spretnosti, ekonomika, trženje, obvladovanje tveganj, finančno upravljanje, </w:t>
      </w:r>
      <w:r w:rsidR="00AD2FBC" w:rsidRPr="001261F1">
        <w:rPr>
          <w:szCs w:val="20"/>
        </w:rPr>
        <w:t xml:space="preserve">krožno gospodarstvo, </w:t>
      </w:r>
      <w:r w:rsidRPr="001261F1">
        <w:rPr>
          <w:szCs w:val="20"/>
        </w:rPr>
        <w:t xml:space="preserve">varstvo narave in okolja, </w:t>
      </w:r>
      <w:r w:rsidR="008177D0" w:rsidRPr="001261F1">
        <w:rPr>
          <w:szCs w:val="20"/>
        </w:rPr>
        <w:t xml:space="preserve">učinkovitejše </w:t>
      </w:r>
      <w:r w:rsidRPr="001261F1">
        <w:rPr>
          <w:szCs w:val="20"/>
        </w:rPr>
        <w:t>ekološko kmetovanje, biotska raznovrstnost, digitalna pismenost ipd. U</w:t>
      </w:r>
      <w:r w:rsidR="008F49F7" w:rsidRPr="001261F1">
        <w:rPr>
          <w:szCs w:val="20"/>
        </w:rPr>
        <w:t xml:space="preserve">Nosilcem in članom </w:t>
      </w:r>
      <w:r w:rsidR="000935EF" w:rsidRPr="001261F1">
        <w:rPr>
          <w:szCs w:val="20"/>
        </w:rPr>
        <w:t xml:space="preserve">kmetijskih gospodarstev </w:t>
      </w:r>
      <w:r w:rsidRPr="001261F1">
        <w:rPr>
          <w:szCs w:val="20"/>
        </w:rPr>
        <w:t xml:space="preserve">tako </w:t>
      </w:r>
      <w:r w:rsidR="00E64A26" w:rsidRPr="001261F1">
        <w:rPr>
          <w:szCs w:val="20"/>
        </w:rPr>
        <w:t>primanjkuje znanj</w:t>
      </w:r>
      <w:r w:rsidRPr="001261F1">
        <w:rPr>
          <w:szCs w:val="20"/>
        </w:rPr>
        <w:t xml:space="preserve"> na področju vpeljave najnovejših tehnologij, digitalnih rešitev, podjetništva, trženja, ekonomike. Velika </w:t>
      </w:r>
      <w:r w:rsidR="00E64A26" w:rsidRPr="001261F1">
        <w:rPr>
          <w:szCs w:val="20"/>
        </w:rPr>
        <w:t xml:space="preserve">večina kmetijskih gospodarstev </w:t>
      </w:r>
      <w:r w:rsidRPr="001261F1">
        <w:rPr>
          <w:szCs w:val="20"/>
        </w:rPr>
        <w:t xml:space="preserve">tako tudi </w:t>
      </w:r>
      <w:r w:rsidR="00E64A26" w:rsidRPr="001261F1">
        <w:rPr>
          <w:szCs w:val="20"/>
        </w:rPr>
        <w:t xml:space="preserve">ne vodi poslovnih knjig, ki bi lahko predstavljale podlago za operativno upravljanje in strateške odločitve. Pomanjkanje evidenc in </w:t>
      </w:r>
      <w:r w:rsidRPr="001261F1">
        <w:rPr>
          <w:szCs w:val="20"/>
        </w:rPr>
        <w:t xml:space="preserve">prav </w:t>
      </w:r>
      <w:r w:rsidR="00E64A26" w:rsidRPr="001261F1">
        <w:rPr>
          <w:szCs w:val="20"/>
        </w:rPr>
        <w:t xml:space="preserve">nepoznavanje (lastnih) stroškov proizvodnje </w:t>
      </w:r>
      <w:r w:rsidRPr="001261F1">
        <w:rPr>
          <w:szCs w:val="20"/>
        </w:rPr>
        <w:t xml:space="preserve">pa močno </w:t>
      </w:r>
      <w:r w:rsidR="00E64A26" w:rsidRPr="001261F1">
        <w:rPr>
          <w:szCs w:val="20"/>
        </w:rPr>
        <w:t xml:space="preserve">otežuje sprejemanje optimalnih odločitev za investiranje, trženje, poslovno usmeritev ipd. </w:t>
      </w:r>
    </w:p>
    <w:p w14:paraId="3071267B" w14:textId="77777777" w:rsidR="00D47E10" w:rsidRPr="001261F1" w:rsidRDefault="00D47E10" w:rsidP="00FA3FBA">
      <w:pPr>
        <w:spacing w:before="0" w:line="260" w:lineRule="atLeast"/>
        <w:rPr>
          <w:szCs w:val="20"/>
        </w:rPr>
      </w:pPr>
    </w:p>
    <w:p w14:paraId="7FDE0416" w14:textId="16359F92" w:rsidR="00D47E10" w:rsidRPr="00ED35F3" w:rsidRDefault="00D47E10" w:rsidP="00FA3FBA">
      <w:pPr>
        <w:spacing w:before="0" w:line="260" w:lineRule="atLeast"/>
        <w:rPr>
          <w:szCs w:val="20"/>
        </w:rPr>
      </w:pPr>
      <w:r w:rsidRPr="00ED35F3">
        <w:rPr>
          <w:szCs w:val="20"/>
        </w:rPr>
        <w:t xml:space="preserve">Podrobneje je stanje na področju </w:t>
      </w:r>
      <w:r w:rsidR="00D9595A" w:rsidRPr="00ED35F3">
        <w:rPr>
          <w:szCs w:val="20"/>
        </w:rPr>
        <w:t xml:space="preserve">digitalizacije in </w:t>
      </w:r>
      <w:r w:rsidRPr="00ED35F3">
        <w:rPr>
          <w:szCs w:val="20"/>
        </w:rPr>
        <w:t xml:space="preserve">AKIS predstavljeno v analizi stanja za cilj 10. </w:t>
      </w:r>
      <w:r w:rsidR="00190BD2" w:rsidRPr="00ED35F3">
        <w:rPr>
          <w:szCs w:val="20"/>
        </w:rPr>
        <w:t>Iz te podrobnejše analize je razvidno, da je v slovenskem kmetijstvu vzpostavljen delujoč sistem izobraževalnih, svetovalnih in raziskovalnih institucij in tudi sistem delovanja različnih javnih služb</w:t>
      </w:r>
      <w:r w:rsidR="00EC1D1C" w:rsidRPr="00ED35F3">
        <w:rPr>
          <w:szCs w:val="20"/>
        </w:rPr>
        <w:t xml:space="preserve">  - t.i. sistem AKIS</w:t>
      </w:r>
      <w:r w:rsidR="00190BD2" w:rsidRPr="00ED35F3">
        <w:rPr>
          <w:szCs w:val="20"/>
        </w:rPr>
        <w:t>.</w:t>
      </w:r>
      <w:r w:rsidR="00EC1D1C" w:rsidRPr="00ED35F3">
        <w:rPr>
          <w:szCs w:val="20"/>
        </w:rPr>
        <w:t xml:space="preserve"> </w:t>
      </w:r>
      <w:r w:rsidR="00190BD2" w:rsidRPr="00ED35F3">
        <w:rPr>
          <w:szCs w:val="20"/>
        </w:rPr>
        <w:t xml:space="preserve"> </w:t>
      </w:r>
      <w:r w:rsidR="00EC1D1C" w:rsidRPr="00ED35F3">
        <w:rPr>
          <w:szCs w:val="20"/>
        </w:rPr>
        <w:t>V okviru študije Proakis  iz leta 2014 se je Slovenija glede kakovosti in povezanosti institucij znotraj sistema AKIS med analiziranimi državami članicami EU uvrstila nekje na sredino. Predvsem se kot pomanjkljivost kaže povezanost in sistemsko sodelovanje med tovrstnimi institucijami v sistemu AKIS</w:t>
      </w:r>
      <w:r w:rsidR="00D9595A" w:rsidRPr="00ED35F3">
        <w:rPr>
          <w:szCs w:val="20"/>
        </w:rPr>
        <w:t xml:space="preserve"> ter krepitev sodelovanja z zasebnim sektorjem</w:t>
      </w:r>
      <w:r w:rsidR="00EC1D1C" w:rsidRPr="00ED35F3">
        <w:rPr>
          <w:szCs w:val="20"/>
        </w:rPr>
        <w:t xml:space="preserve">. Podrobnejši opis sledi v analizi stanja za cilj 10. </w:t>
      </w:r>
    </w:p>
    <w:p w14:paraId="2A843834" w14:textId="77777777" w:rsidR="001261F1" w:rsidRPr="001261F1" w:rsidRDefault="001261F1" w:rsidP="00FA3FBA">
      <w:pPr>
        <w:spacing w:before="0" w:line="260" w:lineRule="atLeast"/>
        <w:rPr>
          <w:szCs w:val="20"/>
        </w:rPr>
      </w:pPr>
    </w:p>
    <w:p w14:paraId="034FC42B" w14:textId="77777777" w:rsidR="00F03ED1" w:rsidRPr="0047652B" w:rsidRDefault="000935EF" w:rsidP="00FA3FBA">
      <w:pPr>
        <w:tabs>
          <w:tab w:val="left" w:pos="283"/>
        </w:tabs>
        <w:autoSpaceDE w:val="0"/>
        <w:autoSpaceDN w:val="0"/>
        <w:adjustRightInd w:val="0"/>
        <w:spacing w:before="0" w:line="260" w:lineRule="atLeast"/>
        <w:ind w:right="595"/>
        <w:textAlignment w:val="center"/>
        <w:rPr>
          <w:sz w:val="20"/>
          <w:szCs w:val="20"/>
        </w:rPr>
      </w:pPr>
      <w:r>
        <w:rPr>
          <w:sz w:val="20"/>
          <w:szCs w:val="20"/>
        </w:rPr>
        <w:t xml:space="preserve">  </w:t>
      </w:r>
    </w:p>
    <w:p w14:paraId="262568FC" w14:textId="61944DAA" w:rsidR="00A42884" w:rsidRPr="001F3065" w:rsidRDefault="001E5903" w:rsidP="001261F1">
      <w:pPr>
        <w:pStyle w:val="Naslov2"/>
      </w:pPr>
      <w:bookmarkStart w:id="5723" w:name="_Toc31577846"/>
      <w:bookmarkStart w:id="5724" w:name="_Toc31578041"/>
      <w:bookmarkStart w:id="5725" w:name="_Toc31578106"/>
      <w:bookmarkStart w:id="5726" w:name="_Toc31578171"/>
      <w:bookmarkStart w:id="5727" w:name="_Toc31673808"/>
      <w:bookmarkStart w:id="5728" w:name="_Toc31674647"/>
      <w:bookmarkStart w:id="5729" w:name="_Toc31675486"/>
      <w:bookmarkStart w:id="5730" w:name="_Toc31577847"/>
      <w:bookmarkStart w:id="5731" w:name="_Toc31578042"/>
      <w:bookmarkStart w:id="5732" w:name="_Toc31578107"/>
      <w:bookmarkStart w:id="5733" w:name="_Toc31578172"/>
      <w:bookmarkStart w:id="5734" w:name="_Toc31673809"/>
      <w:bookmarkStart w:id="5735" w:name="_Toc31674648"/>
      <w:bookmarkStart w:id="5736" w:name="_Toc31675487"/>
      <w:bookmarkStart w:id="5737" w:name="_Toc86822636"/>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r w:rsidRPr="001F3065">
        <w:t>Ključne ugotovitve</w:t>
      </w:r>
      <w:bookmarkEnd w:id="5737"/>
    </w:p>
    <w:p w14:paraId="04394A58" w14:textId="77777777" w:rsidR="00F03ED1" w:rsidRDefault="00F03ED1" w:rsidP="00FA3FBA">
      <w:pPr>
        <w:spacing w:before="0" w:line="260" w:lineRule="atLeast"/>
        <w:rPr>
          <w:sz w:val="20"/>
          <w:szCs w:val="20"/>
        </w:rPr>
      </w:pPr>
    </w:p>
    <w:p w14:paraId="24E5BE54" w14:textId="77777777" w:rsidR="00D47E10" w:rsidRDefault="00D47E10" w:rsidP="00FA3FBA">
      <w:pPr>
        <w:spacing w:before="0" w:line="260" w:lineRule="atLeast"/>
        <w:rPr>
          <w:sz w:val="20"/>
          <w:szCs w:val="20"/>
        </w:rPr>
      </w:pPr>
    </w:p>
    <w:p w14:paraId="1CC36460" w14:textId="2CA1020F" w:rsidR="00612824" w:rsidRPr="001261F1" w:rsidRDefault="00612824"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Digitalizacija v kmetijstvu in uporaba digitalnih tehnologij ima vse pomembnejšo vlogo tako pri doseganju višje produktivnosti kot tudi doseganju  </w:t>
      </w:r>
      <w:r w:rsidR="00F238AB" w:rsidRPr="001261F1">
        <w:rPr>
          <w:rFonts w:ascii="Arial" w:hAnsi="Arial"/>
          <w:sz w:val="22"/>
        </w:rPr>
        <w:t>ciljev na področju okolja ter blaženje podnebnih sprememb in prilagajanje nanj</w:t>
      </w:r>
      <w:r w:rsidRPr="001261F1">
        <w:rPr>
          <w:rFonts w:ascii="Arial" w:hAnsi="Arial"/>
          <w:sz w:val="22"/>
        </w:rPr>
        <w:t xml:space="preserve">. </w:t>
      </w:r>
    </w:p>
    <w:p w14:paraId="0EEE71C6" w14:textId="77777777" w:rsidR="00612824" w:rsidRPr="001261F1" w:rsidRDefault="00612824"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Koristi uporabe digitalnih tehnologij v kmetijstvu so lahko izboljšani donosi pridelkov in proizvodnost živali, optimizacija vložkov v postopke in zmanjšanje obsega dela, vse to pa lahko poveča dobičkonosnost. Z digitalizacijo se lahko izboljšajo tudi delovne razmere kmetov in zmanjšajo vplivi kmetijstva na okolje, hkrati pa kmetovanje naredijo privlačnejše za mlajše generacije.</w:t>
      </w:r>
    </w:p>
    <w:p w14:paraId="6C8F6390" w14:textId="7689C6E2" w:rsidR="00612824" w:rsidRPr="001261F1" w:rsidRDefault="001261F1" w:rsidP="00FA3FBA">
      <w:pPr>
        <w:pStyle w:val="Odstavekseznama"/>
        <w:numPr>
          <w:ilvl w:val="0"/>
          <w:numId w:val="113"/>
        </w:numPr>
        <w:spacing w:before="0" w:line="260" w:lineRule="atLeast"/>
        <w:ind w:left="426" w:hanging="284"/>
        <w:rPr>
          <w:rFonts w:ascii="Arial" w:hAnsi="Arial"/>
          <w:sz w:val="22"/>
        </w:rPr>
      </w:pPr>
      <w:r>
        <w:rPr>
          <w:rFonts w:ascii="Arial" w:hAnsi="Arial"/>
          <w:b/>
          <w:bCs/>
          <w:color w:val="767676"/>
          <w:sz w:val="22"/>
        </w:rPr>
        <w:t xml:space="preserve">V </w:t>
      </w:r>
      <w:r w:rsidR="007C33A1" w:rsidRPr="001261F1">
        <w:rPr>
          <w:rFonts w:ascii="Arial" w:hAnsi="Arial"/>
          <w:sz w:val="22"/>
        </w:rPr>
        <w:t xml:space="preserve">slovenskem kmetijstvu se </w:t>
      </w:r>
      <w:r w:rsidR="007C33A1" w:rsidRPr="001261F1">
        <w:rPr>
          <w:rFonts w:ascii="Arial" w:hAnsi="Arial"/>
          <w:bCs/>
          <w:sz w:val="22"/>
        </w:rPr>
        <w:t>digitalizacija</w:t>
      </w:r>
      <w:r w:rsidR="007C33A1" w:rsidRPr="001261F1">
        <w:rPr>
          <w:rFonts w:ascii="Arial" w:hAnsi="Arial"/>
          <w:sz w:val="22"/>
        </w:rPr>
        <w:t xml:space="preserve"> uvaja postopno in na različnih področjih</w:t>
      </w:r>
      <w:r w:rsidR="00612824" w:rsidRPr="001261F1">
        <w:rPr>
          <w:rFonts w:ascii="Arial" w:hAnsi="Arial"/>
          <w:sz w:val="22"/>
        </w:rPr>
        <w:t>.</w:t>
      </w:r>
      <w:r w:rsidR="00C7691B" w:rsidRPr="001261F1">
        <w:rPr>
          <w:rFonts w:ascii="Arial" w:hAnsi="Arial"/>
          <w:sz w:val="22"/>
        </w:rPr>
        <w:t xml:space="preserve"> </w:t>
      </w:r>
      <w:r w:rsidR="00612824" w:rsidRPr="001261F1">
        <w:rPr>
          <w:rFonts w:ascii="Arial" w:hAnsi="Arial"/>
          <w:sz w:val="22"/>
        </w:rPr>
        <w:t xml:space="preserve">Obstajajo že določeni posamični primeri uspešnega uvajanja digitalnih tehnologij, a sistematičnega spremljanja tega področja v kmetijstvu nismo izvajali. </w:t>
      </w:r>
    </w:p>
    <w:p w14:paraId="53EB72B6" w14:textId="3D6A603C" w:rsidR="00612824" w:rsidRPr="001261F1" w:rsidRDefault="00992A0B"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V okviru ukrepov PRP 2014-2020 </w:t>
      </w:r>
      <w:r w:rsidR="007C33A1" w:rsidRPr="001261F1">
        <w:rPr>
          <w:rFonts w:ascii="Arial" w:hAnsi="Arial"/>
          <w:sz w:val="22"/>
        </w:rPr>
        <w:t>(M</w:t>
      </w:r>
      <w:r w:rsidR="001F27DC" w:rsidRPr="001261F1">
        <w:rPr>
          <w:rFonts w:ascii="Arial" w:hAnsi="Arial"/>
          <w:sz w:val="22"/>
        </w:rPr>
        <w:t>0</w:t>
      </w:r>
      <w:r w:rsidR="007C33A1" w:rsidRPr="001261F1">
        <w:rPr>
          <w:rFonts w:ascii="Arial" w:hAnsi="Arial"/>
          <w:sz w:val="22"/>
        </w:rPr>
        <w:t>4.1, M</w:t>
      </w:r>
      <w:r w:rsidR="001F27DC" w:rsidRPr="001261F1">
        <w:rPr>
          <w:rFonts w:ascii="Arial" w:hAnsi="Arial"/>
          <w:sz w:val="22"/>
        </w:rPr>
        <w:t>0</w:t>
      </w:r>
      <w:r w:rsidR="007C33A1" w:rsidRPr="001261F1">
        <w:rPr>
          <w:rFonts w:ascii="Arial" w:hAnsi="Arial"/>
          <w:sz w:val="22"/>
        </w:rPr>
        <w:t xml:space="preserve">4.2, M16) </w:t>
      </w:r>
      <w:r w:rsidRPr="001261F1">
        <w:rPr>
          <w:rFonts w:ascii="Arial" w:hAnsi="Arial"/>
          <w:sz w:val="22"/>
        </w:rPr>
        <w:t xml:space="preserve">se </w:t>
      </w:r>
      <w:r w:rsidR="007C33A1" w:rsidRPr="001261F1">
        <w:rPr>
          <w:rFonts w:ascii="Arial" w:hAnsi="Arial"/>
          <w:sz w:val="22"/>
        </w:rPr>
        <w:t>v manjši meri že</w:t>
      </w:r>
      <w:r w:rsidRPr="001261F1">
        <w:rPr>
          <w:rFonts w:ascii="Arial" w:hAnsi="Arial"/>
          <w:sz w:val="22"/>
        </w:rPr>
        <w:t xml:space="preserve"> izvajajo </w:t>
      </w:r>
      <w:r w:rsidR="007C33A1" w:rsidRPr="001261F1">
        <w:rPr>
          <w:rFonts w:ascii="Arial" w:hAnsi="Arial"/>
          <w:sz w:val="22"/>
        </w:rPr>
        <w:t>projekti</w:t>
      </w:r>
      <w:r w:rsidRPr="001261F1">
        <w:rPr>
          <w:rFonts w:ascii="Arial" w:hAnsi="Arial"/>
          <w:sz w:val="22"/>
        </w:rPr>
        <w:t xml:space="preserve"> </w:t>
      </w:r>
      <w:r w:rsidR="007C33A1" w:rsidRPr="001261F1">
        <w:rPr>
          <w:rFonts w:ascii="Arial" w:hAnsi="Arial"/>
          <w:sz w:val="22"/>
        </w:rPr>
        <w:t>in naložbe za</w:t>
      </w:r>
      <w:r w:rsidRPr="001261F1">
        <w:rPr>
          <w:rFonts w:ascii="Arial" w:hAnsi="Arial"/>
          <w:sz w:val="22"/>
        </w:rPr>
        <w:t xml:space="preserve"> </w:t>
      </w:r>
      <w:r w:rsidR="007C33A1" w:rsidRPr="001261F1">
        <w:rPr>
          <w:rFonts w:ascii="Arial" w:hAnsi="Arial"/>
          <w:sz w:val="22"/>
        </w:rPr>
        <w:t xml:space="preserve">uporabo digitalnih tehnologij </w:t>
      </w:r>
      <w:r w:rsidRPr="001261F1">
        <w:rPr>
          <w:rFonts w:ascii="Arial" w:hAnsi="Arial"/>
          <w:sz w:val="22"/>
        </w:rPr>
        <w:t>v kmetijski proizvodnji</w:t>
      </w:r>
      <w:r w:rsidR="007C33A1" w:rsidRPr="001261F1">
        <w:rPr>
          <w:rFonts w:ascii="Arial" w:hAnsi="Arial"/>
          <w:sz w:val="22"/>
        </w:rPr>
        <w:t>.</w:t>
      </w:r>
      <w:r w:rsidR="00612824" w:rsidRPr="001261F1">
        <w:rPr>
          <w:rFonts w:ascii="Arial" w:hAnsi="Arial"/>
          <w:sz w:val="22"/>
        </w:rPr>
        <w:t>.</w:t>
      </w:r>
    </w:p>
    <w:p w14:paraId="0A9CA36F" w14:textId="77777777" w:rsidR="00C7691B" w:rsidRPr="001261F1" w:rsidRDefault="00612824"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Da bi se možnosti digitalnih tehnologij lahko v celoti izkoristile, je v prvi vrsti bistven dosto</w:t>
      </w:r>
      <w:r w:rsidR="00C7691B" w:rsidRPr="001261F1">
        <w:rPr>
          <w:rFonts w:ascii="Arial" w:hAnsi="Arial"/>
          <w:sz w:val="22"/>
        </w:rPr>
        <w:t xml:space="preserve">p do širokopasovnega interneta, vlaganja v človeški kapital: kompetence, izobrazbo. </w:t>
      </w:r>
    </w:p>
    <w:p w14:paraId="3636A1B5" w14:textId="32336E4F" w:rsidR="00F03ED1" w:rsidRPr="001261F1" w:rsidRDefault="00F03ED1"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Tehnološk</w:t>
      </w:r>
      <w:r w:rsidR="00992A0B" w:rsidRPr="001261F1">
        <w:rPr>
          <w:rFonts w:ascii="Arial" w:hAnsi="Arial"/>
          <w:sz w:val="22"/>
        </w:rPr>
        <w:t xml:space="preserve">i napredek </w:t>
      </w:r>
      <w:r w:rsidRPr="001261F1">
        <w:rPr>
          <w:rFonts w:ascii="Arial" w:hAnsi="Arial"/>
          <w:sz w:val="22"/>
        </w:rPr>
        <w:t xml:space="preserve"> </w:t>
      </w:r>
      <w:r w:rsidR="00992A0B" w:rsidRPr="001261F1">
        <w:rPr>
          <w:rFonts w:ascii="Arial" w:hAnsi="Arial"/>
          <w:sz w:val="22"/>
        </w:rPr>
        <w:t>med drugimi</w:t>
      </w:r>
      <w:r w:rsidRPr="001261F1">
        <w:rPr>
          <w:rFonts w:ascii="Arial" w:hAnsi="Arial"/>
          <w:sz w:val="22"/>
        </w:rPr>
        <w:t xml:space="preserve"> prispevak razvoju TFP. Izboljšanje tehnološke učinkovitosti tako prinaša ohranjanje ali celo povečanje obsega proizvodnje ob nespremenjenem ali celo zmanjšanem obsegu vložkov</w:t>
      </w:r>
      <w:r w:rsidR="00C7691B" w:rsidRPr="001261F1">
        <w:rPr>
          <w:rFonts w:ascii="Arial" w:hAnsi="Arial"/>
          <w:sz w:val="22"/>
        </w:rPr>
        <w:t>.</w:t>
      </w:r>
    </w:p>
    <w:p w14:paraId="694CDA53" w14:textId="77777777" w:rsidR="00C7691B" w:rsidRPr="001261F1" w:rsidRDefault="00C7691B"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Tehnološke spremembe na kmetijskih gospodarstvih so v veliki meri odvisne od upravljavske sposobnosti nosilcev kmetijskih gospodarstev, na katero pa vpliva zlasti starost nosilca KMG, njegova izobrazba oz. usposobljenost ter profesionalizacija KMG. Vsi omenjeni dejavniki so v slovenskem kmetijstvu še vedno v neugodnem stanju. </w:t>
      </w:r>
    </w:p>
    <w:p w14:paraId="44608C2D" w14:textId="77777777" w:rsidR="00F03ED1" w:rsidRPr="001261F1" w:rsidRDefault="00F03ED1"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V obstoječem AKIS sistemu ne le v Sloveniji, temveč tudi drugod po EU kažejo šibkosti, in sicer predvsem v smislu razdrobljenosti in šibke povezanosti med akterji.  </w:t>
      </w:r>
      <w:r w:rsidRPr="001261F1">
        <w:rPr>
          <w:rFonts w:ascii="Arial" w:eastAsia="SimSun" w:hAnsi="Arial"/>
          <w:sz w:val="22"/>
          <w:lang w:eastAsia="sl-SI"/>
        </w:rPr>
        <w:t>Prenos znanja v prakso je nezadosten, prav tako pa tudi povratni tok o zaznanih potrebah kmetijske prakse.</w:t>
      </w:r>
      <w:r w:rsidR="00C7691B" w:rsidRPr="001261F1">
        <w:rPr>
          <w:rFonts w:ascii="Arial" w:eastAsia="SimSun" w:hAnsi="Arial"/>
          <w:sz w:val="22"/>
          <w:lang w:eastAsia="sl-SI"/>
        </w:rPr>
        <w:t xml:space="preserve"> Prav tako pa tudi ni razvitih celovitih programov usposabljanja in svetovanja o tematikah, ki bi pokrivali celotno upravljanje kmetijskega gospodarstva,</w:t>
      </w:r>
    </w:p>
    <w:p w14:paraId="46EE7503" w14:textId="77777777" w:rsidR="00F03ED1" w:rsidRPr="001261F1" w:rsidRDefault="00F03ED1" w:rsidP="00FA3FBA">
      <w:pPr>
        <w:pStyle w:val="Odstavekseznama"/>
        <w:numPr>
          <w:ilvl w:val="0"/>
          <w:numId w:val="113"/>
        </w:numPr>
        <w:spacing w:before="0" w:line="260" w:lineRule="atLeast"/>
        <w:ind w:left="426" w:hanging="284"/>
        <w:rPr>
          <w:rFonts w:ascii="Arial" w:eastAsia="SimSun" w:hAnsi="Arial"/>
          <w:sz w:val="22"/>
          <w:lang w:eastAsia="zh-CN"/>
        </w:rPr>
      </w:pPr>
      <w:r w:rsidRPr="001261F1">
        <w:rPr>
          <w:rFonts w:ascii="Arial" w:eastAsia="SimSun" w:hAnsi="Arial"/>
          <w:sz w:val="22"/>
          <w:lang w:eastAsia="zh-CN"/>
        </w:rPr>
        <w:t>Izkušnje iz programskega obdob</w:t>
      </w:r>
      <w:r w:rsidR="00187524" w:rsidRPr="001261F1">
        <w:rPr>
          <w:rFonts w:ascii="Arial" w:eastAsia="SimSun" w:hAnsi="Arial"/>
          <w:sz w:val="22"/>
          <w:lang w:eastAsia="zh-CN"/>
        </w:rPr>
        <w:t>j</w:t>
      </w:r>
      <w:r w:rsidRPr="001261F1">
        <w:rPr>
          <w:rFonts w:ascii="Arial" w:eastAsia="SimSun" w:hAnsi="Arial"/>
          <w:sz w:val="22"/>
          <w:lang w:eastAsia="zh-CN"/>
        </w:rPr>
        <w:t xml:space="preserve">a 2014–2020 kažejo na potencial pilotnih projektov in projektov EIP kot primer »pomanjšanih modelov« v smeri bolj povezanega AKIS. </w:t>
      </w:r>
    </w:p>
    <w:p w14:paraId="450BC5B0" w14:textId="77777777" w:rsidR="00613209" w:rsidRPr="001261F1" w:rsidRDefault="00613209" w:rsidP="00FA3FBA">
      <w:pPr>
        <w:pStyle w:val="Odstavekseznama"/>
        <w:numPr>
          <w:ilvl w:val="0"/>
          <w:numId w:val="113"/>
        </w:numPr>
        <w:spacing w:before="0" w:line="260" w:lineRule="atLeast"/>
        <w:ind w:left="426" w:hanging="284"/>
        <w:rPr>
          <w:rFonts w:ascii="Arial" w:hAnsi="Arial"/>
          <w:sz w:val="22"/>
        </w:rPr>
      </w:pPr>
      <w:r w:rsidRPr="001261F1">
        <w:rPr>
          <w:rFonts w:ascii="Arial" w:hAnsi="Arial"/>
          <w:sz w:val="22"/>
        </w:rPr>
        <w:t xml:space="preserve">Pomanjkanje evidenc in nepoznavanje (lastnih) stroškov proizvodnje otežuje sprejemanje optimalnih odločitev za investiranje, trženje, poslovno usmeritev ipd. </w:t>
      </w:r>
    </w:p>
    <w:p w14:paraId="6FABC35B" w14:textId="77777777" w:rsidR="006E1049" w:rsidRDefault="006E1049" w:rsidP="00FA3FBA">
      <w:pPr>
        <w:spacing w:before="0" w:line="260" w:lineRule="atLeast"/>
        <w:rPr>
          <w:sz w:val="20"/>
          <w:lang w:eastAsia="en-US"/>
        </w:rPr>
      </w:pPr>
    </w:p>
    <w:p w14:paraId="2B7272C5" w14:textId="6A273AB4" w:rsidR="00193108" w:rsidRDefault="00193108" w:rsidP="00FA3FBA">
      <w:pPr>
        <w:pStyle w:val="1"/>
        <w:spacing w:before="0"/>
      </w:pPr>
      <w:bookmarkStart w:id="5738" w:name="_Toc31577853"/>
      <w:bookmarkStart w:id="5739" w:name="_Toc31578048"/>
      <w:bookmarkStart w:id="5740" w:name="_Toc31578113"/>
      <w:bookmarkStart w:id="5741" w:name="_Toc31578178"/>
      <w:bookmarkStart w:id="5742" w:name="_Toc31577855"/>
      <w:bookmarkStart w:id="5743" w:name="_Toc31578050"/>
      <w:bookmarkStart w:id="5744" w:name="_Toc31578115"/>
      <w:bookmarkStart w:id="5745" w:name="_Toc31578180"/>
      <w:bookmarkStart w:id="5746" w:name="_Toc31577856"/>
      <w:bookmarkStart w:id="5747" w:name="_Toc31578051"/>
      <w:bookmarkStart w:id="5748" w:name="_Toc31578116"/>
      <w:bookmarkStart w:id="5749" w:name="_Toc31578181"/>
      <w:bookmarkStart w:id="5750" w:name="_Toc31576985"/>
      <w:bookmarkStart w:id="5751" w:name="_Toc31577770"/>
      <w:bookmarkStart w:id="5752" w:name="_Toc31577984"/>
      <w:bookmarkStart w:id="5753" w:name="_Toc31576986"/>
      <w:bookmarkStart w:id="5754" w:name="_Toc31577771"/>
      <w:bookmarkStart w:id="5755" w:name="_Toc31577985"/>
      <w:bookmarkStart w:id="5756" w:name="_Toc40959311"/>
      <w:bookmarkStart w:id="5757" w:name="_Toc26277355"/>
      <w:bookmarkStart w:id="5758" w:name="_Toc26278117"/>
      <w:bookmarkStart w:id="5759" w:name="_Toc26278867"/>
      <w:bookmarkStart w:id="5760" w:name="_Toc26279610"/>
      <w:bookmarkStart w:id="5761" w:name="_Toc26280346"/>
      <w:bookmarkStart w:id="5762" w:name="_Toc26277358"/>
      <w:bookmarkStart w:id="5763" w:name="_Toc26278120"/>
      <w:bookmarkStart w:id="5764" w:name="_Toc26278870"/>
      <w:bookmarkStart w:id="5765" w:name="_Toc26279613"/>
      <w:bookmarkStart w:id="5766" w:name="_Toc26280349"/>
      <w:bookmarkStart w:id="5767" w:name="_Toc26277359"/>
      <w:bookmarkStart w:id="5768" w:name="_Toc26278121"/>
      <w:bookmarkStart w:id="5769" w:name="_Toc26278871"/>
      <w:bookmarkStart w:id="5770" w:name="_Toc26279614"/>
      <w:bookmarkStart w:id="5771" w:name="_Toc26280350"/>
      <w:bookmarkStart w:id="5772" w:name="_Toc26277360"/>
      <w:bookmarkStart w:id="5773" w:name="_Toc26278122"/>
      <w:bookmarkStart w:id="5774" w:name="_Toc26278872"/>
      <w:bookmarkStart w:id="5775" w:name="_Toc26279615"/>
      <w:bookmarkStart w:id="5776" w:name="_Toc26280351"/>
      <w:bookmarkStart w:id="5777" w:name="_Toc26277361"/>
      <w:bookmarkStart w:id="5778" w:name="_Toc26278123"/>
      <w:bookmarkStart w:id="5779" w:name="_Toc26278873"/>
      <w:bookmarkStart w:id="5780" w:name="_Toc26279616"/>
      <w:bookmarkStart w:id="5781" w:name="_Toc26280352"/>
      <w:bookmarkStart w:id="5782" w:name="_Toc26277362"/>
      <w:bookmarkStart w:id="5783" w:name="_Toc26278124"/>
      <w:bookmarkStart w:id="5784" w:name="_Toc26278874"/>
      <w:bookmarkStart w:id="5785" w:name="_Toc26279617"/>
      <w:bookmarkStart w:id="5786" w:name="_Toc26280353"/>
      <w:bookmarkStart w:id="5787" w:name="_Toc26277365"/>
      <w:bookmarkStart w:id="5788" w:name="_Toc26278127"/>
      <w:bookmarkStart w:id="5789" w:name="_Toc26278877"/>
      <w:bookmarkStart w:id="5790" w:name="_Toc26279620"/>
      <w:bookmarkStart w:id="5791" w:name="_Toc26280356"/>
      <w:bookmarkStart w:id="5792" w:name="_Toc26277367"/>
      <w:bookmarkStart w:id="5793" w:name="_Toc26278129"/>
      <w:bookmarkStart w:id="5794" w:name="_Toc26278879"/>
      <w:bookmarkStart w:id="5795" w:name="_Toc26279622"/>
      <w:bookmarkStart w:id="5796" w:name="_Toc26280358"/>
      <w:bookmarkStart w:id="5797" w:name="_Toc26277368"/>
      <w:bookmarkStart w:id="5798" w:name="_Toc26278130"/>
      <w:bookmarkStart w:id="5799" w:name="_Toc26278880"/>
      <w:bookmarkStart w:id="5800" w:name="_Toc26279623"/>
      <w:bookmarkStart w:id="5801" w:name="_Toc26280359"/>
      <w:bookmarkStart w:id="5802" w:name="_Toc26277369"/>
      <w:bookmarkStart w:id="5803" w:name="_Toc26278131"/>
      <w:bookmarkStart w:id="5804" w:name="_Toc26278881"/>
      <w:bookmarkStart w:id="5805" w:name="_Toc26279624"/>
      <w:bookmarkStart w:id="5806" w:name="_Toc26280360"/>
      <w:bookmarkStart w:id="5807" w:name="_Toc26277495"/>
      <w:bookmarkStart w:id="5808" w:name="_Toc26278257"/>
      <w:bookmarkStart w:id="5809" w:name="_Toc26279007"/>
      <w:bookmarkStart w:id="5810" w:name="_Toc26279750"/>
      <w:bookmarkStart w:id="5811" w:name="_Toc26280486"/>
      <w:bookmarkStart w:id="5812" w:name="_Toc26277496"/>
      <w:bookmarkStart w:id="5813" w:name="_Toc26278258"/>
      <w:bookmarkStart w:id="5814" w:name="_Toc26279008"/>
      <w:bookmarkStart w:id="5815" w:name="_Toc26279751"/>
      <w:bookmarkStart w:id="5816" w:name="_Toc26280487"/>
      <w:bookmarkStart w:id="5817" w:name="_Toc26277499"/>
      <w:bookmarkStart w:id="5818" w:name="_Toc26278261"/>
      <w:bookmarkStart w:id="5819" w:name="_Toc26279011"/>
      <w:bookmarkStart w:id="5820" w:name="_Toc26279754"/>
      <w:bookmarkStart w:id="5821" w:name="_Toc26280490"/>
      <w:bookmarkStart w:id="5822" w:name="_Toc26277606"/>
      <w:bookmarkStart w:id="5823" w:name="_Toc26278368"/>
      <w:bookmarkStart w:id="5824" w:name="_Toc26279118"/>
      <w:bookmarkStart w:id="5825" w:name="_Toc26279861"/>
      <w:bookmarkStart w:id="5826" w:name="_Toc26280597"/>
      <w:bookmarkStart w:id="5827" w:name="_Toc26277608"/>
      <w:bookmarkStart w:id="5828" w:name="_Toc26278370"/>
      <w:bookmarkStart w:id="5829" w:name="_Toc26279120"/>
      <w:bookmarkStart w:id="5830" w:name="_Toc26279863"/>
      <w:bookmarkStart w:id="5831" w:name="_Toc26280599"/>
      <w:bookmarkStart w:id="5832" w:name="_Toc26277713"/>
      <w:bookmarkStart w:id="5833" w:name="_Toc26278475"/>
      <w:bookmarkStart w:id="5834" w:name="_Toc26279225"/>
      <w:bookmarkStart w:id="5835" w:name="_Toc26279968"/>
      <w:bookmarkStart w:id="5836" w:name="_Toc26280704"/>
      <w:bookmarkStart w:id="5837" w:name="_Toc26277714"/>
      <w:bookmarkStart w:id="5838" w:name="_Toc26278476"/>
      <w:bookmarkStart w:id="5839" w:name="_Toc26279226"/>
      <w:bookmarkStart w:id="5840" w:name="_Toc26279969"/>
      <w:bookmarkStart w:id="5841" w:name="_Toc26280705"/>
      <w:bookmarkStart w:id="5842" w:name="_Toc26277715"/>
      <w:bookmarkStart w:id="5843" w:name="_Toc26278477"/>
      <w:bookmarkStart w:id="5844" w:name="_Toc26279227"/>
      <w:bookmarkStart w:id="5845" w:name="_Toc26279970"/>
      <w:bookmarkStart w:id="5846" w:name="_Toc26280706"/>
      <w:bookmarkStart w:id="5847" w:name="_Toc26277716"/>
      <w:bookmarkStart w:id="5848" w:name="_Toc26278478"/>
      <w:bookmarkStart w:id="5849" w:name="_Toc26279228"/>
      <w:bookmarkStart w:id="5850" w:name="_Toc26279971"/>
      <w:bookmarkStart w:id="5851" w:name="_Toc26280707"/>
      <w:bookmarkStart w:id="5852" w:name="_Toc26277721"/>
      <w:bookmarkStart w:id="5853" w:name="_Toc26278483"/>
      <w:bookmarkStart w:id="5854" w:name="_Toc26279233"/>
      <w:bookmarkStart w:id="5855" w:name="_Toc26279976"/>
      <w:bookmarkStart w:id="5856" w:name="_Toc26280712"/>
      <w:bookmarkStart w:id="5857" w:name="_Toc26277727"/>
      <w:bookmarkStart w:id="5858" w:name="_Toc26278489"/>
      <w:bookmarkStart w:id="5859" w:name="_Toc26279239"/>
      <w:bookmarkStart w:id="5860" w:name="_Toc26279982"/>
      <w:bookmarkStart w:id="5861" w:name="_Toc26280718"/>
      <w:bookmarkStart w:id="5862" w:name="_Toc26277793"/>
      <w:bookmarkStart w:id="5863" w:name="_Toc26278555"/>
      <w:bookmarkStart w:id="5864" w:name="_Toc26279305"/>
      <w:bookmarkStart w:id="5865" w:name="_Toc26280048"/>
      <w:bookmarkStart w:id="5866" w:name="_Toc26280784"/>
      <w:bookmarkStart w:id="5867" w:name="_Toc26277794"/>
      <w:bookmarkStart w:id="5868" w:name="_Toc26278556"/>
      <w:bookmarkStart w:id="5869" w:name="_Toc26279306"/>
      <w:bookmarkStart w:id="5870" w:name="_Toc26280049"/>
      <w:bookmarkStart w:id="5871" w:name="_Toc26280785"/>
      <w:bookmarkStart w:id="5872" w:name="_Toc26277796"/>
      <w:bookmarkStart w:id="5873" w:name="_Toc26278558"/>
      <w:bookmarkStart w:id="5874" w:name="_Toc26279308"/>
      <w:bookmarkStart w:id="5875" w:name="_Toc26280051"/>
      <w:bookmarkStart w:id="5876" w:name="_Toc26280787"/>
      <w:bookmarkStart w:id="5877" w:name="_Toc26277798"/>
      <w:bookmarkStart w:id="5878" w:name="_Toc26278560"/>
      <w:bookmarkStart w:id="5879" w:name="_Toc26279310"/>
      <w:bookmarkStart w:id="5880" w:name="_Toc26280053"/>
      <w:bookmarkStart w:id="5881" w:name="_Toc26280789"/>
      <w:bookmarkStart w:id="5882" w:name="_Toc26277800"/>
      <w:bookmarkStart w:id="5883" w:name="_Toc26278562"/>
      <w:bookmarkStart w:id="5884" w:name="_Toc26279312"/>
      <w:bookmarkStart w:id="5885" w:name="_Toc26280055"/>
      <w:bookmarkStart w:id="5886" w:name="_Toc26280791"/>
      <w:bookmarkStart w:id="5887" w:name="_Toc26277801"/>
      <w:bookmarkStart w:id="5888" w:name="_Toc26278563"/>
      <w:bookmarkStart w:id="5889" w:name="_Toc26279313"/>
      <w:bookmarkStart w:id="5890" w:name="_Toc26280056"/>
      <w:bookmarkStart w:id="5891" w:name="_Toc26280792"/>
      <w:bookmarkStart w:id="5892" w:name="_Toc26277802"/>
      <w:bookmarkStart w:id="5893" w:name="_Toc26278564"/>
      <w:bookmarkStart w:id="5894" w:name="_Toc26279314"/>
      <w:bookmarkStart w:id="5895" w:name="_Toc26280057"/>
      <w:bookmarkStart w:id="5896" w:name="_Toc26280793"/>
      <w:bookmarkStart w:id="5897" w:name="_Toc26277803"/>
      <w:bookmarkStart w:id="5898" w:name="_Toc26278565"/>
      <w:bookmarkStart w:id="5899" w:name="_Toc26279315"/>
      <w:bookmarkStart w:id="5900" w:name="_Toc26280058"/>
      <w:bookmarkStart w:id="5901" w:name="_Toc26280794"/>
      <w:bookmarkStart w:id="5902" w:name="_Toc26277869"/>
      <w:bookmarkStart w:id="5903" w:name="_Toc26278631"/>
      <w:bookmarkStart w:id="5904" w:name="_Toc26279381"/>
      <w:bookmarkStart w:id="5905" w:name="_Toc26280124"/>
      <w:bookmarkStart w:id="5906" w:name="_Toc26280860"/>
      <w:bookmarkStart w:id="5907" w:name="_Toc26277871"/>
      <w:bookmarkStart w:id="5908" w:name="_Toc26278633"/>
      <w:bookmarkStart w:id="5909" w:name="_Toc26279383"/>
      <w:bookmarkStart w:id="5910" w:name="_Toc26280126"/>
      <w:bookmarkStart w:id="5911" w:name="_Toc26280862"/>
      <w:bookmarkStart w:id="5912" w:name="_Toc26277872"/>
      <w:bookmarkStart w:id="5913" w:name="_Toc26278634"/>
      <w:bookmarkStart w:id="5914" w:name="_Toc26279384"/>
      <w:bookmarkStart w:id="5915" w:name="_Toc26280127"/>
      <w:bookmarkStart w:id="5916" w:name="_Toc26280863"/>
      <w:bookmarkStart w:id="5917" w:name="_Toc26277938"/>
      <w:bookmarkStart w:id="5918" w:name="_Toc26278700"/>
      <w:bookmarkStart w:id="5919" w:name="_Toc26279450"/>
      <w:bookmarkStart w:id="5920" w:name="_Toc26280193"/>
      <w:bookmarkStart w:id="5921" w:name="_Toc26280929"/>
      <w:bookmarkStart w:id="5922" w:name="_Toc26277942"/>
      <w:bookmarkStart w:id="5923" w:name="_Toc26278704"/>
      <w:bookmarkStart w:id="5924" w:name="_Toc26279454"/>
      <w:bookmarkStart w:id="5925" w:name="_Toc26280197"/>
      <w:bookmarkStart w:id="5926" w:name="_Toc26280933"/>
      <w:bookmarkStart w:id="5927" w:name="_Toc26277943"/>
      <w:bookmarkStart w:id="5928" w:name="_Toc26278705"/>
      <w:bookmarkStart w:id="5929" w:name="_Toc26279455"/>
      <w:bookmarkStart w:id="5930" w:name="_Toc26280198"/>
      <w:bookmarkStart w:id="5931" w:name="_Toc26280934"/>
      <w:bookmarkStart w:id="5932" w:name="_Toc26277944"/>
      <w:bookmarkStart w:id="5933" w:name="_Toc26278706"/>
      <w:bookmarkStart w:id="5934" w:name="_Toc26279456"/>
      <w:bookmarkStart w:id="5935" w:name="_Toc26280199"/>
      <w:bookmarkStart w:id="5936" w:name="_Toc26280935"/>
      <w:bookmarkStart w:id="5937" w:name="_Toc26277945"/>
      <w:bookmarkStart w:id="5938" w:name="_Toc26278707"/>
      <w:bookmarkStart w:id="5939" w:name="_Toc26279457"/>
      <w:bookmarkStart w:id="5940" w:name="_Toc26280200"/>
      <w:bookmarkStart w:id="5941" w:name="_Toc26280936"/>
      <w:bookmarkStart w:id="5942" w:name="_Toc26277947"/>
      <w:bookmarkStart w:id="5943" w:name="_Toc26278709"/>
      <w:bookmarkStart w:id="5944" w:name="_Toc26279459"/>
      <w:bookmarkStart w:id="5945" w:name="_Toc26280202"/>
      <w:bookmarkStart w:id="5946" w:name="_Toc26280938"/>
      <w:bookmarkStart w:id="5947" w:name="_Toc26278030"/>
      <w:bookmarkStart w:id="5948" w:name="_Toc26278792"/>
      <w:bookmarkStart w:id="5949" w:name="_Toc26279542"/>
      <w:bookmarkStart w:id="5950" w:name="_Toc26280285"/>
      <w:bookmarkStart w:id="5951" w:name="_Toc26281021"/>
      <w:bookmarkStart w:id="5952" w:name="_Toc26278031"/>
      <w:bookmarkStart w:id="5953" w:name="_Toc26278793"/>
      <w:bookmarkStart w:id="5954" w:name="_Toc26279543"/>
      <w:bookmarkStart w:id="5955" w:name="_Toc26280286"/>
      <w:bookmarkStart w:id="5956" w:name="_Toc26281022"/>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r>
        <w:br w:type="page"/>
      </w:r>
    </w:p>
    <w:p w14:paraId="60A9BB04" w14:textId="30FC3F1D" w:rsidR="005C25A4" w:rsidRPr="009F3567" w:rsidRDefault="00D07B63" w:rsidP="001261F1">
      <w:pPr>
        <w:pStyle w:val="Naslov1"/>
        <w:rPr>
          <w:rFonts w:eastAsiaTheme="minorHAnsi"/>
        </w:rPr>
      </w:pPr>
      <w:bookmarkStart w:id="5957" w:name="_Toc86822637"/>
      <w:r>
        <w:t xml:space="preserve">VIRI IN </w:t>
      </w:r>
      <w:r w:rsidR="00193108" w:rsidRPr="009F3567">
        <w:t>LITERATURA</w:t>
      </w:r>
      <w:bookmarkEnd w:id="5957"/>
    </w:p>
    <w:p w14:paraId="6A788548" w14:textId="77777777" w:rsidR="005C25A4" w:rsidRDefault="005C25A4" w:rsidP="00A204E1">
      <w:pPr>
        <w:pStyle w:val="1"/>
      </w:pPr>
    </w:p>
    <w:p w14:paraId="465343B3" w14:textId="77777777" w:rsidR="00D07B63" w:rsidRPr="000C1085" w:rsidRDefault="00D07B63" w:rsidP="00D07B63">
      <w:pPr>
        <w:spacing w:before="0" w:after="120" w:line="276" w:lineRule="auto"/>
        <w:rPr>
          <w:sz w:val="20"/>
          <w:szCs w:val="20"/>
        </w:rPr>
      </w:pPr>
      <w:r w:rsidRPr="000C1085">
        <w:rPr>
          <w:iCs/>
          <w:sz w:val="20"/>
          <w:szCs w:val="20"/>
        </w:rPr>
        <w:t xml:space="preserve">Baráth L., Fertő I., Bojnec Š. (2017): </w:t>
      </w:r>
      <w:r w:rsidRPr="000C1085">
        <w:rPr>
          <w:bCs/>
          <w:sz w:val="20"/>
          <w:szCs w:val="20"/>
        </w:rPr>
        <w:t>Are Farms in Less Favoured Areas Less Efficient? Dostopno na:</w:t>
      </w:r>
      <w:r w:rsidRPr="000C1085">
        <w:rPr>
          <w:iCs/>
          <w:sz w:val="20"/>
          <w:szCs w:val="20"/>
        </w:rPr>
        <w:t xml:space="preserve"> </w:t>
      </w:r>
      <w:hyperlink r:id="rId149" w:history="1">
        <w:r w:rsidRPr="000C1085">
          <w:rPr>
            <w:rStyle w:val="Hiperpovezava"/>
            <w:sz w:val="20"/>
            <w:szCs w:val="20"/>
          </w:rPr>
          <w:t>https://onlinelibrary.wiley.com/doi/abs/10.1111/agec.12391</w:t>
        </w:r>
      </w:hyperlink>
      <w:r w:rsidRPr="000C1085">
        <w:rPr>
          <w:sz w:val="20"/>
          <w:szCs w:val="20"/>
        </w:rPr>
        <w:t>.</w:t>
      </w:r>
    </w:p>
    <w:p w14:paraId="03590DC3" w14:textId="77777777" w:rsidR="00D07B63" w:rsidRPr="000C1085" w:rsidRDefault="00D07B63" w:rsidP="00D07B63">
      <w:pPr>
        <w:spacing w:before="0" w:after="120" w:line="276" w:lineRule="auto"/>
        <w:rPr>
          <w:sz w:val="20"/>
          <w:szCs w:val="20"/>
        </w:rPr>
      </w:pPr>
      <w:r w:rsidRPr="000C1085">
        <w:rPr>
          <w:sz w:val="20"/>
          <w:szCs w:val="20"/>
        </w:rPr>
        <w:t>CEMA (2017): Digital Farming: what does it really mean?</w:t>
      </w:r>
      <w:r>
        <w:rPr>
          <w:sz w:val="20"/>
          <w:szCs w:val="20"/>
        </w:rPr>
        <w:t xml:space="preserve"> Dostopno na:  </w:t>
      </w:r>
      <w:hyperlink r:id="rId150" w:history="1">
        <w:r w:rsidRPr="00554B53">
          <w:rPr>
            <w:rStyle w:val="Hiperpovezava"/>
            <w:sz w:val="20"/>
            <w:szCs w:val="20"/>
          </w:rPr>
          <w:t>https://cema-agri.org/images/publications/position-papers/CEMA_Digital_Farming_-_Agriculture_4.0__13_02_2017_0.pdf</w:t>
        </w:r>
      </w:hyperlink>
      <w:r>
        <w:rPr>
          <w:sz w:val="20"/>
          <w:szCs w:val="20"/>
        </w:rPr>
        <w:t xml:space="preserve">. </w:t>
      </w:r>
    </w:p>
    <w:p w14:paraId="0A719C41" w14:textId="77777777" w:rsidR="00D07B63" w:rsidRPr="000C1085" w:rsidRDefault="00D07B63" w:rsidP="00D07B63">
      <w:pPr>
        <w:spacing w:before="0" w:after="120" w:line="276" w:lineRule="auto"/>
        <w:rPr>
          <w:sz w:val="20"/>
          <w:szCs w:val="20"/>
        </w:rPr>
      </w:pPr>
      <w:r w:rsidRPr="000C1085">
        <w:rPr>
          <w:sz w:val="20"/>
          <w:szCs w:val="20"/>
        </w:rPr>
        <w:t>EIP-AGRI (2017): Oblikovanje digitalne (r)evolucije v kmetijstvu</w:t>
      </w:r>
      <w:r>
        <w:rPr>
          <w:sz w:val="20"/>
          <w:szCs w:val="20"/>
        </w:rPr>
        <w:t xml:space="preserve">. Dostopno na: </w:t>
      </w:r>
      <w:hyperlink r:id="rId151" w:history="1">
        <w:r w:rsidRPr="00554B53">
          <w:rPr>
            <w:rStyle w:val="Hiperpovezava"/>
            <w:sz w:val="20"/>
            <w:szCs w:val="20"/>
          </w:rPr>
          <w:t>https://ec.europa.eu/eip/agriculture/sites/agri-eip/files/eip-agri_brochure_digital_revolution_2017_sl_infographic.pdf</w:t>
        </w:r>
      </w:hyperlink>
      <w:r>
        <w:rPr>
          <w:sz w:val="20"/>
          <w:szCs w:val="20"/>
        </w:rPr>
        <w:t xml:space="preserve">. </w:t>
      </w:r>
      <w:r w:rsidRPr="000C1085">
        <w:rPr>
          <w:sz w:val="20"/>
          <w:szCs w:val="20"/>
        </w:rPr>
        <w:t xml:space="preserve"> </w:t>
      </w:r>
      <w:r w:rsidRPr="000C1085">
        <w:rPr>
          <w:sz w:val="20"/>
          <w:szCs w:val="20"/>
        </w:rPr>
        <w:softHyphen/>
      </w:r>
    </w:p>
    <w:p w14:paraId="438415BF" w14:textId="77777777" w:rsidR="00D07B63" w:rsidRPr="000C1085" w:rsidRDefault="00D07B63" w:rsidP="00D07B63">
      <w:pPr>
        <w:pStyle w:val="Sprotnaopomba-besedilo"/>
        <w:spacing w:before="0" w:after="120" w:line="276" w:lineRule="auto"/>
        <w:ind w:left="0" w:firstLine="0"/>
        <w:rPr>
          <w:rFonts w:ascii="Arial" w:hAnsi="Arial"/>
          <w:color w:val="000000" w:themeColor="text1"/>
        </w:rPr>
      </w:pPr>
      <w:r w:rsidRPr="000C1085">
        <w:rPr>
          <w:rFonts w:ascii="Arial" w:hAnsi="Arial"/>
          <w:color w:val="000000" w:themeColor="text1"/>
        </w:rPr>
        <w:t xml:space="preserve">EUROSTAT (2019): </w:t>
      </w:r>
      <w:r w:rsidRPr="000C1085">
        <w:rPr>
          <w:rFonts w:ascii="Arial" w:hAnsi="Arial"/>
          <w:color w:val="000000" w:themeColor="text1"/>
          <w:kern w:val="36"/>
          <w:lang w:val="en"/>
        </w:rPr>
        <w:t xml:space="preserve">Performance of the agricultural sector. Dosegljivo na: </w:t>
      </w:r>
      <w:hyperlink r:id="rId152" w:anchor="Resource_performance_of_the_agricultural_sector" w:history="1">
        <w:r w:rsidRPr="000C1085">
          <w:rPr>
            <w:rStyle w:val="Hiperpovezava"/>
            <w:rFonts w:ascii="Arial" w:hAnsi="Arial"/>
          </w:rPr>
          <w:t>https://ec.europa.eu/eurostat/statistics-explained/index.php?title=Performance_of_the_agricultural_sector#Resource_performance_of_the_agricultural_sector</w:t>
        </w:r>
      </w:hyperlink>
      <w:r>
        <w:rPr>
          <w:rFonts w:ascii="Arial" w:hAnsi="Arial"/>
          <w:color w:val="000000" w:themeColor="text1"/>
        </w:rPr>
        <w:t>.</w:t>
      </w:r>
    </w:p>
    <w:p w14:paraId="3D4319B4" w14:textId="77777777" w:rsidR="00F5728D" w:rsidRDefault="00F5728D" w:rsidP="00F5728D">
      <w:pPr>
        <w:pStyle w:val="Sprotnaopomba-besedilo"/>
        <w:spacing w:before="0" w:after="120" w:line="276" w:lineRule="auto"/>
        <w:ind w:left="0" w:firstLine="0"/>
        <w:rPr>
          <w:rFonts w:ascii="Arial" w:hAnsi="Arial"/>
        </w:rPr>
      </w:pPr>
      <w:r w:rsidRPr="000C1085">
        <w:rPr>
          <w:rFonts w:ascii="Arial" w:hAnsi="Arial"/>
        </w:rPr>
        <w:t>Evropska komisija (2016</w:t>
      </w:r>
      <w:r>
        <w:rPr>
          <w:rFonts w:ascii="Arial" w:hAnsi="Arial"/>
        </w:rPr>
        <w:t>a</w:t>
      </w:r>
      <w:r w:rsidRPr="000C1085">
        <w:rPr>
          <w:rFonts w:ascii="Arial" w:hAnsi="Arial"/>
        </w:rPr>
        <w:t xml:space="preserve">): Productivity in EU agriculture- slowly but steadily growing. Dostopno na: </w:t>
      </w:r>
      <w:hyperlink r:id="rId153" w:history="1">
        <w:r w:rsidRPr="000C1085">
          <w:rPr>
            <w:rStyle w:val="Hiperpovezava"/>
            <w:rFonts w:ascii="Arial" w:hAnsi="Arial"/>
          </w:rPr>
          <w:t>https://ec.europa.eu/agriculture/sites/agriculture/files/mp-mb-010_en.pdf</w:t>
        </w:r>
      </w:hyperlink>
      <w:r>
        <w:rPr>
          <w:rFonts w:ascii="Arial" w:hAnsi="Arial"/>
        </w:rPr>
        <w:t>.</w:t>
      </w:r>
      <w:r w:rsidRPr="000C1085">
        <w:rPr>
          <w:rFonts w:ascii="Arial" w:hAnsi="Arial"/>
        </w:rPr>
        <w:t xml:space="preserve">  </w:t>
      </w:r>
    </w:p>
    <w:p w14:paraId="523DD5A6" w14:textId="77777777" w:rsidR="00D07B63" w:rsidRPr="000C1085" w:rsidRDefault="00D07B63" w:rsidP="00D07B63">
      <w:pPr>
        <w:spacing w:before="0" w:after="120" w:line="276" w:lineRule="auto"/>
        <w:rPr>
          <w:b/>
          <w:sz w:val="20"/>
          <w:szCs w:val="20"/>
        </w:rPr>
      </w:pPr>
      <w:r w:rsidRPr="000C1085">
        <w:rPr>
          <w:sz w:val="20"/>
          <w:szCs w:val="20"/>
        </w:rPr>
        <w:t>Evropska komisija (2016</w:t>
      </w:r>
      <w:r w:rsidR="00F5728D">
        <w:rPr>
          <w:sz w:val="20"/>
          <w:szCs w:val="20"/>
        </w:rPr>
        <w:t>b</w:t>
      </w:r>
      <w:r w:rsidRPr="000C1085">
        <w:rPr>
          <w:sz w:val="20"/>
          <w:szCs w:val="20"/>
        </w:rPr>
        <w:t>): A strategic approach to EU agricultural research &amp; innovation.</w:t>
      </w:r>
      <w:r>
        <w:rPr>
          <w:sz w:val="20"/>
          <w:szCs w:val="20"/>
        </w:rPr>
        <w:t xml:space="preserve"> Dostopno na: </w:t>
      </w:r>
      <w:hyperlink r:id="rId154" w:history="1">
        <w:r w:rsidRPr="00554B53">
          <w:rPr>
            <w:rStyle w:val="Hiperpovezava"/>
            <w:sz w:val="20"/>
            <w:szCs w:val="20"/>
          </w:rPr>
          <w:t>https://ec.europa.eu/programmes/horizon2020/en/news/final-paper-strategic-approach-eu-agricultural-research-and-innovation</w:t>
        </w:r>
      </w:hyperlink>
      <w:r>
        <w:rPr>
          <w:sz w:val="20"/>
          <w:szCs w:val="20"/>
        </w:rPr>
        <w:t xml:space="preserve">. </w:t>
      </w:r>
    </w:p>
    <w:p w14:paraId="293A112E" w14:textId="77777777" w:rsidR="00D07B63" w:rsidRDefault="00D07B63" w:rsidP="00D07B63">
      <w:pPr>
        <w:pStyle w:val="Sprotnaopomba-besedilo"/>
        <w:spacing w:before="0" w:after="120" w:line="276" w:lineRule="auto"/>
        <w:ind w:left="0" w:firstLine="0"/>
        <w:rPr>
          <w:rFonts w:ascii="Arial" w:hAnsi="Arial"/>
        </w:rPr>
      </w:pPr>
      <w:r w:rsidRPr="000C1085">
        <w:rPr>
          <w:rFonts w:ascii="Arial" w:hAnsi="Arial"/>
        </w:rPr>
        <w:t xml:space="preserve">Evropska komisija (2018): Production, yields and productivity. Dostopno na: </w:t>
      </w:r>
      <w:hyperlink r:id="rId155" w:history="1">
        <w:r w:rsidRPr="000C1085">
          <w:rPr>
            <w:rStyle w:val="Hiperpovezava"/>
            <w:rFonts w:ascii="Arial" w:hAnsi="Arial"/>
          </w:rPr>
          <w:t>https://ec.europa.eu/agriculture/sites/agriculture/files/statistics/facts-figures/production-yields-productivity.pdf</w:t>
        </w:r>
      </w:hyperlink>
      <w:r w:rsidRPr="000C1085">
        <w:rPr>
          <w:rFonts w:ascii="Arial" w:hAnsi="Arial"/>
        </w:rPr>
        <w:t xml:space="preserve">  </w:t>
      </w:r>
    </w:p>
    <w:p w14:paraId="33B1DD51" w14:textId="77777777" w:rsidR="009C1DF4" w:rsidRPr="000C1085" w:rsidRDefault="009C1DF4" w:rsidP="009C1DF4">
      <w:pPr>
        <w:pStyle w:val="Sprotnaopomba-besedilo"/>
        <w:spacing w:before="0" w:after="120" w:line="276" w:lineRule="auto"/>
        <w:ind w:left="0" w:firstLine="0"/>
        <w:rPr>
          <w:rFonts w:ascii="Arial" w:hAnsi="Arial"/>
        </w:rPr>
      </w:pPr>
      <w:r w:rsidRPr="000C1085">
        <w:rPr>
          <w:rFonts w:ascii="Arial" w:hAnsi="Arial"/>
        </w:rPr>
        <w:t>Evropska komisija (2019</w:t>
      </w:r>
      <w:r>
        <w:rPr>
          <w:rFonts w:ascii="Arial" w:hAnsi="Arial"/>
        </w:rPr>
        <w:t>a</w:t>
      </w:r>
      <w:r w:rsidRPr="000C1085">
        <w:rPr>
          <w:rFonts w:ascii="Arial" w:hAnsi="Arial"/>
        </w:rPr>
        <w:t xml:space="preserve">): CAP specific objective: Increasing competitiveness. Dostopno na: </w:t>
      </w:r>
      <w:hyperlink r:id="rId156" w:history="1">
        <w:r w:rsidRPr="000C1085">
          <w:rPr>
            <w:rStyle w:val="Hiperpovezava"/>
            <w:rFonts w:ascii="Arial" w:hAnsi="Arial"/>
          </w:rPr>
          <w:t>https://ec.europa.eu/info/sites/info/files/food-farming-fisheries/key_policies/documents/cap-briefs-2-productivity_en.pdf</w:t>
        </w:r>
      </w:hyperlink>
      <w:r w:rsidRPr="000C1085">
        <w:rPr>
          <w:rFonts w:ascii="Arial" w:hAnsi="Arial"/>
        </w:rPr>
        <w:t xml:space="preserve">. </w:t>
      </w:r>
    </w:p>
    <w:p w14:paraId="49842A77" w14:textId="77777777" w:rsidR="00D07B63" w:rsidRPr="000C1085" w:rsidRDefault="00D07B63" w:rsidP="00D07B63">
      <w:pPr>
        <w:spacing w:before="0" w:after="120" w:line="276" w:lineRule="auto"/>
        <w:rPr>
          <w:sz w:val="20"/>
          <w:szCs w:val="20"/>
        </w:rPr>
      </w:pPr>
      <w:r w:rsidRPr="000C1085">
        <w:rPr>
          <w:sz w:val="20"/>
          <w:szCs w:val="20"/>
        </w:rPr>
        <w:t>Evropska komisija (2019</w:t>
      </w:r>
      <w:r w:rsidR="00F5728D">
        <w:rPr>
          <w:sz w:val="20"/>
          <w:szCs w:val="20"/>
        </w:rPr>
        <w:t>b</w:t>
      </w:r>
      <w:r w:rsidRPr="000C1085">
        <w:rPr>
          <w:sz w:val="20"/>
          <w:szCs w:val="20"/>
        </w:rPr>
        <w:t xml:space="preserve">): </w:t>
      </w:r>
      <w:r w:rsidRPr="000C1085">
        <w:rPr>
          <w:sz w:val="20"/>
          <w:szCs w:val="20"/>
          <w:lang w:val="en-GB"/>
        </w:rPr>
        <w:t>Analytical Factsheet for Slovenia: Nine objectives for a future Common Agricultural Policy</w:t>
      </w:r>
      <w:r w:rsidRPr="000C1085">
        <w:rPr>
          <w:sz w:val="20"/>
          <w:szCs w:val="20"/>
        </w:rPr>
        <w:t xml:space="preserve">. Dostopno na: </w:t>
      </w:r>
      <w:hyperlink r:id="rId157" w:history="1">
        <w:r w:rsidRPr="000C1085">
          <w:rPr>
            <w:rStyle w:val="Hiperpovezava"/>
            <w:sz w:val="20"/>
            <w:szCs w:val="20"/>
          </w:rPr>
          <w:t>https://ec.europa.eu/info/sites/info/files/food-farming-fisheries/by_country/documents/analytical_factsheet_sl.pdf</w:t>
        </w:r>
      </w:hyperlink>
      <w:r w:rsidRPr="000C1085">
        <w:rPr>
          <w:rStyle w:val="Hiperpovezava"/>
          <w:sz w:val="20"/>
          <w:szCs w:val="20"/>
        </w:rPr>
        <w:t xml:space="preserve">. </w:t>
      </w:r>
    </w:p>
    <w:p w14:paraId="6E5E005A" w14:textId="77777777" w:rsidR="00D07B63" w:rsidRPr="000C1085" w:rsidRDefault="00D07B63" w:rsidP="00D07B63">
      <w:pPr>
        <w:spacing w:before="0" w:after="120" w:line="276" w:lineRule="auto"/>
        <w:rPr>
          <w:sz w:val="20"/>
          <w:szCs w:val="20"/>
        </w:rPr>
      </w:pPr>
      <w:r w:rsidRPr="000C1085">
        <w:rPr>
          <w:sz w:val="20"/>
          <w:szCs w:val="20"/>
        </w:rPr>
        <w:t>Evropska komisija (2019</w:t>
      </w:r>
      <w:r w:rsidR="00F5728D">
        <w:rPr>
          <w:sz w:val="20"/>
          <w:szCs w:val="20"/>
        </w:rPr>
        <w:t>c</w:t>
      </w:r>
      <w:r w:rsidRPr="000C1085">
        <w:rPr>
          <w:sz w:val="20"/>
          <w:szCs w:val="20"/>
        </w:rPr>
        <w:t xml:space="preserve">): Building stronger agricultural knowledge and innovation systems (AKIS) to foster advice, knowledge and innovation in agriculture and rural areas. </w:t>
      </w:r>
      <w:r>
        <w:rPr>
          <w:sz w:val="20"/>
          <w:szCs w:val="20"/>
        </w:rPr>
        <w:t xml:space="preserve">Dostopno na: </w:t>
      </w:r>
      <w:hyperlink r:id="rId158" w:history="1">
        <w:r w:rsidRPr="00554B53">
          <w:rPr>
            <w:rStyle w:val="Hiperpovezava"/>
            <w:sz w:val="20"/>
            <w:szCs w:val="20"/>
          </w:rPr>
          <w:t>https://ec.europa.eu/info/sites/info/files/food-farming-fisheries/key_policies/documents/building-stronger-akis_en.pdf</w:t>
        </w:r>
      </w:hyperlink>
      <w:r>
        <w:rPr>
          <w:sz w:val="20"/>
          <w:szCs w:val="20"/>
        </w:rPr>
        <w:t>.</w:t>
      </w:r>
    </w:p>
    <w:p w14:paraId="274076D5" w14:textId="77777777" w:rsidR="00D07B63" w:rsidRPr="000C1085" w:rsidRDefault="00D07B63" w:rsidP="00D07B63">
      <w:pPr>
        <w:spacing w:before="0" w:after="120" w:line="276" w:lineRule="auto"/>
        <w:rPr>
          <w:sz w:val="20"/>
          <w:szCs w:val="20"/>
        </w:rPr>
      </w:pPr>
      <w:r w:rsidRPr="000C1085">
        <w:rPr>
          <w:sz w:val="20"/>
          <w:szCs w:val="20"/>
        </w:rPr>
        <w:t>Evropski parlament (2016): Precision agriculture and the future of farming in Europe</w:t>
      </w:r>
      <w:r>
        <w:rPr>
          <w:sz w:val="20"/>
          <w:szCs w:val="20"/>
        </w:rPr>
        <w:t xml:space="preserve">. Dostopno na: </w:t>
      </w:r>
      <w:hyperlink r:id="rId159" w:history="1">
        <w:r w:rsidRPr="00554B53">
          <w:rPr>
            <w:rStyle w:val="Hiperpovezava"/>
            <w:sz w:val="20"/>
            <w:szCs w:val="20"/>
          </w:rPr>
          <w:t>https://www.europarl.europa.eu/RegData/etudes/STUD/2016/581892/EPRS_STU(2016)581892_EN.pdf</w:t>
        </w:r>
      </w:hyperlink>
      <w:r>
        <w:rPr>
          <w:sz w:val="20"/>
          <w:szCs w:val="20"/>
        </w:rPr>
        <w:t xml:space="preserve">.  </w:t>
      </w:r>
    </w:p>
    <w:p w14:paraId="7D8867A4" w14:textId="77777777" w:rsidR="006B2D3E" w:rsidRDefault="006B2D3E" w:rsidP="00C97B32">
      <w:pPr>
        <w:spacing w:before="0" w:after="120" w:line="276" w:lineRule="auto"/>
        <w:jc w:val="left"/>
        <w:rPr>
          <w:sz w:val="20"/>
          <w:szCs w:val="20"/>
        </w:rPr>
      </w:pPr>
      <w:r w:rsidRPr="00C97B32">
        <w:rPr>
          <w:i/>
          <w:iCs/>
          <w:sz w:val="20"/>
          <w:szCs w:val="20"/>
        </w:rPr>
        <w:t>fi-compass</w:t>
      </w:r>
      <w:r w:rsidRPr="00C97B32">
        <w:rPr>
          <w:sz w:val="20"/>
          <w:szCs w:val="20"/>
        </w:rPr>
        <w:t xml:space="preserve"> (2019): Survey on financial needs and access to finance of EU agricultural enterprises, Study report. Dostopno na </w:t>
      </w:r>
      <w:hyperlink r:id="rId160" w:history="1">
        <w:r w:rsidRPr="00C97B32">
          <w:rPr>
            <w:rStyle w:val="Hiperpovezava"/>
            <w:sz w:val="20"/>
            <w:szCs w:val="20"/>
          </w:rPr>
          <w:t>https://www.fi-compass.eu/publication/brochures/survey-financial-needs-and-access-finance-eu-agricultural-enterprises</w:t>
        </w:r>
      </w:hyperlink>
    </w:p>
    <w:p w14:paraId="1F48D756" w14:textId="2D6ABED8" w:rsidR="006B2D3E" w:rsidRDefault="00F8732D" w:rsidP="009F3567">
      <w:pPr>
        <w:spacing w:before="0" w:after="120" w:line="276" w:lineRule="auto"/>
        <w:jc w:val="left"/>
        <w:rPr>
          <w:rStyle w:val="Hiperpovezava"/>
          <w:sz w:val="20"/>
          <w:szCs w:val="20"/>
        </w:rPr>
      </w:pPr>
      <w:r w:rsidRPr="00C97B32">
        <w:rPr>
          <w:i/>
          <w:iCs/>
          <w:sz w:val="20"/>
          <w:szCs w:val="20"/>
        </w:rPr>
        <w:t>fi-compass</w:t>
      </w:r>
      <w:r w:rsidR="00D07B63" w:rsidRPr="000C1085">
        <w:rPr>
          <w:sz w:val="20"/>
          <w:szCs w:val="20"/>
        </w:rPr>
        <w:t xml:space="preserve"> </w:t>
      </w:r>
      <w:r>
        <w:rPr>
          <w:sz w:val="20"/>
          <w:szCs w:val="20"/>
        </w:rPr>
        <w:t>(</w:t>
      </w:r>
      <w:r w:rsidR="00D07B63" w:rsidRPr="000C1085">
        <w:rPr>
          <w:sz w:val="20"/>
          <w:szCs w:val="20"/>
        </w:rPr>
        <w:t>2020</w:t>
      </w:r>
      <w:r>
        <w:rPr>
          <w:sz w:val="20"/>
          <w:szCs w:val="20"/>
        </w:rPr>
        <w:t>):</w:t>
      </w:r>
      <w:r w:rsidR="00D07B63" w:rsidRPr="000C1085">
        <w:rPr>
          <w:sz w:val="20"/>
          <w:szCs w:val="20"/>
        </w:rPr>
        <w:t xml:space="preserve"> Financial needs in the agriculture and agri-food sectors in Slovenia, Study report. Dostopno na: </w:t>
      </w:r>
      <w:hyperlink r:id="rId161" w:history="1">
        <w:r w:rsidR="00D07B63" w:rsidRPr="000C1085">
          <w:rPr>
            <w:rStyle w:val="Hiperpovezava"/>
            <w:sz w:val="20"/>
            <w:szCs w:val="20"/>
          </w:rPr>
          <w:t>https://www.fi-compass.eu/sites/default/files/publications/financial_needs_agriculture_agrifood_sectors_Slovenia.pdf</w:t>
        </w:r>
      </w:hyperlink>
    </w:p>
    <w:p w14:paraId="6377951F" w14:textId="7A92B03F" w:rsidR="00A571FA" w:rsidRPr="00A571FA" w:rsidRDefault="00A571FA" w:rsidP="009F3567">
      <w:pPr>
        <w:spacing w:before="0" w:after="120" w:line="276" w:lineRule="auto"/>
        <w:jc w:val="left"/>
        <w:rPr>
          <w:sz w:val="20"/>
          <w:szCs w:val="20"/>
        </w:rPr>
      </w:pPr>
      <w:r w:rsidRPr="00A571FA">
        <w:rPr>
          <w:sz w:val="20"/>
          <w:szCs w:val="20"/>
        </w:rPr>
        <w:t>Geodetska uprava Republike Slovenije (2020): Poročilo o slovenskem trgu nepremičnin za leto 2019</w:t>
      </w:r>
      <w:r>
        <w:rPr>
          <w:sz w:val="20"/>
          <w:szCs w:val="20"/>
        </w:rPr>
        <w:t>. D</w:t>
      </w:r>
      <w:r w:rsidRPr="00A571FA">
        <w:rPr>
          <w:sz w:val="20"/>
          <w:szCs w:val="20"/>
        </w:rPr>
        <w:t xml:space="preserve">ostopno na: </w:t>
      </w:r>
      <w:hyperlink r:id="rId162" w:history="1">
        <w:r w:rsidRPr="00A571FA">
          <w:rPr>
            <w:rStyle w:val="Hiperpovezava"/>
            <w:sz w:val="20"/>
            <w:szCs w:val="20"/>
          </w:rPr>
          <w:t>https://www.mvn.e-prostor.gov.si/fileadmin/user_upload/MVN/Dokumenti/Porocila/Letno_porocilo_za_leto_2019.pdf</w:t>
        </w:r>
      </w:hyperlink>
    </w:p>
    <w:p w14:paraId="0D04AA10" w14:textId="3859AE11" w:rsidR="00D07B63" w:rsidRPr="000C1085" w:rsidRDefault="00D07B63">
      <w:pPr>
        <w:spacing w:before="0" w:after="120" w:line="276" w:lineRule="auto"/>
        <w:jc w:val="left"/>
        <w:rPr>
          <w:sz w:val="20"/>
          <w:szCs w:val="20"/>
        </w:rPr>
      </w:pPr>
      <w:r w:rsidRPr="000C1085">
        <w:rPr>
          <w:sz w:val="20"/>
          <w:szCs w:val="20"/>
        </w:rPr>
        <w:t xml:space="preserve">Gospodarska zbornica Slovenije (2019): Poslovanje kmetijskih in živilskih podjetij v Sloveniji v 2018. Dostopno na: </w:t>
      </w:r>
      <w:hyperlink r:id="rId163" w:history="1">
        <w:r w:rsidRPr="000C1085">
          <w:rPr>
            <w:rStyle w:val="Hiperpovezava"/>
            <w:sz w:val="20"/>
            <w:szCs w:val="20"/>
          </w:rPr>
          <w:t>https://www.gzs.si/Portals/Panoga-Kmetijska-Zivilska/brosura%20zpi%202018%20v2_web.pdf</w:t>
        </w:r>
      </w:hyperlink>
      <w:r>
        <w:rPr>
          <w:sz w:val="20"/>
          <w:szCs w:val="20"/>
        </w:rPr>
        <w:t>.</w:t>
      </w:r>
    </w:p>
    <w:p w14:paraId="06FCCF9A" w14:textId="77777777" w:rsidR="00D07B63" w:rsidRPr="000C1085" w:rsidRDefault="00D07B63" w:rsidP="00D07B63">
      <w:pPr>
        <w:spacing w:before="0" w:after="120" w:line="276" w:lineRule="auto"/>
        <w:rPr>
          <w:sz w:val="20"/>
          <w:szCs w:val="20"/>
        </w:rPr>
      </w:pPr>
      <w:r w:rsidRPr="000C1085">
        <w:rPr>
          <w:rFonts w:eastAsia="TimesNewRomanPSMT"/>
          <w:sz w:val="20"/>
          <w:szCs w:val="20"/>
          <w:lang w:eastAsia="en-US"/>
        </w:rPr>
        <w:t xml:space="preserve">Hill B., Bradley D. </w:t>
      </w:r>
      <w:r>
        <w:rPr>
          <w:rFonts w:eastAsia="TimesNewRomanPSMT"/>
          <w:sz w:val="20"/>
          <w:szCs w:val="20"/>
        </w:rPr>
        <w:t xml:space="preserve">(2015): </w:t>
      </w:r>
      <w:r w:rsidRPr="000C1085">
        <w:rPr>
          <w:rFonts w:eastAsia="TimesNewRomanPSMT"/>
          <w:sz w:val="20"/>
          <w:szCs w:val="20"/>
          <w:lang w:eastAsia="en-US"/>
        </w:rPr>
        <w:t>Comparison Of Farmers’ Incomes In The EU Member States Study, Directorate-General For Internal Policies Policy Department B: Structural And Cohesion Policies Agriculture And Rural Development</w:t>
      </w:r>
      <w:r>
        <w:rPr>
          <w:rFonts w:eastAsia="TimesNewRomanPSMT"/>
          <w:bCs/>
          <w:sz w:val="20"/>
          <w:szCs w:val="20"/>
        </w:rPr>
        <w:t>.</w:t>
      </w:r>
      <w:r w:rsidRPr="000C1085">
        <w:rPr>
          <w:sz w:val="20"/>
          <w:szCs w:val="20"/>
        </w:rPr>
        <w:t xml:space="preserve"> </w:t>
      </w:r>
      <w:r>
        <w:rPr>
          <w:sz w:val="20"/>
          <w:szCs w:val="20"/>
        </w:rPr>
        <w:t>D</w:t>
      </w:r>
      <w:r w:rsidRPr="000C1085">
        <w:rPr>
          <w:sz w:val="20"/>
          <w:szCs w:val="20"/>
        </w:rPr>
        <w:t xml:space="preserve">ostopno na: </w:t>
      </w:r>
      <w:hyperlink r:id="rId164" w:history="1">
        <w:r w:rsidRPr="000C1085">
          <w:rPr>
            <w:rStyle w:val="Hiperpovezava"/>
            <w:sz w:val="20"/>
            <w:szCs w:val="20"/>
          </w:rPr>
          <w:t>https://www.europarl.europa.eu/thinktank/en/document.html?reference=IPOL_STU(2015)540374</w:t>
        </w:r>
      </w:hyperlink>
      <w:r w:rsidRPr="000C1085">
        <w:rPr>
          <w:sz w:val="20"/>
          <w:szCs w:val="20"/>
        </w:rPr>
        <w:t xml:space="preserve">. </w:t>
      </w:r>
    </w:p>
    <w:p w14:paraId="2BB50BBB" w14:textId="503427B7" w:rsidR="00D07B63" w:rsidRDefault="00D07B63" w:rsidP="00D07B63">
      <w:pPr>
        <w:pStyle w:val="Sprotnaopomba-besedilo"/>
        <w:spacing w:before="0" w:after="120" w:line="276" w:lineRule="auto"/>
        <w:ind w:left="0" w:firstLine="0"/>
        <w:rPr>
          <w:rStyle w:val="Hiperpovezava"/>
          <w:rFonts w:ascii="Arial" w:hAnsi="Arial"/>
        </w:rPr>
      </w:pPr>
      <w:r w:rsidRPr="009F3567">
        <w:rPr>
          <w:rStyle w:val="Hiperpovezava"/>
          <w:rFonts w:ascii="Arial" w:hAnsi="Arial"/>
          <w:color w:val="000000" w:themeColor="text1"/>
          <w:u w:val="none"/>
        </w:rPr>
        <w:t>Hilmi, Martin (2006)</w:t>
      </w:r>
      <w:r w:rsidR="00181348">
        <w:rPr>
          <w:rStyle w:val="Hiperpovezava"/>
          <w:rFonts w:ascii="Arial" w:hAnsi="Arial"/>
          <w:color w:val="000000" w:themeColor="text1"/>
          <w:u w:val="none"/>
        </w:rPr>
        <w:t>:</w:t>
      </w:r>
      <w:r w:rsidRPr="009F3567">
        <w:rPr>
          <w:rStyle w:val="Hiperpovezava"/>
          <w:rFonts w:ascii="Arial" w:hAnsi="Arial"/>
          <w:color w:val="000000" w:themeColor="text1"/>
          <w:u w:val="none"/>
        </w:rPr>
        <w:t xml:space="preserve"> Economic concepts in market-oriented farming. Dostopno na: </w:t>
      </w:r>
      <w:hyperlink r:id="rId165" w:history="1">
        <w:r w:rsidRPr="0036007A">
          <w:rPr>
            <w:rStyle w:val="Hiperpovezava"/>
            <w:rFonts w:ascii="Arial" w:hAnsi="Arial"/>
          </w:rPr>
          <w:t>http://www.ruralfinanceandinvestment.org/sites/default/files/1166709374977_Economic_concepts_farming.pdf</w:t>
        </w:r>
      </w:hyperlink>
      <w:r w:rsidRPr="0036007A">
        <w:rPr>
          <w:rStyle w:val="Hiperpovezava"/>
          <w:rFonts w:ascii="Arial" w:hAnsi="Arial"/>
        </w:rPr>
        <w:t xml:space="preserve"> </w:t>
      </w:r>
    </w:p>
    <w:p w14:paraId="7BE48519" w14:textId="6119E50C" w:rsidR="00546EBF" w:rsidRPr="00546EBF" w:rsidRDefault="00546EBF" w:rsidP="00D07B63">
      <w:pPr>
        <w:pStyle w:val="Sprotnaopomba-besedilo"/>
        <w:spacing w:before="0" w:after="120" w:line="276" w:lineRule="auto"/>
        <w:ind w:left="0" w:firstLine="0"/>
        <w:rPr>
          <w:rStyle w:val="Hiperpovezava"/>
          <w:rFonts w:ascii="Arial" w:hAnsi="Arial"/>
        </w:rPr>
      </w:pPr>
      <w:r w:rsidRPr="00A204E1">
        <w:rPr>
          <w:rFonts w:ascii="Arial" w:eastAsia="Calibri" w:hAnsi="Arial"/>
        </w:rPr>
        <w:t>Hlavsa, Tomáš</w:t>
      </w:r>
      <w:r w:rsidRPr="00A204E1">
        <w:rPr>
          <w:rFonts w:ascii="Arial" w:hAnsi="Arial"/>
          <w:lang w:val="en"/>
        </w:rPr>
        <w:t xml:space="preserve">; </w:t>
      </w:r>
      <w:r w:rsidRPr="00A204E1">
        <w:rPr>
          <w:rFonts w:ascii="Arial" w:eastAsia="Calibri" w:hAnsi="Arial"/>
        </w:rPr>
        <w:t>Hruška, Martin</w:t>
      </w:r>
      <w:r w:rsidRPr="00A204E1">
        <w:rPr>
          <w:rFonts w:ascii="Arial" w:hAnsi="Arial"/>
          <w:lang w:val="en"/>
        </w:rPr>
        <w:t xml:space="preserve">; </w:t>
      </w:r>
      <w:r w:rsidRPr="00A204E1">
        <w:rPr>
          <w:rFonts w:ascii="Arial" w:eastAsia="Calibri" w:hAnsi="Arial"/>
        </w:rPr>
        <w:t>Turková, Edita</w:t>
      </w:r>
      <w:r w:rsidRPr="00A204E1">
        <w:rPr>
          <w:rFonts w:ascii="Arial" w:hAnsi="Arial"/>
          <w:lang w:val="en"/>
        </w:rPr>
        <w:t xml:space="preserve"> (2017): The impact of investment support from the Rural Development Programme of the Czech Republic for 2007-2013 on the economic efficiency of farms. Dostopno na: </w:t>
      </w:r>
      <w:hyperlink r:id="rId166" w:history="1">
        <w:r w:rsidRPr="00A204E1">
          <w:rPr>
            <w:rStyle w:val="Hiperpovezava"/>
            <w:rFonts w:ascii="Arial" w:hAnsi="Arial"/>
            <w:lang w:val="en"/>
          </w:rPr>
          <w:t>https://ageconsearch.umn.edu/record/257870</w:t>
        </w:r>
      </w:hyperlink>
      <w:r w:rsidRPr="00A204E1">
        <w:rPr>
          <w:rFonts w:ascii="Arial" w:hAnsi="Arial"/>
          <w:lang w:val="en"/>
        </w:rPr>
        <w:t xml:space="preserve"> </w:t>
      </w:r>
    </w:p>
    <w:p w14:paraId="6BDD07B9" w14:textId="77777777" w:rsidR="00F3225E" w:rsidRDefault="001F2226" w:rsidP="00D07B63">
      <w:pPr>
        <w:pStyle w:val="Sprotnaopomba-besedilo"/>
        <w:spacing w:before="0" w:after="120" w:line="276" w:lineRule="auto"/>
        <w:ind w:left="0" w:firstLine="0"/>
        <w:rPr>
          <w:rStyle w:val="Hiperpovezava"/>
          <w:rFonts w:ascii="Arial" w:hAnsi="Arial"/>
          <w:color w:val="000000" w:themeColor="text1"/>
          <w:u w:val="none"/>
        </w:rPr>
      </w:pPr>
      <w:r w:rsidRPr="0036007A">
        <w:rPr>
          <w:rStyle w:val="Hiperpovezava"/>
          <w:rFonts w:ascii="Arial" w:hAnsi="Arial"/>
          <w:color w:val="000000" w:themeColor="text1"/>
          <w:u w:val="none"/>
        </w:rPr>
        <w:t xml:space="preserve">Inštitut za nutricionistiko (2020): Rezultati raziskave: Epidemija Covid-19 pomembno vpliva na prehranjevalne navade prebivalcev Slovenije. Dostopno na: </w:t>
      </w:r>
      <w:hyperlink r:id="rId167" w:history="1">
        <w:r w:rsidRPr="0036007A">
          <w:rPr>
            <w:rStyle w:val="Hiperpovezava"/>
            <w:rFonts w:ascii="Arial" w:hAnsi="Arial"/>
            <w:color w:val="000000" w:themeColor="text1"/>
            <w:u w:val="none"/>
          </w:rPr>
          <w:t>https://nutris.org/novice/rezultati-raziskave-epidemija-covid-19-pomembno-vpliva-na-prehranjevalne-navade-prebivalcev-slovenije</w:t>
        </w:r>
      </w:hyperlink>
      <w:r w:rsidRPr="0036007A">
        <w:rPr>
          <w:rStyle w:val="Hiperpovezava"/>
          <w:rFonts w:ascii="Arial" w:hAnsi="Arial"/>
          <w:color w:val="000000" w:themeColor="text1"/>
          <w:u w:val="none"/>
        </w:rPr>
        <w:t xml:space="preserve">. </w:t>
      </w:r>
    </w:p>
    <w:p w14:paraId="5B8FD508" w14:textId="419AD4A8" w:rsidR="00D07B63" w:rsidRDefault="00D07B63" w:rsidP="00D07B63">
      <w:pPr>
        <w:pStyle w:val="Sprotnaopomba-besedilo"/>
        <w:spacing w:before="0" w:after="120" w:line="276" w:lineRule="auto"/>
        <w:ind w:left="0" w:firstLine="0"/>
        <w:rPr>
          <w:rFonts w:ascii="Arial" w:hAnsi="Arial"/>
        </w:rPr>
      </w:pPr>
      <w:r w:rsidRPr="000C1085">
        <w:rPr>
          <w:rFonts w:ascii="Arial" w:hAnsi="Arial"/>
        </w:rPr>
        <w:t xml:space="preserve">Kahan, David (2013) Market oriented farming. An overview. FAO. Dostopno na: </w:t>
      </w:r>
      <w:hyperlink r:id="rId168" w:history="1">
        <w:r w:rsidRPr="000C1085">
          <w:rPr>
            <w:rStyle w:val="Hiperpovezava"/>
            <w:rFonts w:ascii="Arial" w:hAnsi="Arial"/>
          </w:rPr>
          <w:t>http://www.fao.org/3/a-i3227e.pdf</w:t>
        </w:r>
      </w:hyperlink>
      <w:r w:rsidRPr="000C1085">
        <w:rPr>
          <w:rFonts w:ascii="Arial" w:hAnsi="Arial"/>
        </w:rPr>
        <w:t xml:space="preserve">. </w:t>
      </w:r>
    </w:p>
    <w:p w14:paraId="35126B85" w14:textId="3EEA2CE7" w:rsidR="00A84ED1" w:rsidRDefault="00A84ED1" w:rsidP="0036007A">
      <w:pPr>
        <w:pStyle w:val="Sprotnaopomba-besedilo"/>
        <w:spacing w:before="0" w:after="120" w:line="276" w:lineRule="auto"/>
        <w:ind w:left="0" w:firstLine="0"/>
        <w:jc w:val="left"/>
        <w:rPr>
          <w:rFonts w:ascii="Arial" w:hAnsi="Arial"/>
        </w:rPr>
      </w:pPr>
      <w:r w:rsidRPr="00A84ED1">
        <w:rPr>
          <w:rFonts w:ascii="Arial" w:hAnsi="Arial"/>
        </w:rPr>
        <w:t>Kmetijski inštitut Slovenije (2019): Rezultati kontrole prireje in mleka in mesa. Pridobljeno 6. 10. 2020 s spletne strani: https://www.govedo.si/files/cpzgss/knjiznica/porocila/kontrola_porocila/REZULTATI_KONTROLE _2019.pdf.</w:t>
      </w:r>
    </w:p>
    <w:p w14:paraId="37EC746A" w14:textId="75F093B7" w:rsidR="007D30CC" w:rsidRPr="000C1085" w:rsidRDefault="007D30CC" w:rsidP="0036007A">
      <w:pPr>
        <w:pStyle w:val="Sprotnaopomba-besedilo"/>
        <w:spacing w:before="0" w:after="120" w:line="276" w:lineRule="auto"/>
        <w:ind w:left="0" w:firstLine="0"/>
        <w:jc w:val="left"/>
        <w:rPr>
          <w:rFonts w:ascii="Arial" w:hAnsi="Arial"/>
        </w:rPr>
      </w:pPr>
      <w:r w:rsidRPr="00AB3ABB">
        <w:rPr>
          <w:rFonts w:ascii="Arial" w:hAnsi="Arial"/>
        </w:rPr>
        <w:t>Kmetijski inštitut Slovenije (20</w:t>
      </w:r>
      <w:r w:rsidR="001F2226">
        <w:rPr>
          <w:rFonts w:ascii="Arial" w:hAnsi="Arial"/>
        </w:rPr>
        <w:t>20</w:t>
      </w:r>
      <w:r w:rsidRPr="00AB3ABB">
        <w:rPr>
          <w:rFonts w:ascii="Arial" w:hAnsi="Arial"/>
        </w:rPr>
        <w:t>): Poročilo o stanju kmetijstva, živilstva, gozdarstva in ribištva v letu 2018. Dostopno na:</w:t>
      </w:r>
      <w:r>
        <w:rPr>
          <w:rFonts w:ascii="Arial" w:hAnsi="Arial"/>
        </w:rPr>
        <w:t xml:space="preserve"> </w:t>
      </w:r>
      <w:r w:rsidR="001F2226" w:rsidRPr="001F2226">
        <w:rPr>
          <w:rStyle w:val="Hiperpovezava"/>
          <w:rFonts w:ascii="Arial" w:hAnsi="Arial"/>
        </w:rPr>
        <w:t>https://www.kis.si/f/docs/Porocila_o_stanju_v_kmetijstvu_OEK/ZP_2019_splosno__priloge_net.pdf</w:t>
      </w:r>
      <w:r w:rsidR="00AB3ABB">
        <w:rPr>
          <w:rFonts w:ascii="Arial" w:hAnsi="Arial"/>
        </w:rPr>
        <w:t xml:space="preserve">. </w:t>
      </w:r>
    </w:p>
    <w:p w14:paraId="053ADE8D" w14:textId="77777777" w:rsidR="00EF54A6" w:rsidRPr="00EF54A6" w:rsidRDefault="00EF54A6" w:rsidP="00EF54A6">
      <w:pPr>
        <w:spacing w:before="0" w:after="120" w:line="276" w:lineRule="auto"/>
        <w:rPr>
          <w:color w:val="000000" w:themeColor="text1"/>
          <w:sz w:val="20"/>
          <w:szCs w:val="20"/>
        </w:rPr>
      </w:pPr>
      <w:r w:rsidRPr="00EF54A6">
        <w:rPr>
          <w:color w:val="000000" w:themeColor="text1"/>
          <w:sz w:val="20"/>
          <w:szCs w:val="20"/>
        </w:rPr>
        <w:t>Kuhar</w:t>
      </w:r>
      <w:r>
        <w:rPr>
          <w:color w:val="000000" w:themeColor="text1"/>
          <w:sz w:val="20"/>
          <w:szCs w:val="20"/>
        </w:rPr>
        <w:t>, Aleš (2019):</w:t>
      </w:r>
      <w:r w:rsidRPr="00EF54A6">
        <w:rPr>
          <w:color w:val="000000" w:themeColor="text1"/>
          <w:sz w:val="20"/>
          <w:szCs w:val="20"/>
        </w:rPr>
        <w:t xml:space="preserve"> Gibanje realnih cen v živilski verigi, Analiza poslovanja živilske panoge v 2018, 19. Vrh kmetijskih in živilskih pod</w:t>
      </w:r>
      <w:r>
        <w:rPr>
          <w:color w:val="000000" w:themeColor="text1"/>
          <w:sz w:val="20"/>
          <w:szCs w:val="20"/>
        </w:rPr>
        <w:t>jetij, Bled, 5.6.</w:t>
      </w:r>
      <w:r w:rsidRPr="00EF54A6">
        <w:rPr>
          <w:color w:val="000000" w:themeColor="text1"/>
          <w:sz w:val="20"/>
          <w:szCs w:val="20"/>
        </w:rPr>
        <w:t>2019</w:t>
      </w:r>
      <w:r>
        <w:rPr>
          <w:color w:val="000000" w:themeColor="text1"/>
          <w:sz w:val="20"/>
          <w:szCs w:val="20"/>
        </w:rPr>
        <w:t>. Dostopno na:</w:t>
      </w:r>
      <w:r w:rsidRPr="00EF54A6">
        <w:rPr>
          <w:color w:val="000000" w:themeColor="text1"/>
          <w:sz w:val="20"/>
          <w:szCs w:val="20"/>
        </w:rPr>
        <w:t xml:space="preserve"> </w:t>
      </w:r>
      <w:hyperlink r:id="rId169" w:history="1">
        <w:r w:rsidRPr="00EF54A6">
          <w:rPr>
            <w:rStyle w:val="Hiperpovezava"/>
            <w:sz w:val="20"/>
            <w:szCs w:val="20"/>
          </w:rPr>
          <w:t>https://vrh-zkzp.gzs.si/Portals/Portal-Vrhzkzp/7.%20GZS_2019.pdf</w:t>
        </w:r>
      </w:hyperlink>
      <w:r>
        <w:rPr>
          <w:color w:val="000000" w:themeColor="text1"/>
          <w:sz w:val="20"/>
          <w:szCs w:val="20"/>
        </w:rPr>
        <w:t xml:space="preserve">. </w:t>
      </w:r>
    </w:p>
    <w:p w14:paraId="3E788B1C" w14:textId="0C9D8FF7" w:rsidR="00D07B63" w:rsidRDefault="00D07B63" w:rsidP="00D07B63">
      <w:pPr>
        <w:spacing w:before="0" w:after="120" w:line="276" w:lineRule="auto"/>
        <w:rPr>
          <w:rStyle w:val="Hiperpovezava"/>
          <w:sz w:val="20"/>
          <w:szCs w:val="20"/>
        </w:rPr>
      </w:pPr>
      <w:r w:rsidRPr="009F3567">
        <w:rPr>
          <w:rStyle w:val="Hiperpovezava"/>
          <w:color w:val="000000" w:themeColor="text1"/>
          <w:sz w:val="20"/>
          <w:szCs w:val="20"/>
          <w:u w:val="none"/>
        </w:rPr>
        <w:t>Latruffe, L. (2010)</w:t>
      </w:r>
      <w:r w:rsidR="00B95EA6">
        <w:rPr>
          <w:rStyle w:val="Hiperpovezava"/>
          <w:color w:val="000000" w:themeColor="text1"/>
          <w:sz w:val="20"/>
          <w:szCs w:val="20"/>
          <w:u w:val="none"/>
        </w:rPr>
        <w:t>:</w:t>
      </w:r>
      <w:r w:rsidRPr="009F3567">
        <w:rPr>
          <w:rStyle w:val="Hiperpovezava"/>
          <w:color w:val="000000" w:themeColor="text1"/>
          <w:sz w:val="20"/>
          <w:szCs w:val="20"/>
          <w:u w:val="none"/>
        </w:rPr>
        <w:t xml:space="preserve"> Competitiveness, Productivity and Efficiency in the Agricultural and Agri-Food Sectors, OECD Food, Agriculture and Fisheries Papers, No. 30, OECD Publishing, Paris. Dostopno na: </w:t>
      </w:r>
      <w:hyperlink r:id="rId170" w:history="1">
        <w:r w:rsidRPr="000C1085">
          <w:rPr>
            <w:rStyle w:val="Hiperpovezava"/>
            <w:sz w:val="20"/>
            <w:szCs w:val="20"/>
          </w:rPr>
          <w:t>http://dx.doi.org/10.1787/5km91nkdt6d6-en</w:t>
        </w:r>
      </w:hyperlink>
      <w:r w:rsidRPr="000C1085">
        <w:rPr>
          <w:rStyle w:val="Hiperpovezava"/>
          <w:sz w:val="20"/>
          <w:szCs w:val="20"/>
        </w:rPr>
        <w:t>.</w:t>
      </w:r>
    </w:p>
    <w:p w14:paraId="2827AA27" w14:textId="77777777" w:rsidR="000466F2" w:rsidRPr="000466F2" w:rsidRDefault="000466F2" w:rsidP="000466F2">
      <w:pPr>
        <w:spacing w:before="0" w:after="120" w:line="276" w:lineRule="auto"/>
        <w:rPr>
          <w:rStyle w:val="Hiperpovezava"/>
          <w:color w:val="000000" w:themeColor="text1"/>
          <w:sz w:val="20"/>
          <w:szCs w:val="20"/>
          <w:u w:val="none"/>
        </w:rPr>
      </w:pPr>
      <w:r w:rsidRPr="000466F2">
        <w:rPr>
          <w:rStyle w:val="Hiperpovezava"/>
          <w:color w:val="000000" w:themeColor="text1"/>
          <w:sz w:val="20"/>
          <w:szCs w:val="20"/>
          <w:u w:val="none"/>
        </w:rPr>
        <w:t>Latruffe L. in sod. (2013): Does land fragmentation affect farm performance? A case study from Brittany, Factor Markets Working Paper No. 40/April 2013, Brussels: Centre for European Policy Studies (CEPS). Dostopno na: https://www.sciencedirect.com.</w:t>
      </w:r>
    </w:p>
    <w:p w14:paraId="317D7A61" w14:textId="2E89339C" w:rsidR="00D07B63" w:rsidRPr="000C1085" w:rsidRDefault="00D07B63" w:rsidP="00D07B63">
      <w:pPr>
        <w:pStyle w:val="Sprotnaopomba-besedilo"/>
        <w:spacing w:before="0" w:after="120" w:line="276" w:lineRule="auto"/>
        <w:ind w:left="0" w:firstLine="0"/>
        <w:jc w:val="left"/>
        <w:rPr>
          <w:rFonts w:ascii="Arial" w:hAnsi="Arial"/>
        </w:rPr>
      </w:pPr>
      <w:r w:rsidRPr="000C1085">
        <w:rPr>
          <w:rFonts w:ascii="Arial" w:hAnsi="Arial"/>
        </w:rPr>
        <w:t>Lovec, Marko (2019)</w:t>
      </w:r>
      <w:r w:rsidR="00B95EA6">
        <w:rPr>
          <w:rFonts w:ascii="Arial" w:hAnsi="Arial"/>
        </w:rPr>
        <w:t>:</w:t>
      </w:r>
      <w:r w:rsidRPr="000C1085">
        <w:rPr>
          <w:rFonts w:ascii="Arial" w:hAnsi="Arial"/>
        </w:rPr>
        <w:t xml:space="preserve"> Tržna usmerjenost in konkurenčnost. 5. Slovenski podeželski parlament, 8. 10. 2019. Dostopno na: </w:t>
      </w:r>
      <w:hyperlink r:id="rId171" w:history="1">
        <w:r w:rsidRPr="000C1085">
          <w:rPr>
            <w:rStyle w:val="Hiperpovezava"/>
            <w:rFonts w:ascii="Arial" w:hAnsi="Arial"/>
          </w:rPr>
          <w:t>https://www.program-podezelja.si/images/SPLETNA_STRAN_PRP_NOVA/Novice/SPP2019/Uvodi/Uvod_2_Konkuren%C4%8Dnost_-_Lovec.pdf</w:t>
        </w:r>
      </w:hyperlink>
      <w:r w:rsidRPr="000C1085">
        <w:rPr>
          <w:rFonts w:ascii="Arial" w:hAnsi="Arial"/>
        </w:rPr>
        <w:t xml:space="preserve">.  </w:t>
      </w:r>
    </w:p>
    <w:p w14:paraId="35CCA079" w14:textId="05E43CA4" w:rsidR="00D07B63" w:rsidRDefault="001F2226" w:rsidP="00D07B63">
      <w:pPr>
        <w:pStyle w:val="Sprotnaopomba-besedilo"/>
        <w:tabs>
          <w:tab w:val="left" w:pos="0"/>
        </w:tabs>
        <w:spacing w:before="0" w:after="120" w:line="276" w:lineRule="auto"/>
        <w:ind w:left="0" w:firstLine="0"/>
        <w:rPr>
          <w:rFonts w:ascii="Arial" w:hAnsi="Arial"/>
        </w:rPr>
      </w:pPr>
      <w:r w:rsidRPr="00181348">
        <w:rPr>
          <w:rStyle w:val="Hiperpovezava"/>
          <w:rFonts w:ascii="Arial" w:hAnsi="Arial"/>
          <w:color w:val="000000" w:themeColor="text1"/>
          <w:u w:val="none"/>
        </w:rPr>
        <w:t>Potočnik Slavič</w:t>
      </w:r>
      <w:r>
        <w:rPr>
          <w:rStyle w:val="Hiperpovezava"/>
          <w:rFonts w:ascii="Arial" w:hAnsi="Arial"/>
          <w:color w:val="000000" w:themeColor="text1"/>
          <w:u w:val="none"/>
        </w:rPr>
        <w:t>, Irma</w:t>
      </w:r>
      <w:r w:rsidRPr="00181348">
        <w:rPr>
          <w:rStyle w:val="Hiperpovezava"/>
          <w:rFonts w:ascii="Arial" w:hAnsi="Arial"/>
          <w:color w:val="000000" w:themeColor="text1"/>
          <w:u w:val="none"/>
        </w:rPr>
        <w:t xml:space="preserve"> et al. (2017): (Ne)raba razpoložljivih virov na kmetijah v Sloveniji. Dostopno na: </w:t>
      </w:r>
      <w:hyperlink r:id="rId172" w:history="1">
        <w:r w:rsidRPr="00181348">
          <w:rPr>
            <w:rStyle w:val="Hiperpovezava"/>
            <w:rFonts w:ascii="Arial" w:hAnsi="Arial"/>
            <w:color w:val="000000" w:themeColor="text1"/>
            <w:u w:val="none"/>
          </w:rPr>
          <w:t>https://e-knjige.ff.uni-lj.si/znanstvena-zalozba/catalog/view/22/62/2544-1</w:t>
        </w:r>
      </w:hyperlink>
      <w:r>
        <w:rPr>
          <w:rStyle w:val="Hiperpovezava"/>
          <w:rFonts w:ascii="Arial" w:hAnsi="Arial"/>
          <w:color w:val="000000" w:themeColor="text1"/>
          <w:u w:val="none"/>
        </w:rPr>
        <w:t xml:space="preserve"> </w:t>
      </w:r>
      <w:r w:rsidR="00D07B63" w:rsidRPr="009F3567">
        <w:rPr>
          <w:rStyle w:val="Hiperpovezava"/>
          <w:rFonts w:ascii="Arial" w:hAnsi="Arial"/>
          <w:color w:val="000000" w:themeColor="text1"/>
          <w:u w:val="none"/>
        </w:rPr>
        <w:t>OECD (2001)</w:t>
      </w:r>
      <w:r w:rsidR="00D07B63" w:rsidRPr="009F3567">
        <w:rPr>
          <w:rStyle w:val="Hiperpovezava"/>
          <w:color w:val="000000" w:themeColor="text1"/>
          <w:u w:val="none"/>
        </w:rPr>
        <w:t>:</w:t>
      </w:r>
      <w:r w:rsidR="00D07B63" w:rsidRPr="009F3567">
        <w:rPr>
          <w:rStyle w:val="Hiperpovezava"/>
          <w:rFonts w:ascii="Arial" w:hAnsi="Arial"/>
          <w:color w:val="000000" w:themeColor="text1"/>
          <w:u w:val="none"/>
        </w:rPr>
        <w:t xml:space="preserve"> Measuring Productivity. OECD Manual. Measurement of aggregate and industry-level productivity growth. Dostopno na:</w:t>
      </w:r>
      <w:r w:rsidR="00D07B63" w:rsidRPr="000C1085">
        <w:rPr>
          <w:rStyle w:val="Hiperpovezava"/>
          <w:rFonts w:ascii="Arial" w:hAnsi="Arial"/>
          <w:color w:val="000000" w:themeColor="text1"/>
        </w:rPr>
        <w:t xml:space="preserve"> </w:t>
      </w:r>
      <w:hyperlink r:id="rId173" w:history="1">
        <w:r w:rsidR="00D07B63" w:rsidRPr="000C1085">
          <w:rPr>
            <w:rStyle w:val="Hiperpovezava"/>
            <w:rFonts w:ascii="Arial" w:hAnsi="Arial"/>
          </w:rPr>
          <w:t>http://www.oecd.org/sdd/productivity-stats/2352458.pdf</w:t>
        </w:r>
      </w:hyperlink>
      <w:r w:rsidR="00D07B63" w:rsidRPr="000C1085">
        <w:rPr>
          <w:rStyle w:val="Hiperpovezava"/>
          <w:rFonts w:ascii="Arial" w:hAnsi="Arial"/>
        </w:rPr>
        <w:t>.</w:t>
      </w:r>
      <w:r w:rsidR="00D07B63" w:rsidRPr="000C1085">
        <w:rPr>
          <w:rFonts w:ascii="Arial" w:hAnsi="Arial"/>
        </w:rPr>
        <w:t xml:space="preserve">  </w:t>
      </w:r>
    </w:p>
    <w:p w14:paraId="1FF7002D" w14:textId="34EDFC91" w:rsidR="000466F2" w:rsidRPr="000C1085" w:rsidRDefault="000466F2" w:rsidP="00D07B63">
      <w:pPr>
        <w:pStyle w:val="Sprotnaopomba-besedilo"/>
        <w:tabs>
          <w:tab w:val="left" w:pos="0"/>
        </w:tabs>
        <w:spacing w:before="0" w:after="120" w:line="276" w:lineRule="auto"/>
        <w:ind w:left="0" w:firstLine="0"/>
        <w:rPr>
          <w:rFonts w:ascii="Arial" w:hAnsi="Arial"/>
        </w:rPr>
      </w:pPr>
      <w:r w:rsidRPr="00056D91">
        <w:rPr>
          <w:rFonts w:ascii="Arial" w:hAnsi="Arial"/>
        </w:rPr>
        <w:t>Saint-Cyr L. in sod. (2016): Farm Fragmentation, Performance and Subsidies in the European Union - Technical Report, Rennes: FLINT. Dostopno na: https://www.researchgate.net.</w:t>
      </w:r>
    </w:p>
    <w:p w14:paraId="06351582" w14:textId="67EB944E" w:rsidR="00F5728D" w:rsidRDefault="00F5728D" w:rsidP="00D07B63">
      <w:pPr>
        <w:autoSpaceDE w:val="0"/>
        <w:autoSpaceDN w:val="0"/>
        <w:adjustRightInd w:val="0"/>
        <w:spacing w:before="0" w:after="120" w:line="276" w:lineRule="auto"/>
        <w:rPr>
          <w:sz w:val="20"/>
          <w:szCs w:val="20"/>
          <w:u w:val="single"/>
        </w:rPr>
      </w:pPr>
      <w:r w:rsidRPr="00F5728D">
        <w:rPr>
          <w:sz w:val="20"/>
          <w:szCs w:val="20"/>
        </w:rPr>
        <w:t>SURS</w:t>
      </w:r>
      <w:r>
        <w:rPr>
          <w:sz w:val="20"/>
          <w:szCs w:val="20"/>
        </w:rPr>
        <w:t xml:space="preserve"> (2016): </w:t>
      </w:r>
      <w:r w:rsidRPr="00F5728D">
        <w:rPr>
          <w:sz w:val="20"/>
          <w:szCs w:val="20"/>
        </w:rPr>
        <w:t>Struktura kmetijski</w:t>
      </w:r>
      <w:r>
        <w:rPr>
          <w:sz w:val="20"/>
          <w:szCs w:val="20"/>
        </w:rPr>
        <w:t>h gospodarstev, Slovenija, 2016.</w:t>
      </w:r>
      <w:r w:rsidRPr="00F5728D">
        <w:rPr>
          <w:sz w:val="20"/>
          <w:szCs w:val="20"/>
        </w:rPr>
        <w:t xml:space="preserve"> </w:t>
      </w:r>
      <w:r>
        <w:rPr>
          <w:sz w:val="20"/>
          <w:szCs w:val="20"/>
        </w:rPr>
        <w:t>D</w:t>
      </w:r>
      <w:r w:rsidRPr="00F5728D">
        <w:rPr>
          <w:sz w:val="20"/>
          <w:szCs w:val="20"/>
        </w:rPr>
        <w:t xml:space="preserve">ostopno na: </w:t>
      </w:r>
      <w:hyperlink r:id="rId174" w:history="1">
        <w:r w:rsidRPr="00F5728D">
          <w:rPr>
            <w:rStyle w:val="Hiperpovezava"/>
            <w:sz w:val="20"/>
            <w:szCs w:val="20"/>
          </w:rPr>
          <w:t>https://www.stat.si/StatWeb/News/Index/6208</w:t>
        </w:r>
      </w:hyperlink>
      <w:r w:rsidRPr="00F5728D">
        <w:rPr>
          <w:sz w:val="20"/>
          <w:szCs w:val="20"/>
          <w:u w:val="single"/>
        </w:rPr>
        <w:t>.</w:t>
      </w:r>
    </w:p>
    <w:p w14:paraId="53A550F2" w14:textId="58D8983D" w:rsidR="00167408" w:rsidRDefault="00167408" w:rsidP="00D07B63">
      <w:pPr>
        <w:autoSpaceDE w:val="0"/>
        <w:autoSpaceDN w:val="0"/>
        <w:adjustRightInd w:val="0"/>
        <w:spacing w:before="0" w:after="120" w:line="276" w:lineRule="auto"/>
        <w:rPr>
          <w:sz w:val="20"/>
          <w:szCs w:val="20"/>
        </w:rPr>
      </w:pPr>
      <w:r w:rsidRPr="00F5728D">
        <w:rPr>
          <w:sz w:val="20"/>
          <w:szCs w:val="20"/>
        </w:rPr>
        <w:t>SURS</w:t>
      </w:r>
      <w:r>
        <w:rPr>
          <w:sz w:val="20"/>
          <w:szCs w:val="20"/>
        </w:rPr>
        <w:t xml:space="preserve"> (2020): </w:t>
      </w:r>
      <w:r w:rsidRPr="00F468A8">
        <w:rPr>
          <w:sz w:val="20"/>
          <w:szCs w:val="20"/>
        </w:rPr>
        <w:t>V letu 2019 povprečna cena njiv nekoliko višja od povprečne cene trajnih travnikov in pašnikov</w:t>
      </w:r>
      <w:r>
        <w:rPr>
          <w:sz w:val="20"/>
          <w:szCs w:val="20"/>
        </w:rPr>
        <w:t xml:space="preserve">. Dostopno na: </w:t>
      </w:r>
      <w:hyperlink r:id="rId175" w:history="1">
        <w:r w:rsidRPr="00164E7A">
          <w:rPr>
            <w:rStyle w:val="Hiperpovezava"/>
            <w:sz w:val="20"/>
            <w:szCs w:val="20"/>
          </w:rPr>
          <w:t>https://www.stat.si/StatWeb/News/Index/9015</w:t>
        </w:r>
      </w:hyperlink>
      <w:r>
        <w:rPr>
          <w:sz w:val="20"/>
          <w:szCs w:val="20"/>
        </w:rPr>
        <w:t xml:space="preserve">. </w:t>
      </w:r>
    </w:p>
    <w:p w14:paraId="49938B8D" w14:textId="500D5F00" w:rsidR="00167408" w:rsidRPr="0047652B" w:rsidRDefault="00167408" w:rsidP="00167408">
      <w:pPr>
        <w:pStyle w:val="Sprotnaopomba-besedilo"/>
        <w:spacing w:before="0" w:after="120" w:line="276" w:lineRule="auto"/>
        <w:ind w:left="0" w:firstLine="0"/>
        <w:jc w:val="left"/>
        <w:rPr>
          <w:rFonts w:eastAsiaTheme="minorHAnsi"/>
        </w:rPr>
      </w:pPr>
      <w:r w:rsidRPr="00B95EA6">
        <w:rPr>
          <w:rFonts w:ascii="Arial" w:hAnsi="Arial"/>
        </w:rPr>
        <w:t>Ševčíková</w:t>
      </w:r>
      <w:r w:rsidR="001F2226">
        <w:rPr>
          <w:rFonts w:ascii="Arial" w:hAnsi="Arial"/>
        </w:rPr>
        <w:t>,</w:t>
      </w:r>
      <w:r w:rsidRPr="00B95EA6">
        <w:rPr>
          <w:rFonts w:ascii="Arial" w:hAnsi="Arial"/>
        </w:rPr>
        <w:t xml:space="preserve"> M. (2003): Comparison of the value added development in the agricultural and food sectors and the efficiency of its creation. Dostopno na: https://www.agriculturejournals.cz/publicFiles/59156.pdf.</w:t>
      </w:r>
      <w:r>
        <w:rPr>
          <w:color w:val="3E3E3E"/>
          <w:sz w:val="21"/>
          <w:szCs w:val="21"/>
        </w:rPr>
        <w:t xml:space="preserve"> </w:t>
      </w:r>
    </w:p>
    <w:p w14:paraId="3D86BDA5" w14:textId="77777777" w:rsidR="00D07B63" w:rsidRPr="000C1085" w:rsidRDefault="00D07B63" w:rsidP="00D07B63">
      <w:pPr>
        <w:autoSpaceDE w:val="0"/>
        <w:autoSpaceDN w:val="0"/>
        <w:adjustRightInd w:val="0"/>
        <w:spacing w:before="0" w:after="120" w:line="276" w:lineRule="auto"/>
        <w:rPr>
          <w:iCs/>
          <w:sz w:val="20"/>
          <w:szCs w:val="20"/>
        </w:rPr>
      </w:pPr>
      <w:r w:rsidRPr="000C1085">
        <w:rPr>
          <w:sz w:val="20"/>
          <w:szCs w:val="20"/>
        </w:rPr>
        <w:t xml:space="preserve">Trendov, N. M., Varas, S. </w:t>
      </w:r>
      <w:r>
        <w:rPr>
          <w:sz w:val="20"/>
          <w:szCs w:val="20"/>
        </w:rPr>
        <w:t>in</w:t>
      </w:r>
      <w:r w:rsidRPr="000C1085">
        <w:rPr>
          <w:sz w:val="20"/>
          <w:szCs w:val="20"/>
        </w:rPr>
        <w:t xml:space="preserve"> Zeng, M. </w:t>
      </w:r>
      <w:r>
        <w:rPr>
          <w:sz w:val="20"/>
          <w:szCs w:val="20"/>
        </w:rPr>
        <w:t>(</w:t>
      </w:r>
      <w:r w:rsidRPr="000C1085">
        <w:rPr>
          <w:sz w:val="20"/>
          <w:szCs w:val="20"/>
        </w:rPr>
        <w:t>2019</w:t>
      </w:r>
      <w:r>
        <w:rPr>
          <w:sz w:val="20"/>
          <w:szCs w:val="20"/>
        </w:rPr>
        <w:t>):</w:t>
      </w:r>
      <w:r w:rsidRPr="000C1085">
        <w:rPr>
          <w:sz w:val="20"/>
          <w:szCs w:val="20"/>
        </w:rPr>
        <w:t xml:space="preserve"> </w:t>
      </w:r>
      <w:r w:rsidRPr="000C1085">
        <w:rPr>
          <w:iCs/>
          <w:sz w:val="20"/>
          <w:szCs w:val="20"/>
        </w:rPr>
        <w:t>Digital technologies in agriculture and rural areas – Status</w:t>
      </w:r>
      <w:r>
        <w:rPr>
          <w:iCs/>
          <w:sz w:val="20"/>
          <w:szCs w:val="20"/>
        </w:rPr>
        <w:t xml:space="preserve"> Report. Dostopno na: </w:t>
      </w:r>
      <w:hyperlink r:id="rId176" w:history="1">
        <w:r w:rsidRPr="00554B53">
          <w:rPr>
            <w:rStyle w:val="Hiperpovezava"/>
            <w:iCs/>
            <w:sz w:val="20"/>
            <w:szCs w:val="20"/>
          </w:rPr>
          <w:t>http://www.fao.org/3/ca4985en/ca4985en.pdf</w:t>
        </w:r>
      </w:hyperlink>
      <w:r>
        <w:rPr>
          <w:iCs/>
          <w:sz w:val="20"/>
          <w:szCs w:val="20"/>
        </w:rPr>
        <w:t xml:space="preserve">. </w:t>
      </w:r>
    </w:p>
    <w:p w14:paraId="75263D3A" w14:textId="4AD77EFA" w:rsidR="00F51EFF" w:rsidRDefault="00D07B63" w:rsidP="00D07B63">
      <w:pPr>
        <w:pStyle w:val="Sprotnaopomba-besedilo"/>
        <w:spacing w:before="0" w:after="120" w:line="276" w:lineRule="auto"/>
        <w:ind w:left="0" w:firstLine="0"/>
        <w:jc w:val="left"/>
        <w:rPr>
          <w:rFonts w:ascii="Arial" w:hAnsi="Arial"/>
        </w:rPr>
      </w:pPr>
      <w:r w:rsidRPr="000C1085">
        <w:rPr>
          <w:rFonts w:ascii="Arial" w:hAnsi="Arial"/>
        </w:rPr>
        <w:t>World Economic Forum (2019)</w:t>
      </w:r>
      <w:r>
        <w:rPr>
          <w:rFonts w:ascii="Arial" w:hAnsi="Arial"/>
        </w:rPr>
        <w:t>:</w:t>
      </w:r>
      <w:r w:rsidRPr="000C1085">
        <w:rPr>
          <w:rFonts w:ascii="Arial" w:hAnsi="Arial"/>
        </w:rPr>
        <w:t xml:space="preserve"> The Global Competitiveness Report 2019. Dostopno na: </w:t>
      </w:r>
      <w:hyperlink r:id="rId177" w:history="1">
        <w:r w:rsidRPr="000C1085">
          <w:rPr>
            <w:rStyle w:val="Hiperpovezava"/>
            <w:rFonts w:ascii="Arial" w:hAnsi="Arial"/>
          </w:rPr>
          <w:t>https://www.weforum.org/reports/how-to-end-a-decade-of-lost-productivity-growth</w:t>
        </w:r>
      </w:hyperlink>
      <w:r w:rsidRPr="000C1085">
        <w:rPr>
          <w:rFonts w:ascii="Arial" w:hAnsi="Arial"/>
        </w:rPr>
        <w:t xml:space="preserve">. </w:t>
      </w:r>
    </w:p>
    <w:p w14:paraId="482F2725" w14:textId="77777777" w:rsidR="00F51EFF" w:rsidRDefault="00F51EFF">
      <w:pPr>
        <w:spacing w:before="0" w:after="200" w:line="276" w:lineRule="auto"/>
        <w:jc w:val="left"/>
        <w:rPr>
          <w:sz w:val="20"/>
          <w:szCs w:val="20"/>
        </w:rPr>
      </w:pPr>
      <w:r>
        <w:br w:type="page"/>
      </w:r>
    </w:p>
    <w:p w14:paraId="5B28E49F" w14:textId="77777777" w:rsidR="00D07B63" w:rsidRPr="000C1085" w:rsidRDefault="00D07B63" w:rsidP="00D07B63">
      <w:pPr>
        <w:pStyle w:val="Sprotnaopomba-besedilo"/>
        <w:spacing w:before="0" w:after="120" w:line="276" w:lineRule="auto"/>
        <w:ind w:left="0" w:firstLine="0"/>
        <w:jc w:val="left"/>
        <w:rPr>
          <w:rFonts w:ascii="Arial" w:hAnsi="Arial"/>
        </w:rPr>
      </w:pPr>
    </w:p>
    <w:p w14:paraId="6298693F" w14:textId="7CDE6515" w:rsidR="00CF06FD" w:rsidRPr="009F3567" w:rsidRDefault="00A66735" w:rsidP="00397402">
      <w:pPr>
        <w:pStyle w:val="Naslov1"/>
      </w:pPr>
      <w:bookmarkStart w:id="5958" w:name="_Toc22725678"/>
      <w:bookmarkStart w:id="5959" w:name="_Toc22725729"/>
      <w:bookmarkStart w:id="5960" w:name="_Toc22725936"/>
      <w:bookmarkStart w:id="5961" w:name="_Toc22725684"/>
      <w:bookmarkStart w:id="5962" w:name="_Toc22725735"/>
      <w:bookmarkStart w:id="5963" w:name="_Toc22725942"/>
      <w:bookmarkStart w:id="5964" w:name="_Toc22725689"/>
      <w:bookmarkStart w:id="5965" w:name="_Toc22725740"/>
      <w:bookmarkStart w:id="5966" w:name="_Toc22725947"/>
      <w:bookmarkStart w:id="5967" w:name="_Toc31673826"/>
      <w:bookmarkStart w:id="5968" w:name="_Toc31674665"/>
      <w:bookmarkStart w:id="5969" w:name="_Toc31675504"/>
      <w:bookmarkStart w:id="5970" w:name="_Toc31673827"/>
      <w:bookmarkStart w:id="5971" w:name="_Toc31674666"/>
      <w:bookmarkStart w:id="5972" w:name="_Toc31675505"/>
      <w:bookmarkStart w:id="5973" w:name="_Toc31673828"/>
      <w:bookmarkStart w:id="5974" w:name="_Toc31674667"/>
      <w:bookmarkStart w:id="5975" w:name="_Toc31675506"/>
      <w:bookmarkStart w:id="5976" w:name="_Toc31673829"/>
      <w:bookmarkStart w:id="5977" w:name="_Toc31674668"/>
      <w:bookmarkStart w:id="5978" w:name="_Toc31675507"/>
      <w:bookmarkStart w:id="5979" w:name="_Toc31673830"/>
      <w:bookmarkStart w:id="5980" w:name="_Toc31674669"/>
      <w:bookmarkStart w:id="5981" w:name="_Toc31675508"/>
      <w:bookmarkStart w:id="5982" w:name="_Toc31673831"/>
      <w:bookmarkStart w:id="5983" w:name="_Toc31674670"/>
      <w:bookmarkStart w:id="5984" w:name="_Toc31675509"/>
      <w:bookmarkStart w:id="5985" w:name="_Toc31673832"/>
      <w:bookmarkStart w:id="5986" w:name="_Toc31674671"/>
      <w:bookmarkStart w:id="5987" w:name="_Toc31675510"/>
      <w:bookmarkStart w:id="5988" w:name="_Toc31673833"/>
      <w:bookmarkStart w:id="5989" w:name="_Toc31674672"/>
      <w:bookmarkStart w:id="5990" w:name="_Toc31675511"/>
      <w:bookmarkStart w:id="5991" w:name="_Toc31673834"/>
      <w:bookmarkStart w:id="5992" w:name="_Toc31674673"/>
      <w:bookmarkStart w:id="5993" w:name="_Toc31675512"/>
      <w:bookmarkStart w:id="5994" w:name="_Toc86822638"/>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r w:rsidRPr="009F3567">
        <w:t>SWOT</w:t>
      </w:r>
      <w:bookmarkEnd w:id="5994"/>
    </w:p>
    <w:p w14:paraId="0C0A8CBA" w14:textId="77777777" w:rsidR="005259EF" w:rsidRDefault="005259EF" w:rsidP="009F3567">
      <w:pPr>
        <w:pStyle w:val="ZPtekst"/>
        <w:spacing w:before="0" w:line="276" w:lineRule="auto"/>
        <w:rPr>
          <w:b/>
          <w:sz w:val="20"/>
          <w:szCs w:val="20"/>
          <w:lang w:eastAsia="en-US"/>
        </w:rPr>
      </w:pPr>
    </w:p>
    <w:p w14:paraId="0BC57232" w14:textId="0107AF8C" w:rsidR="00A471B5" w:rsidRDefault="00A471B5" w:rsidP="00A471B5">
      <w:pPr>
        <w:pStyle w:val="ZPtekst"/>
        <w:keepNext/>
        <w:keepLines/>
        <w:spacing w:before="0" w:line="276" w:lineRule="auto"/>
        <w:rPr>
          <w:b/>
          <w:sz w:val="20"/>
          <w:szCs w:val="20"/>
        </w:rPr>
      </w:pPr>
      <w:r w:rsidRPr="00852E36">
        <w:rPr>
          <w:b/>
          <w:sz w:val="20"/>
          <w:szCs w:val="20"/>
        </w:rPr>
        <w:t xml:space="preserve">Analiza SWOT za </w:t>
      </w:r>
      <w:r>
        <w:rPr>
          <w:b/>
          <w:sz w:val="20"/>
          <w:szCs w:val="20"/>
        </w:rPr>
        <w:t xml:space="preserve">kmetijstvo in </w:t>
      </w:r>
      <w:r w:rsidR="00852A1D">
        <w:rPr>
          <w:b/>
          <w:sz w:val="20"/>
          <w:szCs w:val="20"/>
        </w:rPr>
        <w:t>ŽPI</w:t>
      </w:r>
    </w:p>
    <w:p w14:paraId="30BAAB9A" w14:textId="58F04C67" w:rsidR="00AB3ABB" w:rsidRDefault="00AB3ABB" w:rsidP="00A471B5">
      <w:pPr>
        <w:pStyle w:val="ZPtekst"/>
        <w:keepNext/>
        <w:keepLines/>
        <w:spacing w:before="0" w:line="276" w:lineRule="auto"/>
        <w:rPr>
          <w:b/>
          <w:sz w:val="20"/>
          <w:szCs w:val="20"/>
        </w:rPr>
      </w:pPr>
    </w:p>
    <w:p w14:paraId="0D395020" w14:textId="77777777" w:rsidR="00852A1D" w:rsidRDefault="00852A1D" w:rsidP="00A471B5">
      <w:pPr>
        <w:pStyle w:val="ZPtekst"/>
        <w:keepNext/>
        <w:keepLines/>
        <w:spacing w:before="0" w:line="276" w:lineRule="auto"/>
        <w:rPr>
          <w:b/>
          <w:sz w:val="20"/>
          <w:szCs w:val="20"/>
        </w:rPr>
      </w:pPr>
    </w:p>
    <w:p w14:paraId="0455F8B5" w14:textId="77777777" w:rsidR="00924F26" w:rsidRPr="00852E36" w:rsidRDefault="00924F26" w:rsidP="009F3567">
      <w:pPr>
        <w:pStyle w:val="ZPtekst"/>
        <w:spacing w:before="0" w:line="276" w:lineRule="auto"/>
        <w:rPr>
          <w:b/>
          <w:sz w:val="20"/>
          <w:szCs w:val="20"/>
        </w:rPr>
      </w:pPr>
    </w:p>
    <w:tbl>
      <w:tblPr>
        <w:tblStyle w:val="Tabelamrea"/>
        <w:tblW w:w="0" w:type="auto"/>
        <w:tblLook w:val="04A0" w:firstRow="1" w:lastRow="0" w:firstColumn="1" w:lastColumn="0" w:noHBand="0" w:noVBand="1"/>
      </w:tblPr>
      <w:tblGrid>
        <w:gridCol w:w="4618"/>
        <w:gridCol w:w="4444"/>
      </w:tblGrid>
      <w:tr w:rsidR="005259EF" w:rsidRPr="0047652B" w14:paraId="279F8D43" w14:textId="0BCDB109" w:rsidTr="000F4878">
        <w:tc>
          <w:tcPr>
            <w:tcW w:w="4735" w:type="dxa"/>
            <w:shd w:val="clear" w:color="auto" w:fill="C2D69B" w:themeFill="accent3" w:themeFillTint="99"/>
          </w:tcPr>
          <w:p w14:paraId="7132EF59" w14:textId="746B0C49" w:rsidR="005259EF" w:rsidRPr="0047652B" w:rsidRDefault="005259EF" w:rsidP="009F3567">
            <w:pPr>
              <w:spacing w:before="0" w:line="276" w:lineRule="auto"/>
              <w:jc w:val="center"/>
              <w:rPr>
                <w:lang w:val="sl-SI"/>
              </w:rPr>
            </w:pPr>
            <w:r w:rsidRPr="0047652B">
              <w:rPr>
                <w:rFonts w:eastAsia="TimesNewRoman"/>
                <w:b/>
                <w:bCs/>
                <w:lang w:val="sl-SI" w:eastAsia="sl-SI"/>
              </w:rPr>
              <w:t>PREDNOSTI</w:t>
            </w:r>
          </w:p>
        </w:tc>
        <w:tc>
          <w:tcPr>
            <w:tcW w:w="4553" w:type="dxa"/>
            <w:tcBorders>
              <w:bottom w:val="single" w:sz="4" w:space="0" w:color="auto"/>
            </w:tcBorders>
            <w:shd w:val="clear" w:color="auto" w:fill="B8CCE4" w:themeFill="accent1" w:themeFillTint="66"/>
          </w:tcPr>
          <w:p w14:paraId="4A1520FE" w14:textId="6496E4A0" w:rsidR="005259EF" w:rsidRPr="0047652B" w:rsidRDefault="005259EF" w:rsidP="009F3567">
            <w:pPr>
              <w:spacing w:before="0" w:line="276" w:lineRule="auto"/>
              <w:jc w:val="center"/>
              <w:rPr>
                <w:lang w:val="sl-SI"/>
              </w:rPr>
            </w:pPr>
            <w:r w:rsidRPr="0047652B">
              <w:rPr>
                <w:rFonts w:eastAsia="TimesNewRoman"/>
                <w:b/>
                <w:bCs/>
                <w:lang w:val="sl-SI" w:eastAsia="sl-SI"/>
              </w:rPr>
              <w:t>SLABOSTI</w:t>
            </w:r>
          </w:p>
        </w:tc>
      </w:tr>
      <w:tr w:rsidR="005259EF" w:rsidRPr="0047652B" w14:paraId="57E53B07" w14:textId="05E5EF8D" w:rsidTr="00954B88">
        <w:tc>
          <w:tcPr>
            <w:tcW w:w="4735" w:type="dxa"/>
          </w:tcPr>
          <w:p w14:paraId="381D7D1B" w14:textId="6D0D50C0" w:rsidR="00CD7C8F" w:rsidRDefault="00CD7C8F" w:rsidP="006249A0">
            <w:pPr>
              <w:pStyle w:val="Odstavekseznama"/>
              <w:spacing w:before="0" w:line="276" w:lineRule="auto"/>
              <w:ind w:left="360"/>
              <w:contextualSpacing/>
              <w:rPr>
                <w:lang w:val="sl-SI"/>
              </w:rPr>
            </w:pPr>
          </w:p>
          <w:p w14:paraId="0CC9CB1E" w14:textId="27871DAC" w:rsidR="007048A8" w:rsidRDefault="007048A8" w:rsidP="007B1BD0">
            <w:pPr>
              <w:pStyle w:val="Odstavekseznama"/>
              <w:numPr>
                <w:ilvl w:val="0"/>
                <w:numId w:val="12"/>
              </w:numPr>
              <w:spacing w:before="0" w:line="276" w:lineRule="auto"/>
              <w:contextualSpacing/>
              <w:rPr>
                <w:rFonts w:ascii="Arial" w:hAnsi="Arial"/>
                <w:lang w:val="sl-SI"/>
              </w:rPr>
            </w:pPr>
            <w:r>
              <w:rPr>
                <w:rFonts w:ascii="Arial" w:hAnsi="Arial"/>
                <w:lang w:val="sl-SI"/>
              </w:rPr>
              <w:t>kmetijski sektor je v intenzivni fazi prestrukturiranja in modernizacije;</w:t>
            </w:r>
          </w:p>
          <w:p w14:paraId="3481E5FC" w14:textId="058A1F70" w:rsidR="007048A8" w:rsidRPr="007048A8" w:rsidRDefault="007048A8" w:rsidP="00D6649F">
            <w:pPr>
              <w:pStyle w:val="Odstavekseznama"/>
              <w:numPr>
                <w:ilvl w:val="0"/>
                <w:numId w:val="12"/>
              </w:numPr>
              <w:spacing w:before="0" w:line="276" w:lineRule="auto"/>
              <w:contextualSpacing/>
              <w:rPr>
                <w:rFonts w:ascii="Arial" w:hAnsi="Arial"/>
                <w:lang w:val="sl-SI"/>
              </w:rPr>
            </w:pPr>
            <w:r w:rsidRPr="007048A8">
              <w:rPr>
                <w:rFonts w:ascii="Arial" w:hAnsi="Arial"/>
                <w:lang w:val="sl-SI"/>
              </w:rPr>
              <w:t>stabilizacija poslovanja živilsko-predelovalne panoge</w:t>
            </w:r>
            <w:r w:rsidR="00CD7C8F">
              <w:rPr>
                <w:rFonts w:ascii="Arial" w:hAnsi="Arial"/>
                <w:lang w:val="sl-SI"/>
              </w:rPr>
              <w:t xml:space="preserve"> </w:t>
            </w:r>
            <w:r w:rsidR="00FC4DC2">
              <w:rPr>
                <w:rFonts w:ascii="Arial" w:hAnsi="Arial"/>
                <w:lang w:val="sl-SI"/>
              </w:rPr>
              <w:t>in povečanje njene konkurenčnosti na tujih trgih</w:t>
            </w:r>
            <w:r w:rsidRPr="007048A8">
              <w:rPr>
                <w:rFonts w:ascii="Arial" w:hAnsi="Arial"/>
                <w:lang w:val="sl-SI"/>
              </w:rPr>
              <w:t>;</w:t>
            </w:r>
          </w:p>
          <w:p w14:paraId="5F5C046F" w14:textId="119E891D" w:rsidR="00CD7C8F" w:rsidRPr="007048A8" w:rsidRDefault="00CD7C8F" w:rsidP="00CD7C8F">
            <w:pPr>
              <w:pStyle w:val="Odstavekseznama"/>
              <w:numPr>
                <w:ilvl w:val="0"/>
                <w:numId w:val="12"/>
              </w:numPr>
              <w:spacing w:before="0" w:line="276" w:lineRule="auto"/>
              <w:contextualSpacing/>
              <w:rPr>
                <w:rFonts w:ascii="Arial" w:hAnsi="Arial"/>
                <w:lang w:val="sl-SI"/>
              </w:rPr>
            </w:pPr>
            <w:r w:rsidRPr="007048A8">
              <w:rPr>
                <w:rFonts w:ascii="Arial" w:hAnsi="Arial"/>
                <w:lang w:val="sl-SI"/>
              </w:rPr>
              <w:t xml:space="preserve">povečevanje interesa za izvajanje </w:t>
            </w:r>
            <w:r>
              <w:rPr>
                <w:rFonts w:ascii="Arial" w:hAnsi="Arial"/>
                <w:lang w:val="sl-SI"/>
              </w:rPr>
              <w:t xml:space="preserve">predelave hrane kot </w:t>
            </w:r>
            <w:r w:rsidRPr="007048A8">
              <w:rPr>
                <w:rFonts w:ascii="Arial" w:hAnsi="Arial"/>
                <w:lang w:val="sl-SI"/>
              </w:rPr>
              <w:t>dopolniln</w:t>
            </w:r>
            <w:r>
              <w:rPr>
                <w:rFonts w:ascii="Arial" w:hAnsi="Arial"/>
                <w:lang w:val="sl-SI"/>
              </w:rPr>
              <w:t>e</w:t>
            </w:r>
            <w:r w:rsidRPr="007048A8">
              <w:rPr>
                <w:rFonts w:ascii="Arial" w:hAnsi="Arial"/>
                <w:lang w:val="sl-SI"/>
              </w:rPr>
              <w:t xml:space="preserve"> dejavnosti na kmetijah </w:t>
            </w:r>
            <w:r>
              <w:rPr>
                <w:rFonts w:ascii="Arial" w:hAnsi="Arial"/>
                <w:lang w:val="sl-SI"/>
              </w:rPr>
              <w:t>- večanje</w:t>
            </w:r>
            <w:r w:rsidRPr="007048A8">
              <w:rPr>
                <w:rFonts w:ascii="Arial" w:hAnsi="Arial"/>
                <w:lang w:val="sl-SI"/>
              </w:rPr>
              <w:t xml:space="preserve"> doda</w:t>
            </w:r>
            <w:r>
              <w:rPr>
                <w:rFonts w:ascii="Arial" w:hAnsi="Arial"/>
                <w:lang w:val="sl-SI"/>
              </w:rPr>
              <w:t>ne</w:t>
            </w:r>
            <w:r w:rsidRPr="007048A8">
              <w:rPr>
                <w:rFonts w:ascii="Arial" w:hAnsi="Arial"/>
                <w:lang w:val="sl-SI"/>
              </w:rPr>
              <w:t xml:space="preserve"> vrednosti kmetijskih proizvodom;</w:t>
            </w:r>
          </w:p>
          <w:p w14:paraId="21FF2EEE" w14:textId="60A983E3" w:rsidR="00CD7C8F" w:rsidRPr="00D6649F" w:rsidRDefault="00CD7C8F" w:rsidP="005E5706">
            <w:pPr>
              <w:pStyle w:val="Odstavekseznama"/>
              <w:numPr>
                <w:ilvl w:val="0"/>
                <w:numId w:val="12"/>
              </w:numPr>
              <w:spacing w:before="0" w:line="276" w:lineRule="auto"/>
              <w:contextualSpacing/>
              <w:rPr>
                <w:rFonts w:ascii="Arial" w:hAnsi="Arial"/>
                <w:lang w:val="sl-SI"/>
              </w:rPr>
            </w:pPr>
            <w:r w:rsidRPr="00BC42E0">
              <w:rPr>
                <w:rFonts w:ascii="Arial" w:hAnsi="Arial"/>
                <w:lang w:val="sl-SI"/>
              </w:rPr>
              <w:t>obstoj izobraževalnih, svetovalnih in raziskovalnih institucij in sistem delovanja različnih javnih služb</w:t>
            </w:r>
            <w:r>
              <w:rPr>
                <w:rFonts w:ascii="Arial" w:hAnsi="Arial"/>
                <w:lang w:val="sl-SI"/>
              </w:rPr>
              <w:t>.</w:t>
            </w:r>
          </w:p>
          <w:p w14:paraId="7BE011DD" w14:textId="7E76BB18" w:rsidR="007048A8" w:rsidRPr="007048A8" w:rsidRDefault="007048A8" w:rsidP="006249A0">
            <w:pPr>
              <w:pStyle w:val="Odstavekseznama"/>
              <w:spacing w:before="0" w:line="276" w:lineRule="auto"/>
              <w:ind w:left="360"/>
              <w:contextualSpacing/>
              <w:rPr>
                <w:rFonts w:ascii="Arial" w:hAnsi="Arial"/>
                <w:lang w:val="sl-SI"/>
              </w:rPr>
            </w:pPr>
          </w:p>
          <w:p w14:paraId="2EB4FF5B" w14:textId="2BF493D6" w:rsidR="00A318EC" w:rsidRPr="00A318EC" w:rsidRDefault="00A318EC" w:rsidP="005E5706">
            <w:pPr>
              <w:pStyle w:val="Odstavekseznama"/>
              <w:spacing w:before="0" w:line="276" w:lineRule="auto"/>
              <w:ind w:left="360"/>
              <w:contextualSpacing/>
              <w:rPr>
                <w:rFonts w:ascii="Arial" w:hAnsi="Arial"/>
                <w:lang w:val="sl-SI"/>
              </w:rPr>
            </w:pPr>
          </w:p>
        </w:tc>
        <w:tc>
          <w:tcPr>
            <w:tcW w:w="4553" w:type="dxa"/>
            <w:tcBorders>
              <w:bottom w:val="single" w:sz="4" w:space="0" w:color="auto"/>
            </w:tcBorders>
          </w:tcPr>
          <w:p w14:paraId="70B520B8" w14:textId="60D845FE" w:rsidR="005259EF" w:rsidRPr="00852E36" w:rsidRDefault="005259EF" w:rsidP="009F3567">
            <w:pPr>
              <w:spacing w:before="0" w:line="276" w:lineRule="auto"/>
              <w:contextualSpacing/>
              <w:rPr>
                <w:b/>
                <w:i/>
                <w:u w:val="single"/>
                <w:lang w:val="sl-SI"/>
              </w:rPr>
            </w:pPr>
          </w:p>
          <w:p w14:paraId="6CC3EC47" w14:textId="556FECAA" w:rsidR="00341414" w:rsidRPr="00395123" w:rsidRDefault="00341414" w:rsidP="00341414">
            <w:pPr>
              <w:pStyle w:val="Odstavekseznama"/>
              <w:numPr>
                <w:ilvl w:val="0"/>
                <w:numId w:val="12"/>
              </w:numPr>
              <w:spacing w:before="0" w:line="276" w:lineRule="auto"/>
              <w:contextualSpacing/>
              <w:jc w:val="left"/>
              <w:rPr>
                <w:rFonts w:ascii="Arial" w:hAnsi="Arial"/>
                <w:lang w:val="sl-SI"/>
              </w:rPr>
            </w:pPr>
            <w:r w:rsidRPr="00395123">
              <w:rPr>
                <w:rFonts w:ascii="Arial" w:hAnsi="Arial"/>
                <w:lang w:val="sl-SI"/>
              </w:rPr>
              <w:t xml:space="preserve">velik delež </w:t>
            </w:r>
            <w:r>
              <w:rPr>
                <w:rFonts w:ascii="Arial" w:hAnsi="Arial"/>
                <w:lang w:val="sl-SI"/>
              </w:rPr>
              <w:t>KZU</w:t>
            </w:r>
            <w:r w:rsidRPr="00395123">
              <w:rPr>
                <w:rFonts w:ascii="Arial" w:hAnsi="Arial"/>
                <w:lang w:val="sl-SI"/>
              </w:rPr>
              <w:t xml:space="preserve"> na OMD</w:t>
            </w:r>
            <w:r>
              <w:rPr>
                <w:rFonts w:ascii="Arial" w:hAnsi="Arial"/>
                <w:lang w:val="sl-SI"/>
              </w:rPr>
              <w:t>;</w:t>
            </w:r>
          </w:p>
          <w:p w14:paraId="6279D4F0" w14:textId="72673349" w:rsidR="00341414" w:rsidRDefault="007048A8" w:rsidP="00341414">
            <w:pPr>
              <w:pStyle w:val="Odstavekseznama"/>
              <w:numPr>
                <w:ilvl w:val="0"/>
                <w:numId w:val="12"/>
              </w:numPr>
              <w:spacing w:before="0" w:line="276" w:lineRule="auto"/>
              <w:contextualSpacing/>
              <w:jc w:val="left"/>
              <w:rPr>
                <w:rFonts w:ascii="Arial" w:hAnsi="Arial"/>
                <w:lang w:val="sl-SI"/>
              </w:rPr>
            </w:pPr>
            <w:r>
              <w:rPr>
                <w:rFonts w:ascii="Arial" w:hAnsi="Arial"/>
                <w:lang w:val="sl-SI"/>
              </w:rPr>
              <w:t>neugodna agrarna struktura</w:t>
            </w:r>
            <w:r w:rsidR="00341414">
              <w:rPr>
                <w:rFonts w:ascii="Arial" w:hAnsi="Arial"/>
                <w:lang w:val="sl-SI"/>
              </w:rPr>
              <w:t>;</w:t>
            </w:r>
          </w:p>
          <w:p w14:paraId="1437F356" w14:textId="07437A8D" w:rsidR="00230946" w:rsidRDefault="00230946" w:rsidP="00395123">
            <w:pPr>
              <w:pStyle w:val="Odstavekseznama"/>
              <w:numPr>
                <w:ilvl w:val="0"/>
                <w:numId w:val="12"/>
              </w:numPr>
              <w:spacing w:before="0" w:line="276" w:lineRule="auto"/>
              <w:contextualSpacing/>
              <w:jc w:val="left"/>
              <w:rPr>
                <w:rFonts w:ascii="Arial" w:hAnsi="Arial"/>
                <w:lang w:val="sl-SI"/>
              </w:rPr>
            </w:pPr>
            <w:r>
              <w:rPr>
                <w:rFonts w:ascii="Arial" w:hAnsi="Arial"/>
                <w:lang w:val="sl-SI"/>
              </w:rPr>
              <w:t>omejena razpoložljivost kmetijskih zemljišč;</w:t>
            </w:r>
          </w:p>
          <w:p w14:paraId="417EDD45" w14:textId="3C2EF17A" w:rsidR="00DD0944" w:rsidRPr="00395123" w:rsidRDefault="00FC4DC2" w:rsidP="00DD0944">
            <w:pPr>
              <w:pStyle w:val="Odstavekseznama"/>
              <w:numPr>
                <w:ilvl w:val="0"/>
                <w:numId w:val="12"/>
              </w:numPr>
              <w:spacing w:before="0" w:line="276" w:lineRule="auto"/>
              <w:contextualSpacing/>
              <w:jc w:val="left"/>
              <w:rPr>
                <w:rFonts w:ascii="Arial" w:hAnsi="Arial"/>
                <w:lang w:val="sl-SI"/>
              </w:rPr>
            </w:pPr>
            <w:r>
              <w:rPr>
                <w:rFonts w:ascii="Arial" w:hAnsi="Arial"/>
                <w:lang w:val="sl-SI"/>
              </w:rPr>
              <w:t>nižja</w:t>
            </w:r>
            <w:r w:rsidR="00341414">
              <w:rPr>
                <w:rFonts w:ascii="Arial" w:hAnsi="Arial"/>
                <w:lang w:val="sl-SI"/>
              </w:rPr>
              <w:t xml:space="preserve"> produktivnost</w:t>
            </w:r>
            <w:r>
              <w:rPr>
                <w:rFonts w:ascii="Arial" w:hAnsi="Arial"/>
                <w:lang w:val="sl-SI"/>
              </w:rPr>
              <w:t xml:space="preserve"> v kmetijstvu</w:t>
            </w:r>
            <w:r w:rsidR="00DD0944" w:rsidRPr="00395123">
              <w:rPr>
                <w:rFonts w:ascii="Arial" w:hAnsi="Arial"/>
                <w:lang w:val="sl-SI"/>
              </w:rPr>
              <w:t>;</w:t>
            </w:r>
          </w:p>
          <w:p w14:paraId="13FB68AB" w14:textId="35C85EDF" w:rsidR="00FC4DC2" w:rsidRDefault="00FC4DC2" w:rsidP="00FC4DC2">
            <w:pPr>
              <w:pStyle w:val="Odstavekseznama"/>
              <w:numPr>
                <w:ilvl w:val="0"/>
                <w:numId w:val="12"/>
              </w:numPr>
              <w:spacing w:before="0" w:line="276" w:lineRule="auto"/>
              <w:contextualSpacing/>
              <w:jc w:val="left"/>
              <w:rPr>
                <w:rFonts w:ascii="Arial" w:hAnsi="Arial"/>
                <w:lang w:val="sl-SI"/>
              </w:rPr>
            </w:pPr>
            <w:r>
              <w:rPr>
                <w:rFonts w:ascii="Arial" w:hAnsi="Arial"/>
                <w:lang w:val="sl-SI"/>
              </w:rPr>
              <w:t>nižja</w:t>
            </w:r>
            <w:r w:rsidRPr="00FC4DC2">
              <w:rPr>
                <w:rFonts w:ascii="Arial" w:hAnsi="Arial"/>
                <w:lang w:val="sl-SI"/>
              </w:rPr>
              <w:t xml:space="preserve"> dodana vrednost kmetijstva</w:t>
            </w:r>
            <w:r>
              <w:rPr>
                <w:rFonts w:ascii="Arial" w:hAnsi="Arial"/>
                <w:lang w:val="sl-SI"/>
              </w:rPr>
              <w:t>;</w:t>
            </w:r>
          </w:p>
          <w:p w14:paraId="4F574DB4" w14:textId="19592962" w:rsidR="002F13D1" w:rsidRPr="005E5706" w:rsidRDefault="00D6649F" w:rsidP="005E5706">
            <w:pPr>
              <w:pStyle w:val="Odstavekseznama"/>
              <w:numPr>
                <w:ilvl w:val="0"/>
                <w:numId w:val="12"/>
              </w:numPr>
              <w:spacing w:before="0" w:line="276" w:lineRule="auto"/>
              <w:contextualSpacing/>
              <w:jc w:val="left"/>
              <w:rPr>
                <w:rFonts w:ascii="Arial" w:hAnsi="Arial"/>
                <w:lang w:val="sl-SI"/>
              </w:rPr>
            </w:pPr>
            <w:r w:rsidRPr="005E5706">
              <w:rPr>
                <w:rFonts w:ascii="Arial" w:hAnsi="Arial"/>
                <w:lang w:val="sl-SI"/>
              </w:rPr>
              <w:t>omejen dostop do kapitala;</w:t>
            </w:r>
          </w:p>
          <w:p w14:paraId="634CC6E8" w14:textId="6503CF40" w:rsidR="00230946" w:rsidRDefault="00FC4DC2" w:rsidP="00395123">
            <w:pPr>
              <w:pStyle w:val="Odstavekseznama"/>
              <w:numPr>
                <w:ilvl w:val="0"/>
                <w:numId w:val="12"/>
              </w:numPr>
              <w:spacing w:before="0" w:line="276" w:lineRule="auto"/>
              <w:contextualSpacing/>
              <w:jc w:val="left"/>
              <w:rPr>
                <w:rFonts w:ascii="Arial" w:hAnsi="Arial"/>
                <w:lang w:val="sl-SI"/>
              </w:rPr>
            </w:pPr>
            <w:r>
              <w:rPr>
                <w:rFonts w:ascii="Arial" w:hAnsi="Arial"/>
                <w:lang w:val="sl-SI"/>
              </w:rPr>
              <w:t xml:space="preserve">občutljivost </w:t>
            </w:r>
            <w:r w:rsidR="00230946">
              <w:rPr>
                <w:rFonts w:ascii="Arial" w:hAnsi="Arial"/>
                <w:lang w:val="sl-SI"/>
              </w:rPr>
              <w:t>kmetijstva na podnebne spremembe;</w:t>
            </w:r>
          </w:p>
          <w:p w14:paraId="74B2125A" w14:textId="3142A4C1" w:rsidR="00DD0944" w:rsidRPr="0047652B" w:rsidRDefault="00DD0944" w:rsidP="00DD0944">
            <w:pPr>
              <w:pStyle w:val="Odstavekseznama"/>
              <w:numPr>
                <w:ilvl w:val="0"/>
                <w:numId w:val="12"/>
              </w:numPr>
              <w:spacing w:before="0" w:line="276" w:lineRule="auto"/>
              <w:contextualSpacing/>
              <w:jc w:val="left"/>
              <w:rPr>
                <w:rFonts w:ascii="Arial" w:hAnsi="Arial"/>
                <w:lang w:val="sl-SI"/>
              </w:rPr>
            </w:pPr>
            <w:r w:rsidRPr="0047652B">
              <w:rPr>
                <w:rFonts w:ascii="Arial" w:hAnsi="Arial"/>
                <w:lang w:val="sl-SI"/>
              </w:rPr>
              <w:t>počasno uvajanje novih</w:t>
            </w:r>
            <w:r>
              <w:rPr>
                <w:rFonts w:ascii="Arial" w:hAnsi="Arial"/>
                <w:lang w:val="sl-SI"/>
              </w:rPr>
              <w:t xml:space="preserve"> tehnologij,</w:t>
            </w:r>
            <w:r w:rsidR="00341414">
              <w:rPr>
                <w:rFonts w:ascii="Arial" w:hAnsi="Arial"/>
                <w:lang w:val="sl-SI"/>
              </w:rPr>
              <w:t xml:space="preserve"> digitalizacije,</w:t>
            </w:r>
            <w:r w:rsidRPr="0047652B">
              <w:rPr>
                <w:rFonts w:ascii="Arial" w:hAnsi="Arial"/>
                <w:lang w:val="sl-SI"/>
              </w:rPr>
              <w:t xml:space="preserve"> znanj in inovacij v kmetijstvu;</w:t>
            </w:r>
          </w:p>
          <w:p w14:paraId="2E71E8E1" w14:textId="7B704A8C" w:rsidR="008F74EA" w:rsidRDefault="00FC4DC2" w:rsidP="00230946">
            <w:pPr>
              <w:pStyle w:val="Odstavekseznama"/>
              <w:numPr>
                <w:ilvl w:val="0"/>
                <w:numId w:val="12"/>
              </w:numPr>
              <w:spacing w:before="0" w:line="276" w:lineRule="auto"/>
              <w:contextualSpacing/>
              <w:jc w:val="left"/>
              <w:rPr>
                <w:rFonts w:ascii="Arial" w:hAnsi="Arial"/>
                <w:lang w:val="sl-SI"/>
              </w:rPr>
            </w:pPr>
            <w:r>
              <w:rPr>
                <w:rFonts w:ascii="Arial" w:hAnsi="Arial"/>
                <w:lang w:val="sl-SI"/>
              </w:rPr>
              <w:t>nižja produtkivnost ŽPI</w:t>
            </w:r>
            <w:r w:rsidR="00BF63E3">
              <w:rPr>
                <w:rFonts w:ascii="Arial" w:hAnsi="Arial"/>
                <w:lang w:val="sl-SI"/>
              </w:rPr>
              <w:t>;</w:t>
            </w:r>
          </w:p>
          <w:p w14:paraId="62FFC7AB" w14:textId="0FF08442" w:rsidR="00230946" w:rsidRDefault="00FC4DC2" w:rsidP="002A5A61">
            <w:pPr>
              <w:pStyle w:val="Odstavekseznama"/>
              <w:numPr>
                <w:ilvl w:val="0"/>
                <w:numId w:val="12"/>
              </w:numPr>
              <w:spacing w:before="0" w:line="276" w:lineRule="auto"/>
              <w:contextualSpacing/>
              <w:jc w:val="left"/>
              <w:rPr>
                <w:rFonts w:ascii="Arial" w:hAnsi="Arial"/>
                <w:lang w:val="sl-SI"/>
              </w:rPr>
            </w:pPr>
            <w:r w:rsidRPr="00FC4DC2">
              <w:rPr>
                <w:rFonts w:ascii="Arial" w:hAnsi="Arial"/>
                <w:lang w:val="sl-SI"/>
              </w:rPr>
              <w:t>p</w:t>
            </w:r>
            <w:r w:rsidRPr="005B2A49">
              <w:rPr>
                <w:rFonts w:ascii="Arial" w:hAnsi="Arial"/>
              </w:rPr>
              <w:t>renizka dodana vrednost agro-živilskega izvoza in prešibka povezanost kmetijske proizvodnje in predelave</w:t>
            </w:r>
            <w:r w:rsidR="002A5A61">
              <w:rPr>
                <w:rFonts w:ascii="Arial" w:hAnsi="Arial"/>
                <w:lang w:val="sl-SI"/>
              </w:rPr>
              <w:t>;</w:t>
            </w:r>
          </w:p>
          <w:p w14:paraId="099BD35A" w14:textId="190E902D" w:rsidR="005259EF" w:rsidRDefault="00C71376" w:rsidP="00E301C1">
            <w:pPr>
              <w:pStyle w:val="Odstavekseznama"/>
              <w:numPr>
                <w:ilvl w:val="0"/>
                <w:numId w:val="12"/>
              </w:numPr>
              <w:spacing w:before="0" w:line="276" w:lineRule="auto"/>
              <w:contextualSpacing/>
              <w:jc w:val="left"/>
              <w:rPr>
                <w:rFonts w:ascii="Arial" w:hAnsi="Arial"/>
                <w:lang w:val="sl-SI"/>
              </w:rPr>
            </w:pPr>
            <w:r>
              <w:rPr>
                <w:rFonts w:ascii="Arial" w:hAnsi="Arial"/>
                <w:lang w:val="sl-SI"/>
              </w:rPr>
              <w:t>šibka</w:t>
            </w:r>
            <w:r w:rsidR="00D93A8F" w:rsidRPr="00005C94">
              <w:rPr>
                <w:rFonts w:ascii="Arial" w:hAnsi="Arial"/>
                <w:lang w:val="sl-SI"/>
              </w:rPr>
              <w:t xml:space="preserve"> povezanost akterjev v AKIS</w:t>
            </w:r>
            <w:r w:rsidR="00005C94" w:rsidRPr="00005C94">
              <w:rPr>
                <w:rFonts w:ascii="Arial" w:hAnsi="Arial"/>
                <w:lang w:val="sl-SI"/>
              </w:rPr>
              <w:t xml:space="preserve">, </w:t>
            </w:r>
            <w:r w:rsidR="00005C94">
              <w:rPr>
                <w:rFonts w:ascii="Arial" w:hAnsi="Arial"/>
                <w:lang w:val="sl-SI"/>
              </w:rPr>
              <w:t>p</w:t>
            </w:r>
            <w:r w:rsidR="00D93A8F" w:rsidRPr="00005C94">
              <w:rPr>
                <w:rFonts w:ascii="Arial" w:hAnsi="Arial"/>
                <w:lang w:val="sl-SI"/>
              </w:rPr>
              <w:t>omanjkanje specializiranih znanj</w:t>
            </w:r>
            <w:r w:rsidR="00341414">
              <w:rPr>
                <w:rFonts w:ascii="Arial" w:hAnsi="Arial"/>
                <w:lang w:val="sl-SI"/>
              </w:rPr>
              <w:t xml:space="preserve"> in prenosa znanja v prakso.</w:t>
            </w:r>
            <w:r w:rsidR="00D93A8F" w:rsidRPr="00005C94">
              <w:rPr>
                <w:rFonts w:ascii="Arial" w:hAnsi="Arial"/>
                <w:lang w:val="sl-SI"/>
              </w:rPr>
              <w:t xml:space="preserve"> </w:t>
            </w:r>
          </w:p>
          <w:p w14:paraId="3A07CA36" w14:textId="049FEA23" w:rsidR="005259EF" w:rsidRPr="0047652B" w:rsidRDefault="005259EF" w:rsidP="00C71376">
            <w:pPr>
              <w:spacing w:before="0" w:line="276" w:lineRule="auto"/>
              <w:contextualSpacing/>
              <w:jc w:val="left"/>
              <w:rPr>
                <w:lang w:val="sl-SI"/>
              </w:rPr>
            </w:pPr>
          </w:p>
        </w:tc>
      </w:tr>
      <w:tr w:rsidR="005259EF" w:rsidRPr="0047652B" w14:paraId="491C22C9" w14:textId="301E2775" w:rsidTr="00954B88">
        <w:tc>
          <w:tcPr>
            <w:tcW w:w="4735" w:type="dxa"/>
            <w:shd w:val="clear" w:color="auto" w:fill="C2D69B" w:themeFill="accent3" w:themeFillTint="99"/>
          </w:tcPr>
          <w:p w14:paraId="10166B57" w14:textId="2D2ACF20" w:rsidR="005259EF" w:rsidRPr="0047652B" w:rsidRDefault="005259EF" w:rsidP="009F3567">
            <w:pPr>
              <w:pStyle w:val="Odstavekseznama"/>
              <w:spacing w:before="0" w:line="276" w:lineRule="auto"/>
              <w:ind w:left="1080"/>
              <w:jc w:val="left"/>
              <w:rPr>
                <w:rFonts w:ascii="Arial" w:hAnsi="Arial"/>
                <w:lang w:val="sl-SI"/>
              </w:rPr>
            </w:pPr>
            <w:r w:rsidRPr="0047652B">
              <w:rPr>
                <w:rFonts w:ascii="Arial" w:eastAsia="TimesNewRoman" w:hAnsi="Arial"/>
                <w:b/>
                <w:bCs/>
                <w:lang w:val="sl-SI" w:eastAsia="sl-SI"/>
              </w:rPr>
              <w:t>PRILOŽNOSTI</w:t>
            </w:r>
          </w:p>
        </w:tc>
        <w:tc>
          <w:tcPr>
            <w:tcW w:w="4553" w:type="dxa"/>
            <w:tcBorders>
              <w:top w:val="single" w:sz="4" w:space="0" w:color="auto"/>
            </w:tcBorders>
            <w:shd w:val="clear" w:color="auto" w:fill="B8CCE4" w:themeFill="accent1" w:themeFillTint="66"/>
          </w:tcPr>
          <w:p w14:paraId="47209C61" w14:textId="141CCE2C" w:rsidR="005259EF" w:rsidRPr="0047652B" w:rsidRDefault="005259EF" w:rsidP="009F3567">
            <w:pPr>
              <w:pStyle w:val="Odstavekseznama"/>
              <w:spacing w:before="0" w:line="276" w:lineRule="auto"/>
              <w:ind w:left="1080"/>
              <w:jc w:val="left"/>
              <w:rPr>
                <w:rFonts w:ascii="Arial" w:hAnsi="Arial"/>
                <w:lang w:val="sl-SI"/>
              </w:rPr>
            </w:pPr>
            <w:r w:rsidRPr="0047652B">
              <w:rPr>
                <w:rFonts w:ascii="Arial" w:eastAsia="TimesNewRoman" w:hAnsi="Arial"/>
                <w:b/>
                <w:bCs/>
                <w:lang w:val="sl-SI" w:eastAsia="sl-SI"/>
              </w:rPr>
              <w:t>NEVARNOSTI</w:t>
            </w:r>
          </w:p>
        </w:tc>
      </w:tr>
      <w:tr w:rsidR="005259EF" w:rsidRPr="0047652B" w14:paraId="42162573" w14:textId="1E9F5D08" w:rsidTr="000F4878">
        <w:tc>
          <w:tcPr>
            <w:tcW w:w="4735" w:type="dxa"/>
          </w:tcPr>
          <w:p w14:paraId="576F41EC" w14:textId="0FDC7332" w:rsidR="005259EF" w:rsidRPr="00852E36" w:rsidRDefault="005259EF" w:rsidP="009F3567">
            <w:pPr>
              <w:spacing w:before="0" w:line="276" w:lineRule="auto"/>
              <w:contextualSpacing/>
              <w:jc w:val="left"/>
              <w:rPr>
                <w:b/>
                <w:i/>
                <w:u w:val="single"/>
                <w:lang w:val="sl-SI"/>
              </w:rPr>
            </w:pPr>
          </w:p>
          <w:p w14:paraId="2DA64917" w14:textId="77777777" w:rsidR="00E0391B" w:rsidRDefault="00E0391B" w:rsidP="00E0391B">
            <w:pPr>
              <w:pStyle w:val="Odstavekseznama"/>
              <w:numPr>
                <w:ilvl w:val="0"/>
                <w:numId w:val="14"/>
              </w:numPr>
              <w:spacing w:before="0" w:line="276" w:lineRule="auto"/>
              <w:contextualSpacing/>
              <w:jc w:val="left"/>
              <w:rPr>
                <w:rFonts w:ascii="Arial" w:hAnsi="Arial"/>
                <w:lang w:val="sl-SI"/>
              </w:rPr>
            </w:pPr>
            <w:r>
              <w:rPr>
                <w:rFonts w:ascii="Arial" w:hAnsi="Arial"/>
                <w:lang w:val="sl-SI"/>
              </w:rPr>
              <w:t>izboljšanje agrarne strukture, vključno z infrastrukturo kmetijskih zemljišč (zaokroževanje, namakanje, agromelioracije);</w:t>
            </w:r>
          </w:p>
          <w:p w14:paraId="70638C51" w14:textId="18B0C96D" w:rsidR="00C71376" w:rsidRPr="00852E36" w:rsidRDefault="00C71376" w:rsidP="006059DC">
            <w:pPr>
              <w:pStyle w:val="Odstavekseznama"/>
              <w:numPr>
                <w:ilvl w:val="0"/>
                <w:numId w:val="14"/>
              </w:numPr>
              <w:spacing w:before="0" w:line="276" w:lineRule="auto"/>
              <w:contextualSpacing/>
              <w:jc w:val="left"/>
              <w:rPr>
                <w:rFonts w:ascii="Arial" w:hAnsi="Arial"/>
                <w:lang w:val="sl-SI"/>
              </w:rPr>
            </w:pPr>
            <w:r>
              <w:rPr>
                <w:rFonts w:ascii="Arial" w:hAnsi="Arial"/>
                <w:lang w:val="pl-PL"/>
              </w:rPr>
              <w:t xml:space="preserve">izboljšanje </w:t>
            </w:r>
            <w:r w:rsidRPr="00303A41">
              <w:rPr>
                <w:rFonts w:ascii="Arial" w:hAnsi="Arial"/>
                <w:lang w:val="pl-PL"/>
              </w:rPr>
              <w:t>starostne in izobrazbene strukture v kmetijstvu</w:t>
            </w:r>
            <w:r w:rsidR="00E0391B">
              <w:rPr>
                <w:rFonts w:ascii="Arial" w:hAnsi="Arial"/>
                <w:lang w:val="pl-PL"/>
              </w:rPr>
              <w:t xml:space="preserve"> ter usposobljenosti kmetov</w:t>
            </w:r>
            <w:r w:rsidRPr="00303A41">
              <w:rPr>
                <w:rFonts w:ascii="Arial" w:hAnsi="Arial"/>
                <w:lang w:val="pl-PL"/>
              </w:rPr>
              <w:t>;</w:t>
            </w:r>
          </w:p>
          <w:p w14:paraId="538BE990" w14:textId="1964D4A6" w:rsidR="00C71376" w:rsidRDefault="00E0391B" w:rsidP="006059DC">
            <w:pPr>
              <w:pStyle w:val="Odstavekseznama"/>
              <w:numPr>
                <w:ilvl w:val="0"/>
                <w:numId w:val="14"/>
              </w:numPr>
              <w:spacing w:before="0" w:line="276" w:lineRule="auto"/>
              <w:contextualSpacing/>
              <w:jc w:val="left"/>
              <w:rPr>
                <w:rFonts w:ascii="Arial" w:hAnsi="Arial"/>
                <w:lang w:val="sl-SI"/>
              </w:rPr>
            </w:pPr>
            <w:r>
              <w:rPr>
                <w:rFonts w:ascii="Arial" w:hAnsi="Arial"/>
                <w:lang w:val="sl-SI"/>
              </w:rPr>
              <w:t xml:space="preserve">hitrejši prevzem </w:t>
            </w:r>
            <w:r w:rsidR="00C71376">
              <w:rPr>
                <w:rFonts w:ascii="Arial" w:hAnsi="Arial"/>
                <w:lang w:val="sl-SI"/>
              </w:rPr>
              <w:t>novih tehnologij</w:t>
            </w:r>
            <w:r w:rsidR="00353FCD">
              <w:rPr>
                <w:rFonts w:ascii="Arial" w:hAnsi="Arial"/>
                <w:lang w:val="sl-SI"/>
              </w:rPr>
              <w:t xml:space="preserve"> in </w:t>
            </w:r>
            <w:r w:rsidR="000F3937">
              <w:rPr>
                <w:rFonts w:ascii="Arial" w:hAnsi="Arial"/>
                <w:lang w:val="sl-SI"/>
              </w:rPr>
              <w:t>digitalizacije</w:t>
            </w:r>
            <w:r w:rsidR="00C71376">
              <w:rPr>
                <w:rFonts w:ascii="Arial" w:hAnsi="Arial"/>
                <w:lang w:val="sl-SI"/>
              </w:rPr>
              <w:t>;</w:t>
            </w:r>
          </w:p>
          <w:p w14:paraId="398C109B" w14:textId="31A3E02C" w:rsidR="00C71376" w:rsidRPr="00C71376" w:rsidRDefault="006059DC" w:rsidP="006059DC">
            <w:pPr>
              <w:pStyle w:val="Odstavekseznama"/>
              <w:numPr>
                <w:ilvl w:val="0"/>
                <w:numId w:val="14"/>
              </w:numPr>
              <w:spacing w:before="0" w:line="276" w:lineRule="auto"/>
              <w:contextualSpacing/>
              <w:jc w:val="left"/>
              <w:rPr>
                <w:rFonts w:ascii="Arial" w:hAnsi="Arial"/>
                <w:lang w:val="sl-SI"/>
              </w:rPr>
            </w:pPr>
            <w:r>
              <w:rPr>
                <w:rFonts w:ascii="Arial" w:hAnsi="Arial"/>
              </w:rPr>
              <w:t xml:space="preserve">krepitev </w:t>
            </w:r>
            <w:r w:rsidR="00353FCD">
              <w:rPr>
                <w:rFonts w:ascii="Arial" w:hAnsi="Arial"/>
              </w:rPr>
              <w:t>odpornost</w:t>
            </w:r>
            <w:r>
              <w:rPr>
                <w:rFonts w:ascii="Arial" w:hAnsi="Arial"/>
              </w:rPr>
              <w:t>i</w:t>
            </w:r>
            <w:r w:rsidR="00D93A8F" w:rsidRPr="00852E36">
              <w:rPr>
                <w:rFonts w:ascii="Arial" w:hAnsi="Arial"/>
              </w:rPr>
              <w:t xml:space="preserve"> na </w:t>
            </w:r>
            <w:r w:rsidR="00C71376">
              <w:rPr>
                <w:rFonts w:ascii="Arial" w:hAnsi="Arial"/>
              </w:rPr>
              <w:t>podnebne spremembe</w:t>
            </w:r>
            <w:r w:rsidR="00353FCD">
              <w:rPr>
                <w:rFonts w:ascii="Arial" w:hAnsi="Arial"/>
              </w:rPr>
              <w:t>;</w:t>
            </w:r>
          </w:p>
          <w:p w14:paraId="5DA74524" w14:textId="6AF632D9" w:rsidR="006059DC" w:rsidRDefault="006059DC" w:rsidP="006059DC">
            <w:pPr>
              <w:pStyle w:val="Odstavekseznama"/>
              <w:numPr>
                <w:ilvl w:val="0"/>
                <w:numId w:val="14"/>
              </w:numPr>
              <w:spacing w:before="0" w:line="276" w:lineRule="auto"/>
              <w:contextualSpacing/>
              <w:rPr>
                <w:rFonts w:ascii="Arial" w:hAnsi="Arial"/>
                <w:lang w:val="sl-SI"/>
              </w:rPr>
            </w:pPr>
            <w:r>
              <w:rPr>
                <w:rFonts w:ascii="Arial" w:hAnsi="Arial"/>
                <w:lang w:val="sl-SI"/>
              </w:rPr>
              <w:t>razpoložljivost OVE in vodnih virov za namakanje;</w:t>
            </w:r>
          </w:p>
          <w:p w14:paraId="0B51EB3E" w14:textId="4C3EB680" w:rsidR="006059DC" w:rsidRDefault="00E0391B" w:rsidP="006059DC">
            <w:pPr>
              <w:pStyle w:val="Odstavekseznama"/>
              <w:numPr>
                <w:ilvl w:val="0"/>
                <w:numId w:val="14"/>
              </w:numPr>
              <w:spacing w:before="0" w:line="276" w:lineRule="auto"/>
              <w:contextualSpacing/>
              <w:jc w:val="left"/>
              <w:rPr>
                <w:rFonts w:ascii="Arial" w:hAnsi="Arial"/>
                <w:lang w:val="sl-SI"/>
              </w:rPr>
            </w:pPr>
            <w:r>
              <w:rPr>
                <w:rFonts w:ascii="Arial" w:hAnsi="Arial"/>
                <w:lang w:val="sl-SI"/>
              </w:rPr>
              <w:t xml:space="preserve">povečanje </w:t>
            </w:r>
            <w:r w:rsidR="006059DC">
              <w:rPr>
                <w:rFonts w:ascii="Arial" w:hAnsi="Arial"/>
                <w:lang w:val="sl-SI"/>
              </w:rPr>
              <w:t>tržne usmerjenosti kmetij;</w:t>
            </w:r>
          </w:p>
          <w:p w14:paraId="5C52BD4C" w14:textId="31AC8934" w:rsidR="00FD0BF3" w:rsidRDefault="00FD0BF3" w:rsidP="00FD0BF3">
            <w:pPr>
              <w:pStyle w:val="Odstavekseznama"/>
              <w:numPr>
                <w:ilvl w:val="0"/>
                <w:numId w:val="14"/>
              </w:numPr>
              <w:spacing w:before="0" w:line="276" w:lineRule="auto"/>
              <w:contextualSpacing/>
              <w:jc w:val="left"/>
              <w:rPr>
                <w:rFonts w:ascii="Arial" w:hAnsi="Arial"/>
                <w:lang w:val="sl-SI"/>
              </w:rPr>
            </w:pPr>
            <w:r>
              <w:rPr>
                <w:rFonts w:ascii="Arial" w:hAnsi="Arial"/>
                <w:lang w:val="sl-SI"/>
              </w:rPr>
              <w:t>dvig</w:t>
            </w:r>
            <w:r w:rsidRPr="007D35F1">
              <w:rPr>
                <w:rFonts w:ascii="Arial" w:hAnsi="Arial"/>
                <w:lang w:val="sl-SI"/>
              </w:rPr>
              <w:t xml:space="preserve"> dodane vrednosti </w:t>
            </w:r>
            <w:r w:rsidR="00E0391B">
              <w:rPr>
                <w:rFonts w:ascii="Arial" w:hAnsi="Arial"/>
                <w:lang w:val="sl-SI"/>
              </w:rPr>
              <w:t xml:space="preserve">kmetijskih in živilskih </w:t>
            </w:r>
            <w:r w:rsidRPr="007D35F1">
              <w:rPr>
                <w:rFonts w:ascii="Arial" w:hAnsi="Arial"/>
                <w:lang w:val="sl-SI"/>
              </w:rPr>
              <w:t>proizvodov;</w:t>
            </w:r>
          </w:p>
          <w:p w14:paraId="43186E27" w14:textId="36015257" w:rsidR="00E0391B" w:rsidRPr="00852E36" w:rsidRDefault="00E0391B" w:rsidP="00FD0BF3">
            <w:pPr>
              <w:pStyle w:val="Odstavekseznama"/>
              <w:numPr>
                <w:ilvl w:val="0"/>
                <w:numId w:val="14"/>
              </w:numPr>
              <w:spacing w:before="0" w:line="276" w:lineRule="auto"/>
              <w:contextualSpacing/>
              <w:jc w:val="left"/>
              <w:rPr>
                <w:rFonts w:ascii="Arial" w:hAnsi="Arial"/>
                <w:lang w:val="sl-SI"/>
              </w:rPr>
            </w:pPr>
            <w:r>
              <w:rPr>
                <w:rFonts w:ascii="Arial" w:hAnsi="Arial"/>
                <w:lang w:val="sl-SI"/>
              </w:rPr>
              <w:t>boljši dostop do kapitala za investiranje;</w:t>
            </w:r>
          </w:p>
          <w:p w14:paraId="2E0C38C3" w14:textId="603BE0B3" w:rsidR="006059DC" w:rsidRDefault="006059DC" w:rsidP="006059DC">
            <w:pPr>
              <w:pStyle w:val="Odstavekseznama"/>
              <w:numPr>
                <w:ilvl w:val="0"/>
                <w:numId w:val="14"/>
              </w:numPr>
              <w:spacing w:before="0" w:line="276" w:lineRule="auto"/>
              <w:contextualSpacing/>
              <w:jc w:val="left"/>
              <w:rPr>
                <w:rFonts w:ascii="Arial" w:hAnsi="Arial"/>
                <w:lang w:val="sl-SI"/>
              </w:rPr>
            </w:pPr>
            <w:r>
              <w:rPr>
                <w:rFonts w:ascii="Arial" w:hAnsi="Arial"/>
                <w:lang w:val="sl-SI"/>
              </w:rPr>
              <w:t xml:space="preserve">krepitev </w:t>
            </w:r>
            <w:r w:rsidRPr="007048A8">
              <w:rPr>
                <w:rFonts w:ascii="Arial" w:hAnsi="Arial"/>
                <w:lang w:val="sl-SI"/>
              </w:rPr>
              <w:t>povezanost</w:t>
            </w:r>
            <w:r>
              <w:rPr>
                <w:rFonts w:ascii="Arial" w:hAnsi="Arial"/>
                <w:lang w:val="sl-SI"/>
              </w:rPr>
              <w:t>i</w:t>
            </w:r>
            <w:r w:rsidRPr="007048A8">
              <w:rPr>
                <w:rFonts w:ascii="Arial" w:hAnsi="Arial"/>
                <w:lang w:val="sl-SI"/>
              </w:rPr>
              <w:t xml:space="preserve"> </w:t>
            </w:r>
            <w:r>
              <w:rPr>
                <w:rFonts w:ascii="Arial" w:hAnsi="Arial"/>
                <w:lang w:val="sl-SI"/>
              </w:rPr>
              <w:t>med vsemi členi v verigi vrednosti, zlasti pa povezave med ŽPI</w:t>
            </w:r>
            <w:r w:rsidRPr="007048A8">
              <w:rPr>
                <w:rFonts w:ascii="Arial" w:hAnsi="Arial"/>
                <w:lang w:val="sl-SI"/>
              </w:rPr>
              <w:t xml:space="preserve"> </w:t>
            </w:r>
            <w:r>
              <w:rPr>
                <w:rFonts w:ascii="Arial" w:hAnsi="Arial"/>
                <w:lang w:val="sl-SI"/>
              </w:rPr>
              <w:t>in</w:t>
            </w:r>
            <w:r w:rsidRPr="007048A8">
              <w:rPr>
                <w:rFonts w:ascii="Arial" w:hAnsi="Arial"/>
                <w:lang w:val="sl-SI"/>
              </w:rPr>
              <w:t xml:space="preserve"> kmetijstvom z vidika odkupa in predelave surovin</w:t>
            </w:r>
            <w:r w:rsidR="00E0391B">
              <w:rPr>
                <w:rFonts w:ascii="Arial" w:hAnsi="Arial"/>
                <w:lang w:val="sl-SI"/>
              </w:rPr>
              <w:t xml:space="preserve"> ter višje dodane vrednosti</w:t>
            </w:r>
            <w:r>
              <w:rPr>
                <w:rFonts w:ascii="Arial" w:hAnsi="Arial"/>
                <w:lang w:val="sl-SI"/>
              </w:rPr>
              <w:t>;</w:t>
            </w:r>
          </w:p>
          <w:p w14:paraId="748432D3" w14:textId="507C80E0" w:rsidR="005259EF" w:rsidRPr="0047652B" w:rsidRDefault="006059DC" w:rsidP="00E0391B">
            <w:pPr>
              <w:pStyle w:val="Odstavekseznama"/>
              <w:numPr>
                <w:ilvl w:val="0"/>
                <w:numId w:val="14"/>
              </w:numPr>
              <w:spacing w:before="0" w:line="276" w:lineRule="auto"/>
              <w:contextualSpacing/>
              <w:jc w:val="left"/>
              <w:rPr>
                <w:lang w:val="sl-SI"/>
              </w:rPr>
            </w:pPr>
            <w:r>
              <w:rPr>
                <w:rFonts w:ascii="Arial" w:hAnsi="Arial"/>
                <w:lang w:val="sl-SI"/>
              </w:rPr>
              <w:t>krepitev</w:t>
            </w:r>
            <w:r w:rsidR="00FD0BF3">
              <w:rPr>
                <w:rFonts w:ascii="Arial" w:hAnsi="Arial"/>
                <w:lang w:val="sl-SI"/>
              </w:rPr>
              <w:t xml:space="preserve"> in tesnejša povezanost akterjev v </w:t>
            </w:r>
            <w:r w:rsidR="0069135E">
              <w:rPr>
                <w:rFonts w:ascii="Arial" w:hAnsi="Arial"/>
                <w:lang w:val="sl-SI"/>
              </w:rPr>
              <w:t xml:space="preserve">AKIS </w:t>
            </w:r>
            <w:r w:rsidR="00FD0BF3">
              <w:rPr>
                <w:rFonts w:ascii="Arial" w:hAnsi="Arial"/>
                <w:lang w:val="sl-SI"/>
              </w:rPr>
              <w:t xml:space="preserve">za </w:t>
            </w:r>
            <w:r w:rsidR="00E0391B">
              <w:rPr>
                <w:rFonts w:ascii="Arial" w:hAnsi="Arial"/>
                <w:lang w:val="sl-SI"/>
              </w:rPr>
              <w:t>hitrejše uvajanje inovacij in znanja v kmetijsko in živilsko proizvodnjo</w:t>
            </w:r>
            <w:r w:rsidR="00AC0C12">
              <w:rPr>
                <w:rFonts w:ascii="Arial" w:hAnsi="Arial"/>
                <w:lang w:val="sl-SI"/>
              </w:rPr>
              <w:t>.</w:t>
            </w:r>
            <w:r w:rsidR="00353FCD">
              <w:rPr>
                <w:rFonts w:ascii="Arial" w:hAnsi="Arial"/>
              </w:rPr>
              <w:t xml:space="preserve"> </w:t>
            </w:r>
          </w:p>
        </w:tc>
        <w:tc>
          <w:tcPr>
            <w:tcW w:w="4553" w:type="dxa"/>
          </w:tcPr>
          <w:p w14:paraId="0E9EAE8F" w14:textId="51E1CAF6" w:rsidR="005259EF" w:rsidRPr="00852E36" w:rsidRDefault="005259EF" w:rsidP="009F3567">
            <w:pPr>
              <w:spacing w:before="0" w:line="276" w:lineRule="auto"/>
              <w:contextualSpacing/>
              <w:jc w:val="left"/>
              <w:rPr>
                <w:b/>
                <w:i/>
                <w:u w:val="single"/>
                <w:lang w:val="sl-SI"/>
              </w:rPr>
            </w:pPr>
          </w:p>
          <w:p w14:paraId="61922F01" w14:textId="77777777" w:rsidR="00E0391B" w:rsidRPr="0047652B" w:rsidRDefault="00E0391B" w:rsidP="00E0391B">
            <w:pPr>
              <w:pStyle w:val="Odstavekseznama"/>
              <w:numPr>
                <w:ilvl w:val="0"/>
                <w:numId w:val="14"/>
              </w:numPr>
              <w:spacing w:before="0" w:line="276" w:lineRule="auto"/>
              <w:jc w:val="left"/>
              <w:rPr>
                <w:rFonts w:ascii="Arial" w:hAnsi="Arial"/>
                <w:lang w:val="sl-SI"/>
              </w:rPr>
            </w:pPr>
            <w:r>
              <w:rPr>
                <w:rFonts w:ascii="Arial" w:hAnsi="Arial"/>
                <w:lang w:val="sl-SI" w:eastAsia="sl-SI"/>
              </w:rPr>
              <w:t>nestabilne gospodarske in geopolitične razmere</w:t>
            </w:r>
            <w:r w:rsidRPr="0047652B">
              <w:rPr>
                <w:rFonts w:ascii="Arial" w:hAnsi="Arial"/>
                <w:lang w:val="sl-SI" w:eastAsia="sl-SI"/>
              </w:rPr>
              <w:t>;</w:t>
            </w:r>
          </w:p>
          <w:p w14:paraId="40221D65" w14:textId="77777777" w:rsidR="00E0391B" w:rsidRDefault="00E0391B" w:rsidP="00E0391B">
            <w:pPr>
              <w:pStyle w:val="Odstavekseznama"/>
              <w:numPr>
                <w:ilvl w:val="0"/>
                <w:numId w:val="14"/>
              </w:numPr>
              <w:spacing w:before="0" w:line="276" w:lineRule="auto"/>
              <w:contextualSpacing/>
              <w:jc w:val="left"/>
              <w:rPr>
                <w:rFonts w:ascii="Arial" w:hAnsi="Arial"/>
                <w:lang w:val="sl-SI"/>
              </w:rPr>
            </w:pPr>
            <w:r>
              <w:rPr>
                <w:rFonts w:ascii="Arial" w:hAnsi="Arial"/>
                <w:lang w:val="sl-SI"/>
              </w:rPr>
              <w:t>velika</w:t>
            </w:r>
            <w:r w:rsidRPr="000D43A8">
              <w:rPr>
                <w:rFonts w:ascii="Arial" w:hAnsi="Arial"/>
                <w:lang w:val="sl-SI"/>
              </w:rPr>
              <w:t xml:space="preserve"> volatilnost na kmetijskih trgih (proizvodov in »inputov«)</w:t>
            </w:r>
            <w:r>
              <w:rPr>
                <w:rFonts w:ascii="Arial" w:hAnsi="Arial"/>
                <w:lang w:val="sl-SI"/>
              </w:rPr>
              <w:t xml:space="preserve">; </w:t>
            </w:r>
          </w:p>
          <w:p w14:paraId="77CE71F9" w14:textId="77777777" w:rsidR="00E0391B" w:rsidRPr="00852E36" w:rsidRDefault="00E0391B" w:rsidP="00E0391B">
            <w:pPr>
              <w:pStyle w:val="Odstavekseznama"/>
              <w:numPr>
                <w:ilvl w:val="0"/>
                <w:numId w:val="14"/>
              </w:numPr>
              <w:spacing w:before="0" w:line="276" w:lineRule="auto"/>
              <w:contextualSpacing/>
              <w:jc w:val="left"/>
              <w:rPr>
                <w:rFonts w:ascii="Arial" w:hAnsi="Arial"/>
                <w:lang w:val="sl-SI"/>
              </w:rPr>
            </w:pPr>
            <w:r>
              <w:rPr>
                <w:rFonts w:ascii="Arial" w:hAnsi="Arial"/>
                <w:lang w:val="sl-SI"/>
              </w:rPr>
              <w:t>v</w:t>
            </w:r>
            <w:r w:rsidRPr="000D43A8">
              <w:rPr>
                <w:rFonts w:ascii="Arial" w:hAnsi="Arial"/>
                <w:lang w:val="sl-SI"/>
              </w:rPr>
              <w:t>se pogostejše pojavljanje katastrofičnih vremenskih pojavov in klimatskih sprememb;</w:t>
            </w:r>
          </w:p>
          <w:p w14:paraId="45F745D5" w14:textId="77777777" w:rsidR="00E0391B" w:rsidRPr="005E4C5B" w:rsidRDefault="00E0391B" w:rsidP="00E0391B">
            <w:pPr>
              <w:pStyle w:val="Odstavekseznama"/>
              <w:numPr>
                <w:ilvl w:val="0"/>
                <w:numId w:val="14"/>
              </w:numPr>
              <w:spacing w:before="0" w:line="240" w:lineRule="auto"/>
              <w:contextualSpacing/>
              <w:jc w:val="left"/>
              <w:rPr>
                <w:rFonts w:ascii="Arial" w:hAnsi="Arial"/>
                <w:iCs/>
                <w:lang w:val="sl-SI"/>
              </w:rPr>
            </w:pPr>
            <w:r w:rsidRPr="005E4C5B">
              <w:rPr>
                <w:rFonts w:ascii="Arial" w:hAnsi="Arial"/>
                <w:iCs/>
                <w:lang w:val="sl-SI"/>
              </w:rPr>
              <w:t>pomanjkanje</w:t>
            </w:r>
            <w:r>
              <w:rPr>
                <w:rFonts w:ascii="Arial" w:hAnsi="Arial"/>
                <w:iCs/>
                <w:lang w:val="sl-SI"/>
              </w:rPr>
              <w:t xml:space="preserve"> kvalificirane delovne sile in </w:t>
            </w:r>
            <w:r w:rsidRPr="005E4C5B">
              <w:rPr>
                <w:rFonts w:ascii="Arial" w:hAnsi="Arial"/>
                <w:iCs/>
                <w:lang w:val="sl-SI"/>
              </w:rPr>
              <w:t>interesa za kmetovanje;</w:t>
            </w:r>
          </w:p>
          <w:p w14:paraId="3A3ED745" w14:textId="77777777" w:rsidR="00E0391B" w:rsidRDefault="00E0391B" w:rsidP="00E0391B">
            <w:pPr>
              <w:pStyle w:val="Odstavekseznama"/>
              <w:numPr>
                <w:ilvl w:val="0"/>
                <w:numId w:val="14"/>
              </w:numPr>
              <w:spacing w:before="0" w:line="276" w:lineRule="auto"/>
              <w:contextualSpacing/>
              <w:jc w:val="left"/>
              <w:rPr>
                <w:rFonts w:ascii="Arial" w:hAnsi="Arial"/>
                <w:lang w:val="sl-SI"/>
              </w:rPr>
            </w:pPr>
            <w:r>
              <w:rPr>
                <w:rFonts w:ascii="Arial" w:hAnsi="Arial"/>
                <w:lang w:val="sl-SI"/>
              </w:rPr>
              <w:t xml:space="preserve">opuščanje kmetijstva na OMD; </w:t>
            </w:r>
          </w:p>
          <w:p w14:paraId="17D53235" w14:textId="77777777" w:rsidR="00E0391B" w:rsidRPr="00852E36" w:rsidRDefault="00E0391B" w:rsidP="00E0391B">
            <w:pPr>
              <w:pStyle w:val="Odstavekseznama"/>
              <w:numPr>
                <w:ilvl w:val="0"/>
                <w:numId w:val="14"/>
              </w:numPr>
              <w:spacing w:before="0" w:line="276" w:lineRule="auto"/>
              <w:contextualSpacing/>
              <w:jc w:val="left"/>
              <w:rPr>
                <w:rFonts w:ascii="Arial" w:hAnsi="Arial"/>
                <w:lang w:val="sl-SI"/>
              </w:rPr>
            </w:pPr>
            <w:r>
              <w:rPr>
                <w:rFonts w:ascii="Arial" w:hAnsi="Arial"/>
                <w:iCs/>
                <w:lang w:val="sl-SI"/>
              </w:rPr>
              <w:t xml:space="preserve">omejen dostop do </w:t>
            </w:r>
            <w:r>
              <w:rPr>
                <w:rFonts w:ascii="Arial" w:hAnsi="Arial"/>
                <w:lang w:val="sl-SI"/>
              </w:rPr>
              <w:t>KZU;</w:t>
            </w:r>
          </w:p>
          <w:p w14:paraId="68F3E14F" w14:textId="77777777" w:rsidR="00E0391B" w:rsidRDefault="00E0391B" w:rsidP="00E0391B">
            <w:pPr>
              <w:pStyle w:val="Odstavekseznama"/>
              <w:numPr>
                <w:ilvl w:val="0"/>
                <w:numId w:val="14"/>
              </w:numPr>
              <w:spacing w:before="0" w:line="276" w:lineRule="auto"/>
              <w:contextualSpacing/>
              <w:jc w:val="left"/>
              <w:rPr>
                <w:rFonts w:ascii="Arial" w:hAnsi="Arial"/>
                <w:lang w:val="sl-SI"/>
              </w:rPr>
            </w:pPr>
            <w:r>
              <w:rPr>
                <w:rFonts w:ascii="Arial" w:hAnsi="Arial"/>
                <w:lang w:val="sl-SI"/>
              </w:rPr>
              <w:t>omejen dostop do kapitala;</w:t>
            </w:r>
          </w:p>
          <w:p w14:paraId="6F178D88" w14:textId="77777777" w:rsidR="00E0391B" w:rsidRDefault="00E0391B" w:rsidP="00E0391B">
            <w:pPr>
              <w:pStyle w:val="Odstavekseznama"/>
              <w:numPr>
                <w:ilvl w:val="0"/>
                <w:numId w:val="14"/>
              </w:numPr>
              <w:spacing w:before="0" w:line="276" w:lineRule="auto"/>
              <w:contextualSpacing/>
              <w:jc w:val="left"/>
              <w:rPr>
                <w:rFonts w:ascii="Arial" w:hAnsi="Arial"/>
                <w:lang w:val="sl-SI"/>
              </w:rPr>
            </w:pPr>
            <w:r>
              <w:rPr>
                <w:rFonts w:ascii="Arial" w:hAnsi="Arial"/>
                <w:lang w:val="sl-SI"/>
              </w:rPr>
              <w:t>prepočasna rast dodane vrednosti v kmetijstvu in ŽPI</w:t>
            </w:r>
          </w:p>
          <w:p w14:paraId="759D8194" w14:textId="77777777" w:rsidR="00E0391B" w:rsidRDefault="00E0391B" w:rsidP="00E0391B">
            <w:pPr>
              <w:pStyle w:val="Odstavekseznama"/>
              <w:numPr>
                <w:ilvl w:val="0"/>
                <w:numId w:val="14"/>
              </w:numPr>
              <w:spacing w:before="0" w:line="276" w:lineRule="auto"/>
              <w:contextualSpacing/>
              <w:jc w:val="left"/>
              <w:rPr>
                <w:rFonts w:ascii="Arial" w:hAnsi="Arial"/>
                <w:lang w:val="sl-SI"/>
              </w:rPr>
            </w:pPr>
            <w:r>
              <w:rPr>
                <w:rFonts w:ascii="Arial" w:hAnsi="Arial"/>
                <w:lang w:val="sl-SI"/>
              </w:rPr>
              <w:t xml:space="preserve">prepočasen prenos znanja, novih tehnologij in uvajanje digitalizacije  </w:t>
            </w:r>
          </w:p>
          <w:p w14:paraId="654E1175" w14:textId="4B3F81F9" w:rsidR="005E5706" w:rsidRDefault="005E5706" w:rsidP="006249A0">
            <w:pPr>
              <w:spacing w:before="0" w:line="276" w:lineRule="auto"/>
              <w:contextualSpacing/>
              <w:jc w:val="left"/>
              <w:rPr>
                <w:lang w:val="sl-SI"/>
              </w:rPr>
            </w:pPr>
          </w:p>
          <w:p w14:paraId="5E6A0F29" w14:textId="77777777" w:rsidR="00E0391B" w:rsidRPr="005E5706" w:rsidRDefault="00E0391B" w:rsidP="006249A0">
            <w:pPr>
              <w:spacing w:before="0" w:line="276" w:lineRule="auto"/>
              <w:contextualSpacing/>
              <w:jc w:val="left"/>
              <w:rPr>
                <w:lang w:val="sl-SI"/>
              </w:rPr>
            </w:pPr>
          </w:p>
          <w:p w14:paraId="6BD0BE01" w14:textId="6EDC9079" w:rsidR="005259EF" w:rsidRPr="0047652B" w:rsidRDefault="005259EF" w:rsidP="006249A0">
            <w:pPr>
              <w:pStyle w:val="Odstavekseznama"/>
              <w:spacing w:before="0" w:line="276" w:lineRule="auto"/>
              <w:ind w:left="360"/>
              <w:contextualSpacing/>
              <w:jc w:val="left"/>
              <w:rPr>
                <w:lang w:val="sl-SI"/>
              </w:rPr>
            </w:pPr>
          </w:p>
        </w:tc>
      </w:tr>
    </w:tbl>
    <w:p w14:paraId="66A774A2" w14:textId="77777777" w:rsidR="00D13A1B" w:rsidRPr="00852E36" w:rsidRDefault="00D13A1B" w:rsidP="009F3567">
      <w:pPr>
        <w:pStyle w:val="ZPtekst"/>
        <w:spacing w:before="0" w:line="276" w:lineRule="auto"/>
        <w:rPr>
          <w:b/>
          <w:sz w:val="20"/>
          <w:szCs w:val="20"/>
        </w:rPr>
      </w:pPr>
    </w:p>
    <w:p w14:paraId="41324C1C" w14:textId="77777777" w:rsidR="00D13A1B" w:rsidRPr="00852E36" w:rsidRDefault="00D13A1B" w:rsidP="009F3567">
      <w:pPr>
        <w:pStyle w:val="ZPtekst"/>
        <w:spacing w:before="0" w:line="276" w:lineRule="auto"/>
        <w:rPr>
          <w:b/>
          <w:sz w:val="20"/>
          <w:szCs w:val="20"/>
        </w:rPr>
      </w:pPr>
    </w:p>
    <w:p w14:paraId="5D7B1FC5" w14:textId="77777777" w:rsidR="00852A1D" w:rsidRDefault="00D13A1B" w:rsidP="009F3567">
      <w:pPr>
        <w:pStyle w:val="ZPtekst"/>
        <w:keepNext/>
        <w:keepLines/>
        <w:spacing w:before="0" w:line="276" w:lineRule="auto"/>
        <w:rPr>
          <w:b/>
          <w:sz w:val="20"/>
          <w:szCs w:val="20"/>
        </w:rPr>
      </w:pPr>
      <w:r w:rsidRPr="00852E36">
        <w:rPr>
          <w:b/>
          <w:sz w:val="20"/>
          <w:szCs w:val="20"/>
        </w:rPr>
        <w:t>Analiza SWOT za gozdarstvo</w:t>
      </w:r>
    </w:p>
    <w:p w14:paraId="568980B0" w14:textId="77777777" w:rsidR="00852A1D" w:rsidRDefault="00852A1D" w:rsidP="009F3567">
      <w:pPr>
        <w:pStyle w:val="ZPtekst"/>
        <w:keepNext/>
        <w:keepLines/>
        <w:spacing w:before="0" w:line="276" w:lineRule="auto"/>
        <w:rPr>
          <w:b/>
          <w:sz w:val="20"/>
          <w:szCs w:val="20"/>
        </w:rPr>
      </w:pPr>
    </w:p>
    <w:tbl>
      <w:tblPr>
        <w:tblStyle w:val="Tabelamrea"/>
        <w:tblW w:w="5000" w:type="pct"/>
        <w:tblLook w:val="04A0" w:firstRow="1" w:lastRow="0" w:firstColumn="1" w:lastColumn="0" w:noHBand="0" w:noVBand="1"/>
      </w:tblPr>
      <w:tblGrid>
        <w:gridCol w:w="4355"/>
        <w:gridCol w:w="4707"/>
      </w:tblGrid>
      <w:tr w:rsidR="00852A1D" w14:paraId="599290E1" w14:textId="77777777" w:rsidTr="009A311B">
        <w:tc>
          <w:tcPr>
            <w:tcW w:w="2403" w:type="pct"/>
            <w:tcBorders>
              <w:top w:val="single" w:sz="4" w:space="0" w:color="auto"/>
              <w:left w:val="single" w:sz="4" w:space="0" w:color="auto"/>
              <w:bottom w:val="single" w:sz="4" w:space="0" w:color="auto"/>
              <w:right w:val="single" w:sz="4" w:space="0" w:color="auto"/>
            </w:tcBorders>
            <w:shd w:val="clear" w:color="auto" w:fill="00B050"/>
            <w:hideMark/>
          </w:tcPr>
          <w:p w14:paraId="1CE0A9C4" w14:textId="77777777" w:rsidR="00852A1D" w:rsidRDefault="00852A1D" w:rsidP="009A311B">
            <w:pPr>
              <w:keepNext/>
              <w:keepLines/>
              <w:rPr>
                <w:b/>
                <w:szCs w:val="20"/>
              </w:rPr>
            </w:pPr>
            <w:r>
              <w:rPr>
                <w:b/>
                <w:szCs w:val="20"/>
              </w:rPr>
              <w:t>PREDNOSTI</w:t>
            </w:r>
          </w:p>
        </w:tc>
        <w:tc>
          <w:tcPr>
            <w:tcW w:w="2597" w:type="pct"/>
            <w:tcBorders>
              <w:top w:val="single" w:sz="4" w:space="0" w:color="auto"/>
              <w:left w:val="single" w:sz="4" w:space="0" w:color="auto"/>
              <w:bottom w:val="single" w:sz="4" w:space="0" w:color="auto"/>
              <w:right w:val="single" w:sz="4" w:space="0" w:color="auto"/>
            </w:tcBorders>
            <w:shd w:val="clear" w:color="auto" w:fill="FFC000"/>
            <w:hideMark/>
          </w:tcPr>
          <w:p w14:paraId="71DD805E" w14:textId="77777777" w:rsidR="00852A1D" w:rsidRDefault="00852A1D" w:rsidP="009A311B">
            <w:pPr>
              <w:keepNext/>
              <w:keepLines/>
              <w:rPr>
                <w:b/>
                <w:szCs w:val="20"/>
              </w:rPr>
            </w:pPr>
            <w:r>
              <w:rPr>
                <w:b/>
                <w:szCs w:val="20"/>
              </w:rPr>
              <w:t>SLABOSTI</w:t>
            </w:r>
          </w:p>
        </w:tc>
      </w:tr>
      <w:tr w:rsidR="00852A1D" w14:paraId="2E61AB83" w14:textId="77777777" w:rsidTr="009A311B">
        <w:tc>
          <w:tcPr>
            <w:tcW w:w="2403" w:type="pct"/>
            <w:tcBorders>
              <w:top w:val="single" w:sz="4" w:space="0" w:color="auto"/>
              <w:left w:val="single" w:sz="4" w:space="0" w:color="auto"/>
              <w:bottom w:val="single" w:sz="4" w:space="0" w:color="auto"/>
              <w:right w:val="single" w:sz="4" w:space="0" w:color="auto"/>
            </w:tcBorders>
          </w:tcPr>
          <w:p w14:paraId="66CCF5F5" w14:textId="77777777" w:rsidR="00852A1D" w:rsidRDefault="00852A1D" w:rsidP="00852A1D">
            <w:pPr>
              <w:pStyle w:val="Odstavekseznama"/>
              <w:keepNext/>
              <w:keepLines/>
              <w:numPr>
                <w:ilvl w:val="0"/>
                <w:numId w:val="14"/>
              </w:numPr>
              <w:spacing w:before="0" w:line="240" w:lineRule="auto"/>
              <w:contextualSpacing/>
              <w:jc w:val="left"/>
              <w:rPr>
                <w:rFonts w:ascii="Arial" w:hAnsi="Arial"/>
                <w:lang w:val="pl-PL"/>
              </w:rPr>
            </w:pPr>
            <w:r>
              <w:rPr>
                <w:rFonts w:ascii="Arial" w:hAnsi="Arial"/>
                <w:lang w:val="pl-PL"/>
              </w:rPr>
              <w:t>tradicija trajnostnega, večnamenskega in sonaravnega gospodarjenja z gozdovi</w:t>
            </w:r>
          </w:p>
          <w:p w14:paraId="60049942" w14:textId="77777777" w:rsidR="00852A1D" w:rsidRDefault="00852A1D" w:rsidP="00852A1D">
            <w:pPr>
              <w:pStyle w:val="Odstavekseznama"/>
              <w:keepNext/>
              <w:keepLines/>
              <w:numPr>
                <w:ilvl w:val="0"/>
                <w:numId w:val="14"/>
              </w:numPr>
              <w:spacing w:before="0" w:line="240" w:lineRule="auto"/>
              <w:contextualSpacing/>
              <w:jc w:val="left"/>
              <w:rPr>
                <w:rFonts w:ascii="Arial" w:hAnsi="Arial"/>
                <w:lang w:val="pl-PL"/>
              </w:rPr>
            </w:pPr>
            <w:r>
              <w:rPr>
                <w:rFonts w:ascii="Arial" w:hAnsi="Arial"/>
                <w:lang w:val="pl-PL"/>
              </w:rPr>
              <w:t xml:space="preserve">Slovenija ima ohranjene gozdove s primerno lesno zalogo in prirastkom. </w:t>
            </w:r>
          </w:p>
          <w:p w14:paraId="2B787057" w14:textId="77777777" w:rsidR="00852A1D" w:rsidRDefault="00852A1D" w:rsidP="009A311B">
            <w:pPr>
              <w:pStyle w:val="Odstavekseznama"/>
              <w:keepNext/>
              <w:keepLines/>
              <w:ind w:left="360"/>
              <w:jc w:val="left"/>
              <w:rPr>
                <w:rFonts w:ascii="Arial" w:hAnsi="Arial"/>
              </w:rPr>
            </w:pPr>
          </w:p>
        </w:tc>
        <w:tc>
          <w:tcPr>
            <w:tcW w:w="2597" w:type="pct"/>
            <w:tcBorders>
              <w:top w:val="single" w:sz="4" w:space="0" w:color="auto"/>
              <w:left w:val="single" w:sz="4" w:space="0" w:color="auto"/>
              <w:bottom w:val="single" w:sz="4" w:space="0" w:color="auto"/>
              <w:right w:val="single" w:sz="4" w:space="0" w:color="auto"/>
            </w:tcBorders>
          </w:tcPr>
          <w:p w14:paraId="467A7AA5" w14:textId="77777777" w:rsidR="00852A1D" w:rsidRDefault="00852A1D" w:rsidP="00852A1D">
            <w:pPr>
              <w:pStyle w:val="Odstavekseznama"/>
              <w:keepNext/>
              <w:keepLines/>
              <w:numPr>
                <w:ilvl w:val="0"/>
                <w:numId w:val="3"/>
              </w:numPr>
              <w:spacing w:before="0" w:line="240" w:lineRule="auto"/>
              <w:contextualSpacing/>
              <w:jc w:val="left"/>
              <w:rPr>
                <w:rFonts w:ascii="Arial" w:hAnsi="Arial"/>
              </w:rPr>
            </w:pPr>
            <w:r>
              <w:rPr>
                <w:rFonts w:ascii="Arial" w:hAnsi="Arial"/>
              </w:rPr>
              <w:t>majhna in razdrobljena gozdna posest, ki ovira učinkovito gospodarjenje;</w:t>
            </w:r>
          </w:p>
          <w:p w14:paraId="63BFD8E4" w14:textId="77777777" w:rsidR="00852A1D" w:rsidRDefault="00852A1D" w:rsidP="00852A1D">
            <w:pPr>
              <w:pStyle w:val="Odstavekseznama"/>
              <w:keepNext/>
              <w:keepLines/>
              <w:numPr>
                <w:ilvl w:val="0"/>
                <w:numId w:val="3"/>
              </w:numPr>
              <w:spacing w:before="0" w:line="240" w:lineRule="auto"/>
              <w:contextualSpacing/>
              <w:jc w:val="left"/>
              <w:rPr>
                <w:rFonts w:ascii="Arial" w:hAnsi="Arial"/>
              </w:rPr>
            </w:pPr>
            <w:r>
              <w:rPr>
                <w:rFonts w:ascii="Arial" w:hAnsi="Arial"/>
              </w:rPr>
              <w:t>zastarela in neučinkovita gozdarska mehanizacija;</w:t>
            </w:r>
          </w:p>
          <w:p w14:paraId="51F09192" w14:textId="77777777" w:rsidR="00852A1D" w:rsidRDefault="00852A1D" w:rsidP="00852A1D">
            <w:pPr>
              <w:pStyle w:val="Odstavekseznama"/>
              <w:keepNext/>
              <w:keepLines/>
              <w:numPr>
                <w:ilvl w:val="0"/>
                <w:numId w:val="3"/>
              </w:numPr>
              <w:spacing w:before="0" w:line="240" w:lineRule="auto"/>
              <w:contextualSpacing/>
              <w:jc w:val="left"/>
              <w:rPr>
                <w:rFonts w:ascii="Arial" w:hAnsi="Arial"/>
              </w:rPr>
            </w:pPr>
            <w:r>
              <w:rPr>
                <w:rFonts w:ascii="Arial" w:hAnsi="Arial"/>
              </w:rPr>
              <w:t>veliko število delovnih nesreč pri delu v gozdu;</w:t>
            </w:r>
          </w:p>
          <w:p w14:paraId="150D79B7" w14:textId="77777777" w:rsidR="00852A1D" w:rsidRDefault="00852A1D" w:rsidP="00852A1D">
            <w:pPr>
              <w:pStyle w:val="Odstavekseznama"/>
              <w:keepNext/>
              <w:keepLines/>
              <w:numPr>
                <w:ilvl w:val="0"/>
                <w:numId w:val="3"/>
              </w:numPr>
              <w:spacing w:before="0" w:line="240" w:lineRule="auto"/>
              <w:contextualSpacing/>
              <w:jc w:val="left"/>
              <w:rPr>
                <w:rFonts w:ascii="Arial" w:eastAsia="TimesNewRoman" w:hAnsi="Arial"/>
                <w:lang w:eastAsia="sl-SI"/>
              </w:rPr>
            </w:pPr>
            <w:r>
              <w:rPr>
                <w:rFonts w:ascii="Arial" w:eastAsia="TimesNewRoman" w:hAnsi="Arial"/>
                <w:lang w:eastAsia="sl-SI"/>
              </w:rPr>
              <w:t>pomanjkanje zadostne količine gozdnega reprodukcijskega materiala.</w:t>
            </w:r>
          </w:p>
          <w:p w14:paraId="410315A1" w14:textId="77777777" w:rsidR="00852A1D" w:rsidRDefault="00852A1D" w:rsidP="009A311B">
            <w:pPr>
              <w:keepNext/>
              <w:keepLines/>
              <w:rPr>
                <w:rFonts w:eastAsia="TimesNewRoman"/>
                <w:lang w:eastAsia="sl-SI"/>
              </w:rPr>
            </w:pPr>
          </w:p>
        </w:tc>
      </w:tr>
      <w:tr w:rsidR="00852A1D" w14:paraId="3E0E901D" w14:textId="77777777" w:rsidTr="009A311B">
        <w:tc>
          <w:tcPr>
            <w:tcW w:w="2403" w:type="pct"/>
            <w:tcBorders>
              <w:top w:val="single" w:sz="4" w:space="0" w:color="auto"/>
              <w:left w:val="single" w:sz="4" w:space="0" w:color="auto"/>
              <w:bottom w:val="single" w:sz="4" w:space="0" w:color="auto"/>
              <w:right w:val="single" w:sz="4" w:space="0" w:color="auto"/>
            </w:tcBorders>
            <w:shd w:val="clear" w:color="auto" w:fill="00B050"/>
            <w:hideMark/>
          </w:tcPr>
          <w:p w14:paraId="73FD9B40" w14:textId="77777777" w:rsidR="00852A1D" w:rsidRDefault="00852A1D" w:rsidP="009A311B">
            <w:pPr>
              <w:rPr>
                <w:b/>
                <w:szCs w:val="20"/>
              </w:rPr>
            </w:pPr>
            <w:r>
              <w:rPr>
                <w:b/>
                <w:szCs w:val="20"/>
              </w:rPr>
              <w:t>PRILOŽNOSTI</w:t>
            </w:r>
          </w:p>
        </w:tc>
        <w:tc>
          <w:tcPr>
            <w:tcW w:w="2597" w:type="pct"/>
            <w:tcBorders>
              <w:top w:val="single" w:sz="4" w:space="0" w:color="auto"/>
              <w:left w:val="single" w:sz="4" w:space="0" w:color="auto"/>
              <w:bottom w:val="single" w:sz="4" w:space="0" w:color="auto"/>
              <w:right w:val="single" w:sz="4" w:space="0" w:color="auto"/>
            </w:tcBorders>
            <w:shd w:val="clear" w:color="auto" w:fill="FFC000"/>
            <w:hideMark/>
          </w:tcPr>
          <w:p w14:paraId="6339DE35" w14:textId="77777777" w:rsidR="00852A1D" w:rsidRDefault="00852A1D" w:rsidP="009A311B">
            <w:pPr>
              <w:rPr>
                <w:b/>
                <w:szCs w:val="20"/>
              </w:rPr>
            </w:pPr>
            <w:r>
              <w:rPr>
                <w:b/>
                <w:szCs w:val="20"/>
              </w:rPr>
              <w:t>NEVARNOSTI</w:t>
            </w:r>
          </w:p>
        </w:tc>
      </w:tr>
      <w:tr w:rsidR="00852A1D" w14:paraId="6CFFAC34" w14:textId="77777777" w:rsidTr="009A311B">
        <w:tc>
          <w:tcPr>
            <w:tcW w:w="2403" w:type="pct"/>
            <w:tcBorders>
              <w:top w:val="single" w:sz="4" w:space="0" w:color="auto"/>
              <w:left w:val="single" w:sz="4" w:space="0" w:color="auto"/>
              <w:bottom w:val="single" w:sz="4" w:space="0" w:color="auto"/>
              <w:right w:val="single" w:sz="4" w:space="0" w:color="auto"/>
            </w:tcBorders>
          </w:tcPr>
          <w:p w14:paraId="4FBB81D9"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povečanje odprtosti gozdov z gozdnimi prometnicami;</w:t>
            </w:r>
          </w:p>
          <w:p w14:paraId="67714F73"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profesionalizacija dela v gozdovih uvajanje učinkovite in okoljsko sprejemljive tehnologije za delo v gozdu;</w:t>
            </w:r>
          </w:p>
          <w:p w14:paraId="0101E505"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povečanje učinkovitosti in varnosti pri delu v gozdu;</w:t>
            </w:r>
          </w:p>
          <w:p w14:paraId="40BB960E"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vzpostavitev ustrezno velikih in modernizacija obstoječih obratov za primarno predelavo lesa in lesnih ostankov;</w:t>
            </w:r>
          </w:p>
          <w:p w14:paraId="77787B7D"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 xml:space="preserve">možnost povečanja realiziranega poseka; </w:t>
            </w:r>
          </w:p>
          <w:p w14:paraId="64265EFF" w14:textId="77777777" w:rsidR="00852A1D" w:rsidRDefault="00852A1D" w:rsidP="00852A1D">
            <w:pPr>
              <w:pStyle w:val="Odstavekseznama"/>
              <w:numPr>
                <w:ilvl w:val="0"/>
                <w:numId w:val="3"/>
              </w:numPr>
              <w:spacing w:before="0" w:line="240" w:lineRule="auto"/>
              <w:contextualSpacing/>
              <w:jc w:val="left"/>
              <w:rPr>
                <w:rFonts w:ascii="Arial" w:eastAsia="TimesNewRoman" w:hAnsi="Arial"/>
              </w:rPr>
            </w:pPr>
            <w:r>
              <w:rPr>
                <w:rFonts w:ascii="Arial" w:hAnsi="Arial"/>
              </w:rPr>
              <w:t>intenziviranje gospodarjenja z gozdovi;</w:t>
            </w:r>
          </w:p>
          <w:p w14:paraId="2F174EC1" w14:textId="77777777" w:rsidR="00852A1D" w:rsidRDefault="00852A1D" w:rsidP="00852A1D">
            <w:pPr>
              <w:pStyle w:val="Odstavekseznama"/>
              <w:numPr>
                <w:ilvl w:val="0"/>
                <w:numId w:val="3"/>
              </w:numPr>
              <w:spacing w:before="0" w:line="240" w:lineRule="auto"/>
              <w:contextualSpacing/>
              <w:jc w:val="left"/>
              <w:rPr>
                <w:rFonts w:ascii="Arial" w:eastAsia="TimesNewRoman" w:hAnsi="Arial"/>
              </w:rPr>
            </w:pPr>
            <w:r>
              <w:rPr>
                <w:rFonts w:ascii="Arial" w:eastAsia="TimesNewRoman" w:hAnsi="Arial"/>
              </w:rPr>
              <w:t>vzpostavitev in razvoj mreže gozdnih drevesnic za vzgojo zadostne količine sadik gozdnega drevja.</w:t>
            </w:r>
          </w:p>
          <w:p w14:paraId="2C350E18" w14:textId="77777777" w:rsidR="00852A1D" w:rsidRDefault="00852A1D" w:rsidP="009A311B">
            <w:pPr>
              <w:pStyle w:val="Odstavekseznama"/>
              <w:ind w:left="360"/>
              <w:rPr>
                <w:rFonts w:ascii="Arial" w:eastAsia="TimesNewRoman" w:hAnsi="Arial"/>
              </w:rPr>
            </w:pPr>
          </w:p>
        </w:tc>
        <w:tc>
          <w:tcPr>
            <w:tcW w:w="2597" w:type="pct"/>
            <w:tcBorders>
              <w:top w:val="single" w:sz="4" w:space="0" w:color="auto"/>
              <w:left w:val="single" w:sz="4" w:space="0" w:color="auto"/>
              <w:bottom w:val="single" w:sz="4" w:space="0" w:color="auto"/>
              <w:right w:val="single" w:sz="4" w:space="0" w:color="auto"/>
            </w:tcBorders>
            <w:hideMark/>
          </w:tcPr>
          <w:p w14:paraId="0A6A693E" w14:textId="77777777" w:rsidR="00852A1D" w:rsidRDefault="00852A1D" w:rsidP="00852A1D">
            <w:pPr>
              <w:pStyle w:val="Odstavekseznama"/>
              <w:numPr>
                <w:ilvl w:val="0"/>
                <w:numId w:val="3"/>
              </w:numPr>
              <w:spacing w:before="0" w:line="240" w:lineRule="auto"/>
              <w:contextualSpacing/>
              <w:jc w:val="left"/>
              <w:rPr>
                <w:rFonts w:ascii="Arial" w:hAnsi="Arial"/>
              </w:rPr>
            </w:pPr>
            <w:r>
              <w:rPr>
                <w:rFonts w:ascii="Arial" w:hAnsi="Arial"/>
              </w:rPr>
              <w:t>naraščanje negativnih vplivov podnebnih sprememb, večja pogostost ekstremnih vremenskih dogodkov;</w:t>
            </w:r>
          </w:p>
          <w:p w14:paraId="2F541DAE" w14:textId="77777777" w:rsidR="00852A1D" w:rsidRDefault="00852A1D" w:rsidP="00852A1D">
            <w:pPr>
              <w:pStyle w:val="Odstavekseznama"/>
              <w:numPr>
                <w:ilvl w:val="0"/>
                <w:numId w:val="3"/>
              </w:numPr>
              <w:spacing w:before="0" w:line="240" w:lineRule="auto"/>
              <w:contextualSpacing/>
              <w:jc w:val="left"/>
              <w:rPr>
                <w:rFonts w:ascii="Arial" w:hAnsi="Arial"/>
                <w:lang w:eastAsia="sl-SI"/>
              </w:rPr>
            </w:pPr>
            <w:r>
              <w:rPr>
                <w:rFonts w:ascii="Arial" w:hAnsi="Arial"/>
              </w:rPr>
              <w:t>višanje števila nesreč pri delu v gozdu z višanjem količin poseka;</w:t>
            </w:r>
          </w:p>
          <w:p w14:paraId="490371DB" w14:textId="77777777" w:rsidR="00852A1D" w:rsidRDefault="00852A1D" w:rsidP="00852A1D">
            <w:pPr>
              <w:pStyle w:val="Odstavekseznama"/>
              <w:numPr>
                <w:ilvl w:val="0"/>
                <w:numId w:val="3"/>
              </w:numPr>
              <w:spacing w:before="0" w:line="240" w:lineRule="auto"/>
              <w:contextualSpacing/>
              <w:jc w:val="left"/>
              <w:rPr>
                <w:rFonts w:ascii="Arial" w:hAnsi="Arial"/>
                <w:lang w:eastAsia="sl-SI"/>
              </w:rPr>
            </w:pPr>
            <w:r>
              <w:rPr>
                <w:rFonts w:ascii="Arial" w:hAnsi="Arial"/>
              </w:rPr>
              <w:t>zmanjševanje strokovnih kriterijev za pridobivanje, primernost, proizvodnjo in dobavo GRM zaradi pomanjkanja le-tega;</w:t>
            </w:r>
          </w:p>
          <w:p w14:paraId="2433A9A4" w14:textId="77777777" w:rsidR="00852A1D" w:rsidRDefault="00852A1D" w:rsidP="00852A1D">
            <w:pPr>
              <w:pStyle w:val="Odstavekseznama"/>
              <w:numPr>
                <w:ilvl w:val="0"/>
                <w:numId w:val="3"/>
              </w:numPr>
              <w:spacing w:before="0" w:line="240" w:lineRule="auto"/>
              <w:contextualSpacing/>
              <w:jc w:val="left"/>
              <w:rPr>
                <w:rFonts w:ascii="Arial" w:hAnsi="Arial"/>
                <w:lang w:eastAsia="sl-SI"/>
              </w:rPr>
            </w:pPr>
            <w:r>
              <w:rPr>
                <w:rFonts w:ascii="Arial" w:hAnsi="Arial"/>
              </w:rPr>
              <w:t>povečevanje zahtev po uvozu rastišču neprimernega GRM za uporabo v slovenskih gozdovih.</w:t>
            </w:r>
          </w:p>
        </w:tc>
      </w:tr>
    </w:tbl>
    <w:p w14:paraId="419E9F2B" w14:textId="326347C1" w:rsidR="00D13A1B" w:rsidRDefault="00D13A1B" w:rsidP="009F3567">
      <w:pPr>
        <w:pStyle w:val="ZPtekst"/>
        <w:keepNext/>
        <w:keepLines/>
        <w:spacing w:before="0" w:line="276" w:lineRule="auto"/>
        <w:rPr>
          <w:b/>
          <w:sz w:val="20"/>
          <w:szCs w:val="20"/>
        </w:rPr>
      </w:pPr>
    </w:p>
    <w:p w14:paraId="2DDE1159" w14:textId="47181B73" w:rsidR="00ED35F3" w:rsidRPr="00ED35F3" w:rsidRDefault="00ED35F3" w:rsidP="00ED35F3">
      <w:pPr>
        <w:pStyle w:val="Naslov1"/>
        <w:spacing w:line="276" w:lineRule="auto"/>
        <w:sectPr w:rsidR="00ED35F3" w:rsidRPr="00ED35F3" w:rsidSect="00E7214B">
          <w:footerReference w:type="default" r:id="rId178"/>
          <w:pgSz w:w="11906" w:h="16838"/>
          <w:pgMar w:top="1417" w:right="1417" w:bottom="1417" w:left="1417" w:header="708" w:footer="708" w:gutter="0"/>
          <w:cols w:space="708"/>
          <w:docGrid w:linePitch="360"/>
        </w:sectPr>
      </w:pPr>
      <w:bookmarkStart w:id="5995" w:name="_Toc529965151"/>
      <w:bookmarkStart w:id="5996" w:name="_Toc531934836"/>
    </w:p>
    <w:p w14:paraId="2B12EB24" w14:textId="77777777" w:rsidR="00F51EFF" w:rsidRPr="00B071E9" w:rsidRDefault="00F51EFF" w:rsidP="003730FA">
      <w:pPr>
        <w:spacing w:before="0" w:line="276" w:lineRule="auto"/>
        <w:rPr>
          <w:b/>
          <w:szCs w:val="22"/>
        </w:rPr>
      </w:pPr>
      <w:bookmarkStart w:id="5997" w:name="_Toc40959321"/>
      <w:bookmarkEnd w:id="5995"/>
      <w:bookmarkEnd w:id="5996"/>
      <w:bookmarkEnd w:id="5997"/>
    </w:p>
    <w:sectPr w:rsidR="00F51EFF" w:rsidRPr="00B071E9" w:rsidSect="00F66C90">
      <w:pgSz w:w="16838" w:h="11906" w:orient="landscape"/>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6B3F" w16cex:dateUtc="2020-09-28T12:01:00Z"/>
  <w16cex:commentExtensible w16cex:durableId="231C6CCA" w16cex:dateUtc="2020-09-28T12:08:00Z"/>
  <w16cex:commentExtensible w16cex:durableId="231C61FA" w16cex:dateUtc="2020-09-28T11:22:00Z"/>
  <w16cex:commentExtensible w16cex:durableId="231C62AA" w16cex:dateUtc="2020-09-28T11:24:00Z"/>
  <w16cex:commentExtensible w16cex:durableId="231C6366" w16cex:dateUtc="2020-09-28T11:28:00Z"/>
  <w16cex:commentExtensible w16cex:durableId="231C6A8B" w16cex:dateUtc="2020-09-28T11:58:00Z"/>
  <w16cex:commentExtensible w16cex:durableId="231C6AB2" w16cex:dateUtc="2020-09-28T11:59:00Z"/>
  <w16cex:commentExtensible w16cex:durableId="231C6BED" w16cex:dateUtc="2020-09-28T12:04:00Z"/>
  <w16cex:commentExtensible w16cex:durableId="231C6C93" w16cex:dateUtc="2020-09-28T12:07:00Z"/>
  <w16cex:commentExtensible w16cex:durableId="231C6D67" w16cex:dateUtc="2020-09-28T12:10:00Z"/>
  <w16cex:commentExtensible w16cex:durableId="231C6DC4" w16cex:dateUtc="2020-09-28T12:12:00Z"/>
  <w16cex:commentExtensible w16cex:durableId="231C6E95" w16cex:dateUtc="2020-09-28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AC25B8" w16cid:durableId="231C58EA"/>
  <w16cid:commentId w16cid:paraId="2E43FADE" w16cid:durableId="231C58EB"/>
  <w16cid:commentId w16cid:paraId="00FBDF7C" w16cid:durableId="231C58EC"/>
  <w16cid:commentId w16cid:paraId="32935A3D" w16cid:durableId="231C58ED"/>
  <w16cid:commentId w16cid:paraId="59F9A06A" w16cid:durableId="231C58EE"/>
  <w16cid:commentId w16cid:paraId="588BDC92" w16cid:durableId="231C58EF"/>
  <w16cid:commentId w16cid:paraId="0899B39F" w16cid:durableId="231C58F0"/>
  <w16cid:commentId w16cid:paraId="0B8C816E" w16cid:durableId="231C58F1"/>
  <w16cid:commentId w16cid:paraId="284E01F3" w16cid:durableId="231C58F2"/>
  <w16cid:commentId w16cid:paraId="53AD8877" w16cid:durableId="231C58F3"/>
  <w16cid:commentId w16cid:paraId="4359181E" w16cid:durableId="231C58F4"/>
  <w16cid:commentId w16cid:paraId="4BFF1D66" w16cid:durableId="231C58F5"/>
  <w16cid:commentId w16cid:paraId="1517BE7B" w16cid:durableId="231C58F6"/>
  <w16cid:commentId w16cid:paraId="4AF321CA" w16cid:durableId="231C58F7"/>
  <w16cid:commentId w16cid:paraId="6C64298F" w16cid:durableId="231C58F8"/>
  <w16cid:commentId w16cid:paraId="599B315C" w16cid:durableId="231C58F9"/>
  <w16cid:commentId w16cid:paraId="31C16B2B" w16cid:durableId="231C58FA"/>
  <w16cid:commentId w16cid:paraId="643914CE" w16cid:durableId="231C58FB"/>
  <w16cid:commentId w16cid:paraId="7CE007E9" w16cid:durableId="231C58FC"/>
  <w16cid:commentId w16cid:paraId="399C771F" w16cid:durableId="231C58FD"/>
  <w16cid:commentId w16cid:paraId="4292B54E" w16cid:durableId="231C58FE"/>
  <w16cid:commentId w16cid:paraId="11425166" w16cid:durableId="231C58FF"/>
  <w16cid:commentId w16cid:paraId="38396449" w16cid:durableId="231C5900"/>
  <w16cid:commentId w16cid:paraId="0CC92122" w16cid:durableId="231C5901"/>
  <w16cid:commentId w16cid:paraId="1B08DC50" w16cid:durableId="231C5902"/>
  <w16cid:commentId w16cid:paraId="3DF89D10" w16cid:durableId="231C5903"/>
  <w16cid:commentId w16cid:paraId="0A7C3C77" w16cid:durableId="231C5904"/>
  <w16cid:commentId w16cid:paraId="5B284BB7" w16cid:durableId="231C5905"/>
  <w16cid:commentId w16cid:paraId="33ED84F2" w16cid:durableId="231C5906"/>
  <w16cid:commentId w16cid:paraId="14115531" w16cid:durableId="231C5907"/>
  <w16cid:commentId w16cid:paraId="77FDEFCC" w16cid:durableId="231C5908"/>
  <w16cid:commentId w16cid:paraId="63E54B62" w16cid:durableId="231C5909"/>
  <w16cid:commentId w16cid:paraId="3AE0B9E6" w16cid:durableId="231C590A"/>
  <w16cid:commentId w16cid:paraId="5A486F8A" w16cid:durableId="231C590B"/>
  <w16cid:commentId w16cid:paraId="27EBE9CF" w16cid:durableId="231C590C"/>
  <w16cid:commentId w16cid:paraId="20757A86" w16cid:durableId="231C590D"/>
  <w16cid:commentId w16cid:paraId="55EA35BA" w16cid:durableId="231C590E"/>
  <w16cid:commentId w16cid:paraId="151C129D" w16cid:durableId="231C590F"/>
  <w16cid:commentId w16cid:paraId="7102D60B" w16cid:durableId="231C5910"/>
  <w16cid:commentId w16cid:paraId="14DA4901" w16cid:durableId="231C5911"/>
  <w16cid:commentId w16cid:paraId="1AC31CC1" w16cid:durableId="231C5912"/>
  <w16cid:commentId w16cid:paraId="4A32D781" w16cid:durableId="231C5913"/>
  <w16cid:commentId w16cid:paraId="1B823CF8" w16cid:durableId="231C5914"/>
  <w16cid:commentId w16cid:paraId="6E69A60C" w16cid:durableId="231C5915"/>
  <w16cid:commentId w16cid:paraId="6613FDCA" w16cid:durableId="231C5916"/>
  <w16cid:commentId w16cid:paraId="27FC09B9" w16cid:durableId="231C5917"/>
  <w16cid:commentId w16cid:paraId="0B0DC1CC" w16cid:durableId="231C5918"/>
  <w16cid:commentId w16cid:paraId="29D05C71" w16cid:durableId="231C5919"/>
  <w16cid:commentId w16cid:paraId="2F74A7E8" w16cid:durableId="231C591A"/>
  <w16cid:commentId w16cid:paraId="295A28E7" w16cid:durableId="231C591B"/>
  <w16cid:commentId w16cid:paraId="02DFF38C" w16cid:durableId="231C591C"/>
  <w16cid:commentId w16cid:paraId="648EFC3A" w16cid:durableId="231C591D"/>
  <w16cid:commentId w16cid:paraId="0198776B" w16cid:durableId="231C591E"/>
  <w16cid:commentId w16cid:paraId="508C85C0" w16cid:durableId="231C591F"/>
  <w16cid:commentId w16cid:paraId="39F3ECB2" w16cid:durableId="231C5920"/>
  <w16cid:commentId w16cid:paraId="5DCC2940" w16cid:durableId="231C5921"/>
  <w16cid:commentId w16cid:paraId="7C576C1D" w16cid:durableId="231C5922"/>
  <w16cid:commentId w16cid:paraId="43FCBBCA" w16cid:durableId="231C5923"/>
  <w16cid:commentId w16cid:paraId="4BFBED10" w16cid:durableId="231C6B3F"/>
  <w16cid:commentId w16cid:paraId="70CF438E" w16cid:durableId="231C6CCA"/>
  <w16cid:commentId w16cid:paraId="16080250" w16cid:durableId="231C61FA"/>
  <w16cid:commentId w16cid:paraId="2A0AE741" w16cid:durableId="231C62AA"/>
  <w16cid:commentId w16cid:paraId="38BC0841" w16cid:durableId="231C6366"/>
  <w16cid:commentId w16cid:paraId="622E5D97" w16cid:durableId="231C6A8B"/>
  <w16cid:commentId w16cid:paraId="515B62BD" w16cid:durableId="231C6AB2"/>
  <w16cid:commentId w16cid:paraId="27344688" w16cid:durableId="231C6BED"/>
  <w16cid:commentId w16cid:paraId="6960AA99" w16cid:durableId="231C6C93"/>
  <w16cid:commentId w16cid:paraId="0A855B6B" w16cid:durableId="231C6D67"/>
  <w16cid:commentId w16cid:paraId="7F94250C" w16cid:durableId="231C6DC4"/>
  <w16cid:commentId w16cid:paraId="43DF4965" w16cid:durableId="231C6E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6F5C4" w14:textId="77777777" w:rsidR="00B56C8D" w:rsidRDefault="00B56C8D" w:rsidP="00B87389">
      <w:r>
        <w:separator/>
      </w:r>
    </w:p>
  </w:endnote>
  <w:endnote w:type="continuationSeparator" w:id="0">
    <w:p w14:paraId="1A476135" w14:textId="77777777" w:rsidR="00B56C8D" w:rsidRDefault="00B56C8D" w:rsidP="00B87389">
      <w:r>
        <w:continuationSeparator/>
      </w:r>
    </w:p>
  </w:endnote>
  <w:endnote w:type="continuationNotice" w:id="1">
    <w:p w14:paraId="38C1F0EA" w14:textId="77777777" w:rsidR="00B56C8D" w:rsidRDefault="00B56C8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NeueLT Pro 55 Roman">
    <w:altName w:val="Times New Roman"/>
    <w:panose1 w:val="00000000000000000000"/>
    <w:charset w:val="00"/>
    <w:family w:val="roman"/>
    <w:notTrueType/>
    <w:pitch w:val="default"/>
    <w:sig w:usb0="00000003" w:usb1="00000000" w:usb2="00000000" w:usb3="00000000" w:csb0="00000001" w:csb1="00000000"/>
  </w:font>
  <w:font w:name="Minion Pro">
    <w:panose1 w:val="00000000000000000000"/>
    <w:charset w:val="00"/>
    <w:family w:val="roman"/>
    <w:notTrueType/>
    <w:pitch w:val="default"/>
    <w:sig w:usb0="00000007" w:usb1="00000000" w:usb2="00000000" w:usb3="00000000" w:csb0="00000003" w:csb1="00000000"/>
  </w:font>
  <w:font w:name="Liberation Serif">
    <w:altName w:val="Times New Roman"/>
    <w:charset w:val="00"/>
    <w:family w:val="roman"/>
    <w:pitch w:val="variable"/>
  </w:font>
  <w:font w:name="Times New Roman Bold">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charset w:val="00"/>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elv">
    <w:panose1 w:val="020B0604020202030204"/>
    <w:charset w:val="00"/>
    <w:family w:val="swiss"/>
    <w:notTrueType/>
    <w:pitch w:val="variable"/>
    <w:sig w:usb0="00000003" w:usb1="00000000" w:usb2="00000000" w:usb3="00000000" w:csb0="00000001" w:csb1="00000000"/>
  </w:font>
  <w:font w:name="RobotoCondensed-Regular">
    <w:panose1 w:val="00000000000000000000"/>
    <w:charset w:val="EE"/>
    <w:family w:val="auto"/>
    <w:notTrueType/>
    <w:pitch w:val="default"/>
    <w:sig w:usb0="00000005" w:usb1="00000000" w:usb2="00000000" w:usb3="00000000" w:csb0="00000002" w:csb1="00000000"/>
  </w:font>
  <w:font w:name="Microsoft Sans Serif">
    <w:panose1 w:val="020B0604020202020204"/>
    <w:charset w:val="EE"/>
    <w:family w:val="swiss"/>
    <w:pitch w:val="variable"/>
    <w:sig w:usb0="E5002EFF" w:usb1="C000605B" w:usb2="00000029" w:usb3="00000000" w:csb0="000101FF" w:csb1="00000000"/>
  </w:font>
  <w:font w:name="TimesNewRoman">
    <w:altName w:val="Times New Roman"/>
    <w:charset w:val="EE"/>
    <w:family w:val="roman"/>
    <w:pitch w:val="default"/>
    <w:sig w:usb0="00000005" w:usb1="00000000" w:usb2="00000000" w:usb3="00000000" w:csb0="00000002" w:csb1="00000000"/>
  </w:font>
  <w:font w:name="Arial,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Humanist777BT-RomanB">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489470695"/>
      <w:docPartObj>
        <w:docPartGallery w:val="Page Numbers (Bottom of Page)"/>
        <w:docPartUnique/>
      </w:docPartObj>
    </w:sdtPr>
    <w:sdtEndPr>
      <w:rPr>
        <w:sz w:val="14"/>
        <w:szCs w:val="14"/>
      </w:rPr>
    </w:sdtEndPr>
    <w:sdtContent>
      <w:p w14:paraId="3335AD78" w14:textId="06E309EE" w:rsidR="00B56C8D" w:rsidRPr="00852E36" w:rsidRDefault="00B56C8D">
        <w:pPr>
          <w:pStyle w:val="Noga"/>
          <w:jc w:val="right"/>
          <w:rPr>
            <w:sz w:val="14"/>
            <w:szCs w:val="14"/>
          </w:rPr>
        </w:pPr>
        <w:r w:rsidRPr="00852E36">
          <w:rPr>
            <w:sz w:val="14"/>
            <w:szCs w:val="14"/>
          </w:rPr>
          <w:fldChar w:fldCharType="begin"/>
        </w:r>
        <w:r w:rsidRPr="00852E36">
          <w:rPr>
            <w:sz w:val="14"/>
            <w:szCs w:val="14"/>
          </w:rPr>
          <w:instrText>PAGE   \* MERGEFORMAT</w:instrText>
        </w:r>
        <w:r w:rsidRPr="00852E36">
          <w:rPr>
            <w:sz w:val="14"/>
            <w:szCs w:val="14"/>
          </w:rPr>
          <w:fldChar w:fldCharType="separate"/>
        </w:r>
        <w:r w:rsidR="00701492">
          <w:rPr>
            <w:noProof/>
            <w:sz w:val="14"/>
            <w:szCs w:val="14"/>
          </w:rPr>
          <w:t>1</w:t>
        </w:r>
        <w:r w:rsidRPr="00852E36">
          <w:rPr>
            <w:sz w:val="14"/>
            <w:szCs w:val="14"/>
          </w:rPr>
          <w:fldChar w:fldCharType="end"/>
        </w:r>
      </w:p>
    </w:sdtContent>
  </w:sdt>
  <w:p w14:paraId="2D4CA12C" w14:textId="77777777" w:rsidR="00B56C8D" w:rsidRDefault="00B56C8D" w:rsidP="00B8738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B79EA" w14:textId="77777777" w:rsidR="00B56C8D" w:rsidRDefault="00B56C8D" w:rsidP="00B87389">
      <w:r>
        <w:separator/>
      </w:r>
    </w:p>
  </w:footnote>
  <w:footnote w:type="continuationSeparator" w:id="0">
    <w:p w14:paraId="4BE2E03A" w14:textId="77777777" w:rsidR="00B56C8D" w:rsidRDefault="00B56C8D" w:rsidP="00B87389">
      <w:r>
        <w:continuationSeparator/>
      </w:r>
    </w:p>
  </w:footnote>
  <w:footnote w:type="continuationNotice" w:id="1">
    <w:p w14:paraId="5C4DD84B" w14:textId="77777777" w:rsidR="00B56C8D" w:rsidRDefault="00B56C8D">
      <w:pPr>
        <w:spacing w:before="0" w:line="240" w:lineRule="auto"/>
      </w:pPr>
    </w:p>
  </w:footnote>
  <w:footnote w:id="2">
    <w:p w14:paraId="52ACE7E1" w14:textId="77777777" w:rsidR="00B56C8D" w:rsidRPr="009F3567" w:rsidRDefault="00B56C8D" w:rsidP="000150AF">
      <w:pPr>
        <w:pStyle w:val="Sprotnaopomba-besedilo"/>
        <w:ind w:left="0" w:firstLine="0"/>
        <w:rPr>
          <w:rFonts w:ascii="Arial" w:hAnsi="Arial"/>
        </w:rPr>
      </w:pPr>
      <w:r w:rsidRPr="009F3567">
        <w:rPr>
          <w:rStyle w:val="Sprotnaopomba-sklic"/>
          <w:rFonts w:ascii="Arial" w:hAnsi="Arial"/>
          <w:sz w:val="16"/>
        </w:rPr>
        <w:footnoteRef/>
      </w:r>
      <w:r>
        <w:rPr>
          <w:rFonts w:ascii="Arial" w:hAnsi="Arial"/>
          <w:sz w:val="16"/>
        </w:rPr>
        <w:t xml:space="preserve"> </w:t>
      </w:r>
      <w:r w:rsidRPr="009F3567">
        <w:rPr>
          <w:rFonts w:ascii="Arial" w:hAnsi="Arial"/>
          <w:sz w:val="16"/>
        </w:rPr>
        <w:t>Sporočilo Evropske komisije COM(2019) 640 končno: Evropski zeleni dogovor</w:t>
      </w:r>
      <w:r w:rsidRPr="006B7C21">
        <w:rPr>
          <w:rFonts w:ascii="Arial" w:hAnsi="Arial"/>
          <w:sz w:val="16"/>
        </w:rPr>
        <w:t xml:space="preserve"> in </w:t>
      </w:r>
      <w:r>
        <w:rPr>
          <w:rFonts w:ascii="Arial" w:hAnsi="Arial"/>
          <w:sz w:val="16"/>
        </w:rPr>
        <w:t xml:space="preserve">Sporočilo Evropske komisije </w:t>
      </w:r>
      <w:r w:rsidRPr="006B7C21">
        <w:rPr>
          <w:rFonts w:ascii="Arial" w:hAnsi="Arial"/>
          <w:sz w:val="16"/>
        </w:rPr>
        <w:t>COM/2020/381</w:t>
      </w:r>
      <w:r>
        <w:rPr>
          <w:rFonts w:ascii="Arial" w:hAnsi="Arial"/>
          <w:sz w:val="16"/>
        </w:rPr>
        <w:t xml:space="preserve"> končno: </w:t>
      </w:r>
      <w:r w:rsidRPr="006B7C21">
        <w:rPr>
          <w:rFonts w:ascii="Arial" w:hAnsi="Arial"/>
          <w:sz w:val="16"/>
        </w:rPr>
        <w:t>Strategija „od vil do vilic“ za pravičen, zdrav in okolju prijazen prehranski sistem</w:t>
      </w:r>
      <w:r>
        <w:rPr>
          <w:rFonts w:ascii="Arial" w:hAnsi="Arial"/>
          <w:sz w:val="16"/>
        </w:rPr>
        <w:t xml:space="preserve">. </w:t>
      </w:r>
    </w:p>
  </w:footnote>
  <w:footnote w:id="3">
    <w:p w14:paraId="1629C272" w14:textId="2A1E5D7B" w:rsidR="00B56C8D" w:rsidRDefault="00B56C8D" w:rsidP="00E764C9">
      <w:pPr>
        <w:pStyle w:val="Sprotnaopomba-besedilo"/>
        <w:ind w:left="357"/>
      </w:pPr>
      <w:r>
        <w:rPr>
          <w:rStyle w:val="Sprotnaopomba-sklic"/>
        </w:rPr>
        <w:footnoteRef/>
      </w:r>
      <w:r>
        <w:t xml:space="preserve"> </w:t>
      </w:r>
      <w:r w:rsidRPr="00E764C9">
        <w:rPr>
          <w:rFonts w:ascii="Arial" w:hAnsi="Arial"/>
          <w:sz w:val="16"/>
          <w:szCs w:val="16"/>
        </w:rPr>
        <w:t xml:space="preserve">Ocena. Vir: Eurostat, </w:t>
      </w:r>
      <w:r w:rsidRPr="00E764C9">
        <w:rPr>
          <w:rStyle w:val="rightside"/>
          <w:rFonts w:ascii="Arial" w:hAnsi="Arial"/>
          <w:sz w:val="16"/>
          <w:szCs w:val="16"/>
        </w:rPr>
        <w:t>[aact_ali01].</w:t>
      </w:r>
      <w:r>
        <w:rPr>
          <w:rStyle w:val="rightside"/>
          <w:rFonts w:ascii="Verdana" w:hAnsi="Verdana"/>
          <w:sz w:val="14"/>
          <w:szCs w:val="14"/>
        </w:rPr>
        <w:t xml:space="preserve"> </w:t>
      </w:r>
    </w:p>
  </w:footnote>
  <w:footnote w:id="4">
    <w:p w14:paraId="4D30B353" w14:textId="55ABD509" w:rsidR="00B56C8D" w:rsidRDefault="00B56C8D" w:rsidP="00852E36">
      <w:pPr>
        <w:pStyle w:val="Sprotnaopomba-besedilo"/>
        <w:spacing w:before="0" w:line="240" w:lineRule="auto"/>
        <w:ind w:left="0" w:firstLine="0"/>
      </w:pPr>
      <w:r w:rsidRPr="00614F33">
        <w:rPr>
          <w:rStyle w:val="Sprotnaopomba-sklic"/>
          <w:rFonts w:ascii="Arial" w:hAnsi="Arial"/>
          <w:sz w:val="16"/>
          <w:szCs w:val="16"/>
        </w:rPr>
        <w:footnoteRef/>
      </w:r>
      <w:r w:rsidRPr="00614F33">
        <w:rPr>
          <w:rFonts w:ascii="Arial" w:hAnsi="Arial"/>
          <w:sz w:val="16"/>
          <w:szCs w:val="16"/>
        </w:rPr>
        <w:t xml:space="preserve"> Bruto </w:t>
      </w:r>
      <w:r>
        <w:rPr>
          <w:rFonts w:ascii="Arial" w:hAnsi="Arial"/>
          <w:sz w:val="16"/>
          <w:szCs w:val="16"/>
        </w:rPr>
        <w:t>naložbe</w:t>
      </w:r>
      <w:r w:rsidRPr="00614F33">
        <w:rPr>
          <w:rFonts w:ascii="Arial" w:hAnsi="Arial"/>
          <w:sz w:val="16"/>
          <w:szCs w:val="16"/>
        </w:rPr>
        <w:t xml:space="preserve"> v osnovna sredstva so kupljena nova ali </w:t>
      </w:r>
      <w:r>
        <w:rPr>
          <w:rFonts w:ascii="Arial" w:hAnsi="Arial"/>
          <w:sz w:val="16"/>
          <w:szCs w:val="16"/>
        </w:rPr>
        <w:t>rabljena</w:t>
      </w:r>
      <w:r w:rsidRPr="00614F33">
        <w:rPr>
          <w:rFonts w:ascii="Arial" w:hAnsi="Arial"/>
          <w:sz w:val="16"/>
          <w:szCs w:val="16"/>
        </w:rPr>
        <w:t xml:space="preserve"> osnovna sredstva, zmanjšana za odtujitve osnovnih sredstev s strani rezidenčnih </w:t>
      </w:r>
      <w:r w:rsidRPr="00852E36">
        <w:rPr>
          <w:rFonts w:ascii="Arial" w:eastAsiaTheme="minorHAnsi" w:hAnsi="Arial"/>
          <w:sz w:val="16"/>
          <w:szCs w:val="16"/>
          <w:lang w:eastAsia="en-US"/>
        </w:rPr>
        <w:t>proizvajalcev</w:t>
      </w:r>
      <w:r w:rsidRPr="00614F33">
        <w:rPr>
          <w:rFonts w:ascii="Arial" w:hAnsi="Arial"/>
          <w:sz w:val="16"/>
          <w:szCs w:val="16"/>
        </w:rPr>
        <w:t xml:space="preserve"> v danem obdobju, povečane za določena povečanja vrednosti neproizvedenih sredstev, ki so rezultat proizvodne dejavnosti proizvajalca ali institucionalnih enot</w:t>
      </w:r>
      <w:r w:rsidRPr="00614F33">
        <w:rPr>
          <w:sz w:val="16"/>
        </w:rPr>
        <w:t xml:space="preserve">  </w:t>
      </w:r>
    </w:p>
  </w:footnote>
  <w:footnote w:id="5">
    <w:p w14:paraId="605C65BF" w14:textId="77777777" w:rsidR="00B56C8D" w:rsidRPr="00875DD8" w:rsidRDefault="00B56C8D" w:rsidP="004D40E8">
      <w:pPr>
        <w:pStyle w:val="Sprotnaopomba-besedilo"/>
        <w:ind w:left="142" w:hanging="142"/>
        <w:rPr>
          <w:rFonts w:ascii="Arial" w:hAnsi="Arial"/>
        </w:rPr>
      </w:pPr>
      <w:r w:rsidRPr="00875DD8">
        <w:rPr>
          <w:rStyle w:val="Sprotnaopomba-sklic"/>
          <w:rFonts w:ascii="Arial" w:hAnsi="Arial"/>
          <w:sz w:val="16"/>
        </w:rPr>
        <w:footnoteRef/>
      </w:r>
      <w:r w:rsidRPr="00875DD8">
        <w:rPr>
          <w:rFonts w:ascii="Arial" w:hAnsi="Arial"/>
        </w:rPr>
        <w:t xml:space="preserve"> </w:t>
      </w:r>
      <w:r w:rsidRPr="00875DD8">
        <w:rPr>
          <w:rFonts w:ascii="Arial" w:hAnsi="Arial"/>
          <w:sz w:val="16"/>
        </w:rPr>
        <w:t xml:space="preserve">Leto 2016 je </w:t>
      </w:r>
      <w:r>
        <w:rPr>
          <w:rFonts w:ascii="Arial" w:hAnsi="Arial"/>
          <w:sz w:val="16"/>
        </w:rPr>
        <w:t xml:space="preserve">zadnji znani podatek </w:t>
      </w:r>
      <w:r w:rsidRPr="00875DD8">
        <w:rPr>
          <w:rFonts w:ascii="Arial" w:eastAsiaTheme="minorHAnsi" w:hAnsi="Arial"/>
          <w:sz w:val="16"/>
          <w:szCs w:val="22"/>
          <w:lang w:eastAsia="en-US"/>
        </w:rPr>
        <w:t>glede obsega KZU po Eurostatu iz trenutno zadnjega dostopnega popisa v kmetijstvu za leto 2016.</w:t>
      </w:r>
    </w:p>
  </w:footnote>
  <w:footnote w:id="6">
    <w:p w14:paraId="53B82E1F" w14:textId="786C80F8" w:rsidR="00B56C8D" w:rsidRPr="009F3567" w:rsidRDefault="00B56C8D" w:rsidP="00875DD8">
      <w:pPr>
        <w:pStyle w:val="Sprotnaopomba-besedilo"/>
        <w:ind w:left="142" w:hanging="142"/>
        <w:rPr>
          <w:rFonts w:ascii="Arial" w:hAnsi="Arial"/>
          <w:sz w:val="16"/>
          <w:szCs w:val="16"/>
        </w:rPr>
      </w:pPr>
      <w:r w:rsidRPr="00875DD8">
        <w:rPr>
          <w:rStyle w:val="Sprotnaopomba-sklic"/>
          <w:rFonts w:ascii="Arial" w:hAnsi="Arial"/>
          <w:sz w:val="16"/>
          <w:szCs w:val="16"/>
        </w:rPr>
        <w:footnoteRef/>
      </w:r>
      <w:r w:rsidRPr="00875DD8">
        <w:rPr>
          <w:rFonts w:ascii="Arial" w:hAnsi="Arial"/>
          <w:sz w:val="16"/>
          <w:szCs w:val="16"/>
        </w:rPr>
        <w:t xml:space="preserve"> Najvišj</w:t>
      </w:r>
      <w:r>
        <w:rPr>
          <w:rFonts w:ascii="Arial" w:hAnsi="Arial"/>
          <w:sz w:val="16"/>
          <w:szCs w:val="16"/>
        </w:rPr>
        <w:t>o</w:t>
      </w:r>
      <w:r w:rsidRPr="00875DD8">
        <w:rPr>
          <w:rFonts w:ascii="Arial" w:hAnsi="Arial"/>
          <w:sz w:val="16"/>
          <w:szCs w:val="16"/>
        </w:rPr>
        <w:t xml:space="preserve"> vrednost kazalnika GFCF/ha KZU v l. 2016 ima Nizozemska (2.276</w:t>
      </w:r>
      <w:r>
        <w:rPr>
          <w:rFonts w:ascii="Arial" w:hAnsi="Arial"/>
          <w:sz w:val="16"/>
          <w:szCs w:val="16"/>
        </w:rPr>
        <w:t xml:space="preserve"> EUR</w:t>
      </w:r>
      <w:r w:rsidRPr="00875DD8">
        <w:rPr>
          <w:rFonts w:ascii="Arial" w:hAnsi="Arial"/>
          <w:sz w:val="16"/>
          <w:szCs w:val="16"/>
        </w:rPr>
        <w:t xml:space="preserve">/ha), sledijo Belgija, Malta, Italija, Luksemburg, Avstrija, Nemčija in Danska. Vir: </w:t>
      </w:r>
      <w:r>
        <w:rPr>
          <w:rFonts w:ascii="Arial" w:hAnsi="Arial"/>
          <w:sz w:val="16"/>
          <w:szCs w:val="16"/>
        </w:rPr>
        <w:t>EUROSTAT, preračun</w:t>
      </w:r>
      <w:r w:rsidRPr="00875DD8">
        <w:rPr>
          <w:rFonts w:ascii="Arial" w:hAnsi="Arial"/>
          <w:sz w:val="16"/>
          <w:szCs w:val="16"/>
        </w:rPr>
        <w:t xml:space="preserve"> MKGP</w:t>
      </w:r>
      <w:r>
        <w:rPr>
          <w:rFonts w:ascii="Arial" w:hAnsi="Arial"/>
          <w:sz w:val="16"/>
          <w:szCs w:val="16"/>
        </w:rPr>
        <w:t xml:space="preserve"> </w:t>
      </w:r>
      <w:r w:rsidRPr="00875DD8">
        <w:rPr>
          <w:rFonts w:ascii="Arial" w:hAnsi="Arial"/>
          <w:sz w:val="16"/>
          <w:szCs w:val="16"/>
        </w:rPr>
        <w:t xml:space="preserve">[aact_eaa01]. </w:t>
      </w:r>
    </w:p>
  </w:footnote>
  <w:footnote w:id="7">
    <w:p w14:paraId="5BCE3E04" w14:textId="77777777" w:rsidR="00B56C8D" w:rsidRDefault="00B56C8D" w:rsidP="009F3567">
      <w:pPr>
        <w:pStyle w:val="Sprotnaopomba-besedilo"/>
        <w:ind w:left="142" w:hanging="142"/>
      </w:pPr>
      <w:r w:rsidRPr="009F3567">
        <w:rPr>
          <w:rStyle w:val="Sprotnaopomba-sklic"/>
          <w:rFonts w:ascii="Arial" w:hAnsi="Arial"/>
          <w:sz w:val="16"/>
          <w:szCs w:val="16"/>
        </w:rPr>
        <w:footnoteRef/>
      </w:r>
      <w:r w:rsidRPr="009F3567">
        <w:rPr>
          <w:rFonts w:ascii="Arial" w:hAnsi="Arial"/>
          <w:sz w:val="16"/>
          <w:szCs w:val="16"/>
        </w:rPr>
        <w:t xml:space="preserve"> Površina kmetijskih zemljišč v uporabi (UAA) za EU-28 je izračunana kot seštevek površine kmetijskih zemljišč v uporabi posameznih držav. Vir: EUROSTAT, [ef_lus_main].</w:t>
      </w:r>
      <w:r>
        <w:t xml:space="preserve">  </w:t>
      </w:r>
    </w:p>
  </w:footnote>
  <w:footnote w:id="8">
    <w:p w14:paraId="10E7398E" w14:textId="5B58BE5B" w:rsidR="00B56C8D" w:rsidRPr="003C3CAB" w:rsidRDefault="00B56C8D" w:rsidP="003C3CAB">
      <w:pPr>
        <w:pStyle w:val="Sprotnaopomba-besedilo"/>
        <w:ind w:left="357"/>
        <w:rPr>
          <w:rFonts w:ascii="Arial" w:hAnsi="Arial"/>
          <w:sz w:val="16"/>
          <w:szCs w:val="16"/>
        </w:rPr>
      </w:pPr>
      <w:r w:rsidRPr="003C3CAB">
        <w:rPr>
          <w:rStyle w:val="Sprotnaopomba-sklic"/>
          <w:rFonts w:ascii="Arial" w:hAnsi="Arial"/>
          <w:sz w:val="16"/>
          <w:szCs w:val="16"/>
        </w:rPr>
        <w:footnoteRef/>
      </w:r>
      <w:r w:rsidRPr="003C3CAB">
        <w:rPr>
          <w:rFonts w:ascii="Arial" w:hAnsi="Arial"/>
          <w:sz w:val="16"/>
          <w:szCs w:val="16"/>
        </w:rPr>
        <w:t xml:space="preserve"> </w:t>
      </w:r>
      <w:r>
        <w:rPr>
          <w:rFonts w:ascii="Arial" w:hAnsi="Arial"/>
          <w:sz w:val="16"/>
          <w:szCs w:val="16"/>
        </w:rPr>
        <w:t xml:space="preserve">Več o tem </w:t>
      </w:r>
      <w:r w:rsidRPr="003C3CAB">
        <w:rPr>
          <w:rFonts w:ascii="Arial" w:hAnsi="Arial"/>
          <w:sz w:val="16"/>
          <w:szCs w:val="16"/>
        </w:rPr>
        <w:t xml:space="preserve">v podpoglavju </w:t>
      </w:r>
      <w:r w:rsidRPr="003C3CAB">
        <w:rPr>
          <w:rFonts w:ascii="Arial" w:hAnsi="Arial"/>
          <w:sz w:val="16"/>
          <w:szCs w:val="16"/>
          <w:u w:val="single"/>
        </w:rPr>
        <w:t xml:space="preserve">Potrebe po financiranju in dostop do finančnih sredstev. </w:t>
      </w:r>
    </w:p>
  </w:footnote>
  <w:footnote w:id="9">
    <w:p w14:paraId="3F97DD3D" w14:textId="759CB23C" w:rsidR="00B56C8D" w:rsidRPr="00551D9B" w:rsidRDefault="00B56C8D" w:rsidP="00AD583E">
      <w:pPr>
        <w:pStyle w:val="Sprotnaopomba-besedilo"/>
        <w:ind w:left="0" w:firstLine="0"/>
        <w:rPr>
          <w:rFonts w:ascii="Arial" w:hAnsi="Arial"/>
          <w:sz w:val="16"/>
          <w:szCs w:val="16"/>
        </w:rPr>
      </w:pPr>
      <w:r>
        <w:rPr>
          <w:rStyle w:val="Sprotnaopomba-sklic"/>
        </w:rPr>
        <w:footnoteRef/>
      </w:r>
      <w:r>
        <w:t xml:space="preserve"> </w:t>
      </w:r>
      <w:r w:rsidRPr="00551D9B">
        <w:rPr>
          <w:rFonts w:ascii="Arial" w:hAnsi="Arial"/>
          <w:sz w:val="16"/>
          <w:szCs w:val="16"/>
        </w:rPr>
        <w:t xml:space="preserve">Raziskava </w:t>
      </w:r>
      <w:r>
        <w:rPr>
          <w:rFonts w:ascii="Arial" w:hAnsi="Arial"/>
          <w:sz w:val="16"/>
          <w:szCs w:val="16"/>
        </w:rPr>
        <w:t>(</w:t>
      </w:r>
      <w:r w:rsidRPr="0029768A">
        <w:rPr>
          <w:rFonts w:ascii="Arial" w:hAnsi="Arial"/>
          <w:i/>
          <w:sz w:val="16"/>
          <w:szCs w:val="16"/>
        </w:rPr>
        <w:t>fi compass</w:t>
      </w:r>
      <w:r>
        <w:rPr>
          <w:rFonts w:ascii="Arial" w:hAnsi="Arial"/>
          <w:i/>
          <w:sz w:val="16"/>
          <w:szCs w:val="16"/>
        </w:rPr>
        <w:t xml:space="preserve">, </w:t>
      </w:r>
      <w:r w:rsidRPr="0029768A">
        <w:rPr>
          <w:rFonts w:ascii="Arial" w:hAnsi="Arial"/>
          <w:sz w:val="16"/>
          <w:szCs w:val="16"/>
        </w:rPr>
        <w:t>2020)</w:t>
      </w:r>
      <w:r w:rsidRPr="00551D9B">
        <w:rPr>
          <w:rFonts w:ascii="Arial" w:hAnsi="Arial"/>
          <w:sz w:val="16"/>
          <w:szCs w:val="16"/>
        </w:rPr>
        <w:t xml:space="preserve"> je glede na zapadlost definirala kratkoročno posojilo: manj kot 18 mesecev; srednjeročno posojilo: od 18 mesecev do 5 let in dolgoročno posojilo: nad 5 let. </w:t>
      </w:r>
    </w:p>
  </w:footnote>
  <w:footnote w:id="10">
    <w:p w14:paraId="400F3BD6" w14:textId="176EA9A7" w:rsidR="00B56C8D" w:rsidRDefault="00B56C8D" w:rsidP="00AD583E">
      <w:pPr>
        <w:pStyle w:val="Sprotnaopomba-besedilo"/>
        <w:ind w:left="0" w:firstLine="0"/>
      </w:pPr>
      <w:r>
        <w:rPr>
          <w:rStyle w:val="Sprotnaopomba-sklic"/>
        </w:rPr>
        <w:footnoteRef/>
      </w:r>
      <w:r>
        <w:t xml:space="preserve"> </w:t>
      </w:r>
      <w:r w:rsidRPr="005F1A67">
        <w:rPr>
          <w:rFonts w:ascii="Arial" w:hAnsi="Arial"/>
          <w:sz w:val="16"/>
          <w:szCs w:val="16"/>
        </w:rPr>
        <w:t xml:space="preserve">Raziskava </w:t>
      </w:r>
      <w:r>
        <w:rPr>
          <w:rFonts w:ascii="Arial" w:hAnsi="Arial"/>
          <w:sz w:val="16"/>
          <w:szCs w:val="16"/>
        </w:rPr>
        <w:t>(</w:t>
      </w:r>
      <w:r w:rsidRPr="0029768A">
        <w:rPr>
          <w:rFonts w:ascii="Arial" w:hAnsi="Arial"/>
          <w:i/>
          <w:sz w:val="16"/>
          <w:szCs w:val="16"/>
        </w:rPr>
        <w:t>fi compass</w:t>
      </w:r>
      <w:r>
        <w:rPr>
          <w:rFonts w:ascii="Arial" w:hAnsi="Arial"/>
          <w:sz w:val="16"/>
          <w:szCs w:val="16"/>
        </w:rPr>
        <w:t xml:space="preserve">, 2020) je kmetijska gospodarstva razdelila v tri velikostne kategorije: majhne (pod 20 hektarjev), srednje velike (od 20 do 100 hektarjev) in velike (nad 100 hektarjev). </w:t>
      </w:r>
    </w:p>
  </w:footnote>
  <w:footnote w:id="11">
    <w:p w14:paraId="1D424C1C" w14:textId="77777777" w:rsidR="00B56C8D" w:rsidRDefault="00B56C8D" w:rsidP="00C00231">
      <w:pPr>
        <w:pStyle w:val="Sprotnaopomba-besedilo"/>
        <w:ind w:left="0" w:firstLine="0"/>
      </w:pPr>
      <w:r w:rsidRPr="00A609A1">
        <w:rPr>
          <w:rStyle w:val="Sprotnaopomba-sklic"/>
          <w:rFonts w:ascii="Arial" w:hAnsi="Arial"/>
          <w:sz w:val="16"/>
        </w:rPr>
        <w:footnoteRef/>
      </w:r>
      <w:r w:rsidRPr="00A609A1">
        <w:rPr>
          <w:rFonts w:ascii="Arial" w:hAnsi="Arial"/>
          <w:sz w:val="16"/>
        </w:rPr>
        <w:t xml:space="preserve"> Vsi ti vidiki so podrobneje opisani </w:t>
      </w:r>
      <w:r>
        <w:rPr>
          <w:rFonts w:ascii="Arial" w:hAnsi="Arial"/>
          <w:sz w:val="16"/>
        </w:rPr>
        <w:t xml:space="preserve">bodisi </w:t>
      </w:r>
      <w:r w:rsidRPr="00A609A1">
        <w:rPr>
          <w:rFonts w:ascii="Arial" w:hAnsi="Arial"/>
          <w:sz w:val="16"/>
        </w:rPr>
        <w:t xml:space="preserve">v splošnem opisu kmetijstva v uvodu </w:t>
      </w:r>
      <w:r>
        <w:rPr>
          <w:rFonts w:ascii="Arial" w:hAnsi="Arial"/>
          <w:sz w:val="16"/>
        </w:rPr>
        <w:t>bodisi</w:t>
      </w:r>
      <w:r w:rsidRPr="00A609A1">
        <w:rPr>
          <w:rFonts w:ascii="Arial" w:hAnsi="Arial"/>
          <w:sz w:val="16"/>
        </w:rPr>
        <w:t xml:space="preserve"> v analizah stanja za cilje 4, 5 in 6, ki obravnavajo stanje tal, zato jih podrobneje v tem delu </w:t>
      </w:r>
      <w:r>
        <w:rPr>
          <w:rFonts w:ascii="Arial" w:hAnsi="Arial"/>
          <w:sz w:val="16"/>
        </w:rPr>
        <w:t xml:space="preserve">več </w:t>
      </w:r>
      <w:r w:rsidRPr="00A609A1">
        <w:rPr>
          <w:rFonts w:ascii="Arial" w:hAnsi="Arial"/>
          <w:sz w:val="16"/>
        </w:rPr>
        <w:t>ne pojasnjujemo.</w:t>
      </w:r>
    </w:p>
  </w:footnote>
  <w:footnote w:id="12">
    <w:p w14:paraId="136E9E46" w14:textId="77777777" w:rsidR="00B56C8D" w:rsidRPr="00FC7B0F" w:rsidRDefault="00B56C8D" w:rsidP="00975BEC">
      <w:pPr>
        <w:pStyle w:val="Sprotnaopomba-besedilo"/>
        <w:spacing w:before="0"/>
        <w:ind w:left="0" w:firstLine="0"/>
        <w:rPr>
          <w:rFonts w:ascii="Arial" w:hAnsi="Arial"/>
        </w:rPr>
      </w:pPr>
      <w:r w:rsidRPr="00FC7B0F">
        <w:rPr>
          <w:rStyle w:val="Sprotnaopomba-sklic"/>
          <w:rFonts w:ascii="Arial" w:hAnsi="Arial"/>
        </w:rPr>
        <w:footnoteRef/>
      </w:r>
      <w:r w:rsidRPr="00FC7B0F">
        <w:rPr>
          <w:rFonts w:ascii="Arial" w:hAnsi="Arial"/>
        </w:rPr>
        <w:t xml:space="preserve"> </w:t>
      </w:r>
      <w:r w:rsidRPr="00FC7B0F">
        <w:rPr>
          <w:rFonts w:ascii="Arial" w:hAnsi="Arial"/>
          <w:sz w:val="16"/>
          <w:szCs w:val="16"/>
        </w:rPr>
        <w:t>Primerjava razdrobljenosti kmetijskih zemljišč z ostalimi državami je dokaj težavna, ker ni na razpolago primerljivih podatkov (Saint-Cyr L. et at. (2016)).</w:t>
      </w:r>
    </w:p>
  </w:footnote>
  <w:footnote w:id="13">
    <w:p w14:paraId="13C2A19F" w14:textId="78472295" w:rsidR="00B56C8D" w:rsidRPr="006249A0" w:rsidRDefault="00B56C8D" w:rsidP="00CC740A">
      <w:pPr>
        <w:spacing w:before="0" w:line="260" w:lineRule="atLeast"/>
        <w:rPr>
          <w:sz w:val="14"/>
          <w:szCs w:val="20"/>
        </w:rPr>
      </w:pPr>
      <w:r w:rsidRPr="006249A0">
        <w:rPr>
          <w:rStyle w:val="Sprotnaopomba-sklic"/>
          <w:sz w:val="16"/>
        </w:rPr>
        <w:footnoteRef/>
      </w:r>
      <w:r>
        <w:t xml:space="preserve"> </w:t>
      </w:r>
      <w:r w:rsidRPr="006249A0">
        <w:rPr>
          <w:sz w:val="14"/>
          <w:szCs w:val="20"/>
        </w:rPr>
        <w:t xml:space="preserve">Podrobneje je ranljivost </w:t>
      </w:r>
      <w:r>
        <w:rPr>
          <w:sz w:val="14"/>
          <w:szCs w:val="20"/>
        </w:rPr>
        <w:t xml:space="preserve">kmetijstva </w:t>
      </w:r>
      <w:r w:rsidRPr="006249A0">
        <w:rPr>
          <w:sz w:val="14"/>
          <w:szCs w:val="20"/>
        </w:rPr>
        <w:t>na podnebne spremembe opisana v analizi stanja za cilj 4.</w:t>
      </w:r>
    </w:p>
    <w:p w14:paraId="6D165D93" w14:textId="31DB4D33" w:rsidR="00B56C8D" w:rsidRDefault="00B56C8D">
      <w:pPr>
        <w:pStyle w:val="Sprotnaopomba-besedilo"/>
      </w:pPr>
    </w:p>
  </w:footnote>
  <w:footnote w:id="14">
    <w:p w14:paraId="7F0E06B1" w14:textId="4E9735F8" w:rsidR="00B56C8D" w:rsidRDefault="00B56C8D" w:rsidP="002A60EF">
      <w:pPr>
        <w:pStyle w:val="Sprotnaopomba-besedilo"/>
        <w:ind w:left="0" w:firstLine="0"/>
      </w:pPr>
      <w:r>
        <w:rPr>
          <w:rStyle w:val="Sprotnaopomba-sklic"/>
        </w:rPr>
        <w:footnoteRef/>
      </w:r>
      <w:r>
        <w:t xml:space="preserve"> </w:t>
      </w:r>
      <w:r w:rsidRPr="002A60EF">
        <w:rPr>
          <w:rFonts w:ascii="Arial" w:hAnsi="Arial"/>
          <w:sz w:val="16"/>
          <w:szCs w:val="16"/>
        </w:rPr>
        <w:t>Vir: Eurostat, podatki o vmesni potrošnji v stalnih cenah (2005=100), podatki o KZU v EU-28 so seštevek KZU posameznih držav ([ef_lus_main]).</w:t>
      </w:r>
      <w:r>
        <w:t xml:space="preserve"> </w:t>
      </w:r>
    </w:p>
  </w:footnote>
  <w:footnote w:id="15">
    <w:p w14:paraId="0E185EC1" w14:textId="55049D0F" w:rsidR="00B56C8D" w:rsidRPr="000235C6" w:rsidRDefault="00B56C8D" w:rsidP="00BB4596">
      <w:pPr>
        <w:pStyle w:val="Sprotnaopomba-besedilo"/>
        <w:ind w:left="357"/>
        <w:rPr>
          <w:rStyle w:val="Sprotnaopomba-sklic"/>
          <w:rFonts w:ascii="Arial" w:hAnsi="Arial"/>
          <w:sz w:val="16"/>
          <w:szCs w:val="16"/>
          <w:vertAlign w:val="baseline"/>
        </w:rPr>
      </w:pPr>
      <w:r>
        <w:rPr>
          <w:rStyle w:val="Sprotnaopomba-sklic"/>
        </w:rPr>
        <w:footnoteRef/>
      </w:r>
      <w:r w:rsidRPr="00BB4596">
        <w:rPr>
          <w:rStyle w:val="Sprotnaopomba-sklic"/>
        </w:rPr>
        <w:t xml:space="preserve"> </w:t>
      </w:r>
      <w:r w:rsidRPr="000235C6">
        <w:rPr>
          <w:rStyle w:val="Sprotnaopomba-sklic"/>
          <w:rFonts w:ascii="Arial" w:hAnsi="Arial"/>
          <w:sz w:val="16"/>
          <w:szCs w:val="16"/>
          <w:vertAlign w:val="baseline"/>
        </w:rPr>
        <w:t>Vključene kmetije in podjetja s KMG-MID-om.</w:t>
      </w:r>
    </w:p>
  </w:footnote>
  <w:footnote w:id="16">
    <w:p w14:paraId="70D2063D" w14:textId="77777777" w:rsidR="00B56C8D" w:rsidRPr="00BB4596" w:rsidRDefault="00B56C8D" w:rsidP="000235C6">
      <w:pPr>
        <w:pStyle w:val="Sprotnaopomba-besedilo"/>
        <w:ind w:left="0" w:firstLine="0"/>
        <w:rPr>
          <w:rStyle w:val="Sprotnaopomba-sklic"/>
        </w:rPr>
      </w:pPr>
      <w:r>
        <w:rPr>
          <w:rStyle w:val="Sprotnaopomba-sklic"/>
        </w:rPr>
        <w:footnoteRef/>
      </w:r>
      <w:r w:rsidRPr="00BB4596">
        <w:rPr>
          <w:rStyle w:val="Sprotnaopomba-sklic"/>
        </w:rPr>
        <w:t xml:space="preserve"> </w:t>
      </w:r>
      <w:r w:rsidRPr="000854D1">
        <w:rPr>
          <w:rFonts w:ascii="Arial" w:hAnsi="Arial"/>
          <w:sz w:val="16"/>
          <w:szCs w:val="16"/>
        </w:rPr>
        <w:t xml:space="preserve">KMG, ki ima kmetijska zemljišča v OMD, je glede na težavnostne pogoje kmetovanja točkovano in razdeljeno v razrede (najnižji razred pod 200 točk, najvišji razred nad 800 točk). Višje število točk pomeni težje pogoje kmetovanja. V razredu od 200 do 400 točk se nahaja 43 % vseh KMG, ki so v OMD. </w:t>
      </w:r>
      <w:r w:rsidRPr="00BB4596">
        <w:rPr>
          <w:rStyle w:val="Sprotnaopomba-sklic"/>
        </w:rPr>
        <w:t xml:space="preserve"> </w:t>
      </w:r>
    </w:p>
  </w:footnote>
  <w:footnote w:id="17">
    <w:p w14:paraId="3342AA2B" w14:textId="363B53CE" w:rsidR="00B56C8D" w:rsidRDefault="00B56C8D" w:rsidP="002A60EF">
      <w:pPr>
        <w:pStyle w:val="Sprotnaopomba-besedilo"/>
        <w:ind w:left="357"/>
      </w:pPr>
      <w:r>
        <w:rPr>
          <w:rStyle w:val="Sprotnaopomba-sklic"/>
        </w:rPr>
        <w:footnoteRef/>
      </w:r>
      <w:r>
        <w:t xml:space="preserve"> </w:t>
      </w:r>
      <w:r w:rsidRPr="000235C6">
        <w:rPr>
          <w:rFonts w:ascii="Arial" w:hAnsi="Arial"/>
          <w:sz w:val="16"/>
          <w:szCs w:val="16"/>
        </w:rPr>
        <w:t>Sektor govedoreja:</w:t>
      </w:r>
      <w:r>
        <w:t xml:space="preserve"> </w:t>
      </w:r>
      <w:r w:rsidRPr="00842217">
        <w:rPr>
          <w:rFonts w:ascii="Arial" w:hAnsi="Arial"/>
          <w:i/>
          <w:sz w:val="16"/>
          <w:szCs w:val="16"/>
        </w:rPr>
        <w:t>mleko - govedoreja</w:t>
      </w:r>
      <w:r w:rsidRPr="00842217">
        <w:rPr>
          <w:rFonts w:ascii="Arial" w:hAnsi="Arial"/>
          <w:sz w:val="16"/>
          <w:szCs w:val="16"/>
        </w:rPr>
        <w:t xml:space="preserve">: krave molznice in </w:t>
      </w:r>
      <w:r w:rsidRPr="00842217">
        <w:rPr>
          <w:rFonts w:ascii="Arial" w:hAnsi="Arial"/>
          <w:i/>
          <w:sz w:val="16"/>
          <w:szCs w:val="16"/>
        </w:rPr>
        <w:t>pašna živina - govedoreja</w:t>
      </w:r>
      <w:r w:rsidRPr="00842217">
        <w:rPr>
          <w:rFonts w:ascii="Arial" w:hAnsi="Arial"/>
          <w:sz w:val="16"/>
          <w:szCs w:val="16"/>
        </w:rPr>
        <w:t>: krave dojilje; goveji pitanci, reja telet.</w:t>
      </w:r>
      <w:r>
        <w:rPr>
          <w:rFonts w:ascii="Arial" w:hAnsi="Arial"/>
        </w:rPr>
        <w:t xml:space="preserve"> </w:t>
      </w:r>
    </w:p>
  </w:footnote>
  <w:footnote w:id="18">
    <w:p w14:paraId="019DA099" w14:textId="4E3E944C" w:rsidR="00B56C8D" w:rsidRPr="0037317E" w:rsidRDefault="00B56C8D" w:rsidP="00797A13">
      <w:pPr>
        <w:pStyle w:val="Sprotnaopomba-besedilo"/>
        <w:ind w:left="357"/>
        <w:rPr>
          <w:rFonts w:ascii="Arial" w:hAnsi="Arial"/>
          <w:sz w:val="16"/>
          <w:szCs w:val="16"/>
        </w:rPr>
      </w:pPr>
      <w:r w:rsidRPr="0037317E">
        <w:rPr>
          <w:rStyle w:val="Sprotnaopomba-sklic"/>
          <w:rFonts w:ascii="Arial" w:hAnsi="Arial"/>
        </w:rPr>
        <w:footnoteRef/>
      </w:r>
      <w:r w:rsidRPr="0037317E">
        <w:rPr>
          <w:rFonts w:ascii="Arial" w:hAnsi="Arial"/>
        </w:rPr>
        <w:t xml:space="preserve"> </w:t>
      </w:r>
      <w:r w:rsidRPr="0037317E">
        <w:rPr>
          <w:rFonts w:ascii="Arial" w:hAnsi="Arial"/>
          <w:sz w:val="16"/>
          <w:szCs w:val="16"/>
        </w:rPr>
        <w:t xml:space="preserve">Vrednosti vključujejo davek na dodano vrednost (DDV). </w:t>
      </w:r>
    </w:p>
  </w:footnote>
  <w:footnote w:id="19">
    <w:p w14:paraId="1F86F064" w14:textId="77777777" w:rsidR="00B56C8D" w:rsidRDefault="00B56C8D" w:rsidP="00E250CA">
      <w:pPr>
        <w:pStyle w:val="Sprotnaopomba-besedilo"/>
        <w:ind w:left="0" w:firstLine="0"/>
      </w:pPr>
      <w:r w:rsidRPr="00E250CA">
        <w:rPr>
          <w:rStyle w:val="Sprotnaopomba-sklic"/>
          <w:rFonts w:ascii="Arial" w:hAnsi="Arial"/>
          <w:sz w:val="16"/>
        </w:rPr>
        <w:footnoteRef/>
      </w:r>
      <w:r w:rsidRPr="00E250CA">
        <w:rPr>
          <w:rFonts w:ascii="Arial" w:hAnsi="Arial"/>
          <w:sz w:val="16"/>
        </w:rPr>
        <w:t xml:space="preserve"> Kmetijska gospodarstva, ki so organizirana kot pravna oseba</w:t>
      </w:r>
      <w:r>
        <w:rPr>
          <w:rFonts w:ascii="Arial" w:hAnsi="Arial"/>
          <w:sz w:val="16"/>
        </w:rPr>
        <w:t xml:space="preserve"> ali samostojni podjetnik posameznik</w:t>
      </w:r>
      <w:r w:rsidRPr="00E250CA">
        <w:rPr>
          <w:rFonts w:ascii="Arial" w:hAnsi="Arial"/>
          <w:sz w:val="16"/>
        </w:rPr>
        <w:t>, so podvržen</w:t>
      </w:r>
      <w:r>
        <w:rPr>
          <w:rFonts w:ascii="Arial" w:hAnsi="Arial"/>
          <w:sz w:val="16"/>
        </w:rPr>
        <w:t>i</w:t>
      </w:r>
      <w:r w:rsidRPr="00E250CA">
        <w:rPr>
          <w:rFonts w:ascii="Arial" w:hAnsi="Arial"/>
          <w:sz w:val="16"/>
        </w:rPr>
        <w:t xml:space="preserve"> vodenju knjig</w:t>
      </w:r>
      <w:r>
        <w:rPr>
          <w:rFonts w:ascii="Arial" w:hAnsi="Arial"/>
          <w:sz w:val="16"/>
        </w:rPr>
        <w:t>ovodstva</w:t>
      </w:r>
      <w:r w:rsidRPr="00E250CA">
        <w:rPr>
          <w:rFonts w:ascii="Arial" w:hAnsi="Arial"/>
          <w:sz w:val="16"/>
        </w:rPr>
        <w:t xml:space="preserve">, tako kot </w:t>
      </w:r>
      <w:r>
        <w:rPr>
          <w:rFonts w:ascii="Arial" w:hAnsi="Arial"/>
          <w:sz w:val="16"/>
        </w:rPr>
        <w:t xml:space="preserve">vsi </w:t>
      </w:r>
      <w:r w:rsidRPr="00E250CA">
        <w:rPr>
          <w:rFonts w:ascii="Arial" w:hAnsi="Arial"/>
          <w:sz w:val="16"/>
        </w:rPr>
        <w:t>ostali gospodarski subjekti.</w:t>
      </w:r>
      <w:r>
        <w:rPr>
          <w:rFonts w:ascii="Arial" w:hAnsi="Arial"/>
          <w:sz w:val="16"/>
        </w:rPr>
        <w:t xml:space="preserve"> Kmetije, katerih nosilci so fizične osebe, pa niso dolžne voditi knjig po slovenski zakonodaji.</w:t>
      </w:r>
    </w:p>
  </w:footnote>
  <w:footnote w:id="20">
    <w:p w14:paraId="16C0EBB8" w14:textId="77777777" w:rsidR="00B56C8D" w:rsidRPr="00E250CA" w:rsidRDefault="00B56C8D" w:rsidP="00E250CA">
      <w:pPr>
        <w:pStyle w:val="Sprotnaopomba-besedilo"/>
        <w:ind w:left="0" w:firstLine="0"/>
      </w:pPr>
      <w:r w:rsidRPr="00E250CA">
        <w:rPr>
          <w:rStyle w:val="Sprotnaopomba-sklic"/>
          <w:rFonts w:ascii="Arial" w:hAnsi="Arial"/>
          <w:sz w:val="16"/>
        </w:rPr>
        <w:footnoteRef/>
      </w:r>
      <w:r>
        <w:t xml:space="preserve"> </w:t>
      </w:r>
      <w:r w:rsidRPr="00E250CA">
        <w:rPr>
          <w:rFonts w:ascii="Arial" w:hAnsi="Arial"/>
          <w:sz w:val="16"/>
        </w:rPr>
        <w:t>Davčni zavezanec, ki dobavlja blago in storitve v okviru osnovne kmetijske in osnovne gozdarske dejavnosti, kot ju določajo predpisi o dohodnini, je oproščen obračunavanja DDV, če se zanjo dohodek ne ugotavlja na podlagi dejanskih prihodkov in odhodkov ali dejanskih prihodkov in normiranih odhodkov in, če katastrski dohodek vseh članov kmečkega gospodinjstva za zadnje koledarsko leto ne presega 7.500 evrov.</w:t>
      </w:r>
      <w:r>
        <w:rPr>
          <w:rFonts w:ascii="Arial" w:hAnsi="Arial"/>
          <w:sz w:val="16"/>
        </w:rPr>
        <w:t xml:space="preserve"> Vir: FURS, </w:t>
      </w:r>
      <w:hyperlink r:id="rId1" w:history="1">
        <w:r w:rsidRPr="008C7895">
          <w:rPr>
            <w:rStyle w:val="Hiperpovezava"/>
            <w:rFonts w:ascii="Arial" w:hAnsi="Arial"/>
            <w:sz w:val="16"/>
          </w:rPr>
          <w:t>https://www.fu.gov.si/davki_in_druge_dajatve/podrocja/davek_na_dodano_vrednost_ddv/</w:t>
        </w:r>
      </w:hyperlink>
      <w:r>
        <w:rPr>
          <w:rFonts w:ascii="Arial" w:hAnsi="Arial"/>
          <w:sz w:val="16"/>
        </w:rPr>
        <w:t xml:space="preserve"> </w:t>
      </w:r>
    </w:p>
  </w:footnote>
  <w:footnote w:id="21">
    <w:p w14:paraId="3CBDDEE2" w14:textId="77777777" w:rsidR="00B56C8D" w:rsidRDefault="00B56C8D" w:rsidP="0071006D">
      <w:pPr>
        <w:pStyle w:val="Sprotnaopomba-besedilo"/>
        <w:ind w:left="357"/>
      </w:pPr>
      <w:r w:rsidRPr="0071006D">
        <w:rPr>
          <w:rStyle w:val="Sprotnaopomba-sklic"/>
          <w:rFonts w:ascii="Arial" w:hAnsi="Arial"/>
          <w:sz w:val="16"/>
          <w:szCs w:val="16"/>
        </w:rPr>
        <w:footnoteRef/>
      </w:r>
      <w:r>
        <w:t xml:space="preserve"> </w:t>
      </w:r>
      <w:r w:rsidRPr="00BC1C56">
        <w:rPr>
          <w:rFonts w:ascii="Arial" w:hAnsi="Arial"/>
          <w:sz w:val="16"/>
          <w:szCs w:val="16"/>
        </w:rPr>
        <w:t xml:space="preserve">V živilskopredelovalno industrijo je zajeta proizvodnja živil (C10), pijač (C11) in tobačnih izdelkov (C12), pri čemer v Sloveniji ni proizvodnje tobačnih </w:t>
      </w:r>
      <w:r w:rsidRPr="0047652B">
        <w:rPr>
          <w:rFonts w:ascii="Arial" w:hAnsi="Arial"/>
          <w:sz w:val="16"/>
          <w:szCs w:val="16"/>
        </w:rPr>
        <w:t>izdelkov</w:t>
      </w:r>
      <w:r w:rsidRPr="00BC1C56">
        <w:rPr>
          <w:rFonts w:ascii="Arial" w:hAnsi="Arial"/>
          <w:sz w:val="16"/>
          <w:szCs w:val="16"/>
        </w:rPr>
        <w:t>.</w:t>
      </w:r>
    </w:p>
  </w:footnote>
  <w:footnote w:id="22">
    <w:p w14:paraId="2BF49206" w14:textId="3FCE6E57" w:rsidR="00B56C8D" w:rsidRPr="00C36861" w:rsidRDefault="00B56C8D" w:rsidP="003406B9">
      <w:pPr>
        <w:pStyle w:val="Sprotnaopomba-besedilo"/>
        <w:spacing w:before="0" w:line="240" w:lineRule="auto"/>
        <w:ind w:left="0" w:firstLine="0"/>
        <w:rPr>
          <w:rFonts w:ascii="Arial" w:hAnsi="Arial"/>
          <w:sz w:val="16"/>
          <w:szCs w:val="16"/>
        </w:rPr>
      </w:pPr>
      <w:r>
        <w:rPr>
          <w:rStyle w:val="Sprotnaopomba-sklic"/>
        </w:rPr>
        <w:footnoteRef/>
      </w:r>
      <w:r>
        <w:t xml:space="preserve"> </w:t>
      </w:r>
      <w:r w:rsidRPr="001261D8">
        <w:rPr>
          <w:rFonts w:ascii="Arial" w:hAnsi="Arial"/>
          <w:sz w:val="16"/>
          <w:szCs w:val="16"/>
        </w:rPr>
        <w:t xml:space="preserve">Vir: Register kmetijskih gospodarstev. </w:t>
      </w:r>
    </w:p>
  </w:footnote>
  <w:footnote w:id="23">
    <w:p w14:paraId="4612C4D6" w14:textId="77777777" w:rsidR="00B56C8D" w:rsidRPr="008375EC" w:rsidRDefault="00B56C8D" w:rsidP="00672A7B">
      <w:pPr>
        <w:pStyle w:val="Sprotnaopomba-besedilo"/>
        <w:spacing w:before="0" w:line="240" w:lineRule="auto"/>
        <w:ind w:left="0" w:firstLine="0"/>
        <w:rPr>
          <w:rFonts w:ascii="Arial" w:hAnsi="Arial"/>
        </w:rPr>
      </w:pPr>
      <w:r>
        <w:rPr>
          <w:rStyle w:val="Sprotnaopomba-sklic"/>
        </w:rPr>
        <w:footnoteRef/>
      </w:r>
      <w:r>
        <w:t xml:space="preserve"> </w:t>
      </w:r>
      <w:r w:rsidRPr="00F66C90">
        <w:rPr>
          <w:rFonts w:ascii="Arial" w:hAnsi="Arial"/>
          <w:sz w:val="16"/>
        </w:rPr>
        <w:t>Akcijski načrt za povečanje konkurenčnosti gozdno-lesne verige v Sloveniji do leta 2020 »Les je lep«.</w:t>
      </w:r>
    </w:p>
  </w:footnote>
  <w:footnote w:id="24">
    <w:p w14:paraId="5BCFA78C" w14:textId="77777777" w:rsidR="00B56C8D" w:rsidRPr="00F67DAC" w:rsidRDefault="00B56C8D" w:rsidP="00C36861">
      <w:pPr>
        <w:pStyle w:val="Sprotnaopomba-besedilo"/>
        <w:ind w:left="0" w:firstLine="0"/>
        <w:rPr>
          <w:rFonts w:ascii="Arial" w:hAnsi="Arial"/>
        </w:rPr>
      </w:pPr>
      <w:r w:rsidRPr="00F67DAC">
        <w:rPr>
          <w:rStyle w:val="Sprotnaopomba-sklic"/>
          <w:rFonts w:ascii="Arial" w:hAnsi="Arial"/>
        </w:rPr>
        <w:footnoteRef/>
      </w:r>
      <w:r w:rsidRPr="00F67DAC">
        <w:rPr>
          <w:rFonts w:ascii="Arial" w:hAnsi="Arial"/>
        </w:rPr>
        <w:t xml:space="preserve"> </w:t>
      </w:r>
      <w:r w:rsidRPr="00791B01">
        <w:rPr>
          <w:rFonts w:ascii="Arial" w:hAnsi="Arial"/>
          <w:sz w:val="16"/>
          <w:szCs w:val="16"/>
        </w:rPr>
        <w:t>P</w:t>
      </w:r>
      <w:r w:rsidRPr="009F3567">
        <w:rPr>
          <w:rFonts w:ascii="Arial" w:hAnsi="Arial"/>
          <w:sz w:val="16"/>
        </w:rPr>
        <w:t>odukrep 7.3 Podpora za širokopasovno infrastrukturo, vključno z njeno vzpostavitvijo, izboljšanjem in razširitvijo, pasivno širokopasovno infrastrukturo ter zagotavljanjem dostopa do širokopasovnega interneta in rešitev v zvezi z e-upravo.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1049"/>
        </w:tabs>
        <w:ind w:left="1332" w:hanging="283"/>
      </w:pPr>
      <w:rPr>
        <w:rFonts w:ascii="Symbol" w:eastAsia="Symbol" w:hAnsi="Symbol"/>
        <w:w w:val="100"/>
        <w:sz w:val="20"/>
        <w:szCs w:val="20"/>
        <w:shd w:val="clear" w:color="auto" w:fill="auto"/>
      </w:rPr>
    </w:lvl>
    <w:lvl w:ilvl="1" w:tplc="4E04828E">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2" w:tplc="238E8172">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3" w:tplc="4F584F90">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4" w:tplc="D8B8A9C6">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5" w:tplc="AA8EA6C6">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6" w:tplc="96CA3FEA">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7" w:tplc="3E362ED8">
      <w:start w:val="1"/>
      <w:numFmt w:val="bullet"/>
      <w:lvlText w:val="·"/>
      <w:lvlJc w:val="left"/>
      <w:pPr>
        <w:tabs>
          <w:tab w:val="left" w:pos="1049"/>
        </w:tabs>
        <w:ind w:left="1332" w:hanging="283"/>
      </w:pPr>
      <w:rPr>
        <w:rFonts w:ascii="Symbol" w:eastAsia="Symbol" w:hAnsi="Symbol"/>
        <w:w w:val="100"/>
        <w:sz w:val="20"/>
        <w:szCs w:val="20"/>
        <w:shd w:val="clear" w:color="auto" w:fill="auto"/>
      </w:rPr>
    </w:lvl>
    <w:lvl w:ilvl="8" w:tplc="76D437B2">
      <w:start w:val="1"/>
      <w:numFmt w:val="bullet"/>
      <w:lvlText w:val="·"/>
      <w:lvlJc w:val="left"/>
      <w:pPr>
        <w:tabs>
          <w:tab w:val="left" w:pos="1049"/>
        </w:tabs>
        <w:ind w:left="1332"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A"/>
    <w:multiLevelType w:val="multilevel"/>
    <w:tmpl w:val="CD62DDFA"/>
    <w:lvl w:ilvl="0">
      <w:start w:val="1"/>
      <w:numFmt w:val="decimal"/>
      <w:lvlText w:val="%1."/>
      <w:lvlJc w:val="left"/>
      <w:pPr>
        <w:tabs>
          <w:tab w:val="left" w:pos="0"/>
        </w:tabs>
        <w:ind w:left="480" w:hanging="480"/>
      </w:pPr>
    </w:lvl>
    <w:lvl w:ilvl="1">
      <w:start w:val="1"/>
      <w:numFmt w:val="decimal"/>
      <w:lvlText w:val="%1.%2."/>
      <w:lvlJc w:val="left"/>
      <w:pPr>
        <w:tabs>
          <w:tab w:val="left" w:pos="0"/>
        </w:tabs>
        <w:ind w:left="600" w:hanging="600"/>
      </w:pPr>
      <w:rPr>
        <w:b/>
      </w:rPr>
    </w:lvl>
    <w:lvl w:ilvl="2">
      <w:start w:val="1"/>
      <w:numFmt w:val="decimal"/>
      <w:lvlText w:val="%1.%2.%3."/>
      <w:lvlJc w:val="left"/>
      <w:pPr>
        <w:tabs>
          <w:tab w:val="left" w:pos="360"/>
        </w:tabs>
        <w:ind w:left="1200" w:hanging="840"/>
      </w:pPr>
      <w:rPr>
        <w:w w:val="100"/>
        <w:sz w:val="22"/>
        <w:szCs w:val="24"/>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4"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8"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1" w15:restartNumberingAfterBreak="0">
    <w:nsid w:val="00000047"/>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48"/>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683379"/>
    <w:multiLevelType w:val="hybridMultilevel"/>
    <w:tmpl w:val="D0200188"/>
    <w:lvl w:ilvl="0" w:tplc="1082BBEE">
      <w:start w:val="1"/>
      <w:numFmt w:val="bullet"/>
      <w:pStyle w:val="SLIK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1CB6735"/>
    <w:multiLevelType w:val="hybridMultilevel"/>
    <w:tmpl w:val="6FEC338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02465DF5"/>
    <w:multiLevelType w:val="hybridMultilevel"/>
    <w:tmpl w:val="A0404D5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0297060B"/>
    <w:multiLevelType w:val="hybridMultilevel"/>
    <w:tmpl w:val="258A7EF6"/>
    <w:lvl w:ilvl="0" w:tplc="48C625DC">
      <w:numFmt w:val="bullet"/>
      <w:lvlText w:val="-"/>
      <w:lvlJc w:val="left"/>
      <w:pPr>
        <w:ind w:left="1068" w:hanging="360"/>
      </w:pPr>
      <w:rPr>
        <w:rFonts w:ascii="Arial" w:eastAsiaTheme="minorEastAsia"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7" w15:restartNumberingAfterBreak="0">
    <w:nsid w:val="032F585F"/>
    <w:multiLevelType w:val="hybridMultilevel"/>
    <w:tmpl w:val="4B623D0E"/>
    <w:lvl w:ilvl="0" w:tplc="41BC348C">
      <w:start w:val="2"/>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03A039A2"/>
    <w:multiLevelType w:val="hybridMultilevel"/>
    <w:tmpl w:val="B37AFCDE"/>
    <w:lvl w:ilvl="0" w:tplc="5FE43522">
      <w:start w:val="1"/>
      <w:numFmt w:val="decimal"/>
      <w:lvlText w:val="4.%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052464AC"/>
    <w:multiLevelType w:val="hybridMultilevel"/>
    <w:tmpl w:val="F8CC4286"/>
    <w:lvl w:ilvl="0" w:tplc="5FE43522">
      <w:start w:val="1"/>
      <w:numFmt w:val="decimal"/>
      <w:lvlText w:val="4.%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058B50B3"/>
    <w:multiLevelType w:val="hybridMultilevel"/>
    <w:tmpl w:val="4790EF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05E37308"/>
    <w:multiLevelType w:val="hybridMultilevel"/>
    <w:tmpl w:val="5446786E"/>
    <w:lvl w:ilvl="0" w:tplc="E4983186">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06A51518"/>
    <w:multiLevelType w:val="multilevel"/>
    <w:tmpl w:val="BF60488E"/>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06AB731F"/>
    <w:multiLevelType w:val="multilevel"/>
    <w:tmpl w:val="A156CE5E"/>
    <w:numStyleLink w:val="CILJ2NOV"/>
  </w:abstractNum>
  <w:abstractNum w:abstractNumId="34" w15:restartNumberingAfterBreak="0">
    <w:nsid w:val="06C035F4"/>
    <w:multiLevelType w:val="hybridMultilevel"/>
    <w:tmpl w:val="35FC5708"/>
    <w:lvl w:ilvl="0" w:tplc="C2CA522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084F6D3C"/>
    <w:multiLevelType w:val="hybridMultilevel"/>
    <w:tmpl w:val="DB90C4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0875192D"/>
    <w:multiLevelType w:val="hybridMultilevel"/>
    <w:tmpl w:val="334E8050"/>
    <w:lvl w:ilvl="0" w:tplc="04240005">
      <w:start w:val="1"/>
      <w:numFmt w:val="bullet"/>
      <w:lvlText w:val=""/>
      <w:lvlJc w:val="left"/>
      <w:pPr>
        <w:ind w:left="717" w:hanging="360"/>
      </w:pPr>
      <w:rPr>
        <w:rFonts w:ascii="Wingdings" w:hAnsi="Wingdings"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37" w15:restartNumberingAfterBreak="0">
    <w:nsid w:val="08C478A0"/>
    <w:multiLevelType w:val="hybridMultilevel"/>
    <w:tmpl w:val="D206DAE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08DF0F38"/>
    <w:multiLevelType w:val="hybridMultilevel"/>
    <w:tmpl w:val="20F81D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40" w15:restartNumberingAfterBreak="0">
    <w:nsid w:val="0FD22E0C"/>
    <w:multiLevelType w:val="hybridMultilevel"/>
    <w:tmpl w:val="A0926D56"/>
    <w:lvl w:ilvl="0" w:tplc="2EF61C1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0E96B6B"/>
    <w:multiLevelType w:val="multilevel"/>
    <w:tmpl w:val="8B526678"/>
    <w:lvl w:ilvl="0">
      <w:start w:val="1"/>
      <w:numFmt w:val="bullet"/>
      <w:lvlText w:val=""/>
      <w:lvlJc w:val="left"/>
      <w:pPr>
        <w:ind w:left="360" w:hanging="360"/>
      </w:pPr>
      <w:rPr>
        <w:rFonts w:ascii="Symbol" w:hAnsi="Symbol" w:hint="default"/>
      </w:rPr>
    </w:lvl>
    <w:lvl w:ilvl="1">
      <w:start w:val="4"/>
      <w:numFmt w:val="decimal"/>
      <w:isLgl/>
      <w:lvlText w:val="%1.%2"/>
      <w:lvlJc w:val="left"/>
      <w:pPr>
        <w:ind w:left="360" w:hanging="360"/>
      </w:pPr>
      <w:rPr>
        <w:rFonts w:hint="default"/>
        <w:color w:val="0070C0"/>
      </w:rPr>
    </w:lvl>
    <w:lvl w:ilvl="2">
      <w:start w:val="1"/>
      <w:numFmt w:val="decimal"/>
      <w:isLgl/>
      <w:lvlText w:val="%1.%2.%3"/>
      <w:lvlJc w:val="left"/>
      <w:pPr>
        <w:ind w:left="720" w:hanging="720"/>
      </w:pPr>
      <w:rPr>
        <w:rFonts w:hint="default"/>
        <w:color w:val="0070C0"/>
      </w:rPr>
    </w:lvl>
    <w:lvl w:ilvl="3">
      <w:start w:val="1"/>
      <w:numFmt w:val="decimal"/>
      <w:isLgl/>
      <w:lvlText w:val="%1.%2.%3.%4"/>
      <w:lvlJc w:val="left"/>
      <w:pPr>
        <w:ind w:left="720" w:hanging="720"/>
      </w:pPr>
      <w:rPr>
        <w:rFonts w:hint="default"/>
        <w:color w:val="0070C0"/>
      </w:rPr>
    </w:lvl>
    <w:lvl w:ilvl="4">
      <w:start w:val="1"/>
      <w:numFmt w:val="decimal"/>
      <w:isLgl/>
      <w:lvlText w:val="%1.%2.%3.%4.%5"/>
      <w:lvlJc w:val="left"/>
      <w:pPr>
        <w:ind w:left="1080" w:hanging="1080"/>
      </w:pPr>
      <w:rPr>
        <w:rFonts w:hint="default"/>
        <w:color w:val="0070C0"/>
      </w:rPr>
    </w:lvl>
    <w:lvl w:ilvl="5">
      <w:start w:val="1"/>
      <w:numFmt w:val="decimal"/>
      <w:isLgl/>
      <w:lvlText w:val="%1.%2.%3.%4.%5.%6"/>
      <w:lvlJc w:val="left"/>
      <w:pPr>
        <w:ind w:left="1080" w:hanging="1080"/>
      </w:pPr>
      <w:rPr>
        <w:rFonts w:hint="default"/>
        <w:color w:val="0070C0"/>
      </w:rPr>
    </w:lvl>
    <w:lvl w:ilvl="6">
      <w:start w:val="1"/>
      <w:numFmt w:val="decimal"/>
      <w:isLgl/>
      <w:lvlText w:val="%1.%2.%3.%4.%5.%6.%7"/>
      <w:lvlJc w:val="left"/>
      <w:pPr>
        <w:ind w:left="1440" w:hanging="1440"/>
      </w:pPr>
      <w:rPr>
        <w:rFonts w:hint="default"/>
        <w:color w:val="0070C0"/>
      </w:rPr>
    </w:lvl>
    <w:lvl w:ilvl="7">
      <w:start w:val="1"/>
      <w:numFmt w:val="decimal"/>
      <w:isLgl/>
      <w:lvlText w:val="%1.%2.%3.%4.%5.%6.%7.%8"/>
      <w:lvlJc w:val="left"/>
      <w:pPr>
        <w:ind w:left="1440" w:hanging="1440"/>
      </w:pPr>
      <w:rPr>
        <w:rFonts w:hint="default"/>
        <w:color w:val="0070C0"/>
      </w:rPr>
    </w:lvl>
    <w:lvl w:ilvl="8">
      <w:start w:val="1"/>
      <w:numFmt w:val="decimal"/>
      <w:isLgl/>
      <w:lvlText w:val="%1.%2.%3.%4.%5.%6.%7.%8.%9"/>
      <w:lvlJc w:val="left"/>
      <w:pPr>
        <w:ind w:left="1800" w:hanging="1800"/>
      </w:pPr>
      <w:rPr>
        <w:rFonts w:hint="default"/>
        <w:color w:val="0070C0"/>
      </w:rPr>
    </w:lvl>
  </w:abstractNum>
  <w:abstractNum w:abstractNumId="42" w15:restartNumberingAfterBreak="0">
    <w:nsid w:val="11261270"/>
    <w:multiLevelType w:val="multilevel"/>
    <w:tmpl w:val="47340A8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18B2440"/>
    <w:multiLevelType w:val="multilevel"/>
    <w:tmpl w:val="9A7AC98E"/>
    <w:styleLink w:val="Slog2"/>
    <w:lvl w:ilvl="0">
      <w:start w:val="1"/>
      <w:numFmt w:val="decimal"/>
      <w:lvlText w:val="%1."/>
      <w:lvlJc w:val="left"/>
      <w:pPr>
        <w:ind w:left="2880" w:hanging="360"/>
      </w:pPr>
      <w:rPr>
        <w:rFonts w:ascii="Arial" w:hAnsi="Arial" w:hint="default"/>
        <w:b/>
        <w:i w:val="0"/>
        <w:sz w:val="20"/>
      </w:rPr>
    </w:lvl>
    <w:lvl w:ilvl="1">
      <w:start w:val="1"/>
      <w:numFmt w:val="decimal"/>
      <w:lvlText w:val="%1.%2"/>
      <w:lvlJc w:val="left"/>
      <w:pPr>
        <w:ind w:left="3600" w:hanging="360"/>
      </w:pPr>
      <w:rPr>
        <w:rFonts w:hint="default"/>
      </w:rPr>
    </w:lvl>
    <w:lvl w:ilvl="2">
      <w:start w:val="1"/>
      <w:numFmt w:val="decimal"/>
      <w:lvlText w:val="%1.%2.%3"/>
      <w:lvlJc w:val="right"/>
      <w:pPr>
        <w:ind w:left="4320" w:hanging="180"/>
      </w:pPr>
      <w:rPr>
        <w:rFonts w:hint="default"/>
      </w:rPr>
    </w:lvl>
    <w:lvl w:ilvl="3">
      <w:start w:val="1"/>
      <w:numFmt w:val="decimal"/>
      <w:lvlText w:val="%1.%2.%3.%4"/>
      <w:lvlJc w:val="left"/>
      <w:pPr>
        <w:ind w:left="4608"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44" w15:restartNumberingAfterBreak="0">
    <w:nsid w:val="1612530B"/>
    <w:multiLevelType w:val="hybridMultilevel"/>
    <w:tmpl w:val="4DA6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434081"/>
    <w:multiLevelType w:val="hybridMultilevel"/>
    <w:tmpl w:val="85E8A5DC"/>
    <w:lvl w:ilvl="0" w:tplc="8DDE07E6">
      <w:start w:val="1"/>
      <w:numFmt w:val="decimal"/>
      <w:lvlText w:val="7.%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6A73272"/>
    <w:multiLevelType w:val="hybridMultilevel"/>
    <w:tmpl w:val="F9281C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17531234"/>
    <w:multiLevelType w:val="multilevel"/>
    <w:tmpl w:val="A156CE5E"/>
    <w:numStyleLink w:val="CILJ2NOV"/>
  </w:abstractNum>
  <w:abstractNum w:abstractNumId="48" w15:restartNumberingAfterBreak="0">
    <w:nsid w:val="17DF7DCC"/>
    <w:multiLevelType w:val="hybridMultilevel"/>
    <w:tmpl w:val="BAEC97A0"/>
    <w:lvl w:ilvl="0" w:tplc="0409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9" w15:restartNumberingAfterBreak="0">
    <w:nsid w:val="18286F67"/>
    <w:multiLevelType w:val="hybridMultilevel"/>
    <w:tmpl w:val="F5E4ACD2"/>
    <w:lvl w:ilvl="0" w:tplc="5358AA64">
      <w:start w:val="1"/>
      <w:numFmt w:val="bullet"/>
      <w:lvlText w:val=""/>
      <w:lvlJc w:val="left"/>
      <w:pPr>
        <w:ind w:left="720" w:hanging="360"/>
      </w:pPr>
      <w:rPr>
        <w:rFonts w:ascii="Symbol" w:hAnsi="Symbol" w:hint="default"/>
      </w:rPr>
    </w:lvl>
    <w:lvl w:ilvl="1" w:tplc="A0F2115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18BE6E81"/>
    <w:multiLevelType w:val="hybridMultilevel"/>
    <w:tmpl w:val="C1A0B9E8"/>
    <w:lvl w:ilvl="0" w:tplc="C466FA20">
      <w:start w:val="1"/>
      <w:numFmt w:val="bullet"/>
      <w:lvlText w:val=""/>
      <w:lvlJc w:val="left"/>
      <w:pPr>
        <w:ind w:left="360" w:hanging="360"/>
      </w:pPr>
      <w:rPr>
        <w:rFonts w:ascii="Symbol" w:hAnsi="Symbol" w:hint="default"/>
      </w:rPr>
    </w:lvl>
    <w:lvl w:ilvl="1" w:tplc="6B5E4D34">
      <w:start w:val="1"/>
      <w:numFmt w:val="bullet"/>
      <w:lvlText w:val="-"/>
      <w:lvlJc w:val="left"/>
      <w:pPr>
        <w:ind w:left="1080" w:hanging="360"/>
      </w:pPr>
      <w:rPr>
        <w:rFonts w:ascii="Arial" w:eastAsiaTheme="majorEastAsia"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196E369C"/>
    <w:multiLevelType w:val="multilevel"/>
    <w:tmpl w:val="A156CE5E"/>
    <w:styleLink w:val="CILJ2NOV"/>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1A5C6AC0"/>
    <w:multiLevelType w:val="hybridMultilevel"/>
    <w:tmpl w:val="CACA3A22"/>
    <w:lvl w:ilvl="0" w:tplc="A720F7AA">
      <w:start w:val="1"/>
      <w:numFmt w:val="decimal"/>
      <w:lvlText w:val="6.%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1AB82EBE"/>
    <w:multiLevelType w:val="hybridMultilevel"/>
    <w:tmpl w:val="F844F9BA"/>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BBA773F"/>
    <w:multiLevelType w:val="hybridMultilevel"/>
    <w:tmpl w:val="087A94CC"/>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C675DC8"/>
    <w:multiLevelType w:val="hybridMultilevel"/>
    <w:tmpl w:val="F4D88DA6"/>
    <w:lvl w:ilvl="0" w:tplc="915AD3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1D272948"/>
    <w:multiLevelType w:val="multilevel"/>
    <w:tmpl w:val="776E1228"/>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color w:val="0070C0"/>
      </w:rPr>
    </w:lvl>
    <w:lvl w:ilvl="2">
      <w:start w:val="1"/>
      <w:numFmt w:val="decimal"/>
      <w:isLgl/>
      <w:lvlText w:val="%1.%2.%3"/>
      <w:lvlJc w:val="left"/>
      <w:pPr>
        <w:ind w:left="720" w:hanging="720"/>
      </w:pPr>
      <w:rPr>
        <w:rFonts w:hint="default"/>
        <w:color w:val="0070C0"/>
      </w:rPr>
    </w:lvl>
    <w:lvl w:ilvl="3">
      <w:start w:val="1"/>
      <w:numFmt w:val="decimal"/>
      <w:isLgl/>
      <w:lvlText w:val="%1.%2.%3.%4"/>
      <w:lvlJc w:val="left"/>
      <w:pPr>
        <w:ind w:left="720" w:hanging="720"/>
      </w:pPr>
      <w:rPr>
        <w:rFonts w:hint="default"/>
        <w:color w:val="0070C0"/>
      </w:rPr>
    </w:lvl>
    <w:lvl w:ilvl="4">
      <w:start w:val="1"/>
      <w:numFmt w:val="decimal"/>
      <w:isLgl/>
      <w:lvlText w:val="%1.%2.%3.%4.%5"/>
      <w:lvlJc w:val="left"/>
      <w:pPr>
        <w:ind w:left="1080" w:hanging="1080"/>
      </w:pPr>
      <w:rPr>
        <w:rFonts w:hint="default"/>
        <w:color w:val="0070C0"/>
      </w:rPr>
    </w:lvl>
    <w:lvl w:ilvl="5">
      <w:start w:val="1"/>
      <w:numFmt w:val="decimal"/>
      <w:isLgl/>
      <w:lvlText w:val="%1.%2.%3.%4.%5.%6"/>
      <w:lvlJc w:val="left"/>
      <w:pPr>
        <w:ind w:left="1080" w:hanging="1080"/>
      </w:pPr>
      <w:rPr>
        <w:rFonts w:hint="default"/>
        <w:color w:val="0070C0"/>
      </w:rPr>
    </w:lvl>
    <w:lvl w:ilvl="6">
      <w:start w:val="1"/>
      <w:numFmt w:val="decimal"/>
      <w:isLgl/>
      <w:lvlText w:val="%1.%2.%3.%4.%5.%6.%7"/>
      <w:lvlJc w:val="left"/>
      <w:pPr>
        <w:ind w:left="1440" w:hanging="1440"/>
      </w:pPr>
      <w:rPr>
        <w:rFonts w:hint="default"/>
        <w:color w:val="0070C0"/>
      </w:rPr>
    </w:lvl>
    <w:lvl w:ilvl="7">
      <w:start w:val="1"/>
      <w:numFmt w:val="decimal"/>
      <w:isLgl/>
      <w:lvlText w:val="%1.%2.%3.%4.%5.%6.%7.%8"/>
      <w:lvlJc w:val="left"/>
      <w:pPr>
        <w:ind w:left="1440" w:hanging="1440"/>
      </w:pPr>
      <w:rPr>
        <w:rFonts w:hint="default"/>
        <w:color w:val="0070C0"/>
      </w:rPr>
    </w:lvl>
    <w:lvl w:ilvl="8">
      <w:start w:val="1"/>
      <w:numFmt w:val="decimal"/>
      <w:isLgl/>
      <w:lvlText w:val="%1.%2.%3.%4.%5.%6.%7.%8.%9"/>
      <w:lvlJc w:val="left"/>
      <w:pPr>
        <w:ind w:left="1800" w:hanging="1800"/>
      </w:pPr>
      <w:rPr>
        <w:rFonts w:hint="default"/>
        <w:color w:val="0070C0"/>
      </w:rPr>
    </w:lvl>
  </w:abstractNum>
  <w:abstractNum w:abstractNumId="58" w15:restartNumberingAfterBreak="0">
    <w:nsid w:val="1D5754A3"/>
    <w:multiLevelType w:val="hybridMultilevel"/>
    <w:tmpl w:val="7422B81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DF626CC"/>
    <w:multiLevelType w:val="hybridMultilevel"/>
    <w:tmpl w:val="27DA552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0" w15:restartNumberingAfterBreak="0">
    <w:nsid w:val="1E792CFF"/>
    <w:multiLevelType w:val="hybridMultilevel"/>
    <w:tmpl w:val="EFE8297A"/>
    <w:lvl w:ilvl="0" w:tplc="A1BC1C40">
      <w:start w:val="1"/>
      <w:numFmt w:val="decimal"/>
      <w:pStyle w:val="TABELA"/>
      <w:lvlText w:val="Tabela %1:"/>
      <w:lvlJc w:val="left"/>
      <w:pPr>
        <w:ind w:left="360" w:hanging="72"/>
      </w:pPr>
      <w:rPr>
        <w:rFonts w:ascii="Times New Roman" w:hAnsi="Times New Roman" w:hint="default"/>
        <w:b w:val="0"/>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07E31F9"/>
    <w:multiLevelType w:val="hybridMultilevel"/>
    <w:tmpl w:val="C6BC9EB6"/>
    <w:lvl w:ilvl="0" w:tplc="6D0CDF88">
      <w:start w:val="1"/>
      <w:numFmt w:val="bullet"/>
      <w:lvlText w:val=""/>
      <w:lvlJc w:val="left"/>
      <w:pPr>
        <w:ind w:left="360" w:hanging="360"/>
      </w:pPr>
      <w:rPr>
        <w:rFonts w:ascii="Symbol" w:hAnsi="Symbol" w:hint="default"/>
        <w:color w:val="000000" w:themeColor="text1"/>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09F37AC"/>
    <w:multiLevelType w:val="multilevel"/>
    <w:tmpl w:val="B6CAF8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21BC5F35"/>
    <w:multiLevelType w:val="hybridMultilevel"/>
    <w:tmpl w:val="FACAD1C6"/>
    <w:lvl w:ilvl="0" w:tplc="0AAEF9DE">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3970D75"/>
    <w:multiLevelType w:val="hybridMultilevel"/>
    <w:tmpl w:val="CD9A44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3D010E4"/>
    <w:multiLevelType w:val="hybridMultilevel"/>
    <w:tmpl w:val="5E4847F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24157EB6"/>
    <w:multiLevelType w:val="multilevel"/>
    <w:tmpl w:val="04240025"/>
    <w:lvl w:ilvl="0">
      <w:start w:val="1"/>
      <w:numFmt w:val="decimal"/>
      <w:lvlText w:val="%1"/>
      <w:lvlJc w:val="left"/>
      <w:pPr>
        <w:ind w:left="432" w:hanging="432"/>
      </w:pPr>
    </w:lvl>
    <w:lvl w:ilvl="1">
      <w:start w:val="1"/>
      <w:numFmt w:val="decimal"/>
      <w:lvlText w:val="%1.%2"/>
      <w:lvlJc w:val="left"/>
      <w:pPr>
        <w:ind w:left="270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24225E81"/>
    <w:multiLevelType w:val="hybridMultilevel"/>
    <w:tmpl w:val="6F3E11C4"/>
    <w:lvl w:ilvl="0" w:tplc="5358AA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248A0352"/>
    <w:multiLevelType w:val="multilevel"/>
    <w:tmpl w:val="07A8F6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25560B14"/>
    <w:multiLevelType w:val="hybridMultilevel"/>
    <w:tmpl w:val="575CDA1E"/>
    <w:lvl w:ilvl="0" w:tplc="FEBAB542">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70" w15:restartNumberingAfterBreak="0">
    <w:nsid w:val="25A0166E"/>
    <w:multiLevelType w:val="hybridMultilevel"/>
    <w:tmpl w:val="4B7E8FE6"/>
    <w:lvl w:ilvl="0" w:tplc="C466FA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26C0505B"/>
    <w:multiLevelType w:val="hybridMultilevel"/>
    <w:tmpl w:val="5CEEB0BC"/>
    <w:lvl w:ilvl="0" w:tplc="862A74C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279B288E"/>
    <w:multiLevelType w:val="hybridMultilevel"/>
    <w:tmpl w:val="31121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8614ACB"/>
    <w:multiLevelType w:val="multilevel"/>
    <w:tmpl w:val="A156CE5E"/>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28FB5424"/>
    <w:multiLevelType w:val="hybridMultilevel"/>
    <w:tmpl w:val="F0C07586"/>
    <w:lvl w:ilvl="0" w:tplc="C466FA20">
      <w:start w:val="1"/>
      <w:numFmt w:val="bullet"/>
      <w:lvlText w:val=""/>
      <w:lvlJc w:val="left"/>
      <w:pPr>
        <w:ind w:left="720" w:hanging="360"/>
      </w:pPr>
      <w:rPr>
        <w:rFonts w:ascii="Symbol" w:hAnsi="Symbol" w:hint="default"/>
      </w:rPr>
    </w:lvl>
    <w:lvl w:ilvl="1" w:tplc="F8E40F7C">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293502FB"/>
    <w:multiLevelType w:val="multilevel"/>
    <w:tmpl w:val="73D07722"/>
    <w:styleLink w:val="Slog1"/>
    <w:lvl w:ilvl="0">
      <w:start w:val="1"/>
      <w:numFmt w:val="decimal"/>
      <w:lvlText w:val="%1."/>
      <w:lvlJc w:val="left"/>
      <w:pPr>
        <w:ind w:left="2484" w:hanging="360"/>
      </w:pPr>
      <w:rPr>
        <w:rFonts w:ascii="Arial" w:hAnsi="Arial" w:hint="default"/>
        <w:b/>
        <w:i w:val="0"/>
        <w:sz w:val="20"/>
      </w:rPr>
    </w:lvl>
    <w:lvl w:ilvl="1">
      <w:start w:val="1"/>
      <w:numFmt w:val="decimal"/>
      <w:lvlText w:val="%1.%2"/>
      <w:lvlJc w:val="left"/>
      <w:pPr>
        <w:ind w:left="2832" w:hanging="360"/>
      </w:pPr>
      <w:rPr>
        <w:rFonts w:hint="default"/>
      </w:rPr>
    </w:lvl>
    <w:lvl w:ilvl="2">
      <w:start w:val="1"/>
      <w:numFmt w:val="decimal"/>
      <w:lvlText w:val="%3.%1.%2"/>
      <w:lvlJc w:val="right"/>
      <w:pPr>
        <w:ind w:left="3360" w:hanging="180"/>
      </w:pPr>
      <w:rPr>
        <w:rFonts w:hint="default"/>
      </w:rPr>
    </w:lvl>
    <w:lvl w:ilvl="3">
      <w:start w:val="1"/>
      <w:numFmt w:val="decimal"/>
      <w:lvlText w:val="%4.%2.%3.%1"/>
      <w:lvlJc w:val="left"/>
      <w:pPr>
        <w:ind w:left="3900" w:hanging="360"/>
      </w:pPr>
      <w:rPr>
        <w:rFonts w:hint="default"/>
      </w:rPr>
    </w:lvl>
    <w:lvl w:ilvl="4">
      <w:start w:val="1"/>
      <w:numFmt w:val="lowerLetter"/>
      <w:lvlText w:val="%5."/>
      <w:lvlJc w:val="left"/>
      <w:pPr>
        <w:ind w:left="5364" w:hanging="360"/>
      </w:pPr>
      <w:rPr>
        <w:rFonts w:hint="default"/>
      </w:rPr>
    </w:lvl>
    <w:lvl w:ilvl="5">
      <w:start w:val="1"/>
      <w:numFmt w:val="lowerRoman"/>
      <w:lvlText w:val="%6."/>
      <w:lvlJc w:val="right"/>
      <w:pPr>
        <w:ind w:left="6084" w:hanging="180"/>
      </w:pPr>
      <w:rPr>
        <w:rFonts w:hint="default"/>
      </w:rPr>
    </w:lvl>
    <w:lvl w:ilvl="6">
      <w:start w:val="1"/>
      <w:numFmt w:val="decimal"/>
      <w:lvlText w:val="%7."/>
      <w:lvlJc w:val="left"/>
      <w:pPr>
        <w:ind w:left="6804" w:hanging="360"/>
      </w:pPr>
      <w:rPr>
        <w:rFonts w:hint="default"/>
      </w:rPr>
    </w:lvl>
    <w:lvl w:ilvl="7">
      <w:start w:val="1"/>
      <w:numFmt w:val="lowerLetter"/>
      <w:lvlText w:val="%8."/>
      <w:lvlJc w:val="left"/>
      <w:pPr>
        <w:ind w:left="7524" w:hanging="360"/>
      </w:pPr>
      <w:rPr>
        <w:rFonts w:hint="default"/>
      </w:rPr>
    </w:lvl>
    <w:lvl w:ilvl="8">
      <w:start w:val="1"/>
      <w:numFmt w:val="lowerRoman"/>
      <w:lvlText w:val="%9."/>
      <w:lvlJc w:val="right"/>
      <w:pPr>
        <w:ind w:left="8244" w:hanging="180"/>
      </w:pPr>
      <w:rPr>
        <w:rFonts w:hint="default"/>
      </w:rPr>
    </w:lvl>
  </w:abstractNum>
  <w:abstractNum w:abstractNumId="76" w15:restartNumberingAfterBreak="0">
    <w:nsid w:val="297F163C"/>
    <w:multiLevelType w:val="hybridMultilevel"/>
    <w:tmpl w:val="B574B08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A4E29B4"/>
    <w:multiLevelType w:val="multilevel"/>
    <w:tmpl w:val="A156CE5E"/>
    <w:numStyleLink w:val="CILJ2"/>
  </w:abstractNum>
  <w:abstractNum w:abstractNumId="78" w15:restartNumberingAfterBreak="0">
    <w:nsid w:val="2B0529D3"/>
    <w:multiLevelType w:val="hybridMultilevel"/>
    <w:tmpl w:val="853847B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2B731670"/>
    <w:multiLevelType w:val="hybridMultilevel"/>
    <w:tmpl w:val="DAC8C7D8"/>
    <w:lvl w:ilvl="0" w:tplc="8C5646B4">
      <w:start w:val="1"/>
      <w:numFmt w:val="decimal"/>
      <w:lvlText w:val="3.%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2C516289"/>
    <w:multiLevelType w:val="hybridMultilevel"/>
    <w:tmpl w:val="B9D0106E"/>
    <w:lvl w:ilvl="0" w:tplc="1EF86CE0">
      <w:start w:val="1"/>
      <w:numFmt w:val="bullet"/>
      <w:lvlText w:val="▪"/>
      <w:lvlJc w:val="left"/>
      <w:pPr>
        <w:ind w:left="360" w:hanging="360"/>
      </w:pPr>
      <w:rPr>
        <w:rFonts w:ascii="Times New Roman" w:hAnsi="Times New Roman" w:cs="Times New Roman" w:hint="default"/>
        <w:b w:val="0"/>
        <w:i w:val="0"/>
        <w:strike w:val="0"/>
        <w:dstrike w:val="0"/>
        <w:color w:val="000000"/>
        <w:sz w:val="22"/>
        <w:szCs w:val="20"/>
        <w:u w:val="none" w:color="000000"/>
        <w:bdr w:val="none" w:sz="0" w:space="0" w:color="auto"/>
        <w:shd w:val="clear" w:color="auto" w:fill="auto"/>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2CF742C0"/>
    <w:multiLevelType w:val="hybridMultilevel"/>
    <w:tmpl w:val="0ADC0534"/>
    <w:lvl w:ilvl="0" w:tplc="6B589AD2">
      <w:start w:val="4"/>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2D02719C"/>
    <w:multiLevelType w:val="hybridMultilevel"/>
    <w:tmpl w:val="5AF0FF48"/>
    <w:lvl w:ilvl="0" w:tplc="C2CA52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0E40C0"/>
    <w:multiLevelType w:val="hybridMultilevel"/>
    <w:tmpl w:val="AC2E1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C75C36"/>
    <w:multiLevelType w:val="hybridMultilevel"/>
    <w:tmpl w:val="89A8804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2F5F07F3"/>
    <w:multiLevelType w:val="hybridMultilevel"/>
    <w:tmpl w:val="6AA6F16E"/>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2FA47312"/>
    <w:multiLevelType w:val="hybridMultilevel"/>
    <w:tmpl w:val="9A8A07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311064DA"/>
    <w:multiLevelType w:val="multilevel"/>
    <w:tmpl w:val="25885A0A"/>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33"/>
      <w:lvlText w:val="3.1.%2."/>
      <w:lvlJc w:val="left"/>
      <w:pPr>
        <w:tabs>
          <w:tab w:val="left" w:pos="3403"/>
        </w:tabs>
        <w:ind w:left="4003" w:hanging="600"/>
      </w:pPr>
      <w:rPr>
        <w:rFonts w:hint="default"/>
        <w:b w:val="0"/>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88" w15:restartNumberingAfterBreak="0">
    <w:nsid w:val="31ED0950"/>
    <w:multiLevelType w:val="multilevel"/>
    <w:tmpl w:val="A156CE5E"/>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33D9411D"/>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348D45FF"/>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1" w15:restartNumberingAfterBreak="0">
    <w:nsid w:val="35095D17"/>
    <w:multiLevelType w:val="multilevel"/>
    <w:tmpl w:val="F57C35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50C5236"/>
    <w:multiLevelType w:val="hybridMultilevel"/>
    <w:tmpl w:val="0994B878"/>
    <w:lvl w:ilvl="0" w:tplc="7374B914">
      <w:start w:val="1"/>
      <w:numFmt w:val="decimal"/>
      <w:pStyle w:val="NASLOV30"/>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35FA64F4"/>
    <w:multiLevelType w:val="multilevel"/>
    <w:tmpl w:val="BF60488E"/>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375337ED"/>
    <w:multiLevelType w:val="multilevel"/>
    <w:tmpl w:val="73D07722"/>
    <w:numStyleLink w:val="Slog1"/>
  </w:abstractNum>
  <w:abstractNum w:abstractNumId="95" w15:restartNumberingAfterBreak="0">
    <w:nsid w:val="3A0218A1"/>
    <w:multiLevelType w:val="hybridMultilevel"/>
    <w:tmpl w:val="03484C6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B77728F"/>
    <w:multiLevelType w:val="hybridMultilevel"/>
    <w:tmpl w:val="3DDEDB50"/>
    <w:lvl w:ilvl="0" w:tplc="915AD3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3D85484F"/>
    <w:multiLevelType w:val="hybridMultilevel"/>
    <w:tmpl w:val="9F58643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8" w15:restartNumberingAfterBreak="0">
    <w:nsid w:val="3F2F3C81"/>
    <w:multiLevelType w:val="hybridMultilevel"/>
    <w:tmpl w:val="C4962750"/>
    <w:lvl w:ilvl="0" w:tplc="0424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12F71E4"/>
    <w:multiLevelType w:val="multilevel"/>
    <w:tmpl w:val="A6188B3A"/>
    <w:lvl w:ilvl="0">
      <w:start w:val="1"/>
      <w:numFmt w:val="decimal"/>
      <w:lvlText w:val="%1."/>
      <w:lvlJc w:val="left"/>
      <w:pPr>
        <w:ind w:left="720" w:hanging="360"/>
      </w:pPr>
      <w:rPr>
        <w:rFonts w:ascii="Arial" w:hAnsi="Arial" w:hint="default"/>
        <w:b/>
        <w:i w:val="0"/>
        <w:sz w:val="20"/>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41BC7CA2"/>
    <w:multiLevelType w:val="hybridMultilevel"/>
    <w:tmpl w:val="4D54E5EC"/>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5691D24"/>
    <w:multiLevelType w:val="hybridMultilevel"/>
    <w:tmpl w:val="64D014C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15:restartNumberingAfterBreak="0">
    <w:nsid w:val="45895AE7"/>
    <w:multiLevelType w:val="multilevel"/>
    <w:tmpl w:val="A156CE5E"/>
    <w:numStyleLink w:val="CILJ2NOV"/>
  </w:abstractNum>
  <w:abstractNum w:abstractNumId="103" w15:restartNumberingAfterBreak="0">
    <w:nsid w:val="45CB4BCC"/>
    <w:multiLevelType w:val="hybridMultilevel"/>
    <w:tmpl w:val="16B224A8"/>
    <w:lvl w:ilvl="0" w:tplc="4E04828E">
      <w:start w:val="1"/>
      <w:numFmt w:val="bullet"/>
      <w:lvlText w:val="·"/>
      <w:lvlJc w:val="left"/>
      <w:pPr>
        <w:ind w:left="720" w:hanging="360"/>
      </w:pPr>
      <w:rPr>
        <w:rFonts w:ascii="Symbol" w:eastAsia="Symbol" w:hAnsi="Symbol"/>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463D660C"/>
    <w:multiLevelType w:val="hybridMultilevel"/>
    <w:tmpl w:val="521680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47031130"/>
    <w:multiLevelType w:val="hybridMultilevel"/>
    <w:tmpl w:val="8BC69010"/>
    <w:lvl w:ilvl="0" w:tplc="6C16DF8C">
      <w:numFmt w:val="bullet"/>
      <w:lvlText w:val="-"/>
      <w:lvlJc w:val="left"/>
      <w:pPr>
        <w:ind w:left="644" w:hanging="360"/>
      </w:pPr>
      <w:rPr>
        <w:rFonts w:ascii="Arial" w:eastAsia="Times New Roman" w:hAnsi="Arial" w:cs="Arial" w:hint="default"/>
        <w: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477754D3"/>
    <w:multiLevelType w:val="hybridMultilevel"/>
    <w:tmpl w:val="F50C575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47AC471A"/>
    <w:multiLevelType w:val="hybridMultilevel"/>
    <w:tmpl w:val="083C58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109" w15:restartNumberingAfterBreak="0">
    <w:nsid w:val="4A6A7C79"/>
    <w:multiLevelType w:val="hybridMultilevel"/>
    <w:tmpl w:val="285CD3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CCD1DFF"/>
    <w:multiLevelType w:val="hybridMultilevel"/>
    <w:tmpl w:val="EABA9D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12" w15:restartNumberingAfterBreak="0">
    <w:nsid w:val="4F2912F7"/>
    <w:multiLevelType w:val="hybridMultilevel"/>
    <w:tmpl w:val="C96A95A2"/>
    <w:lvl w:ilvl="0" w:tplc="518861E2">
      <w:start w:val="1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4FD85492"/>
    <w:multiLevelType w:val="hybridMultilevel"/>
    <w:tmpl w:val="7B0AC240"/>
    <w:lvl w:ilvl="0" w:tplc="2A2E8AB0">
      <w:start w:val="1"/>
      <w:numFmt w:val="bullet"/>
      <w:lvlText w:val="▪"/>
      <w:lvlJc w:val="left"/>
      <w:pPr>
        <w:tabs>
          <w:tab w:val="left" w:pos="432"/>
        </w:tabs>
        <w:ind w:left="715" w:hanging="283"/>
      </w:pPr>
      <w:rPr>
        <w:rFonts w:ascii="Times New Roman" w:eastAsia="Times New Roman" w:hAnsi="Times New Roman" w:cs="Times New Roman"/>
        <w:b w:val="0"/>
        <w:i w:val="0"/>
        <w:strike w:val="0"/>
        <w:dstrike w:val="0"/>
        <w:color w:val="000000"/>
        <w:w w:val="100"/>
        <w:sz w:val="20"/>
        <w:szCs w:val="20"/>
        <w:u w:val="none" w:color="000000"/>
        <w:bdr w:val="none" w:sz="0" w:space="0" w:color="auto"/>
        <w:shd w:val="clear" w:color="auto" w:fill="auto"/>
        <w:vertAlign w:val="baseline"/>
      </w:rPr>
    </w:lvl>
    <w:lvl w:ilvl="1" w:tplc="4E04828E">
      <w:start w:val="1"/>
      <w:numFmt w:val="bullet"/>
      <w:lvlText w:val="·"/>
      <w:lvlJc w:val="left"/>
      <w:pPr>
        <w:tabs>
          <w:tab w:val="left" w:pos="432"/>
        </w:tabs>
        <w:ind w:left="715" w:hanging="283"/>
      </w:pPr>
      <w:rPr>
        <w:rFonts w:ascii="Symbol" w:eastAsia="Symbol" w:hAnsi="Symbol"/>
        <w:w w:val="100"/>
        <w:sz w:val="20"/>
        <w:szCs w:val="20"/>
        <w:shd w:val="clear" w:color="auto" w:fill="auto"/>
      </w:rPr>
    </w:lvl>
    <w:lvl w:ilvl="2" w:tplc="238E8172">
      <w:start w:val="1"/>
      <w:numFmt w:val="bullet"/>
      <w:lvlText w:val="·"/>
      <w:lvlJc w:val="left"/>
      <w:pPr>
        <w:tabs>
          <w:tab w:val="left" w:pos="432"/>
        </w:tabs>
        <w:ind w:left="715" w:hanging="283"/>
      </w:pPr>
      <w:rPr>
        <w:rFonts w:ascii="Symbol" w:eastAsia="Symbol" w:hAnsi="Symbol"/>
        <w:w w:val="100"/>
        <w:sz w:val="20"/>
        <w:szCs w:val="20"/>
        <w:shd w:val="clear" w:color="auto" w:fill="auto"/>
      </w:rPr>
    </w:lvl>
    <w:lvl w:ilvl="3" w:tplc="4F584F90">
      <w:start w:val="1"/>
      <w:numFmt w:val="bullet"/>
      <w:lvlText w:val="·"/>
      <w:lvlJc w:val="left"/>
      <w:pPr>
        <w:tabs>
          <w:tab w:val="left" w:pos="432"/>
        </w:tabs>
        <w:ind w:left="715" w:hanging="283"/>
      </w:pPr>
      <w:rPr>
        <w:rFonts w:ascii="Symbol" w:eastAsia="Symbol" w:hAnsi="Symbol"/>
        <w:w w:val="100"/>
        <w:sz w:val="20"/>
        <w:szCs w:val="20"/>
        <w:shd w:val="clear" w:color="auto" w:fill="auto"/>
      </w:rPr>
    </w:lvl>
    <w:lvl w:ilvl="4" w:tplc="D8B8A9C6">
      <w:start w:val="1"/>
      <w:numFmt w:val="bullet"/>
      <w:lvlText w:val="·"/>
      <w:lvlJc w:val="left"/>
      <w:pPr>
        <w:tabs>
          <w:tab w:val="left" w:pos="432"/>
        </w:tabs>
        <w:ind w:left="715" w:hanging="283"/>
      </w:pPr>
      <w:rPr>
        <w:rFonts w:ascii="Symbol" w:eastAsia="Symbol" w:hAnsi="Symbol"/>
        <w:w w:val="100"/>
        <w:sz w:val="20"/>
        <w:szCs w:val="20"/>
        <w:shd w:val="clear" w:color="auto" w:fill="auto"/>
      </w:rPr>
    </w:lvl>
    <w:lvl w:ilvl="5" w:tplc="AA8EA6C6">
      <w:start w:val="1"/>
      <w:numFmt w:val="bullet"/>
      <w:lvlText w:val="·"/>
      <w:lvlJc w:val="left"/>
      <w:pPr>
        <w:tabs>
          <w:tab w:val="left" w:pos="432"/>
        </w:tabs>
        <w:ind w:left="715" w:hanging="283"/>
      </w:pPr>
      <w:rPr>
        <w:rFonts w:ascii="Symbol" w:eastAsia="Symbol" w:hAnsi="Symbol"/>
        <w:w w:val="100"/>
        <w:sz w:val="20"/>
        <w:szCs w:val="20"/>
        <w:shd w:val="clear" w:color="auto" w:fill="auto"/>
      </w:rPr>
    </w:lvl>
    <w:lvl w:ilvl="6" w:tplc="96CA3FEA">
      <w:start w:val="1"/>
      <w:numFmt w:val="bullet"/>
      <w:lvlText w:val="·"/>
      <w:lvlJc w:val="left"/>
      <w:pPr>
        <w:tabs>
          <w:tab w:val="left" w:pos="432"/>
        </w:tabs>
        <w:ind w:left="715" w:hanging="283"/>
      </w:pPr>
      <w:rPr>
        <w:rFonts w:ascii="Symbol" w:eastAsia="Symbol" w:hAnsi="Symbol"/>
        <w:w w:val="100"/>
        <w:sz w:val="20"/>
        <w:szCs w:val="20"/>
        <w:shd w:val="clear" w:color="auto" w:fill="auto"/>
      </w:rPr>
    </w:lvl>
    <w:lvl w:ilvl="7" w:tplc="3E362ED8">
      <w:start w:val="1"/>
      <w:numFmt w:val="bullet"/>
      <w:lvlText w:val="·"/>
      <w:lvlJc w:val="left"/>
      <w:pPr>
        <w:tabs>
          <w:tab w:val="left" w:pos="432"/>
        </w:tabs>
        <w:ind w:left="715" w:hanging="283"/>
      </w:pPr>
      <w:rPr>
        <w:rFonts w:ascii="Symbol" w:eastAsia="Symbol" w:hAnsi="Symbol"/>
        <w:w w:val="100"/>
        <w:sz w:val="20"/>
        <w:szCs w:val="20"/>
        <w:shd w:val="clear" w:color="auto" w:fill="auto"/>
      </w:rPr>
    </w:lvl>
    <w:lvl w:ilvl="8" w:tplc="76D437B2">
      <w:start w:val="1"/>
      <w:numFmt w:val="bullet"/>
      <w:lvlText w:val="·"/>
      <w:lvlJc w:val="left"/>
      <w:pPr>
        <w:tabs>
          <w:tab w:val="left" w:pos="432"/>
        </w:tabs>
        <w:ind w:left="715" w:hanging="283"/>
      </w:pPr>
      <w:rPr>
        <w:rFonts w:ascii="Symbol" w:eastAsia="Symbol" w:hAnsi="Symbol"/>
        <w:w w:val="100"/>
        <w:sz w:val="20"/>
        <w:szCs w:val="20"/>
        <w:shd w:val="clear" w:color="auto" w:fill="auto"/>
      </w:rPr>
    </w:lvl>
  </w:abstractNum>
  <w:abstractNum w:abstractNumId="114" w15:restartNumberingAfterBreak="0">
    <w:nsid w:val="50744065"/>
    <w:multiLevelType w:val="hybridMultilevel"/>
    <w:tmpl w:val="604CB168"/>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15608FB"/>
    <w:multiLevelType w:val="hybridMultilevel"/>
    <w:tmpl w:val="70A26D62"/>
    <w:lvl w:ilvl="0" w:tplc="3138944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6" w15:restartNumberingAfterBreak="0">
    <w:nsid w:val="5193463D"/>
    <w:multiLevelType w:val="hybridMultilevel"/>
    <w:tmpl w:val="BDFCE8B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4811F79"/>
    <w:multiLevelType w:val="hybridMultilevel"/>
    <w:tmpl w:val="4836C57E"/>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55B6639D"/>
    <w:multiLevelType w:val="hybridMultilevel"/>
    <w:tmpl w:val="ABC2B3F4"/>
    <w:lvl w:ilvl="0" w:tplc="6D745E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573F5EB5"/>
    <w:multiLevelType w:val="hybridMultilevel"/>
    <w:tmpl w:val="10A4D70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575110E5"/>
    <w:multiLevelType w:val="hybridMultilevel"/>
    <w:tmpl w:val="9ACE4206"/>
    <w:lvl w:ilvl="0" w:tplc="3B94081C">
      <w:start w:val="2"/>
      <w:numFmt w:val="bullet"/>
      <w:lvlText w:val="Ü"/>
      <w:lvlJc w:val="left"/>
      <w:pPr>
        <w:ind w:left="720" w:hanging="360"/>
      </w:pPr>
      <w:rPr>
        <w:rFonts w:ascii="Wingdings" w:eastAsia="Times New Roman" w:hAnsi="Wingding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7D70C4D"/>
    <w:multiLevelType w:val="hybridMultilevel"/>
    <w:tmpl w:val="2B3A940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2" w15:restartNumberingAfterBreak="0">
    <w:nsid w:val="57ED5E4B"/>
    <w:multiLevelType w:val="hybridMultilevel"/>
    <w:tmpl w:val="6660DE7A"/>
    <w:lvl w:ilvl="0" w:tplc="2A2E8AB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3" w15:restartNumberingAfterBreak="0">
    <w:nsid w:val="58F60FB7"/>
    <w:multiLevelType w:val="hybridMultilevel"/>
    <w:tmpl w:val="22E8906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5C085E60"/>
    <w:multiLevelType w:val="hybridMultilevel"/>
    <w:tmpl w:val="B1BC306E"/>
    <w:lvl w:ilvl="0" w:tplc="6D0CDF88">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C0E5E66"/>
    <w:multiLevelType w:val="hybridMultilevel"/>
    <w:tmpl w:val="7A5A6896"/>
    <w:lvl w:ilvl="0" w:tplc="6D745E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5CA91A12"/>
    <w:multiLevelType w:val="hybridMultilevel"/>
    <w:tmpl w:val="C14ABF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5D2C39BB"/>
    <w:multiLevelType w:val="multilevel"/>
    <w:tmpl w:val="A156CE5E"/>
    <w:styleLink w:val="CILJ2"/>
    <w:lvl w:ilvl="0">
      <w:start w:val="1"/>
      <w:numFmt w:val="decimal"/>
      <w:lvlText w:val="%1."/>
      <w:lvlJc w:val="left"/>
      <w:pPr>
        <w:ind w:left="1068" w:hanging="360"/>
      </w:pPr>
      <w:rPr>
        <w:rFonts w:ascii="Arial" w:hAnsi="Arial" w:hint="default"/>
        <w:b/>
        <w:i w:val="0"/>
        <w:sz w:val="28"/>
      </w:rPr>
    </w:lvl>
    <w:lvl w:ilvl="1">
      <w:start w:val="1"/>
      <w:numFmt w:val="decimal"/>
      <w:lvlText w:val="%1.%2"/>
      <w:lvlJc w:val="left"/>
      <w:pPr>
        <w:ind w:left="1776" w:hanging="360"/>
      </w:pPr>
      <w:rPr>
        <w:rFonts w:ascii="Arial" w:hAnsi="Arial" w:hint="default"/>
        <w:sz w:val="24"/>
      </w:rPr>
    </w:lvl>
    <w:lvl w:ilvl="2">
      <w:start w:val="1"/>
      <w:numFmt w:val="decimal"/>
      <w:lvlText w:val="%1.%2.%3"/>
      <w:lvlJc w:val="right"/>
      <w:pPr>
        <w:ind w:left="2304" w:hanging="180"/>
      </w:pPr>
      <w:rPr>
        <w:rFonts w:ascii="Arial" w:hAnsi="Arial" w:hint="default"/>
        <w:sz w:val="20"/>
      </w:rPr>
    </w:lvl>
    <w:lvl w:ilvl="3">
      <w:start w:val="1"/>
      <w:numFmt w:val="decimal"/>
      <w:lvlRestart w:val="0"/>
      <w:lvlText w:val="%1.%2.%3.%4"/>
      <w:lvlJc w:val="left"/>
      <w:pPr>
        <w:ind w:left="2484" w:hanging="360"/>
      </w:pPr>
      <w:rPr>
        <w:rFonts w:ascii="Arial" w:hAnsi="Arial" w:hint="default"/>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 w15:restartNumberingAfterBreak="0">
    <w:nsid w:val="5D6F3B40"/>
    <w:multiLevelType w:val="hybridMultilevel"/>
    <w:tmpl w:val="22E88F10"/>
    <w:lvl w:ilvl="0" w:tplc="291C99E2">
      <w:start w:val="1"/>
      <w:numFmt w:val="bullet"/>
      <w:lvlText w:val="-"/>
      <w:lvlJc w:val="left"/>
      <w:pPr>
        <w:ind w:left="644"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15:restartNumberingAfterBreak="0">
    <w:nsid w:val="60BB4033"/>
    <w:multiLevelType w:val="hybridMultilevel"/>
    <w:tmpl w:val="724A16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62D26E84"/>
    <w:multiLevelType w:val="hybridMultilevel"/>
    <w:tmpl w:val="FEDE0F88"/>
    <w:lvl w:ilvl="0" w:tplc="2A2E8AB0">
      <w:start w:val="1"/>
      <w:numFmt w:val="bullet"/>
      <w:lvlText w:val="▪"/>
      <w:lvlJc w:val="left"/>
      <w:pPr>
        <w:ind w:left="36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1" w15:restartNumberingAfterBreak="0">
    <w:nsid w:val="66121082"/>
    <w:multiLevelType w:val="hybridMultilevel"/>
    <w:tmpl w:val="3CAE5116"/>
    <w:lvl w:ilvl="0" w:tplc="F680315E">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2" w15:restartNumberingAfterBreak="0">
    <w:nsid w:val="66C30942"/>
    <w:multiLevelType w:val="hybridMultilevel"/>
    <w:tmpl w:val="D8D0542C"/>
    <w:lvl w:ilvl="0" w:tplc="F66E664C">
      <w:start w:val="1"/>
      <w:numFmt w:val="decimal"/>
      <w:lvlText w:val="2.%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15:restartNumberingAfterBreak="0">
    <w:nsid w:val="6893134B"/>
    <w:multiLevelType w:val="hybridMultilevel"/>
    <w:tmpl w:val="D1ECF9B0"/>
    <w:lvl w:ilvl="0" w:tplc="72BAE8FC">
      <w:start w:val="1"/>
      <w:numFmt w:val="decimal"/>
      <w:lvlText w:val="8.%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4" w15:restartNumberingAfterBreak="0">
    <w:nsid w:val="691923FF"/>
    <w:multiLevelType w:val="hybridMultilevel"/>
    <w:tmpl w:val="D8DCF3C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6A8C3D4C"/>
    <w:multiLevelType w:val="hybridMultilevel"/>
    <w:tmpl w:val="AA2AB210"/>
    <w:lvl w:ilvl="0" w:tplc="7F5EC300">
      <w:start w:val="1"/>
      <w:numFmt w:val="bullet"/>
      <w:lvlText w:val="•"/>
      <w:lvlJc w:val="left"/>
      <w:pPr>
        <w:tabs>
          <w:tab w:val="num" w:pos="720"/>
        </w:tabs>
        <w:ind w:left="720" w:hanging="360"/>
      </w:pPr>
      <w:rPr>
        <w:rFonts w:ascii="Arial" w:hAnsi="Arial" w:hint="default"/>
      </w:rPr>
    </w:lvl>
    <w:lvl w:ilvl="1" w:tplc="5A864F5A" w:tentative="1">
      <w:start w:val="1"/>
      <w:numFmt w:val="bullet"/>
      <w:lvlText w:val="•"/>
      <w:lvlJc w:val="left"/>
      <w:pPr>
        <w:tabs>
          <w:tab w:val="num" w:pos="1440"/>
        </w:tabs>
        <w:ind w:left="1440" w:hanging="360"/>
      </w:pPr>
      <w:rPr>
        <w:rFonts w:ascii="Arial" w:hAnsi="Arial" w:hint="default"/>
      </w:rPr>
    </w:lvl>
    <w:lvl w:ilvl="2" w:tplc="BD62EC86" w:tentative="1">
      <w:start w:val="1"/>
      <w:numFmt w:val="bullet"/>
      <w:lvlText w:val="•"/>
      <w:lvlJc w:val="left"/>
      <w:pPr>
        <w:tabs>
          <w:tab w:val="num" w:pos="2160"/>
        </w:tabs>
        <w:ind w:left="2160" w:hanging="360"/>
      </w:pPr>
      <w:rPr>
        <w:rFonts w:ascii="Arial" w:hAnsi="Arial" w:hint="default"/>
      </w:rPr>
    </w:lvl>
    <w:lvl w:ilvl="3" w:tplc="5C9C2F38" w:tentative="1">
      <w:start w:val="1"/>
      <w:numFmt w:val="bullet"/>
      <w:lvlText w:val="•"/>
      <w:lvlJc w:val="left"/>
      <w:pPr>
        <w:tabs>
          <w:tab w:val="num" w:pos="2880"/>
        </w:tabs>
        <w:ind w:left="2880" w:hanging="360"/>
      </w:pPr>
      <w:rPr>
        <w:rFonts w:ascii="Arial" w:hAnsi="Arial" w:hint="default"/>
      </w:rPr>
    </w:lvl>
    <w:lvl w:ilvl="4" w:tplc="C6AADFB0" w:tentative="1">
      <w:start w:val="1"/>
      <w:numFmt w:val="bullet"/>
      <w:lvlText w:val="•"/>
      <w:lvlJc w:val="left"/>
      <w:pPr>
        <w:tabs>
          <w:tab w:val="num" w:pos="3600"/>
        </w:tabs>
        <w:ind w:left="3600" w:hanging="360"/>
      </w:pPr>
      <w:rPr>
        <w:rFonts w:ascii="Arial" w:hAnsi="Arial" w:hint="default"/>
      </w:rPr>
    </w:lvl>
    <w:lvl w:ilvl="5" w:tplc="F87AE18C" w:tentative="1">
      <w:start w:val="1"/>
      <w:numFmt w:val="bullet"/>
      <w:lvlText w:val="•"/>
      <w:lvlJc w:val="left"/>
      <w:pPr>
        <w:tabs>
          <w:tab w:val="num" w:pos="4320"/>
        </w:tabs>
        <w:ind w:left="4320" w:hanging="360"/>
      </w:pPr>
      <w:rPr>
        <w:rFonts w:ascii="Arial" w:hAnsi="Arial" w:hint="default"/>
      </w:rPr>
    </w:lvl>
    <w:lvl w:ilvl="6" w:tplc="6406D2F4" w:tentative="1">
      <w:start w:val="1"/>
      <w:numFmt w:val="bullet"/>
      <w:lvlText w:val="•"/>
      <w:lvlJc w:val="left"/>
      <w:pPr>
        <w:tabs>
          <w:tab w:val="num" w:pos="5040"/>
        </w:tabs>
        <w:ind w:left="5040" w:hanging="360"/>
      </w:pPr>
      <w:rPr>
        <w:rFonts w:ascii="Arial" w:hAnsi="Arial" w:hint="default"/>
      </w:rPr>
    </w:lvl>
    <w:lvl w:ilvl="7" w:tplc="6922B118" w:tentative="1">
      <w:start w:val="1"/>
      <w:numFmt w:val="bullet"/>
      <w:lvlText w:val="•"/>
      <w:lvlJc w:val="left"/>
      <w:pPr>
        <w:tabs>
          <w:tab w:val="num" w:pos="5760"/>
        </w:tabs>
        <w:ind w:left="5760" w:hanging="360"/>
      </w:pPr>
      <w:rPr>
        <w:rFonts w:ascii="Arial" w:hAnsi="Arial" w:hint="default"/>
      </w:rPr>
    </w:lvl>
    <w:lvl w:ilvl="8" w:tplc="8A4C1D7C"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6BC532F8"/>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6D2856AC"/>
    <w:multiLevelType w:val="hybridMultilevel"/>
    <w:tmpl w:val="A110873A"/>
    <w:lvl w:ilvl="0" w:tplc="A46A08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8" w15:restartNumberingAfterBreak="0">
    <w:nsid w:val="6D7C7D8E"/>
    <w:multiLevelType w:val="multilevel"/>
    <w:tmpl w:val="A156CE5E"/>
    <w:numStyleLink w:val="CILJ2NOV"/>
  </w:abstractNum>
  <w:abstractNum w:abstractNumId="139" w15:restartNumberingAfterBreak="0">
    <w:nsid w:val="6D7F5FC7"/>
    <w:multiLevelType w:val="hybridMultilevel"/>
    <w:tmpl w:val="4538E972"/>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E01753D"/>
    <w:multiLevelType w:val="hybridMultilevel"/>
    <w:tmpl w:val="E640E12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15:restartNumberingAfterBreak="0">
    <w:nsid w:val="6F3A4BC0"/>
    <w:multiLevelType w:val="hybridMultilevel"/>
    <w:tmpl w:val="9A5077B6"/>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7B04D5"/>
    <w:multiLevelType w:val="hybridMultilevel"/>
    <w:tmpl w:val="FC200910"/>
    <w:lvl w:ilvl="0" w:tplc="0424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B94BF9"/>
    <w:multiLevelType w:val="hybridMultilevel"/>
    <w:tmpl w:val="C1C4F4F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4"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5" w15:restartNumberingAfterBreak="0">
    <w:nsid w:val="71F633CB"/>
    <w:multiLevelType w:val="hybridMultilevel"/>
    <w:tmpl w:val="2FAC536A"/>
    <w:lvl w:ilvl="0" w:tplc="9760B382">
      <w:start w:val="1"/>
      <w:numFmt w:val="decimal"/>
      <w:lvlText w:val="9.%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6" w15:restartNumberingAfterBreak="0">
    <w:nsid w:val="7456586C"/>
    <w:multiLevelType w:val="hybridMultilevel"/>
    <w:tmpl w:val="CBDA1B90"/>
    <w:lvl w:ilvl="0" w:tplc="0409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7" w15:restartNumberingAfterBreak="0">
    <w:nsid w:val="74A52F9E"/>
    <w:multiLevelType w:val="multilevel"/>
    <w:tmpl w:val="9A7AC98E"/>
    <w:numStyleLink w:val="Slog2"/>
  </w:abstractNum>
  <w:abstractNum w:abstractNumId="148" w15:restartNumberingAfterBreak="0">
    <w:nsid w:val="75BB4B76"/>
    <w:multiLevelType w:val="hybridMultilevel"/>
    <w:tmpl w:val="798A1F32"/>
    <w:lvl w:ilvl="0" w:tplc="04240005">
      <w:start w:val="1"/>
      <w:numFmt w:val="bullet"/>
      <w:lvlText w:val=""/>
      <w:lvlJc w:val="left"/>
      <w:pPr>
        <w:ind w:left="1440" w:hanging="360"/>
      </w:pPr>
      <w:rPr>
        <w:rFonts w:ascii="Wingdings" w:hAnsi="Wingdings" w:hint="default"/>
      </w:rPr>
    </w:lvl>
    <w:lvl w:ilvl="1" w:tplc="48C625DC">
      <w:numFmt w:val="bullet"/>
      <w:lvlText w:val="-"/>
      <w:lvlJc w:val="left"/>
      <w:pPr>
        <w:ind w:left="2510" w:hanging="710"/>
      </w:pPr>
      <w:rPr>
        <w:rFonts w:ascii="Arial" w:eastAsiaTheme="minorEastAsia" w:hAnsi="Arial" w:cs="Arial" w:hint="default"/>
      </w:r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49" w15:restartNumberingAfterBreak="0">
    <w:nsid w:val="79CC5311"/>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7B634619"/>
    <w:multiLevelType w:val="hybridMultilevel"/>
    <w:tmpl w:val="3CE8F3C0"/>
    <w:lvl w:ilvl="0" w:tplc="D5E083D0">
      <w:start w:val="1"/>
      <w:numFmt w:val="decimal"/>
      <w:lvlText w:val="10.%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7C81328A"/>
    <w:multiLevelType w:val="hybridMultilevel"/>
    <w:tmpl w:val="305EEC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E3A3AB1"/>
    <w:multiLevelType w:val="hybridMultilevel"/>
    <w:tmpl w:val="A7A04BA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3" w15:restartNumberingAfterBreak="0">
    <w:nsid w:val="7FFD6FFC"/>
    <w:multiLevelType w:val="hybridMultilevel"/>
    <w:tmpl w:val="5E0ECD10"/>
    <w:lvl w:ilvl="0" w:tplc="4A724902">
      <w:start w:val="1"/>
      <w:numFmt w:val="decimal"/>
      <w:lvlText w:val="5.%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3"/>
  </w:num>
  <w:num w:numId="2">
    <w:abstractNumId w:val="8"/>
  </w:num>
  <w:num w:numId="3">
    <w:abstractNumId w:val="106"/>
  </w:num>
  <w:num w:numId="4">
    <w:abstractNumId w:val="21"/>
  </w:num>
  <w:num w:numId="5">
    <w:abstractNumId w:val="22"/>
  </w:num>
  <w:num w:numId="6">
    <w:abstractNumId w:val="85"/>
  </w:num>
  <w:num w:numId="7">
    <w:abstractNumId w:val="67"/>
  </w:num>
  <w:num w:numId="8">
    <w:abstractNumId w:val="83"/>
  </w:num>
  <w:num w:numId="9">
    <w:abstractNumId w:val="142"/>
  </w:num>
  <w:num w:numId="10">
    <w:abstractNumId w:val="31"/>
  </w:num>
  <w:num w:numId="11">
    <w:abstractNumId w:val="81"/>
  </w:num>
  <w:num w:numId="12">
    <w:abstractNumId w:val="115"/>
  </w:num>
  <w:num w:numId="13">
    <w:abstractNumId w:val="34"/>
  </w:num>
  <w:num w:numId="14">
    <w:abstractNumId w:val="124"/>
  </w:num>
  <w:num w:numId="15">
    <w:abstractNumId w:val="76"/>
  </w:num>
  <w:num w:numId="16">
    <w:abstractNumId w:val="58"/>
  </w:num>
  <w:num w:numId="17">
    <w:abstractNumId w:val="114"/>
  </w:num>
  <w:num w:numId="18">
    <w:abstractNumId w:val="139"/>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72"/>
  </w:num>
  <w:num w:numId="36">
    <w:abstractNumId w:val="135"/>
  </w:num>
  <w:num w:numId="37">
    <w:abstractNumId w:val="59"/>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0"/>
  </w:num>
  <w:num w:numId="40">
    <w:abstractNumId w:val="98"/>
  </w:num>
  <w:num w:numId="41">
    <w:abstractNumId w:val="100"/>
  </w:num>
  <w:num w:numId="42">
    <w:abstractNumId w:val="116"/>
  </w:num>
  <w:num w:numId="43">
    <w:abstractNumId w:val="95"/>
  </w:num>
  <w:num w:numId="44">
    <w:abstractNumId w:val="54"/>
  </w:num>
  <w:num w:numId="45">
    <w:abstractNumId w:val="82"/>
  </w:num>
  <w:num w:numId="46">
    <w:abstractNumId w:val="13"/>
  </w:num>
  <w:num w:numId="47">
    <w:abstractNumId w:val="44"/>
  </w:num>
  <w:num w:numId="48">
    <w:abstractNumId w:val="61"/>
  </w:num>
  <w:num w:numId="49">
    <w:abstractNumId w:val="40"/>
  </w:num>
  <w:num w:numId="50">
    <w:abstractNumId w:val="69"/>
  </w:num>
  <w:num w:numId="51">
    <w:abstractNumId w:val="105"/>
  </w:num>
  <w:num w:numId="52">
    <w:abstractNumId w:val="134"/>
  </w:num>
  <w:num w:numId="53">
    <w:abstractNumId w:val="52"/>
  </w:num>
  <w:num w:numId="54">
    <w:abstractNumId w:val="68"/>
  </w:num>
  <w:num w:numId="55">
    <w:abstractNumId w:val="109"/>
  </w:num>
  <w:num w:numId="56">
    <w:abstractNumId w:val="13"/>
  </w:num>
  <w:num w:numId="57">
    <w:abstractNumId w:val="42"/>
  </w:num>
  <w:num w:numId="58">
    <w:abstractNumId w:val="101"/>
  </w:num>
  <w:num w:numId="59">
    <w:abstractNumId w:val="62"/>
  </w:num>
  <w:num w:numId="60">
    <w:abstractNumId w:val="128"/>
  </w:num>
  <w:num w:numId="61">
    <w:abstractNumId w:val="112"/>
  </w:num>
  <w:num w:numId="62">
    <w:abstractNumId w:val="131"/>
  </w:num>
  <w:num w:numId="63">
    <w:abstractNumId w:val="137"/>
  </w:num>
  <w:num w:numId="64">
    <w:abstractNumId w:val="91"/>
  </w:num>
  <w:num w:numId="65">
    <w:abstractNumId w:val="50"/>
  </w:num>
  <w:num w:numId="66">
    <w:abstractNumId w:val="70"/>
  </w:num>
  <w:num w:numId="67">
    <w:abstractNumId w:val="74"/>
  </w:num>
  <w:num w:numId="68">
    <w:abstractNumId w:val="57"/>
  </w:num>
  <w:num w:numId="69">
    <w:abstractNumId w:val="41"/>
  </w:num>
  <w:num w:numId="70">
    <w:abstractNumId w:val="13"/>
  </w:num>
  <w:num w:numId="71">
    <w:abstractNumId w:val="13"/>
  </w:num>
  <w:num w:numId="72">
    <w:abstractNumId w:val="13"/>
  </w:num>
  <w:num w:numId="73">
    <w:abstractNumId w:val="13"/>
  </w:num>
  <w:num w:numId="74">
    <w:abstractNumId w:val="129"/>
  </w:num>
  <w:num w:numId="75">
    <w:abstractNumId w:val="35"/>
  </w:num>
  <w:num w:numId="76">
    <w:abstractNumId w:val="47"/>
    <w:lvlOverride w:ilvl="0">
      <w:lvl w:ilvl="0">
        <w:start w:val="1"/>
        <w:numFmt w:val="decimal"/>
        <w:lvlText w:val="%1."/>
        <w:lvlJc w:val="left"/>
        <w:pPr>
          <w:ind w:left="720" w:hanging="360"/>
        </w:pPr>
        <w:rPr>
          <w:rFonts w:ascii="Arial" w:hAnsi="Arial" w:hint="default"/>
          <w:b/>
          <w:i w:val="0"/>
          <w:sz w:val="28"/>
        </w:rPr>
      </w:lvl>
    </w:lvlOverride>
    <w:lvlOverride w:ilvl="1">
      <w:lvl w:ilvl="1">
        <w:start w:val="1"/>
        <w:numFmt w:val="decimal"/>
        <w:lvlText w:val="%1.%2"/>
        <w:lvlJc w:val="left"/>
        <w:pPr>
          <w:ind w:left="1077" w:hanging="369"/>
        </w:pPr>
        <w:rPr>
          <w:rFonts w:ascii="Arial" w:hAnsi="Arial" w:hint="default"/>
          <w:b/>
          <w:i w:val="0"/>
          <w:sz w:val="24"/>
        </w:rPr>
      </w:lvl>
    </w:lvlOverride>
    <w:lvlOverride w:ilvl="2">
      <w:lvl w:ilvl="2">
        <w:start w:val="1"/>
        <w:numFmt w:val="decimal"/>
        <w:lvlText w:val="%1.%2.%3"/>
        <w:lvlJc w:val="right"/>
        <w:pPr>
          <w:ind w:left="1596" w:hanging="180"/>
        </w:pPr>
        <w:rPr>
          <w:rFonts w:ascii="Arial" w:hAnsi="Arial" w:hint="default"/>
          <w:sz w:val="24"/>
        </w:rPr>
      </w:lvl>
    </w:lvlOverride>
    <w:lvlOverride w:ilvl="3">
      <w:lvl w:ilvl="3">
        <w:start w:val="1"/>
        <w:numFmt w:val="decimal"/>
        <w:lvlRestart w:val="0"/>
        <w:lvlText w:val="%1.%2.%3.%4"/>
        <w:lvlJc w:val="left"/>
        <w:pPr>
          <w:ind w:left="1776" w:hanging="360"/>
        </w:pPr>
        <w:rPr>
          <w:rFonts w:ascii="Arial" w:hAnsi="Arial" w:hint="default"/>
          <w:sz w:val="24"/>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7">
    <w:abstractNumId w:val="153"/>
  </w:num>
  <w:num w:numId="78">
    <w:abstractNumId w:val="153"/>
  </w:num>
  <w:num w:numId="79">
    <w:abstractNumId w:val="153"/>
    <w:lvlOverride w:ilvl="0">
      <w:startOverride w:val="1"/>
    </w:lvlOverride>
  </w:num>
  <w:num w:numId="80">
    <w:abstractNumId w:val="153"/>
  </w:num>
  <w:num w:numId="81">
    <w:abstractNumId w:val="153"/>
  </w:num>
  <w:num w:numId="82">
    <w:abstractNumId w:val="153"/>
  </w:num>
  <w:num w:numId="83">
    <w:abstractNumId w:val="132"/>
  </w:num>
  <w:num w:numId="84">
    <w:abstractNumId w:val="153"/>
  </w:num>
  <w:num w:numId="85">
    <w:abstractNumId w:val="153"/>
  </w:num>
  <w:num w:numId="86">
    <w:abstractNumId w:val="153"/>
  </w:num>
  <w:num w:numId="87">
    <w:abstractNumId w:val="153"/>
  </w:num>
  <w:num w:numId="88">
    <w:abstractNumId w:val="141"/>
  </w:num>
  <w:num w:numId="89">
    <w:abstractNumId w:val="55"/>
  </w:num>
  <w:num w:numId="90">
    <w:abstractNumId w:val="153"/>
  </w:num>
  <w:num w:numId="91">
    <w:abstractNumId w:val="153"/>
  </w:num>
  <w:num w:numId="92">
    <w:abstractNumId w:val="153"/>
  </w:num>
  <w:num w:numId="93">
    <w:abstractNumId w:val="28"/>
  </w:num>
  <w:num w:numId="94">
    <w:abstractNumId w:val="153"/>
  </w:num>
  <w:num w:numId="95">
    <w:abstractNumId w:val="153"/>
  </w:num>
  <w:num w:numId="96">
    <w:abstractNumId w:val="153"/>
  </w:num>
  <w:num w:numId="97">
    <w:abstractNumId w:val="153"/>
  </w:num>
  <w:num w:numId="98">
    <w:abstractNumId w:val="151"/>
  </w:num>
  <w:num w:numId="99">
    <w:abstractNumId w:val="153"/>
  </w:num>
  <w:num w:numId="100">
    <w:abstractNumId w:val="153"/>
  </w:num>
  <w:num w:numId="101">
    <w:abstractNumId w:val="153"/>
  </w:num>
  <w:num w:numId="102">
    <w:abstractNumId w:val="153"/>
  </w:num>
  <w:num w:numId="103">
    <w:abstractNumId w:val="153"/>
  </w:num>
  <w:num w:numId="104">
    <w:abstractNumId w:val="53"/>
  </w:num>
  <w:num w:numId="105">
    <w:abstractNumId w:val="47"/>
  </w:num>
  <w:num w:numId="106">
    <w:abstractNumId w:val="45"/>
  </w:num>
  <w:num w:numId="107">
    <w:abstractNumId w:val="45"/>
  </w:num>
  <w:num w:numId="108">
    <w:abstractNumId w:val="29"/>
  </w:num>
  <w:num w:numId="109">
    <w:abstractNumId w:val="79"/>
  </w:num>
  <w:num w:numId="110">
    <w:abstractNumId w:val="133"/>
  </w:num>
  <w:num w:numId="111">
    <w:abstractNumId w:val="145"/>
  </w:num>
  <w:num w:numId="112">
    <w:abstractNumId w:val="150"/>
  </w:num>
  <w:num w:numId="113">
    <w:abstractNumId w:val="146"/>
  </w:num>
  <w:num w:numId="114">
    <w:abstractNumId w:val="64"/>
  </w:num>
  <w:num w:numId="115">
    <w:abstractNumId w:val="48"/>
  </w:num>
  <w:num w:numId="116">
    <w:abstractNumId w:val="38"/>
  </w:num>
  <w:num w:numId="117">
    <w:abstractNumId w:val="47"/>
  </w:num>
  <w:num w:numId="118">
    <w:abstractNumId w:val="47"/>
  </w:num>
  <w:num w:numId="119">
    <w:abstractNumId w:val="107"/>
  </w:num>
  <w:num w:numId="120">
    <w:abstractNumId w:val="86"/>
  </w:num>
  <w:num w:numId="121">
    <w:abstractNumId w:val="75"/>
  </w:num>
  <w:num w:numId="122">
    <w:abstractNumId w:val="94"/>
  </w:num>
  <w:num w:numId="123">
    <w:abstractNumId w:val="43"/>
  </w:num>
  <w:num w:numId="124">
    <w:abstractNumId w:val="147"/>
  </w:num>
  <w:num w:numId="125">
    <w:abstractNumId w:val="99"/>
  </w:num>
  <w:num w:numId="126">
    <w:abstractNumId w:val="127"/>
  </w:num>
  <w:num w:numId="127">
    <w:abstractNumId w:val="51"/>
  </w:num>
  <w:num w:numId="128">
    <w:abstractNumId w:val="136"/>
  </w:num>
  <w:num w:numId="129">
    <w:abstractNumId w:val="89"/>
  </w:num>
  <w:num w:numId="130">
    <w:abstractNumId w:val="149"/>
  </w:num>
  <w:num w:numId="131">
    <w:abstractNumId w:val="46"/>
  </w:num>
  <w:num w:numId="132">
    <w:abstractNumId w:val="138"/>
  </w:num>
  <w:num w:numId="133">
    <w:abstractNumId w:val="33"/>
  </w:num>
  <w:num w:numId="134">
    <w:abstractNumId w:val="102"/>
  </w:num>
  <w:num w:numId="135">
    <w:abstractNumId w:val="32"/>
  </w:num>
  <w:num w:numId="136">
    <w:abstractNumId w:val="93"/>
  </w:num>
  <w:num w:numId="137">
    <w:abstractNumId w:val="124"/>
  </w:num>
  <w:num w:numId="138">
    <w:abstractNumId w:val="106"/>
  </w:num>
  <w:num w:numId="139">
    <w:abstractNumId w:val="110"/>
  </w:num>
  <w:num w:numId="140">
    <w:abstractNumId w:val="71"/>
  </w:num>
  <w:num w:numId="141">
    <w:abstractNumId w:val="126"/>
  </w:num>
  <w:num w:numId="142">
    <w:abstractNumId w:val="73"/>
  </w:num>
  <w:num w:numId="143">
    <w:abstractNumId w:val="27"/>
  </w:num>
  <w:num w:numId="144">
    <w:abstractNumId w:val="103"/>
  </w:num>
  <w:num w:numId="145">
    <w:abstractNumId w:val="30"/>
  </w:num>
  <w:num w:numId="146">
    <w:abstractNumId w:val="88"/>
  </w:num>
  <w:num w:numId="147">
    <w:abstractNumId w:val="63"/>
  </w:num>
  <w:num w:numId="148">
    <w:abstractNumId w:val="77"/>
  </w:num>
  <w:num w:numId="149">
    <w:abstractNumId w:val="90"/>
  </w:num>
  <w:num w:numId="150">
    <w:abstractNumId w:val="117"/>
  </w:num>
  <w:num w:numId="151">
    <w:abstractNumId w:val="49"/>
  </w:num>
  <w:num w:numId="152">
    <w:abstractNumId w:val="66"/>
  </w:num>
  <w:num w:numId="153">
    <w:abstractNumId w:val="23"/>
  </w:num>
  <w:num w:numId="154">
    <w:abstractNumId w:val="92"/>
  </w:num>
  <w:num w:numId="155">
    <w:abstractNumId w:val="87"/>
  </w:num>
  <w:num w:numId="156">
    <w:abstractNumId w:val="0"/>
  </w:num>
  <w:num w:numId="157">
    <w:abstractNumId w:val="108"/>
  </w:num>
  <w:num w:numId="158">
    <w:abstractNumId w:val="14"/>
  </w:num>
  <w:num w:numId="159">
    <w:abstractNumId w:val="6"/>
  </w:num>
  <w:num w:numId="160">
    <w:abstractNumId w:val="3"/>
  </w:num>
  <w:num w:numId="161">
    <w:abstractNumId w:val="2"/>
  </w:num>
  <w:num w:numId="162">
    <w:abstractNumId w:val="16"/>
  </w:num>
  <w:num w:numId="163">
    <w:abstractNumId w:val="15"/>
  </w:num>
  <w:num w:numId="164">
    <w:abstractNumId w:val="18"/>
  </w:num>
  <w:num w:numId="165">
    <w:abstractNumId w:val="5"/>
  </w:num>
  <w:num w:numId="166">
    <w:abstractNumId w:val="9"/>
  </w:num>
  <w:num w:numId="167">
    <w:abstractNumId w:val="11"/>
  </w:num>
  <w:num w:numId="168">
    <w:abstractNumId w:val="10"/>
  </w:num>
  <w:num w:numId="169">
    <w:abstractNumId w:val="1"/>
  </w:num>
  <w:num w:numId="170">
    <w:abstractNumId w:val="12"/>
  </w:num>
  <w:num w:numId="171">
    <w:abstractNumId w:val="7"/>
  </w:num>
  <w:num w:numId="172">
    <w:abstractNumId w:val="4"/>
  </w:num>
  <w:num w:numId="173">
    <w:abstractNumId w:val="17"/>
    <w:lvlOverride w:ilvl="0">
      <w:startOverride w:val="1"/>
    </w:lvlOverride>
  </w:num>
  <w:num w:numId="174">
    <w:abstractNumId w:val="19"/>
  </w:num>
  <w:num w:numId="175">
    <w:abstractNumId w:val="20"/>
  </w:num>
  <w:num w:numId="176">
    <w:abstractNumId w:val="39"/>
  </w:num>
  <w:num w:numId="17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4"/>
  </w:num>
  <w:num w:numId="179">
    <w:abstractNumId w:val="123"/>
  </w:num>
  <w:num w:numId="180">
    <w:abstractNumId w:val="60"/>
  </w:num>
  <w:num w:numId="181">
    <w:abstractNumId w:val="65"/>
  </w:num>
  <w:num w:numId="182">
    <w:abstractNumId w:val="148"/>
  </w:num>
  <w:num w:numId="183">
    <w:abstractNumId w:val="143"/>
  </w:num>
  <w:num w:numId="184">
    <w:abstractNumId w:val="119"/>
  </w:num>
  <w:num w:numId="185">
    <w:abstractNumId w:val="24"/>
  </w:num>
  <w:num w:numId="186">
    <w:abstractNumId w:val="84"/>
  </w:num>
  <w:num w:numId="187">
    <w:abstractNumId w:val="97"/>
  </w:num>
  <w:num w:numId="188">
    <w:abstractNumId w:val="78"/>
  </w:num>
  <w:num w:numId="189">
    <w:abstractNumId w:val="140"/>
  </w:num>
  <w:num w:numId="190">
    <w:abstractNumId w:val="121"/>
  </w:num>
  <w:num w:numId="191">
    <w:abstractNumId w:val="37"/>
  </w:num>
  <w:num w:numId="192">
    <w:abstractNumId w:val="36"/>
  </w:num>
  <w:num w:numId="193">
    <w:abstractNumId w:val="25"/>
  </w:num>
  <w:num w:numId="194">
    <w:abstractNumId w:val="152"/>
  </w:num>
  <w:num w:numId="195">
    <w:abstractNumId w:val="26"/>
  </w:num>
  <w:num w:numId="196">
    <w:abstractNumId w:val="90"/>
  </w:num>
  <w:num w:numId="197">
    <w:abstractNumId w:val="118"/>
  </w:num>
  <w:num w:numId="198">
    <w:abstractNumId w:val="104"/>
  </w:num>
  <w:num w:numId="199">
    <w:abstractNumId w:val="125"/>
  </w:num>
  <w:num w:numId="200">
    <w:abstractNumId w:val="96"/>
  </w:num>
  <w:num w:numId="201">
    <w:abstractNumId w:val="56"/>
  </w:num>
  <w:num w:numId="202">
    <w:abstractNumId w:val="122"/>
  </w:num>
  <w:num w:numId="203">
    <w:abstractNumId w:val="113"/>
  </w:num>
  <w:num w:numId="204">
    <w:abstractNumId w:val="130"/>
  </w:num>
  <w:num w:numId="205">
    <w:abstractNumId w:val="80"/>
  </w:num>
  <w:num w:numId="206">
    <w:abstractNumId w:val="90"/>
  </w:num>
  <w:num w:numId="207">
    <w:abstractNumId w:val="90"/>
  </w:num>
  <w:num w:numId="208">
    <w:abstractNumId w:val="90"/>
  </w:num>
  <w:num w:numId="209">
    <w:abstractNumId w:val="90"/>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trackRevisions/>
  <w:documentProtection w:edit="trackedChanges" w:enforcement="0"/>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DE"/>
    <w:rsid w:val="0000325D"/>
    <w:rsid w:val="00003603"/>
    <w:rsid w:val="00004705"/>
    <w:rsid w:val="00005A6E"/>
    <w:rsid w:val="00005B69"/>
    <w:rsid w:val="00005C94"/>
    <w:rsid w:val="00006530"/>
    <w:rsid w:val="00006AD8"/>
    <w:rsid w:val="00006EA1"/>
    <w:rsid w:val="000076D0"/>
    <w:rsid w:val="00007A57"/>
    <w:rsid w:val="00011EEF"/>
    <w:rsid w:val="0001226D"/>
    <w:rsid w:val="000129A0"/>
    <w:rsid w:val="00012AF6"/>
    <w:rsid w:val="00012B73"/>
    <w:rsid w:val="000150AF"/>
    <w:rsid w:val="0001569B"/>
    <w:rsid w:val="00017044"/>
    <w:rsid w:val="000172FC"/>
    <w:rsid w:val="00017F40"/>
    <w:rsid w:val="0002159C"/>
    <w:rsid w:val="00022367"/>
    <w:rsid w:val="0002244F"/>
    <w:rsid w:val="000235C6"/>
    <w:rsid w:val="00023796"/>
    <w:rsid w:val="0002387B"/>
    <w:rsid w:val="00023B2D"/>
    <w:rsid w:val="0002599A"/>
    <w:rsid w:val="00025B89"/>
    <w:rsid w:val="000266ED"/>
    <w:rsid w:val="000269F3"/>
    <w:rsid w:val="00026D2C"/>
    <w:rsid w:val="00027077"/>
    <w:rsid w:val="0002776E"/>
    <w:rsid w:val="00030A95"/>
    <w:rsid w:val="00030ECC"/>
    <w:rsid w:val="000314AD"/>
    <w:rsid w:val="000346FC"/>
    <w:rsid w:val="00034E76"/>
    <w:rsid w:val="000352B0"/>
    <w:rsid w:val="00035406"/>
    <w:rsid w:val="000357C2"/>
    <w:rsid w:val="00036451"/>
    <w:rsid w:val="00036486"/>
    <w:rsid w:val="00037B95"/>
    <w:rsid w:val="00040F4B"/>
    <w:rsid w:val="0004104B"/>
    <w:rsid w:val="000426F5"/>
    <w:rsid w:val="000429A3"/>
    <w:rsid w:val="000431A4"/>
    <w:rsid w:val="000431EF"/>
    <w:rsid w:val="000446B7"/>
    <w:rsid w:val="00044E2A"/>
    <w:rsid w:val="000454DB"/>
    <w:rsid w:val="000455F1"/>
    <w:rsid w:val="000466F2"/>
    <w:rsid w:val="00046D4F"/>
    <w:rsid w:val="000471AB"/>
    <w:rsid w:val="00047BAB"/>
    <w:rsid w:val="00053207"/>
    <w:rsid w:val="0005323C"/>
    <w:rsid w:val="00053987"/>
    <w:rsid w:val="0005461C"/>
    <w:rsid w:val="0005485C"/>
    <w:rsid w:val="00054ECD"/>
    <w:rsid w:val="00055288"/>
    <w:rsid w:val="00056F93"/>
    <w:rsid w:val="00057958"/>
    <w:rsid w:val="00057A65"/>
    <w:rsid w:val="00057B59"/>
    <w:rsid w:val="000606D2"/>
    <w:rsid w:val="00060CF1"/>
    <w:rsid w:val="0006126A"/>
    <w:rsid w:val="000614AC"/>
    <w:rsid w:val="00061A89"/>
    <w:rsid w:val="0006207C"/>
    <w:rsid w:val="0006239A"/>
    <w:rsid w:val="000626E9"/>
    <w:rsid w:val="00063323"/>
    <w:rsid w:val="00063547"/>
    <w:rsid w:val="00063DA4"/>
    <w:rsid w:val="0006401E"/>
    <w:rsid w:val="0006430D"/>
    <w:rsid w:val="00064D6A"/>
    <w:rsid w:val="00064FEE"/>
    <w:rsid w:val="00064FF9"/>
    <w:rsid w:val="00065547"/>
    <w:rsid w:val="00066429"/>
    <w:rsid w:val="00066694"/>
    <w:rsid w:val="00066B8D"/>
    <w:rsid w:val="00071D4F"/>
    <w:rsid w:val="00072594"/>
    <w:rsid w:val="00072786"/>
    <w:rsid w:val="00072AFA"/>
    <w:rsid w:val="0007362B"/>
    <w:rsid w:val="00073827"/>
    <w:rsid w:val="00073ABB"/>
    <w:rsid w:val="00073C85"/>
    <w:rsid w:val="00074FC4"/>
    <w:rsid w:val="0007527D"/>
    <w:rsid w:val="0007710B"/>
    <w:rsid w:val="0007738B"/>
    <w:rsid w:val="00080881"/>
    <w:rsid w:val="00081CD6"/>
    <w:rsid w:val="00081D62"/>
    <w:rsid w:val="0008210C"/>
    <w:rsid w:val="0008236A"/>
    <w:rsid w:val="00085DA4"/>
    <w:rsid w:val="00085DC4"/>
    <w:rsid w:val="00085F18"/>
    <w:rsid w:val="000863B3"/>
    <w:rsid w:val="0008694D"/>
    <w:rsid w:val="00086EB1"/>
    <w:rsid w:val="000873FF"/>
    <w:rsid w:val="00087638"/>
    <w:rsid w:val="00091306"/>
    <w:rsid w:val="00091828"/>
    <w:rsid w:val="00092206"/>
    <w:rsid w:val="0009257B"/>
    <w:rsid w:val="000935EF"/>
    <w:rsid w:val="000936BE"/>
    <w:rsid w:val="00093C31"/>
    <w:rsid w:val="0009401A"/>
    <w:rsid w:val="0009424F"/>
    <w:rsid w:val="000942FF"/>
    <w:rsid w:val="000944E0"/>
    <w:rsid w:val="00095418"/>
    <w:rsid w:val="00096EC6"/>
    <w:rsid w:val="00097725"/>
    <w:rsid w:val="0009776F"/>
    <w:rsid w:val="00097852"/>
    <w:rsid w:val="000979FF"/>
    <w:rsid w:val="000A03ED"/>
    <w:rsid w:val="000A0947"/>
    <w:rsid w:val="000A0E01"/>
    <w:rsid w:val="000A0F47"/>
    <w:rsid w:val="000A2916"/>
    <w:rsid w:val="000A3A41"/>
    <w:rsid w:val="000A4059"/>
    <w:rsid w:val="000A44F0"/>
    <w:rsid w:val="000A4B2A"/>
    <w:rsid w:val="000B00A0"/>
    <w:rsid w:val="000B0122"/>
    <w:rsid w:val="000B01A6"/>
    <w:rsid w:val="000B0AE5"/>
    <w:rsid w:val="000B195B"/>
    <w:rsid w:val="000B1D1C"/>
    <w:rsid w:val="000B3085"/>
    <w:rsid w:val="000B3FB2"/>
    <w:rsid w:val="000B4403"/>
    <w:rsid w:val="000B4C41"/>
    <w:rsid w:val="000B4D80"/>
    <w:rsid w:val="000B4E89"/>
    <w:rsid w:val="000B51AB"/>
    <w:rsid w:val="000B5898"/>
    <w:rsid w:val="000B59B6"/>
    <w:rsid w:val="000B5FD0"/>
    <w:rsid w:val="000B618C"/>
    <w:rsid w:val="000B6854"/>
    <w:rsid w:val="000B6E0D"/>
    <w:rsid w:val="000B7F6A"/>
    <w:rsid w:val="000C201A"/>
    <w:rsid w:val="000C3B23"/>
    <w:rsid w:val="000C3EFF"/>
    <w:rsid w:val="000C466B"/>
    <w:rsid w:val="000C4F51"/>
    <w:rsid w:val="000C653B"/>
    <w:rsid w:val="000C6B4B"/>
    <w:rsid w:val="000C7EA7"/>
    <w:rsid w:val="000C7F10"/>
    <w:rsid w:val="000D0095"/>
    <w:rsid w:val="000D0720"/>
    <w:rsid w:val="000D0871"/>
    <w:rsid w:val="000D0896"/>
    <w:rsid w:val="000D08E8"/>
    <w:rsid w:val="000D289F"/>
    <w:rsid w:val="000D293E"/>
    <w:rsid w:val="000D2D03"/>
    <w:rsid w:val="000D3C63"/>
    <w:rsid w:val="000D3E72"/>
    <w:rsid w:val="000D3FEC"/>
    <w:rsid w:val="000D4266"/>
    <w:rsid w:val="000D463B"/>
    <w:rsid w:val="000D4730"/>
    <w:rsid w:val="000D4875"/>
    <w:rsid w:val="000D70A3"/>
    <w:rsid w:val="000D77D6"/>
    <w:rsid w:val="000D79EF"/>
    <w:rsid w:val="000E07B1"/>
    <w:rsid w:val="000E084E"/>
    <w:rsid w:val="000E1467"/>
    <w:rsid w:val="000E235D"/>
    <w:rsid w:val="000E2AE3"/>
    <w:rsid w:val="000E40C6"/>
    <w:rsid w:val="000E44BC"/>
    <w:rsid w:val="000E47A0"/>
    <w:rsid w:val="000E4B38"/>
    <w:rsid w:val="000E54FD"/>
    <w:rsid w:val="000E6065"/>
    <w:rsid w:val="000E6BA7"/>
    <w:rsid w:val="000E703B"/>
    <w:rsid w:val="000E7466"/>
    <w:rsid w:val="000E7B25"/>
    <w:rsid w:val="000F0078"/>
    <w:rsid w:val="000F0B42"/>
    <w:rsid w:val="000F1941"/>
    <w:rsid w:val="000F2199"/>
    <w:rsid w:val="000F29A9"/>
    <w:rsid w:val="000F3937"/>
    <w:rsid w:val="000F3AC4"/>
    <w:rsid w:val="000F3EF4"/>
    <w:rsid w:val="000F3F43"/>
    <w:rsid w:val="000F4878"/>
    <w:rsid w:val="000F54B2"/>
    <w:rsid w:val="000F5DC6"/>
    <w:rsid w:val="000F73FF"/>
    <w:rsid w:val="000F7C6D"/>
    <w:rsid w:val="001002AC"/>
    <w:rsid w:val="001006A8"/>
    <w:rsid w:val="001007E3"/>
    <w:rsid w:val="00101780"/>
    <w:rsid w:val="0010186B"/>
    <w:rsid w:val="00101ADE"/>
    <w:rsid w:val="00101EC3"/>
    <w:rsid w:val="00102C15"/>
    <w:rsid w:val="00104991"/>
    <w:rsid w:val="0010499F"/>
    <w:rsid w:val="00104B7F"/>
    <w:rsid w:val="00104C41"/>
    <w:rsid w:val="00104EAE"/>
    <w:rsid w:val="0011122F"/>
    <w:rsid w:val="00113098"/>
    <w:rsid w:val="00113239"/>
    <w:rsid w:val="001135F6"/>
    <w:rsid w:val="00113A1F"/>
    <w:rsid w:val="00114106"/>
    <w:rsid w:val="001142D5"/>
    <w:rsid w:val="00114E22"/>
    <w:rsid w:val="00114E2D"/>
    <w:rsid w:val="0011558E"/>
    <w:rsid w:val="0011567C"/>
    <w:rsid w:val="00116A80"/>
    <w:rsid w:val="00117497"/>
    <w:rsid w:val="0012016E"/>
    <w:rsid w:val="00120BB9"/>
    <w:rsid w:val="0012143B"/>
    <w:rsid w:val="001222EA"/>
    <w:rsid w:val="00122362"/>
    <w:rsid w:val="00123029"/>
    <w:rsid w:val="00123120"/>
    <w:rsid w:val="00123CA6"/>
    <w:rsid w:val="00124161"/>
    <w:rsid w:val="001244CE"/>
    <w:rsid w:val="00124A38"/>
    <w:rsid w:val="00124BB6"/>
    <w:rsid w:val="0012548D"/>
    <w:rsid w:val="00125970"/>
    <w:rsid w:val="001259B2"/>
    <w:rsid w:val="001261D8"/>
    <w:rsid w:val="001261F1"/>
    <w:rsid w:val="00126E16"/>
    <w:rsid w:val="001274E8"/>
    <w:rsid w:val="0012770D"/>
    <w:rsid w:val="00127947"/>
    <w:rsid w:val="00127D59"/>
    <w:rsid w:val="00127DF7"/>
    <w:rsid w:val="0013008F"/>
    <w:rsid w:val="00130171"/>
    <w:rsid w:val="00131FE4"/>
    <w:rsid w:val="00132331"/>
    <w:rsid w:val="00132A00"/>
    <w:rsid w:val="001337E1"/>
    <w:rsid w:val="00133EDB"/>
    <w:rsid w:val="0013420C"/>
    <w:rsid w:val="0013528D"/>
    <w:rsid w:val="001362F9"/>
    <w:rsid w:val="00136471"/>
    <w:rsid w:val="0013663B"/>
    <w:rsid w:val="0013669D"/>
    <w:rsid w:val="00136B06"/>
    <w:rsid w:val="00137C2F"/>
    <w:rsid w:val="00137E52"/>
    <w:rsid w:val="00137ED5"/>
    <w:rsid w:val="0014068A"/>
    <w:rsid w:val="001406A3"/>
    <w:rsid w:val="00140BA5"/>
    <w:rsid w:val="00141712"/>
    <w:rsid w:val="00141C6B"/>
    <w:rsid w:val="001436D5"/>
    <w:rsid w:val="001452FB"/>
    <w:rsid w:val="001461B9"/>
    <w:rsid w:val="0014645F"/>
    <w:rsid w:val="00146C50"/>
    <w:rsid w:val="001471E1"/>
    <w:rsid w:val="001473D9"/>
    <w:rsid w:val="001507D8"/>
    <w:rsid w:val="00152530"/>
    <w:rsid w:val="00152CAC"/>
    <w:rsid w:val="00152DDF"/>
    <w:rsid w:val="00153471"/>
    <w:rsid w:val="00153AA8"/>
    <w:rsid w:val="00154E7B"/>
    <w:rsid w:val="001550E2"/>
    <w:rsid w:val="001551CF"/>
    <w:rsid w:val="0015568F"/>
    <w:rsid w:val="0015570A"/>
    <w:rsid w:val="00155F3A"/>
    <w:rsid w:val="001566F0"/>
    <w:rsid w:val="00156AD9"/>
    <w:rsid w:val="00157A41"/>
    <w:rsid w:val="00157D66"/>
    <w:rsid w:val="00157FC2"/>
    <w:rsid w:val="0016008E"/>
    <w:rsid w:val="00160CBC"/>
    <w:rsid w:val="00160CC4"/>
    <w:rsid w:val="00162258"/>
    <w:rsid w:val="001629CE"/>
    <w:rsid w:val="00162CEE"/>
    <w:rsid w:val="0016378E"/>
    <w:rsid w:val="00165E45"/>
    <w:rsid w:val="001673EB"/>
    <w:rsid w:val="00167408"/>
    <w:rsid w:val="00170798"/>
    <w:rsid w:val="001710A6"/>
    <w:rsid w:val="00171141"/>
    <w:rsid w:val="00172181"/>
    <w:rsid w:val="00172453"/>
    <w:rsid w:val="00172BB8"/>
    <w:rsid w:val="00173009"/>
    <w:rsid w:val="00174CFC"/>
    <w:rsid w:val="00175627"/>
    <w:rsid w:val="00176BA7"/>
    <w:rsid w:val="00176BB6"/>
    <w:rsid w:val="0017742E"/>
    <w:rsid w:val="001774C6"/>
    <w:rsid w:val="0017767D"/>
    <w:rsid w:val="0018033B"/>
    <w:rsid w:val="00180741"/>
    <w:rsid w:val="001810B6"/>
    <w:rsid w:val="00181348"/>
    <w:rsid w:val="00183528"/>
    <w:rsid w:val="00183A56"/>
    <w:rsid w:val="001840C6"/>
    <w:rsid w:val="001841A7"/>
    <w:rsid w:val="00184E99"/>
    <w:rsid w:val="00185603"/>
    <w:rsid w:val="001859F5"/>
    <w:rsid w:val="001863D0"/>
    <w:rsid w:val="00187524"/>
    <w:rsid w:val="001875AF"/>
    <w:rsid w:val="00190ABB"/>
    <w:rsid w:val="00190BD2"/>
    <w:rsid w:val="00190C9E"/>
    <w:rsid w:val="001912AE"/>
    <w:rsid w:val="0019145F"/>
    <w:rsid w:val="001916F1"/>
    <w:rsid w:val="00193108"/>
    <w:rsid w:val="00193679"/>
    <w:rsid w:val="00194736"/>
    <w:rsid w:val="0019483B"/>
    <w:rsid w:val="00194921"/>
    <w:rsid w:val="0019595D"/>
    <w:rsid w:val="00195BBE"/>
    <w:rsid w:val="0019649F"/>
    <w:rsid w:val="001964BE"/>
    <w:rsid w:val="00197251"/>
    <w:rsid w:val="00197491"/>
    <w:rsid w:val="00197710"/>
    <w:rsid w:val="00197A50"/>
    <w:rsid w:val="00197E9E"/>
    <w:rsid w:val="001A002D"/>
    <w:rsid w:val="001A0C65"/>
    <w:rsid w:val="001A1A0D"/>
    <w:rsid w:val="001A1C66"/>
    <w:rsid w:val="001A1E31"/>
    <w:rsid w:val="001A2544"/>
    <w:rsid w:val="001A2A40"/>
    <w:rsid w:val="001A388E"/>
    <w:rsid w:val="001A41AD"/>
    <w:rsid w:val="001A447B"/>
    <w:rsid w:val="001A464D"/>
    <w:rsid w:val="001A4818"/>
    <w:rsid w:val="001A4858"/>
    <w:rsid w:val="001A49C2"/>
    <w:rsid w:val="001A4F85"/>
    <w:rsid w:val="001A5331"/>
    <w:rsid w:val="001A5EDB"/>
    <w:rsid w:val="001A60FC"/>
    <w:rsid w:val="001A6307"/>
    <w:rsid w:val="001A79CA"/>
    <w:rsid w:val="001B0217"/>
    <w:rsid w:val="001B086C"/>
    <w:rsid w:val="001B1BE3"/>
    <w:rsid w:val="001B1F17"/>
    <w:rsid w:val="001B20B4"/>
    <w:rsid w:val="001B2299"/>
    <w:rsid w:val="001B2A9F"/>
    <w:rsid w:val="001B35D6"/>
    <w:rsid w:val="001B3870"/>
    <w:rsid w:val="001B3FF0"/>
    <w:rsid w:val="001B457B"/>
    <w:rsid w:val="001B4AD6"/>
    <w:rsid w:val="001B4B00"/>
    <w:rsid w:val="001B60E4"/>
    <w:rsid w:val="001B70BE"/>
    <w:rsid w:val="001B7244"/>
    <w:rsid w:val="001B73AA"/>
    <w:rsid w:val="001B73C4"/>
    <w:rsid w:val="001C042B"/>
    <w:rsid w:val="001C1D23"/>
    <w:rsid w:val="001C2009"/>
    <w:rsid w:val="001C2475"/>
    <w:rsid w:val="001C2B40"/>
    <w:rsid w:val="001C2C9A"/>
    <w:rsid w:val="001C2CE4"/>
    <w:rsid w:val="001C2FF5"/>
    <w:rsid w:val="001C36FF"/>
    <w:rsid w:val="001C41CC"/>
    <w:rsid w:val="001C472D"/>
    <w:rsid w:val="001C5AF2"/>
    <w:rsid w:val="001C6933"/>
    <w:rsid w:val="001C6C2C"/>
    <w:rsid w:val="001C7EFA"/>
    <w:rsid w:val="001D015D"/>
    <w:rsid w:val="001D0908"/>
    <w:rsid w:val="001D20C2"/>
    <w:rsid w:val="001D2A90"/>
    <w:rsid w:val="001D31C4"/>
    <w:rsid w:val="001D3839"/>
    <w:rsid w:val="001D416A"/>
    <w:rsid w:val="001D4BEE"/>
    <w:rsid w:val="001D4DB3"/>
    <w:rsid w:val="001D5AE9"/>
    <w:rsid w:val="001D5DC8"/>
    <w:rsid w:val="001D60B9"/>
    <w:rsid w:val="001D62B4"/>
    <w:rsid w:val="001D6A7B"/>
    <w:rsid w:val="001D761E"/>
    <w:rsid w:val="001D78A8"/>
    <w:rsid w:val="001D7D17"/>
    <w:rsid w:val="001E07F4"/>
    <w:rsid w:val="001E086C"/>
    <w:rsid w:val="001E0AAA"/>
    <w:rsid w:val="001E1019"/>
    <w:rsid w:val="001E16CE"/>
    <w:rsid w:val="001E1F08"/>
    <w:rsid w:val="001E27CC"/>
    <w:rsid w:val="001E2F51"/>
    <w:rsid w:val="001E3484"/>
    <w:rsid w:val="001E3BED"/>
    <w:rsid w:val="001E4D14"/>
    <w:rsid w:val="001E54BD"/>
    <w:rsid w:val="001E5903"/>
    <w:rsid w:val="001E5EB8"/>
    <w:rsid w:val="001E6604"/>
    <w:rsid w:val="001E6B6C"/>
    <w:rsid w:val="001E6F77"/>
    <w:rsid w:val="001E7759"/>
    <w:rsid w:val="001F027D"/>
    <w:rsid w:val="001F0577"/>
    <w:rsid w:val="001F11F4"/>
    <w:rsid w:val="001F1687"/>
    <w:rsid w:val="001F1746"/>
    <w:rsid w:val="001F1926"/>
    <w:rsid w:val="001F2226"/>
    <w:rsid w:val="001F2345"/>
    <w:rsid w:val="001F27DC"/>
    <w:rsid w:val="001F2C20"/>
    <w:rsid w:val="001F2F37"/>
    <w:rsid w:val="001F3065"/>
    <w:rsid w:val="001F3812"/>
    <w:rsid w:val="001F4F71"/>
    <w:rsid w:val="001F553D"/>
    <w:rsid w:val="001F56A4"/>
    <w:rsid w:val="001F5E34"/>
    <w:rsid w:val="001F6254"/>
    <w:rsid w:val="001F6AC8"/>
    <w:rsid w:val="001F6B3E"/>
    <w:rsid w:val="001F6F7B"/>
    <w:rsid w:val="00200693"/>
    <w:rsid w:val="00201DFD"/>
    <w:rsid w:val="0020268E"/>
    <w:rsid w:val="00203B8F"/>
    <w:rsid w:val="00203E75"/>
    <w:rsid w:val="00205175"/>
    <w:rsid w:val="002063F4"/>
    <w:rsid w:val="00206583"/>
    <w:rsid w:val="00206918"/>
    <w:rsid w:val="00210031"/>
    <w:rsid w:val="00211B4E"/>
    <w:rsid w:val="002122FD"/>
    <w:rsid w:val="002127E4"/>
    <w:rsid w:val="00212B88"/>
    <w:rsid w:val="002134D1"/>
    <w:rsid w:val="0021387C"/>
    <w:rsid w:val="00214207"/>
    <w:rsid w:val="00214264"/>
    <w:rsid w:val="00216C2C"/>
    <w:rsid w:val="00217122"/>
    <w:rsid w:val="00221E3B"/>
    <w:rsid w:val="002222FC"/>
    <w:rsid w:val="00222654"/>
    <w:rsid w:val="00222696"/>
    <w:rsid w:val="00222C81"/>
    <w:rsid w:val="0022400E"/>
    <w:rsid w:val="0022456F"/>
    <w:rsid w:val="00225678"/>
    <w:rsid w:val="002259AE"/>
    <w:rsid w:val="0022674E"/>
    <w:rsid w:val="0022695D"/>
    <w:rsid w:val="00226F09"/>
    <w:rsid w:val="0022702B"/>
    <w:rsid w:val="00227284"/>
    <w:rsid w:val="002275B5"/>
    <w:rsid w:val="0023001C"/>
    <w:rsid w:val="00230946"/>
    <w:rsid w:val="002316B8"/>
    <w:rsid w:val="00231DF4"/>
    <w:rsid w:val="00231E5A"/>
    <w:rsid w:val="00232537"/>
    <w:rsid w:val="00232E47"/>
    <w:rsid w:val="00234965"/>
    <w:rsid w:val="002349E0"/>
    <w:rsid w:val="0023520B"/>
    <w:rsid w:val="00235A22"/>
    <w:rsid w:val="00236E5E"/>
    <w:rsid w:val="00236ED0"/>
    <w:rsid w:val="0023783B"/>
    <w:rsid w:val="002404B3"/>
    <w:rsid w:val="00240B7A"/>
    <w:rsid w:val="00240CC9"/>
    <w:rsid w:val="002424F2"/>
    <w:rsid w:val="00243205"/>
    <w:rsid w:val="00244441"/>
    <w:rsid w:val="002445CA"/>
    <w:rsid w:val="002448D3"/>
    <w:rsid w:val="00244F17"/>
    <w:rsid w:val="00245443"/>
    <w:rsid w:val="00246387"/>
    <w:rsid w:val="002467B8"/>
    <w:rsid w:val="00246EC8"/>
    <w:rsid w:val="00247017"/>
    <w:rsid w:val="00247116"/>
    <w:rsid w:val="00247359"/>
    <w:rsid w:val="00247579"/>
    <w:rsid w:val="00247FC1"/>
    <w:rsid w:val="00251920"/>
    <w:rsid w:val="00251C3F"/>
    <w:rsid w:val="002525E6"/>
    <w:rsid w:val="00252ACD"/>
    <w:rsid w:val="00252F88"/>
    <w:rsid w:val="00253593"/>
    <w:rsid w:val="002536F8"/>
    <w:rsid w:val="00253DC0"/>
    <w:rsid w:val="00254301"/>
    <w:rsid w:val="00254B1B"/>
    <w:rsid w:val="00254EE0"/>
    <w:rsid w:val="00254F36"/>
    <w:rsid w:val="002555D9"/>
    <w:rsid w:val="002557C0"/>
    <w:rsid w:val="00255AFA"/>
    <w:rsid w:val="00260111"/>
    <w:rsid w:val="002603A9"/>
    <w:rsid w:val="00261153"/>
    <w:rsid w:val="0026160B"/>
    <w:rsid w:val="00261FFE"/>
    <w:rsid w:val="00262321"/>
    <w:rsid w:val="00263083"/>
    <w:rsid w:val="002638B3"/>
    <w:rsid w:val="00263A7A"/>
    <w:rsid w:val="00263E95"/>
    <w:rsid w:val="0026570F"/>
    <w:rsid w:val="002657D2"/>
    <w:rsid w:val="00266251"/>
    <w:rsid w:val="00266524"/>
    <w:rsid w:val="00266A0F"/>
    <w:rsid w:val="00266A48"/>
    <w:rsid w:val="00267222"/>
    <w:rsid w:val="00267988"/>
    <w:rsid w:val="00270156"/>
    <w:rsid w:val="00270915"/>
    <w:rsid w:val="00270EF8"/>
    <w:rsid w:val="00271180"/>
    <w:rsid w:val="002718D6"/>
    <w:rsid w:val="00271E78"/>
    <w:rsid w:val="00271FF1"/>
    <w:rsid w:val="00272A81"/>
    <w:rsid w:val="0027301F"/>
    <w:rsid w:val="00273341"/>
    <w:rsid w:val="00274053"/>
    <w:rsid w:val="0027421D"/>
    <w:rsid w:val="002742D1"/>
    <w:rsid w:val="00274854"/>
    <w:rsid w:val="00274A49"/>
    <w:rsid w:val="00274AF8"/>
    <w:rsid w:val="00275370"/>
    <w:rsid w:val="00275988"/>
    <w:rsid w:val="00275C35"/>
    <w:rsid w:val="00276143"/>
    <w:rsid w:val="00277BF1"/>
    <w:rsid w:val="002803BA"/>
    <w:rsid w:val="0028114C"/>
    <w:rsid w:val="00281751"/>
    <w:rsid w:val="00282924"/>
    <w:rsid w:val="00282B5F"/>
    <w:rsid w:val="00283BF2"/>
    <w:rsid w:val="00284F75"/>
    <w:rsid w:val="00285AF9"/>
    <w:rsid w:val="00285CC6"/>
    <w:rsid w:val="00286D79"/>
    <w:rsid w:val="00290C4F"/>
    <w:rsid w:val="00291338"/>
    <w:rsid w:val="0029133B"/>
    <w:rsid w:val="002930C2"/>
    <w:rsid w:val="00293242"/>
    <w:rsid w:val="002945CE"/>
    <w:rsid w:val="00295E33"/>
    <w:rsid w:val="00296516"/>
    <w:rsid w:val="0029714C"/>
    <w:rsid w:val="0029768A"/>
    <w:rsid w:val="00297723"/>
    <w:rsid w:val="00297B12"/>
    <w:rsid w:val="002A0E60"/>
    <w:rsid w:val="002A1222"/>
    <w:rsid w:val="002A1F15"/>
    <w:rsid w:val="002A20C5"/>
    <w:rsid w:val="002A2A47"/>
    <w:rsid w:val="002A2E5E"/>
    <w:rsid w:val="002A2F70"/>
    <w:rsid w:val="002A49E1"/>
    <w:rsid w:val="002A55CF"/>
    <w:rsid w:val="002A5644"/>
    <w:rsid w:val="002A5738"/>
    <w:rsid w:val="002A5A61"/>
    <w:rsid w:val="002A5D8B"/>
    <w:rsid w:val="002A60EF"/>
    <w:rsid w:val="002A6150"/>
    <w:rsid w:val="002A6734"/>
    <w:rsid w:val="002B02EC"/>
    <w:rsid w:val="002B06C7"/>
    <w:rsid w:val="002B071B"/>
    <w:rsid w:val="002B1165"/>
    <w:rsid w:val="002B2005"/>
    <w:rsid w:val="002B2C4D"/>
    <w:rsid w:val="002B2D37"/>
    <w:rsid w:val="002B2F36"/>
    <w:rsid w:val="002B3072"/>
    <w:rsid w:val="002B32F0"/>
    <w:rsid w:val="002B39A7"/>
    <w:rsid w:val="002B5AD9"/>
    <w:rsid w:val="002B6669"/>
    <w:rsid w:val="002B7243"/>
    <w:rsid w:val="002B788A"/>
    <w:rsid w:val="002B7C32"/>
    <w:rsid w:val="002C1FFA"/>
    <w:rsid w:val="002C23F2"/>
    <w:rsid w:val="002C476D"/>
    <w:rsid w:val="002C4980"/>
    <w:rsid w:val="002C6065"/>
    <w:rsid w:val="002C621D"/>
    <w:rsid w:val="002C6644"/>
    <w:rsid w:val="002D080B"/>
    <w:rsid w:val="002D10A4"/>
    <w:rsid w:val="002D1233"/>
    <w:rsid w:val="002D188C"/>
    <w:rsid w:val="002D29E2"/>
    <w:rsid w:val="002D4093"/>
    <w:rsid w:val="002D497C"/>
    <w:rsid w:val="002D5030"/>
    <w:rsid w:val="002D503E"/>
    <w:rsid w:val="002D53C7"/>
    <w:rsid w:val="002D6748"/>
    <w:rsid w:val="002D6D3B"/>
    <w:rsid w:val="002D7846"/>
    <w:rsid w:val="002E0056"/>
    <w:rsid w:val="002E00EF"/>
    <w:rsid w:val="002E0365"/>
    <w:rsid w:val="002E0CDE"/>
    <w:rsid w:val="002E1536"/>
    <w:rsid w:val="002E1B21"/>
    <w:rsid w:val="002E27BD"/>
    <w:rsid w:val="002E2BCB"/>
    <w:rsid w:val="002E2D08"/>
    <w:rsid w:val="002E38AE"/>
    <w:rsid w:val="002E410E"/>
    <w:rsid w:val="002E416B"/>
    <w:rsid w:val="002E44F9"/>
    <w:rsid w:val="002E4D69"/>
    <w:rsid w:val="002E5901"/>
    <w:rsid w:val="002E5B67"/>
    <w:rsid w:val="002E65AF"/>
    <w:rsid w:val="002E78A7"/>
    <w:rsid w:val="002E7B9B"/>
    <w:rsid w:val="002E7FB6"/>
    <w:rsid w:val="002F00F2"/>
    <w:rsid w:val="002F02CA"/>
    <w:rsid w:val="002F1056"/>
    <w:rsid w:val="002F13D1"/>
    <w:rsid w:val="002F1D70"/>
    <w:rsid w:val="002F2639"/>
    <w:rsid w:val="002F2B6E"/>
    <w:rsid w:val="002F4937"/>
    <w:rsid w:val="002F4AD0"/>
    <w:rsid w:val="002F5526"/>
    <w:rsid w:val="002F6D89"/>
    <w:rsid w:val="002F6FEB"/>
    <w:rsid w:val="003000F3"/>
    <w:rsid w:val="0030046B"/>
    <w:rsid w:val="0030046C"/>
    <w:rsid w:val="00300831"/>
    <w:rsid w:val="003016E0"/>
    <w:rsid w:val="00301839"/>
    <w:rsid w:val="00301906"/>
    <w:rsid w:val="00301AD7"/>
    <w:rsid w:val="00301C1C"/>
    <w:rsid w:val="003031AD"/>
    <w:rsid w:val="00303560"/>
    <w:rsid w:val="00303A41"/>
    <w:rsid w:val="00303CE3"/>
    <w:rsid w:val="00304C05"/>
    <w:rsid w:val="003053E5"/>
    <w:rsid w:val="003059B6"/>
    <w:rsid w:val="00305A92"/>
    <w:rsid w:val="00307A17"/>
    <w:rsid w:val="003102C4"/>
    <w:rsid w:val="00310F32"/>
    <w:rsid w:val="00311948"/>
    <w:rsid w:val="00311C7C"/>
    <w:rsid w:val="00312684"/>
    <w:rsid w:val="00312A14"/>
    <w:rsid w:val="00312B39"/>
    <w:rsid w:val="00314AA9"/>
    <w:rsid w:val="00314AEB"/>
    <w:rsid w:val="003154B3"/>
    <w:rsid w:val="0031586F"/>
    <w:rsid w:val="00316E9A"/>
    <w:rsid w:val="00322CBF"/>
    <w:rsid w:val="00322FC6"/>
    <w:rsid w:val="00326984"/>
    <w:rsid w:val="003306D0"/>
    <w:rsid w:val="00330E08"/>
    <w:rsid w:val="00330FA8"/>
    <w:rsid w:val="00332381"/>
    <w:rsid w:val="0033252F"/>
    <w:rsid w:val="00332D22"/>
    <w:rsid w:val="00333312"/>
    <w:rsid w:val="00333DE2"/>
    <w:rsid w:val="00333ECF"/>
    <w:rsid w:val="0033516E"/>
    <w:rsid w:val="003356E2"/>
    <w:rsid w:val="003367AF"/>
    <w:rsid w:val="00337011"/>
    <w:rsid w:val="00337CD8"/>
    <w:rsid w:val="00337E5F"/>
    <w:rsid w:val="00340481"/>
    <w:rsid w:val="003406B9"/>
    <w:rsid w:val="003412D5"/>
    <w:rsid w:val="00341414"/>
    <w:rsid w:val="00341EF7"/>
    <w:rsid w:val="003421F0"/>
    <w:rsid w:val="00342449"/>
    <w:rsid w:val="003439B6"/>
    <w:rsid w:val="00343E70"/>
    <w:rsid w:val="00344B83"/>
    <w:rsid w:val="003453AC"/>
    <w:rsid w:val="0034627E"/>
    <w:rsid w:val="003465E3"/>
    <w:rsid w:val="00346B78"/>
    <w:rsid w:val="003470B7"/>
    <w:rsid w:val="003472BC"/>
    <w:rsid w:val="00350582"/>
    <w:rsid w:val="003506AA"/>
    <w:rsid w:val="00350F20"/>
    <w:rsid w:val="0035127E"/>
    <w:rsid w:val="003514A8"/>
    <w:rsid w:val="00351ADE"/>
    <w:rsid w:val="003523E6"/>
    <w:rsid w:val="00353746"/>
    <w:rsid w:val="00353CB8"/>
    <w:rsid w:val="00353FCD"/>
    <w:rsid w:val="00355375"/>
    <w:rsid w:val="0035791E"/>
    <w:rsid w:val="00357B10"/>
    <w:rsid w:val="0036007A"/>
    <w:rsid w:val="00360D92"/>
    <w:rsid w:val="003618DA"/>
    <w:rsid w:val="00362734"/>
    <w:rsid w:val="00362A4A"/>
    <w:rsid w:val="00363B0E"/>
    <w:rsid w:val="00364433"/>
    <w:rsid w:val="003655AD"/>
    <w:rsid w:val="0036597E"/>
    <w:rsid w:val="00365C4C"/>
    <w:rsid w:val="00367363"/>
    <w:rsid w:val="00367511"/>
    <w:rsid w:val="00371187"/>
    <w:rsid w:val="003730FA"/>
    <w:rsid w:val="0037317E"/>
    <w:rsid w:val="00373AE3"/>
    <w:rsid w:val="00375447"/>
    <w:rsid w:val="00375ECD"/>
    <w:rsid w:val="00375F08"/>
    <w:rsid w:val="003760E3"/>
    <w:rsid w:val="00376F0D"/>
    <w:rsid w:val="00377525"/>
    <w:rsid w:val="00377A91"/>
    <w:rsid w:val="00380B7A"/>
    <w:rsid w:val="00381252"/>
    <w:rsid w:val="003816CE"/>
    <w:rsid w:val="003821C4"/>
    <w:rsid w:val="00383639"/>
    <w:rsid w:val="00384D71"/>
    <w:rsid w:val="003852AD"/>
    <w:rsid w:val="00385411"/>
    <w:rsid w:val="00385C33"/>
    <w:rsid w:val="00385D6E"/>
    <w:rsid w:val="00386249"/>
    <w:rsid w:val="00386EE2"/>
    <w:rsid w:val="003907AA"/>
    <w:rsid w:val="00390855"/>
    <w:rsid w:val="003908D7"/>
    <w:rsid w:val="00390BCE"/>
    <w:rsid w:val="0039230C"/>
    <w:rsid w:val="003923E9"/>
    <w:rsid w:val="003934AA"/>
    <w:rsid w:val="00393968"/>
    <w:rsid w:val="00395123"/>
    <w:rsid w:val="00395177"/>
    <w:rsid w:val="003954F9"/>
    <w:rsid w:val="00395775"/>
    <w:rsid w:val="00395B78"/>
    <w:rsid w:val="003967CF"/>
    <w:rsid w:val="003973C9"/>
    <w:rsid w:val="00397402"/>
    <w:rsid w:val="003A082F"/>
    <w:rsid w:val="003A17F7"/>
    <w:rsid w:val="003A18ED"/>
    <w:rsid w:val="003A1AC6"/>
    <w:rsid w:val="003A1AE4"/>
    <w:rsid w:val="003A2226"/>
    <w:rsid w:val="003A281E"/>
    <w:rsid w:val="003A30BB"/>
    <w:rsid w:val="003A3D26"/>
    <w:rsid w:val="003A4632"/>
    <w:rsid w:val="003A46A5"/>
    <w:rsid w:val="003A63EB"/>
    <w:rsid w:val="003A65F4"/>
    <w:rsid w:val="003A6E82"/>
    <w:rsid w:val="003B024E"/>
    <w:rsid w:val="003B0CA4"/>
    <w:rsid w:val="003B14CA"/>
    <w:rsid w:val="003B3D47"/>
    <w:rsid w:val="003B3E34"/>
    <w:rsid w:val="003B41F6"/>
    <w:rsid w:val="003B4EE0"/>
    <w:rsid w:val="003B5832"/>
    <w:rsid w:val="003B5979"/>
    <w:rsid w:val="003B65FE"/>
    <w:rsid w:val="003B6D15"/>
    <w:rsid w:val="003B6FDD"/>
    <w:rsid w:val="003B7FDB"/>
    <w:rsid w:val="003C0255"/>
    <w:rsid w:val="003C105B"/>
    <w:rsid w:val="003C1243"/>
    <w:rsid w:val="003C15CC"/>
    <w:rsid w:val="003C1C2C"/>
    <w:rsid w:val="003C2BD6"/>
    <w:rsid w:val="003C33B4"/>
    <w:rsid w:val="003C33D4"/>
    <w:rsid w:val="003C3CAB"/>
    <w:rsid w:val="003C453F"/>
    <w:rsid w:val="003C45CB"/>
    <w:rsid w:val="003C4A48"/>
    <w:rsid w:val="003C4CB5"/>
    <w:rsid w:val="003C763B"/>
    <w:rsid w:val="003C76BE"/>
    <w:rsid w:val="003D01CC"/>
    <w:rsid w:val="003D02FC"/>
    <w:rsid w:val="003D28CC"/>
    <w:rsid w:val="003D2BF7"/>
    <w:rsid w:val="003D2E71"/>
    <w:rsid w:val="003D521E"/>
    <w:rsid w:val="003D52D7"/>
    <w:rsid w:val="003D5A52"/>
    <w:rsid w:val="003D5D84"/>
    <w:rsid w:val="003D5DE6"/>
    <w:rsid w:val="003D685F"/>
    <w:rsid w:val="003D78CE"/>
    <w:rsid w:val="003E05AC"/>
    <w:rsid w:val="003E07BD"/>
    <w:rsid w:val="003E0D40"/>
    <w:rsid w:val="003E227D"/>
    <w:rsid w:val="003E2D7C"/>
    <w:rsid w:val="003E492B"/>
    <w:rsid w:val="003E4D1B"/>
    <w:rsid w:val="003E52F7"/>
    <w:rsid w:val="003E630D"/>
    <w:rsid w:val="003E6C92"/>
    <w:rsid w:val="003E7BA8"/>
    <w:rsid w:val="003F053F"/>
    <w:rsid w:val="003F0DE8"/>
    <w:rsid w:val="003F1D67"/>
    <w:rsid w:val="003F1E1A"/>
    <w:rsid w:val="003F3B2E"/>
    <w:rsid w:val="003F3F26"/>
    <w:rsid w:val="003F44F4"/>
    <w:rsid w:val="003F54E6"/>
    <w:rsid w:val="003F5847"/>
    <w:rsid w:val="003F5CEC"/>
    <w:rsid w:val="003F5CF7"/>
    <w:rsid w:val="003F614C"/>
    <w:rsid w:val="003F6CBC"/>
    <w:rsid w:val="00400714"/>
    <w:rsid w:val="00402333"/>
    <w:rsid w:val="0040315E"/>
    <w:rsid w:val="0040324F"/>
    <w:rsid w:val="00403FF2"/>
    <w:rsid w:val="004042DC"/>
    <w:rsid w:val="00405E4E"/>
    <w:rsid w:val="004064A0"/>
    <w:rsid w:val="0040691E"/>
    <w:rsid w:val="00407A78"/>
    <w:rsid w:val="00407FE6"/>
    <w:rsid w:val="00410913"/>
    <w:rsid w:val="0041098C"/>
    <w:rsid w:val="0041111A"/>
    <w:rsid w:val="004116DD"/>
    <w:rsid w:val="00411786"/>
    <w:rsid w:val="00411FCF"/>
    <w:rsid w:val="00412B83"/>
    <w:rsid w:val="00412C47"/>
    <w:rsid w:val="00414231"/>
    <w:rsid w:val="00416DE4"/>
    <w:rsid w:val="00416DF3"/>
    <w:rsid w:val="004177AD"/>
    <w:rsid w:val="00417CA1"/>
    <w:rsid w:val="004203D8"/>
    <w:rsid w:val="00420C5B"/>
    <w:rsid w:val="004213DB"/>
    <w:rsid w:val="0042173C"/>
    <w:rsid w:val="00421EDC"/>
    <w:rsid w:val="00421F08"/>
    <w:rsid w:val="00422505"/>
    <w:rsid w:val="0042269F"/>
    <w:rsid w:val="00422F49"/>
    <w:rsid w:val="00423A02"/>
    <w:rsid w:val="00423C4E"/>
    <w:rsid w:val="0042479F"/>
    <w:rsid w:val="00424C83"/>
    <w:rsid w:val="00424F28"/>
    <w:rsid w:val="004251F2"/>
    <w:rsid w:val="00425A64"/>
    <w:rsid w:val="004260A9"/>
    <w:rsid w:val="004270C1"/>
    <w:rsid w:val="00427D99"/>
    <w:rsid w:val="004312C9"/>
    <w:rsid w:val="0043184E"/>
    <w:rsid w:val="00431CFD"/>
    <w:rsid w:val="00432C1A"/>
    <w:rsid w:val="004346E2"/>
    <w:rsid w:val="00435937"/>
    <w:rsid w:val="00435AFF"/>
    <w:rsid w:val="00435D19"/>
    <w:rsid w:val="0043618D"/>
    <w:rsid w:val="00436C5C"/>
    <w:rsid w:val="00437970"/>
    <w:rsid w:val="0044092E"/>
    <w:rsid w:val="0044134D"/>
    <w:rsid w:val="004422BF"/>
    <w:rsid w:val="00442663"/>
    <w:rsid w:val="00442938"/>
    <w:rsid w:val="00442E6B"/>
    <w:rsid w:val="0044346D"/>
    <w:rsid w:val="004439B1"/>
    <w:rsid w:val="0044414B"/>
    <w:rsid w:val="004454C0"/>
    <w:rsid w:val="00445D50"/>
    <w:rsid w:val="00450178"/>
    <w:rsid w:val="004503E3"/>
    <w:rsid w:val="00451314"/>
    <w:rsid w:val="0045160C"/>
    <w:rsid w:val="0045196F"/>
    <w:rsid w:val="0045250D"/>
    <w:rsid w:val="004534D5"/>
    <w:rsid w:val="00453B7C"/>
    <w:rsid w:val="004541CC"/>
    <w:rsid w:val="00454EB0"/>
    <w:rsid w:val="0045564E"/>
    <w:rsid w:val="00456119"/>
    <w:rsid w:val="004567BB"/>
    <w:rsid w:val="00456D23"/>
    <w:rsid w:val="00457724"/>
    <w:rsid w:val="00457C62"/>
    <w:rsid w:val="00457F35"/>
    <w:rsid w:val="00460106"/>
    <w:rsid w:val="00460376"/>
    <w:rsid w:val="004630B7"/>
    <w:rsid w:val="00463648"/>
    <w:rsid w:val="00463870"/>
    <w:rsid w:val="00463913"/>
    <w:rsid w:val="0046399B"/>
    <w:rsid w:val="00464726"/>
    <w:rsid w:val="00464E53"/>
    <w:rsid w:val="00465E10"/>
    <w:rsid w:val="00466069"/>
    <w:rsid w:val="0046638B"/>
    <w:rsid w:val="0047006B"/>
    <w:rsid w:val="00470177"/>
    <w:rsid w:val="00470B3D"/>
    <w:rsid w:val="00470E73"/>
    <w:rsid w:val="0047211F"/>
    <w:rsid w:val="004732CD"/>
    <w:rsid w:val="00473712"/>
    <w:rsid w:val="0047439D"/>
    <w:rsid w:val="00474828"/>
    <w:rsid w:val="00474ECB"/>
    <w:rsid w:val="004750CF"/>
    <w:rsid w:val="00475646"/>
    <w:rsid w:val="00475D31"/>
    <w:rsid w:val="004762B2"/>
    <w:rsid w:val="0047652B"/>
    <w:rsid w:val="004765AB"/>
    <w:rsid w:val="004778D4"/>
    <w:rsid w:val="00477D01"/>
    <w:rsid w:val="00477FEF"/>
    <w:rsid w:val="0048090A"/>
    <w:rsid w:val="00483030"/>
    <w:rsid w:val="00483207"/>
    <w:rsid w:val="00483955"/>
    <w:rsid w:val="00484397"/>
    <w:rsid w:val="004849A8"/>
    <w:rsid w:val="00485694"/>
    <w:rsid w:val="004871CB"/>
    <w:rsid w:val="0048766D"/>
    <w:rsid w:val="004879E5"/>
    <w:rsid w:val="0049168F"/>
    <w:rsid w:val="004925F8"/>
    <w:rsid w:val="00492765"/>
    <w:rsid w:val="00492DB4"/>
    <w:rsid w:val="00493350"/>
    <w:rsid w:val="00494185"/>
    <w:rsid w:val="00494539"/>
    <w:rsid w:val="00495565"/>
    <w:rsid w:val="00495660"/>
    <w:rsid w:val="0049693F"/>
    <w:rsid w:val="00496E2A"/>
    <w:rsid w:val="004A0065"/>
    <w:rsid w:val="004A080E"/>
    <w:rsid w:val="004A111A"/>
    <w:rsid w:val="004A30C8"/>
    <w:rsid w:val="004A362F"/>
    <w:rsid w:val="004A36A3"/>
    <w:rsid w:val="004A38A1"/>
    <w:rsid w:val="004A3DCE"/>
    <w:rsid w:val="004A4622"/>
    <w:rsid w:val="004A5322"/>
    <w:rsid w:val="004A5CFE"/>
    <w:rsid w:val="004A63D9"/>
    <w:rsid w:val="004A6459"/>
    <w:rsid w:val="004A7B95"/>
    <w:rsid w:val="004B1043"/>
    <w:rsid w:val="004B1A07"/>
    <w:rsid w:val="004B25E6"/>
    <w:rsid w:val="004B337F"/>
    <w:rsid w:val="004B4309"/>
    <w:rsid w:val="004B4AF8"/>
    <w:rsid w:val="004B4BE9"/>
    <w:rsid w:val="004B4D4C"/>
    <w:rsid w:val="004B56E6"/>
    <w:rsid w:val="004B7110"/>
    <w:rsid w:val="004C15DA"/>
    <w:rsid w:val="004C1BD3"/>
    <w:rsid w:val="004C24E4"/>
    <w:rsid w:val="004C2B74"/>
    <w:rsid w:val="004C33E3"/>
    <w:rsid w:val="004C3C78"/>
    <w:rsid w:val="004C482A"/>
    <w:rsid w:val="004C4848"/>
    <w:rsid w:val="004C5093"/>
    <w:rsid w:val="004C5161"/>
    <w:rsid w:val="004C54C8"/>
    <w:rsid w:val="004C7157"/>
    <w:rsid w:val="004C7E0D"/>
    <w:rsid w:val="004D089C"/>
    <w:rsid w:val="004D08EF"/>
    <w:rsid w:val="004D0D07"/>
    <w:rsid w:val="004D0F0E"/>
    <w:rsid w:val="004D1025"/>
    <w:rsid w:val="004D1124"/>
    <w:rsid w:val="004D116D"/>
    <w:rsid w:val="004D1B41"/>
    <w:rsid w:val="004D263E"/>
    <w:rsid w:val="004D2ADE"/>
    <w:rsid w:val="004D40E8"/>
    <w:rsid w:val="004D4506"/>
    <w:rsid w:val="004D457D"/>
    <w:rsid w:val="004D4726"/>
    <w:rsid w:val="004D49AD"/>
    <w:rsid w:val="004D505D"/>
    <w:rsid w:val="004D6716"/>
    <w:rsid w:val="004D6869"/>
    <w:rsid w:val="004D711E"/>
    <w:rsid w:val="004D7454"/>
    <w:rsid w:val="004D7563"/>
    <w:rsid w:val="004D7600"/>
    <w:rsid w:val="004E0036"/>
    <w:rsid w:val="004E0D28"/>
    <w:rsid w:val="004E1D9A"/>
    <w:rsid w:val="004E269D"/>
    <w:rsid w:val="004E2735"/>
    <w:rsid w:val="004E29E4"/>
    <w:rsid w:val="004E37A0"/>
    <w:rsid w:val="004E42A9"/>
    <w:rsid w:val="004E508B"/>
    <w:rsid w:val="004E556B"/>
    <w:rsid w:val="004E55AE"/>
    <w:rsid w:val="004E56E8"/>
    <w:rsid w:val="004E6762"/>
    <w:rsid w:val="004E79A8"/>
    <w:rsid w:val="004E7E63"/>
    <w:rsid w:val="004F1896"/>
    <w:rsid w:val="004F1D3A"/>
    <w:rsid w:val="004F2111"/>
    <w:rsid w:val="004F2181"/>
    <w:rsid w:val="004F22C9"/>
    <w:rsid w:val="004F3DF6"/>
    <w:rsid w:val="004F4CA2"/>
    <w:rsid w:val="004F4E1F"/>
    <w:rsid w:val="004F51D4"/>
    <w:rsid w:val="004F53AF"/>
    <w:rsid w:val="004F60EC"/>
    <w:rsid w:val="004F78B0"/>
    <w:rsid w:val="004F78B4"/>
    <w:rsid w:val="004F7F56"/>
    <w:rsid w:val="00500DBE"/>
    <w:rsid w:val="005014C1"/>
    <w:rsid w:val="005016E0"/>
    <w:rsid w:val="00501D81"/>
    <w:rsid w:val="00501D9F"/>
    <w:rsid w:val="0050246E"/>
    <w:rsid w:val="005026F8"/>
    <w:rsid w:val="00502AA8"/>
    <w:rsid w:val="00502BCA"/>
    <w:rsid w:val="005035C5"/>
    <w:rsid w:val="00504215"/>
    <w:rsid w:val="00504242"/>
    <w:rsid w:val="00504D13"/>
    <w:rsid w:val="0050567A"/>
    <w:rsid w:val="00506189"/>
    <w:rsid w:val="00506247"/>
    <w:rsid w:val="00506905"/>
    <w:rsid w:val="00507885"/>
    <w:rsid w:val="0051008A"/>
    <w:rsid w:val="0051019D"/>
    <w:rsid w:val="00510FE5"/>
    <w:rsid w:val="005118F2"/>
    <w:rsid w:val="005122A4"/>
    <w:rsid w:val="00512397"/>
    <w:rsid w:val="005128A9"/>
    <w:rsid w:val="00513024"/>
    <w:rsid w:val="00513A24"/>
    <w:rsid w:val="0051446C"/>
    <w:rsid w:val="00515109"/>
    <w:rsid w:val="00515202"/>
    <w:rsid w:val="005154CA"/>
    <w:rsid w:val="00515A40"/>
    <w:rsid w:val="00515BF6"/>
    <w:rsid w:val="0051637F"/>
    <w:rsid w:val="00516C31"/>
    <w:rsid w:val="00517100"/>
    <w:rsid w:val="0051744A"/>
    <w:rsid w:val="005177BC"/>
    <w:rsid w:val="005203DB"/>
    <w:rsid w:val="00523155"/>
    <w:rsid w:val="0052336F"/>
    <w:rsid w:val="00523D88"/>
    <w:rsid w:val="00524892"/>
    <w:rsid w:val="00525807"/>
    <w:rsid w:val="005259EF"/>
    <w:rsid w:val="00525B9E"/>
    <w:rsid w:val="00525C7E"/>
    <w:rsid w:val="0052650E"/>
    <w:rsid w:val="005266D5"/>
    <w:rsid w:val="00526934"/>
    <w:rsid w:val="005300A7"/>
    <w:rsid w:val="00530545"/>
    <w:rsid w:val="00530C5E"/>
    <w:rsid w:val="005319C3"/>
    <w:rsid w:val="00531B6C"/>
    <w:rsid w:val="00531EBE"/>
    <w:rsid w:val="005320DC"/>
    <w:rsid w:val="0053222F"/>
    <w:rsid w:val="005328FD"/>
    <w:rsid w:val="00532B01"/>
    <w:rsid w:val="00533FE9"/>
    <w:rsid w:val="00534775"/>
    <w:rsid w:val="00534AC9"/>
    <w:rsid w:val="00534D5B"/>
    <w:rsid w:val="0053514E"/>
    <w:rsid w:val="00535352"/>
    <w:rsid w:val="00535382"/>
    <w:rsid w:val="005355FD"/>
    <w:rsid w:val="00535923"/>
    <w:rsid w:val="005359CB"/>
    <w:rsid w:val="00537F0C"/>
    <w:rsid w:val="00540476"/>
    <w:rsid w:val="00540569"/>
    <w:rsid w:val="005422C0"/>
    <w:rsid w:val="00542F17"/>
    <w:rsid w:val="00543391"/>
    <w:rsid w:val="00543B09"/>
    <w:rsid w:val="00545879"/>
    <w:rsid w:val="00545F5D"/>
    <w:rsid w:val="00546278"/>
    <w:rsid w:val="00546BD5"/>
    <w:rsid w:val="00546EBF"/>
    <w:rsid w:val="00546FF4"/>
    <w:rsid w:val="005501AC"/>
    <w:rsid w:val="00550EC5"/>
    <w:rsid w:val="00551716"/>
    <w:rsid w:val="00551C3A"/>
    <w:rsid w:val="00551D04"/>
    <w:rsid w:val="00551D9B"/>
    <w:rsid w:val="00552041"/>
    <w:rsid w:val="00552227"/>
    <w:rsid w:val="00552E8F"/>
    <w:rsid w:val="005535AD"/>
    <w:rsid w:val="00553C42"/>
    <w:rsid w:val="00554855"/>
    <w:rsid w:val="00554C82"/>
    <w:rsid w:val="00554E13"/>
    <w:rsid w:val="00555606"/>
    <w:rsid w:val="00555769"/>
    <w:rsid w:val="00555A86"/>
    <w:rsid w:val="00555F8A"/>
    <w:rsid w:val="00555FFF"/>
    <w:rsid w:val="00556077"/>
    <w:rsid w:val="00556163"/>
    <w:rsid w:val="005566F5"/>
    <w:rsid w:val="0055763A"/>
    <w:rsid w:val="0055789D"/>
    <w:rsid w:val="00560E75"/>
    <w:rsid w:val="00560F91"/>
    <w:rsid w:val="005619FE"/>
    <w:rsid w:val="00561A36"/>
    <w:rsid w:val="00561EDC"/>
    <w:rsid w:val="00562161"/>
    <w:rsid w:val="00562D0C"/>
    <w:rsid w:val="005645BE"/>
    <w:rsid w:val="00564756"/>
    <w:rsid w:val="00565926"/>
    <w:rsid w:val="00565D0F"/>
    <w:rsid w:val="00566CCF"/>
    <w:rsid w:val="00567AC9"/>
    <w:rsid w:val="005709F6"/>
    <w:rsid w:val="00570F25"/>
    <w:rsid w:val="00571704"/>
    <w:rsid w:val="00571CE9"/>
    <w:rsid w:val="00572BD5"/>
    <w:rsid w:val="0057399A"/>
    <w:rsid w:val="00573DCD"/>
    <w:rsid w:val="005741FB"/>
    <w:rsid w:val="005743D2"/>
    <w:rsid w:val="00574589"/>
    <w:rsid w:val="00574FA5"/>
    <w:rsid w:val="005750A9"/>
    <w:rsid w:val="00576371"/>
    <w:rsid w:val="0057680F"/>
    <w:rsid w:val="00576C0D"/>
    <w:rsid w:val="00576F2D"/>
    <w:rsid w:val="0057701D"/>
    <w:rsid w:val="00580C04"/>
    <w:rsid w:val="00580C4A"/>
    <w:rsid w:val="00581FBF"/>
    <w:rsid w:val="00582272"/>
    <w:rsid w:val="00582562"/>
    <w:rsid w:val="00582971"/>
    <w:rsid w:val="005830A6"/>
    <w:rsid w:val="00584820"/>
    <w:rsid w:val="00584A43"/>
    <w:rsid w:val="00584A67"/>
    <w:rsid w:val="005854AE"/>
    <w:rsid w:val="00586422"/>
    <w:rsid w:val="00586A30"/>
    <w:rsid w:val="00587733"/>
    <w:rsid w:val="00587FC5"/>
    <w:rsid w:val="005901F1"/>
    <w:rsid w:val="00590336"/>
    <w:rsid w:val="00590F0A"/>
    <w:rsid w:val="0059137C"/>
    <w:rsid w:val="00591398"/>
    <w:rsid w:val="005917B1"/>
    <w:rsid w:val="0059263B"/>
    <w:rsid w:val="00593231"/>
    <w:rsid w:val="005946EE"/>
    <w:rsid w:val="00595190"/>
    <w:rsid w:val="005955B4"/>
    <w:rsid w:val="00595B86"/>
    <w:rsid w:val="00595D1A"/>
    <w:rsid w:val="00595DCB"/>
    <w:rsid w:val="005960B7"/>
    <w:rsid w:val="005960CC"/>
    <w:rsid w:val="00596C82"/>
    <w:rsid w:val="005970FD"/>
    <w:rsid w:val="00597226"/>
    <w:rsid w:val="00597D50"/>
    <w:rsid w:val="00597DFB"/>
    <w:rsid w:val="005A0803"/>
    <w:rsid w:val="005A1177"/>
    <w:rsid w:val="005A1BE2"/>
    <w:rsid w:val="005A2E09"/>
    <w:rsid w:val="005A35F0"/>
    <w:rsid w:val="005A3B6F"/>
    <w:rsid w:val="005A3C78"/>
    <w:rsid w:val="005A4B91"/>
    <w:rsid w:val="005A4E79"/>
    <w:rsid w:val="005A52FA"/>
    <w:rsid w:val="005A542F"/>
    <w:rsid w:val="005A59A3"/>
    <w:rsid w:val="005B0214"/>
    <w:rsid w:val="005B02D9"/>
    <w:rsid w:val="005B0A21"/>
    <w:rsid w:val="005B0B0D"/>
    <w:rsid w:val="005B100A"/>
    <w:rsid w:val="005B2669"/>
    <w:rsid w:val="005B2A49"/>
    <w:rsid w:val="005B307E"/>
    <w:rsid w:val="005B3893"/>
    <w:rsid w:val="005B399C"/>
    <w:rsid w:val="005B3E9B"/>
    <w:rsid w:val="005B4D30"/>
    <w:rsid w:val="005B4F09"/>
    <w:rsid w:val="005B722F"/>
    <w:rsid w:val="005B7358"/>
    <w:rsid w:val="005B7D8D"/>
    <w:rsid w:val="005C07F4"/>
    <w:rsid w:val="005C0DB4"/>
    <w:rsid w:val="005C0FAE"/>
    <w:rsid w:val="005C13DE"/>
    <w:rsid w:val="005C1706"/>
    <w:rsid w:val="005C1915"/>
    <w:rsid w:val="005C1E71"/>
    <w:rsid w:val="005C21DD"/>
    <w:rsid w:val="005C25A4"/>
    <w:rsid w:val="005C2A10"/>
    <w:rsid w:val="005C2E4F"/>
    <w:rsid w:val="005C3379"/>
    <w:rsid w:val="005C39A4"/>
    <w:rsid w:val="005C3B78"/>
    <w:rsid w:val="005C528B"/>
    <w:rsid w:val="005C6188"/>
    <w:rsid w:val="005C672C"/>
    <w:rsid w:val="005C74B1"/>
    <w:rsid w:val="005C7624"/>
    <w:rsid w:val="005C7809"/>
    <w:rsid w:val="005D0318"/>
    <w:rsid w:val="005D06F0"/>
    <w:rsid w:val="005D094E"/>
    <w:rsid w:val="005D1335"/>
    <w:rsid w:val="005D22E4"/>
    <w:rsid w:val="005D252D"/>
    <w:rsid w:val="005D2553"/>
    <w:rsid w:val="005D2706"/>
    <w:rsid w:val="005D2BDC"/>
    <w:rsid w:val="005D34D0"/>
    <w:rsid w:val="005D4E23"/>
    <w:rsid w:val="005D5DB0"/>
    <w:rsid w:val="005D5DFB"/>
    <w:rsid w:val="005D62BC"/>
    <w:rsid w:val="005D62D6"/>
    <w:rsid w:val="005D69B5"/>
    <w:rsid w:val="005D6D65"/>
    <w:rsid w:val="005D6E33"/>
    <w:rsid w:val="005E0FDD"/>
    <w:rsid w:val="005E1951"/>
    <w:rsid w:val="005E1EB8"/>
    <w:rsid w:val="005E230B"/>
    <w:rsid w:val="005E2691"/>
    <w:rsid w:val="005E2851"/>
    <w:rsid w:val="005E398A"/>
    <w:rsid w:val="005E42F7"/>
    <w:rsid w:val="005E4397"/>
    <w:rsid w:val="005E45CD"/>
    <w:rsid w:val="005E543F"/>
    <w:rsid w:val="005E5706"/>
    <w:rsid w:val="005E6F45"/>
    <w:rsid w:val="005E7519"/>
    <w:rsid w:val="005F3C03"/>
    <w:rsid w:val="005F40CD"/>
    <w:rsid w:val="005F4125"/>
    <w:rsid w:val="005F41A5"/>
    <w:rsid w:val="005F4266"/>
    <w:rsid w:val="005F47D2"/>
    <w:rsid w:val="005F636C"/>
    <w:rsid w:val="005F797B"/>
    <w:rsid w:val="0060013F"/>
    <w:rsid w:val="006001B5"/>
    <w:rsid w:val="006003B7"/>
    <w:rsid w:val="0060049B"/>
    <w:rsid w:val="00600946"/>
    <w:rsid w:val="00600C5C"/>
    <w:rsid w:val="00600CAC"/>
    <w:rsid w:val="00601198"/>
    <w:rsid w:val="00601DCF"/>
    <w:rsid w:val="00603099"/>
    <w:rsid w:val="006059DC"/>
    <w:rsid w:val="0060690C"/>
    <w:rsid w:val="006069BE"/>
    <w:rsid w:val="00607362"/>
    <w:rsid w:val="0061009E"/>
    <w:rsid w:val="0061018A"/>
    <w:rsid w:val="00610205"/>
    <w:rsid w:val="00610439"/>
    <w:rsid w:val="00610C3A"/>
    <w:rsid w:val="00610FF8"/>
    <w:rsid w:val="0061103F"/>
    <w:rsid w:val="00612707"/>
    <w:rsid w:val="00612824"/>
    <w:rsid w:val="00613209"/>
    <w:rsid w:val="00614380"/>
    <w:rsid w:val="006143F1"/>
    <w:rsid w:val="00616DBF"/>
    <w:rsid w:val="006178F3"/>
    <w:rsid w:val="00617CB8"/>
    <w:rsid w:val="00617F7D"/>
    <w:rsid w:val="00620607"/>
    <w:rsid w:val="00621B6B"/>
    <w:rsid w:val="0062211F"/>
    <w:rsid w:val="006225AE"/>
    <w:rsid w:val="00622906"/>
    <w:rsid w:val="00622A4E"/>
    <w:rsid w:val="006235EA"/>
    <w:rsid w:val="0062445D"/>
    <w:rsid w:val="006248BB"/>
    <w:rsid w:val="006249A0"/>
    <w:rsid w:val="006249C5"/>
    <w:rsid w:val="006264B5"/>
    <w:rsid w:val="00626F3C"/>
    <w:rsid w:val="00630503"/>
    <w:rsid w:val="00630FF0"/>
    <w:rsid w:val="00631973"/>
    <w:rsid w:val="00631D2A"/>
    <w:rsid w:val="00632120"/>
    <w:rsid w:val="00633A6F"/>
    <w:rsid w:val="00634C04"/>
    <w:rsid w:val="006351C1"/>
    <w:rsid w:val="0063540C"/>
    <w:rsid w:val="006359C4"/>
    <w:rsid w:val="006362A3"/>
    <w:rsid w:val="00636BD5"/>
    <w:rsid w:val="00636FB7"/>
    <w:rsid w:val="006405BC"/>
    <w:rsid w:val="00640BBE"/>
    <w:rsid w:val="006413EA"/>
    <w:rsid w:val="00642A21"/>
    <w:rsid w:val="006430CA"/>
    <w:rsid w:val="006437D4"/>
    <w:rsid w:val="006439F1"/>
    <w:rsid w:val="006443C5"/>
    <w:rsid w:val="006446C3"/>
    <w:rsid w:val="006448C9"/>
    <w:rsid w:val="006453B8"/>
    <w:rsid w:val="00645E52"/>
    <w:rsid w:val="006464CF"/>
    <w:rsid w:val="00646E23"/>
    <w:rsid w:val="0064701A"/>
    <w:rsid w:val="00647245"/>
    <w:rsid w:val="00647B58"/>
    <w:rsid w:val="00647C45"/>
    <w:rsid w:val="00650E20"/>
    <w:rsid w:val="00651036"/>
    <w:rsid w:val="00651BBB"/>
    <w:rsid w:val="00652EFE"/>
    <w:rsid w:val="006538E3"/>
    <w:rsid w:val="00653F73"/>
    <w:rsid w:val="00654269"/>
    <w:rsid w:val="00654297"/>
    <w:rsid w:val="006544E4"/>
    <w:rsid w:val="006544EB"/>
    <w:rsid w:val="00654F81"/>
    <w:rsid w:val="006550A3"/>
    <w:rsid w:val="0065563B"/>
    <w:rsid w:val="006559F4"/>
    <w:rsid w:val="006573DD"/>
    <w:rsid w:val="00661536"/>
    <w:rsid w:val="00662173"/>
    <w:rsid w:val="00663153"/>
    <w:rsid w:val="00663A1D"/>
    <w:rsid w:val="00663E24"/>
    <w:rsid w:val="006641D8"/>
    <w:rsid w:val="00665380"/>
    <w:rsid w:val="00665585"/>
    <w:rsid w:val="00665B77"/>
    <w:rsid w:val="00665DCF"/>
    <w:rsid w:val="0066643B"/>
    <w:rsid w:val="00666C32"/>
    <w:rsid w:val="0066743C"/>
    <w:rsid w:val="00670352"/>
    <w:rsid w:val="006707B2"/>
    <w:rsid w:val="006709A1"/>
    <w:rsid w:val="006723E5"/>
    <w:rsid w:val="00672A7B"/>
    <w:rsid w:val="006746AE"/>
    <w:rsid w:val="00674F17"/>
    <w:rsid w:val="006751A7"/>
    <w:rsid w:val="00675215"/>
    <w:rsid w:val="0067538E"/>
    <w:rsid w:val="00676176"/>
    <w:rsid w:val="0068132C"/>
    <w:rsid w:val="00681403"/>
    <w:rsid w:val="006818CB"/>
    <w:rsid w:val="00682CDE"/>
    <w:rsid w:val="006834A8"/>
    <w:rsid w:val="00683A8C"/>
    <w:rsid w:val="006845C5"/>
    <w:rsid w:val="0068471E"/>
    <w:rsid w:val="0068504E"/>
    <w:rsid w:val="0068544F"/>
    <w:rsid w:val="006879A1"/>
    <w:rsid w:val="00687B16"/>
    <w:rsid w:val="00687C6E"/>
    <w:rsid w:val="006909FF"/>
    <w:rsid w:val="00690F17"/>
    <w:rsid w:val="0069135E"/>
    <w:rsid w:val="006919F6"/>
    <w:rsid w:val="0069260C"/>
    <w:rsid w:val="00692EB0"/>
    <w:rsid w:val="00693381"/>
    <w:rsid w:val="00693682"/>
    <w:rsid w:val="00693798"/>
    <w:rsid w:val="00693806"/>
    <w:rsid w:val="00693A75"/>
    <w:rsid w:val="00693B3C"/>
    <w:rsid w:val="006940F8"/>
    <w:rsid w:val="00694B29"/>
    <w:rsid w:val="00695008"/>
    <w:rsid w:val="0069587A"/>
    <w:rsid w:val="006967ED"/>
    <w:rsid w:val="00696AB4"/>
    <w:rsid w:val="00697675"/>
    <w:rsid w:val="00697853"/>
    <w:rsid w:val="00697B19"/>
    <w:rsid w:val="006A017A"/>
    <w:rsid w:val="006A0772"/>
    <w:rsid w:val="006A110D"/>
    <w:rsid w:val="006A1634"/>
    <w:rsid w:val="006A194C"/>
    <w:rsid w:val="006A19D6"/>
    <w:rsid w:val="006A1DB3"/>
    <w:rsid w:val="006A3441"/>
    <w:rsid w:val="006A35DC"/>
    <w:rsid w:val="006A4267"/>
    <w:rsid w:val="006A449B"/>
    <w:rsid w:val="006A4998"/>
    <w:rsid w:val="006A4A27"/>
    <w:rsid w:val="006A4DC5"/>
    <w:rsid w:val="006A5CBE"/>
    <w:rsid w:val="006A66D0"/>
    <w:rsid w:val="006B101E"/>
    <w:rsid w:val="006B10E0"/>
    <w:rsid w:val="006B12AA"/>
    <w:rsid w:val="006B241D"/>
    <w:rsid w:val="006B24C3"/>
    <w:rsid w:val="006B256F"/>
    <w:rsid w:val="006B2D3E"/>
    <w:rsid w:val="006B447B"/>
    <w:rsid w:val="006B4C0A"/>
    <w:rsid w:val="006B6A1F"/>
    <w:rsid w:val="006B720B"/>
    <w:rsid w:val="006B796E"/>
    <w:rsid w:val="006B7C21"/>
    <w:rsid w:val="006C09A4"/>
    <w:rsid w:val="006C09EA"/>
    <w:rsid w:val="006C2146"/>
    <w:rsid w:val="006C2874"/>
    <w:rsid w:val="006C314F"/>
    <w:rsid w:val="006C353F"/>
    <w:rsid w:val="006C35AD"/>
    <w:rsid w:val="006C3B6A"/>
    <w:rsid w:val="006C4A7C"/>
    <w:rsid w:val="006C5521"/>
    <w:rsid w:val="006C58E0"/>
    <w:rsid w:val="006C5BF4"/>
    <w:rsid w:val="006C615F"/>
    <w:rsid w:val="006C71A5"/>
    <w:rsid w:val="006C7CF3"/>
    <w:rsid w:val="006D0038"/>
    <w:rsid w:val="006D0717"/>
    <w:rsid w:val="006D147F"/>
    <w:rsid w:val="006D1B53"/>
    <w:rsid w:val="006D22F9"/>
    <w:rsid w:val="006D27E8"/>
    <w:rsid w:val="006D32C1"/>
    <w:rsid w:val="006D38FC"/>
    <w:rsid w:val="006D3A78"/>
    <w:rsid w:val="006D3D4B"/>
    <w:rsid w:val="006D47E6"/>
    <w:rsid w:val="006D4BC3"/>
    <w:rsid w:val="006D4C94"/>
    <w:rsid w:val="006D55F1"/>
    <w:rsid w:val="006D5627"/>
    <w:rsid w:val="006D571F"/>
    <w:rsid w:val="006D5D1D"/>
    <w:rsid w:val="006D62E2"/>
    <w:rsid w:val="006D639B"/>
    <w:rsid w:val="006D7637"/>
    <w:rsid w:val="006D7CEA"/>
    <w:rsid w:val="006E090B"/>
    <w:rsid w:val="006E1049"/>
    <w:rsid w:val="006E27B3"/>
    <w:rsid w:val="006E2ECB"/>
    <w:rsid w:val="006E3084"/>
    <w:rsid w:val="006E39F5"/>
    <w:rsid w:val="006E42C2"/>
    <w:rsid w:val="006E7363"/>
    <w:rsid w:val="006E7D82"/>
    <w:rsid w:val="006F043C"/>
    <w:rsid w:val="006F12EF"/>
    <w:rsid w:val="006F1348"/>
    <w:rsid w:val="006F1906"/>
    <w:rsid w:val="006F21F2"/>
    <w:rsid w:val="006F2C98"/>
    <w:rsid w:val="006F34AE"/>
    <w:rsid w:val="006F45A4"/>
    <w:rsid w:val="006F4629"/>
    <w:rsid w:val="006F500E"/>
    <w:rsid w:val="006F5172"/>
    <w:rsid w:val="006F5612"/>
    <w:rsid w:val="006F634D"/>
    <w:rsid w:val="006F672A"/>
    <w:rsid w:val="006F79E8"/>
    <w:rsid w:val="007002EE"/>
    <w:rsid w:val="00700370"/>
    <w:rsid w:val="007012DC"/>
    <w:rsid w:val="00701492"/>
    <w:rsid w:val="00701BC9"/>
    <w:rsid w:val="0070241B"/>
    <w:rsid w:val="007024C8"/>
    <w:rsid w:val="0070374C"/>
    <w:rsid w:val="00704868"/>
    <w:rsid w:val="007048A8"/>
    <w:rsid w:val="0070490C"/>
    <w:rsid w:val="00706685"/>
    <w:rsid w:val="007077A1"/>
    <w:rsid w:val="00707DFB"/>
    <w:rsid w:val="0071006D"/>
    <w:rsid w:val="00710575"/>
    <w:rsid w:val="007105CE"/>
    <w:rsid w:val="00710C95"/>
    <w:rsid w:val="00711711"/>
    <w:rsid w:val="0071197F"/>
    <w:rsid w:val="007119BF"/>
    <w:rsid w:val="007126FA"/>
    <w:rsid w:val="00712D26"/>
    <w:rsid w:val="00713001"/>
    <w:rsid w:val="007137C5"/>
    <w:rsid w:val="00714542"/>
    <w:rsid w:val="00715524"/>
    <w:rsid w:val="0071609D"/>
    <w:rsid w:val="00717A09"/>
    <w:rsid w:val="00717A54"/>
    <w:rsid w:val="00717E72"/>
    <w:rsid w:val="007210E6"/>
    <w:rsid w:val="007214A3"/>
    <w:rsid w:val="00721EE3"/>
    <w:rsid w:val="007223BD"/>
    <w:rsid w:val="00722CD0"/>
    <w:rsid w:val="00723A67"/>
    <w:rsid w:val="00723AF4"/>
    <w:rsid w:val="0072406C"/>
    <w:rsid w:val="00724395"/>
    <w:rsid w:val="0072501F"/>
    <w:rsid w:val="00725C53"/>
    <w:rsid w:val="00725DD3"/>
    <w:rsid w:val="00726070"/>
    <w:rsid w:val="0072639D"/>
    <w:rsid w:val="00727E5B"/>
    <w:rsid w:val="00730B56"/>
    <w:rsid w:val="00730BE1"/>
    <w:rsid w:val="00734584"/>
    <w:rsid w:val="00734DDB"/>
    <w:rsid w:val="007363A7"/>
    <w:rsid w:val="00736837"/>
    <w:rsid w:val="00736BA0"/>
    <w:rsid w:val="00740104"/>
    <w:rsid w:val="007401BB"/>
    <w:rsid w:val="007403E6"/>
    <w:rsid w:val="007404F6"/>
    <w:rsid w:val="00741513"/>
    <w:rsid w:val="00741A35"/>
    <w:rsid w:val="00742187"/>
    <w:rsid w:val="0074223D"/>
    <w:rsid w:val="0074258D"/>
    <w:rsid w:val="00742896"/>
    <w:rsid w:val="00742ADC"/>
    <w:rsid w:val="00742E48"/>
    <w:rsid w:val="0074368D"/>
    <w:rsid w:val="00743861"/>
    <w:rsid w:val="00744809"/>
    <w:rsid w:val="00744A13"/>
    <w:rsid w:val="00744BF5"/>
    <w:rsid w:val="007450BF"/>
    <w:rsid w:val="00745900"/>
    <w:rsid w:val="00745D70"/>
    <w:rsid w:val="00747101"/>
    <w:rsid w:val="0074718D"/>
    <w:rsid w:val="00747E17"/>
    <w:rsid w:val="00747FF1"/>
    <w:rsid w:val="00750A88"/>
    <w:rsid w:val="00750D64"/>
    <w:rsid w:val="00752DF6"/>
    <w:rsid w:val="007536DF"/>
    <w:rsid w:val="00754A51"/>
    <w:rsid w:val="00755944"/>
    <w:rsid w:val="007568F9"/>
    <w:rsid w:val="00757DAF"/>
    <w:rsid w:val="0076086E"/>
    <w:rsid w:val="00760D57"/>
    <w:rsid w:val="00760E5F"/>
    <w:rsid w:val="00760FAF"/>
    <w:rsid w:val="007613FE"/>
    <w:rsid w:val="00763267"/>
    <w:rsid w:val="00764F93"/>
    <w:rsid w:val="00765759"/>
    <w:rsid w:val="00765D65"/>
    <w:rsid w:val="00767308"/>
    <w:rsid w:val="00767BB6"/>
    <w:rsid w:val="007706B6"/>
    <w:rsid w:val="007707B6"/>
    <w:rsid w:val="007714B7"/>
    <w:rsid w:val="0077206E"/>
    <w:rsid w:val="007723D7"/>
    <w:rsid w:val="00773EC1"/>
    <w:rsid w:val="00773F55"/>
    <w:rsid w:val="00774A8C"/>
    <w:rsid w:val="00775657"/>
    <w:rsid w:val="00775C6F"/>
    <w:rsid w:val="00775D28"/>
    <w:rsid w:val="007768FE"/>
    <w:rsid w:val="007773BD"/>
    <w:rsid w:val="007802D8"/>
    <w:rsid w:val="00780572"/>
    <w:rsid w:val="00781AE3"/>
    <w:rsid w:val="00781B2F"/>
    <w:rsid w:val="007826F7"/>
    <w:rsid w:val="00782EB2"/>
    <w:rsid w:val="00783898"/>
    <w:rsid w:val="007840FF"/>
    <w:rsid w:val="007843C5"/>
    <w:rsid w:val="00786879"/>
    <w:rsid w:val="00787558"/>
    <w:rsid w:val="0078766E"/>
    <w:rsid w:val="0079117D"/>
    <w:rsid w:val="00791733"/>
    <w:rsid w:val="007917AD"/>
    <w:rsid w:val="0079199C"/>
    <w:rsid w:val="00791B01"/>
    <w:rsid w:val="00792B34"/>
    <w:rsid w:val="00793DB3"/>
    <w:rsid w:val="00794E23"/>
    <w:rsid w:val="007954F5"/>
    <w:rsid w:val="00795DC2"/>
    <w:rsid w:val="00796109"/>
    <w:rsid w:val="007963F0"/>
    <w:rsid w:val="00796A6C"/>
    <w:rsid w:val="00796C91"/>
    <w:rsid w:val="00797A13"/>
    <w:rsid w:val="007A011A"/>
    <w:rsid w:val="007A06DD"/>
    <w:rsid w:val="007A16CE"/>
    <w:rsid w:val="007A26BC"/>
    <w:rsid w:val="007A3312"/>
    <w:rsid w:val="007A3368"/>
    <w:rsid w:val="007A354A"/>
    <w:rsid w:val="007A39F3"/>
    <w:rsid w:val="007A411D"/>
    <w:rsid w:val="007A46C0"/>
    <w:rsid w:val="007A5D96"/>
    <w:rsid w:val="007A6267"/>
    <w:rsid w:val="007A6CF6"/>
    <w:rsid w:val="007A7BE9"/>
    <w:rsid w:val="007B0229"/>
    <w:rsid w:val="007B0D77"/>
    <w:rsid w:val="007B0E12"/>
    <w:rsid w:val="007B1363"/>
    <w:rsid w:val="007B1BD0"/>
    <w:rsid w:val="007B213B"/>
    <w:rsid w:val="007B25A6"/>
    <w:rsid w:val="007B29B8"/>
    <w:rsid w:val="007B3DC0"/>
    <w:rsid w:val="007B4608"/>
    <w:rsid w:val="007B5768"/>
    <w:rsid w:val="007B696B"/>
    <w:rsid w:val="007B77F5"/>
    <w:rsid w:val="007B7F51"/>
    <w:rsid w:val="007C00D8"/>
    <w:rsid w:val="007C0649"/>
    <w:rsid w:val="007C06FE"/>
    <w:rsid w:val="007C0793"/>
    <w:rsid w:val="007C07A7"/>
    <w:rsid w:val="007C1F41"/>
    <w:rsid w:val="007C2263"/>
    <w:rsid w:val="007C24C6"/>
    <w:rsid w:val="007C33A1"/>
    <w:rsid w:val="007C3EFD"/>
    <w:rsid w:val="007C4259"/>
    <w:rsid w:val="007C4561"/>
    <w:rsid w:val="007C4612"/>
    <w:rsid w:val="007C5771"/>
    <w:rsid w:val="007C5FCE"/>
    <w:rsid w:val="007C68FE"/>
    <w:rsid w:val="007C7A48"/>
    <w:rsid w:val="007C7BB1"/>
    <w:rsid w:val="007D16C5"/>
    <w:rsid w:val="007D1D0D"/>
    <w:rsid w:val="007D2285"/>
    <w:rsid w:val="007D28A0"/>
    <w:rsid w:val="007D30CC"/>
    <w:rsid w:val="007D333E"/>
    <w:rsid w:val="007D35F1"/>
    <w:rsid w:val="007D3858"/>
    <w:rsid w:val="007D4129"/>
    <w:rsid w:val="007D5A15"/>
    <w:rsid w:val="007D5AED"/>
    <w:rsid w:val="007D60E4"/>
    <w:rsid w:val="007D65A8"/>
    <w:rsid w:val="007D6A28"/>
    <w:rsid w:val="007D72B8"/>
    <w:rsid w:val="007E00CD"/>
    <w:rsid w:val="007E0775"/>
    <w:rsid w:val="007E10F3"/>
    <w:rsid w:val="007E11D5"/>
    <w:rsid w:val="007E18C6"/>
    <w:rsid w:val="007E3018"/>
    <w:rsid w:val="007E3604"/>
    <w:rsid w:val="007E3EFC"/>
    <w:rsid w:val="007E3F78"/>
    <w:rsid w:val="007E47F4"/>
    <w:rsid w:val="007E4EB7"/>
    <w:rsid w:val="007E558D"/>
    <w:rsid w:val="007E594F"/>
    <w:rsid w:val="007E6072"/>
    <w:rsid w:val="007E6168"/>
    <w:rsid w:val="007E633A"/>
    <w:rsid w:val="007E6366"/>
    <w:rsid w:val="007E76F8"/>
    <w:rsid w:val="007E77A3"/>
    <w:rsid w:val="007E7A69"/>
    <w:rsid w:val="007F0507"/>
    <w:rsid w:val="007F07F8"/>
    <w:rsid w:val="007F083B"/>
    <w:rsid w:val="007F17DB"/>
    <w:rsid w:val="007F1AF6"/>
    <w:rsid w:val="007F2B71"/>
    <w:rsid w:val="007F37E3"/>
    <w:rsid w:val="007F38E5"/>
    <w:rsid w:val="007F42E1"/>
    <w:rsid w:val="007F44DA"/>
    <w:rsid w:val="007F5A4F"/>
    <w:rsid w:val="007F5F42"/>
    <w:rsid w:val="007F5FDC"/>
    <w:rsid w:val="007F6DB3"/>
    <w:rsid w:val="007F6F5B"/>
    <w:rsid w:val="007F7ACE"/>
    <w:rsid w:val="007F7FB6"/>
    <w:rsid w:val="0080003A"/>
    <w:rsid w:val="00800CE6"/>
    <w:rsid w:val="00801064"/>
    <w:rsid w:val="00802027"/>
    <w:rsid w:val="008021E4"/>
    <w:rsid w:val="0080260F"/>
    <w:rsid w:val="00802EBD"/>
    <w:rsid w:val="00803056"/>
    <w:rsid w:val="0080308B"/>
    <w:rsid w:val="00803117"/>
    <w:rsid w:val="0080357C"/>
    <w:rsid w:val="00803785"/>
    <w:rsid w:val="00803D32"/>
    <w:rsid w:val="00803EB8"/>
    <w:rsid w:val="00804935"/>
    <w:rsid w:val="008054A7"/>
    <w:rsid w:val="0080571E"/>
    <w:rsid w:val="0080595A"/>
    <w:rsid w:val="00806111"/>
    <w:rsid w:val="008074DA"/>
    <w:rsid w:val="008104FB"/>
    <w:rsid w:val="0081056D"/>
    <w:rsid w:val="00810909"/>
    <w:rsid w:val="00810AC0"/>
    <w:rsid w:val="00812410"/>
    <w:rsid w:val="00812BD6"/>
    <w:rsid w:val="008133CC"/>
    <w:rsid w:val="00813595"/>
    <w:rsid w:val="00814B8A"/>
    <w:rsid w:val="00816B16"/>
    <w:rsid w:val="008177A2"/>
    <w:rsid w:val="008177D0"/>
    <w:rsid w:val="00820402"/>
    <w:rsid w:val="0082046E"/>
    <w:rsid w:val="00820E4A"/>
    <w:rsid w:val="008212E8"/>
    <w:rsid w:val="00821817"/>
    <w:rsid w:val="00821CEE"/>
    <w:rsid w:val="008223B0"/>
    <w:rsid w:val="00822D9F"/>
    <w:rsid w:val="00823F5B"/>
    <w:rsid w:val="0082476A"/>
    <w:rsid w:val="008247F7"/>
    <w:rsid w:val="00824FD2"/>
    <w:rsid w:val="0082505F"/>
    <w:rsid w:val="00825845"/>
    <w:rsid w:val="00826B94"/>
    <w:rsid w:val="0082708B"/>
    <w:rsid w:val="00827A85"/>
    <w:rsid w:val="00830924"/>
    <w:rsid w:val="008313BE"/>
    <w:rsid w:val="008313C6"/>
    <w:rsid w:val="00832215"/>
    <w:rsid w:val="00832359"/>
    <w:rsid w:val="0083387D"/>
    <w:rsid w:val="00834E40"/>
    <w:rsid w:val="008353FA"/>
    <w:rsid w:val="0083562F"/>
    <w:rsid w:val="00835B0F"/>
    <w:rsid w:val="00835C8E"/>
    <w:rsid w:val="008361C3"/>
    <w:rsid w:val="0083637C"/>
    <w:rsid w:val="008370DA"/>
    <w:rsid w:val="0083752C"/>
    <w:rsid w:val="00840320"/>
    <w:rsid w:val="00840562"/>
    <w:rsid w:val="00840BD4"/>
    <w:rsid w:val="0084196E"/>
    <w:rsid w:val="00841B76"/>
    <w:rsid w:val="008421C9"/>
    <w:rsid w:val="00842217"/>
    <w:rsid w:val="00842F79"/>
    <w:rsid w:val="00843382"/>
    <w:rsid w:val="0084394E"/>
    <w:rsid w:val="00843954"/>
    <w:rsid w:val="00843B1A"/>
    <w:rsid w:val="00843D4E"/>
    <w:rsid w:val="00843F8B"/>
    <w:rsid w:val="0084403E"/>
    <w:rsid w:val="008443C5"/>
    <w:rsid w:val="00845517"/>
    <w:rsid w:val="00845A0D"/>
    <w:rsid w:val="00845A6E"/>
    <w:rsid w:val="008463C6"/>
    <w:rsid w:val="00846704"/>
    <w:rsid w:val="0084776A"/>
    <w:rsid w:val="00847DA2"/>
    <w:rsid w:val="00851058"/>
    <w:rsid w:val="0085276D"/>
    <w:rsid w:val="00852A1D"/>
    <w:rsid w:val="00852C6F"/>
    <w:rsid w:val="00852E36"/>
    <w:rsid w:val="00852F3C"/>
    <w:rsid w:val="008543C3"/>
    <w:rsid w:val="00854702"/>
    <w:rsid w:val="008551AD"/>
    <w:rsid w:val="008562DC"/>
    <w:rsid w:val="00856ED5"/>
    <w:rsid w:val="008579DE"/>
    <w:rsid w:val="00857B69"/>
    <w:rsid w:val="00857DF8"/>
    <w:rsid w:val="008601A3"/>
    <w:rsid w:val="008602DB"/>
    <w:rsid w:val="00861A61"/>
    <w:rsid w:val="00861C39"/>
    <w:rsid w:val="00861F19"/>
    <w:rsid w:val="0086282A"/>
    <w:rsid w:val="00863A21"/>
    <w:rsid w:val="00863D76"/>
    <w:rsid w:val="00863DCE"/>
    <w:rsid w:val="00863E06"/>
    <w:rsid w:val="0086403D"/>
    <w:rsid w:val="00864446"/>
    <w:rsid w:val="008646A4"/>
    <w:rsid w:val="00865A56"/>
    <w:rsid w:val="00866039"/>
    <w:rsid w:val="00866DFC"/>
    <w:rsid w:val="008707AC"/>
    <w:rsid w:val="00870A63"/>
    <w:rsid w:val="00870E2C"/>
    <w:rsid w:val="008713D1"/>
    <w:rsid w:val="00871B06"/>
    <w:rsid w:val="0087200B"/>
    <w:rsid w:val="00872153"/>
    <w:rsid w:val="0087227A"/>
    <w:rsid w:val="0087231D"/>
    <w:rsid w:val="008725CE"/>
    <w:rsid w:val="00872AAD"/>
    <w:rsid w:val="00872CC7"/>
    <w:rsid w:val="00872F20"/>
    <w:rsid w:val="00873373"/>
    <w:rsid w:val="008736F2"/>
    <w:rsid w:val="00873783"/>
    <w:rsid w:val="008737D3"/>
    <w:rsid w:val="00873C29"/>
    <w:rsid w:val="00874771"/>
    <w:rsid w:val="00874B0C"/>
    <w:rsid w:val="00874B27"/>
    <w:rsid w:val="008753F3"/>
    <w:rsid w:val="00875637"/>
    <w:rsid w:val="0087598D"/>
    <w:rsid w:val="00875DD8"/>
    <w:rsid w:val="00877627"/>
    <w:rsid w:val="00880CE7"/>
    <w:rsid w:val="0088117A"/>
    <w:rsid w:val="0088298C"/>
    <w:rsid w:val="008829B9"/>
    <w:rsid w:val="0088358F"/>
    <w:rsid w:val="0088428F"/>
    <w:rsid w:val="008850EF"/>
    <w:rsid w:val="00885782"/>
    <w:rsid w:val="00886FFC"/>
    <w:rsid w:val="00887DDE"/>
    <w:rsid w:val="00890EB4"/>
    <w:rsid w:val="00891309"/>
    <w:rsid w:val="008924B8"/>
    <w:rsid w:val="008929BC"/>
    <w:rsid w:val="00892A2E"/>
    <w:rsid w:val="00892BEB"/>
    <w:rsid w:val="00893A4E"/>
    <w:rsid w:val="00894129"/>
    <w:rsid w:val="008949F4"/>
    <w:rsid w:val="00895BC1"/>
    <w:rsid w:val="00895EA7"/>
    <w:rsid w:val="0089736B"/>
    <w:rsid w:val="00897C90"/>
    <w:rsid w:val="00897E5C"/>
    <w:rsid w:val="008A07AA"/>
    <w:rsid w:val="008A257D"/>
    <w:rsid w:val="008A30A6"/>
    <w:rsid w:val="008A53EC"/>
    <w:rsid w:val="008A57C8"/>
    <w:rsid w:val="008A5FE4"/>
    <w:rsid w:val="008A7279"/>
    <w:rsid w:val="008A743C"/>
    <w:rsid w:val="008B07EE"/>
    <w:rsid w:val="008B0AA8"/>
    <w:rsid w:val="008B0B77"/>
    <w:rsid w:val="008B0CE4"/>
    <w:rsid w:val="008B1A89"/>
    <w:rsid w:val="008B21CC"/>
    <w:rsid w:val="008B2BE1"/>
    <w:rsid w:val="008B2F9E"/>
    <w:rsid w:val="008B387B"/>
    <w:rsid w:val="008B38F9"/>
    <w:rsid w:val="008B676E"/>
    <w:rsid w:val="008B6B2D"/>
    <w:rsid w:val="008C0659"/>
    <w:rsid w:val="008C12DD"/>
    <w:rsid w:val="008C1BD9"/>
    <w:rsid w:val="008C2FE7"/>
    <w:rsid w:val="008C320F"/>
    <w:rsid w:val="008C37B7"/>
    <w:rsid w:val="008C4572"/>
    <w:rsid w:val="008C45F1"/>
    <w:rsid w:val="008C4D3F"/>
    <w:rsid w:val="008C6F8F"/>
    <w:rsid w:val="008D0318"/>
    <w:rsid w:val="008D113E"/>
    <w:rsid w:val="008D1CE3"/>
    <w:rsid w:val="008D2003"/>
    <w:rsid w:val="008D26C2"/>
    <w:rsid w:val="008D3155"/>
    <w:rsid w:val="008D4658"/>
    <w:rsid w:val="008D5451"/>
    <w:rsid w:val="008D6053"/>
    <w:rsid w:val="008D77BB"/>
    <w:rsid w:val="008E0331"/>
    <w:rsid w:val="008E0786"/>
    <w:rsid w:val="008E0DCF"/>
    <w:rsid w:val="008E126A"/>
    <w:rsid w:val="008E163B"/>
    <w:rsid w:val="008E2925"/>
    <w:rsid w:val="008E3676"/>
    <w:rsid w:val="008E3B9B"/>
    <w:rsid w:val="008E4177"/>
    <w:rsid w:val="008E43F6"/>
    <w:rsid w:val="008E4705"/>
    <w:rsid w:val="008E5577"/>
    <w:rsid w:val="008E5AAC"/>
    <w:rsid w:val="008E67BA"/>
    <w:rsid w:val="008E6B72"/>
    <w:rsid w:val="008F1C30"/>
    <w:rsid w:val="008F2412"/>
    <w:rsid w:val="008F2485"/>
    <w:rsid w:val="008F368B"/>
    <w:rsid w:val="008F3DED"/>
    <w:rsid w:val="008F49F7"/>
    <w:rsid w:val="008F4A0B"/>
    <w:rsid w:val="008F4DCC"/>
    <w:rsid w:val="008F4F7D"/>
    <w:rsid w:val="008F52BF"/>
    <w:rsid w:val="008F5D5A"/>
    <w:rsid w:val="008F60C3"/>
    <w:rsid w:val="008F60D0"/>
    <w:rsid w:val="008F690A"/>
    <w:rsid w:val="008F6CAA"/>
    <w:rsid w:val="008F74EA"/>
    <w:rsid w:val="008F7D16"/>
    <w:rsid w:val="00900779"/>
    <w:rsid w:val="009018B7"/>
    <w:rsid w:val="00901925"/>
    <w:rsid w:val="0090252B"/>
    <w:rsid w:val="00903135"/>
    <w:rsid w:val="009034E5"/>
    <w:rsid w:val="00904239"/>
    <w:rsid w:val="00904BE6"/>
    <w:rsid w:val="00904D7A"/>
    <w:rsid w:val="00905930"/>
    <w:rsid w:val="00905975"/>
    <w:rsid w:val="00905DA9"/>
    <w:rsid w:val="00907854"/>
    <w:rsid w:val="009111ED"/>
    <w:rsid w:val="009112B8"/>
    <w:rsid w:val="00911FA1"/>
    <w:rsid w:val="009122E9"/>
    <w:rsid w:val="00912574"/>
    <w:rsid w:val="00912987"/>
    <w:rsid w:val="00912B4D"/>
    <w:rsid w:val="00912E72"/>
    <w:rsid w:val="009143B5"/>
    <w:rsid w:val="009146C0"/>
    <w:rsid w:val="00914796"/>
    <w:rsid w:val="009148D4"/>
    <w:rsid w:val="00914C57"/>
    <w:rsid w:val="00914E40"/>
    <w:rsid w:val="00915366"/>
    <w:rsid w:val="009156AB"/>
    <w:rsid w:val="00915B06"/>
    <w:rsid w:val="00917743"/>
    <w:rsid w:val="00917FDD"/>
    <w:rsid w:val="0092041E"/>
    <w:rsid w:val="0092157B"/>
    <w:rsid w:val="00922149"/>
    <w:rsid w:val="009245B9"/>
    <w:rsid w:val="009246B4"/>
    <w:rsid w:val="00924CEB"/>
    <w:rsid w:val="00924F26"/>
    <w:rsid w:val="00925249"/>
    <w:rsid w:val="0092558B"/>
    <w:rsid w:val="00925AB7"/>
    <w:rsid w:val="00925AEF"/>
    <w:rsid w:val="00926245"/>
    <w:rsid w:val="00927092"/>
    <w:rsid w:val="00927314"/>
    <w:rsid w:val="00927B67"/>
    <w:rsid w:val="009309DA"/>
    <w:rsid w:val="009315CD"/>
    <w:rsid w:val="009319EB"/>
    <w:rsid w:val="00931DC7"/>
    <w:rsid w:val="009335ED"/>
    <w:rsid w:val="00933710"/>
    <w:rsid w:val="009337DF"/>
    <w:rsid w:val="00934256"/>
    <w:rsid w:val="00935EB8"/>
    <w:rsid w:val="0093643A"/>
    <w:rsid w:val="00936960"/>
    <w:rsid w:val="00936A41"/>
    <w:rsid w:val="0094131C"/>
    <w:rsid w:val="0094206E"/>
    <w:rsid w:val="00942D92"/>
    <w:rsid w:val="00942E33"/>
    <w:rsid w:val="00943BB4"/>
    <w:rsid w:val="009442E0"/>
    <w:rsid w:val="009453C1"/>
    <w:rsid w:val="0094585A"/>
    <w:rsid w:val="00946080"/>
    <w:rsid w:val="0094613E"/>
    <w:rsid w:val="00946602"/>
    <w:rsid w:val="009469AC"/>
    <w:rsid w:val="00946BFF"/>
    <w:rsid w:val="00947086"/>
    <w:rsid w:val="009476DF"/>
    <w:rsid w:val="00947BE4"/>
    <w:rsid w:val="00950D12"/>
    <w:rsid w:val="00951338"/>
    <w:rsid w:val="0095187A"/>
    <w:rsid w:val="00951FFA"/>
    <w:rsid w:val="00953035"/>
    <w:rsid w:val="009532A3"/>
    <w:rsid w:val="009549F0"/>
    <w:rsid w:val="00954B88"/>
    <w:rsid w:val="00955484"/>
    <w:rsid w:val="00955CD4"/>
    <w:rsid w:val="00956BCA"/>
    <w:rsid w:val="00956CEC"/>
    <w:rsid w:val="0095715A"/>
    <w:rsid w:val="00960269"/>
    <w:rsid w:val="0096054E"/>
    <w:rsid w:val="00960555"/>
    <w:rsid w:val="00960D9F"/>
    <w:rsid w:val="009624ED"/>
    <w:rsid w:val="00962905"/>
    <w:rsid w:val="00963C4C"/>
    <w:rsid w:val="00963D9F"/>
    <w:rsid w:val="0096416A"/>
    <w:rsid w:val="0096442B"/>
    <w:rsid w:val="009646D5"/>
    <w:rsid w:val="00964E0B"/>
    <w:rsid w:val="00965506"/>
    <w:rsid w:val="00965728"/>
    <w:rsid w:val="00965AF4"/>
    <w:rsid w:val="009668CA"/>
    <w:rsid w:val="0096692F"/>
    <w:rsid w:val="00967996"/>
    <w:rsid w:val="00967C2E"/>
    <w:rsid w:val="00967FC2"/>
    <w:rsid w:val="00970036"/>
    <w:rsid w:val="0097005F"/>
    <w:rsid w:val="00970AE5"/>
    <w:rsid w:val="00971504"/>
    <w:rsid w:val="009718C5"/>
    <w:rsid w:val="00971B5C"/>
    <w:rsid w:val="0097232B"/>
    <w:rsid w:val="00972669"/>
    <w:rsid w:val="00972709"/>
    <w:rsid w:val="009740AB"/>
    <w:rsid w:val="0097509C"/>
    <w:rsid w:val="009755A8"/>
    <w:rsid w:val="00975AE3"/>
    <w:rsid w:val="00975B25"/>
    <w:rsid w:val="00975BEC"/>
    <w:rsid w:val="00976F11"/>
    <w:rsid w:val="00977DAD"/>
    <w:rsid w:val="0098046D"/>
    <w:rsid w:val="00981C6F"/>
    <w:rsid w:val="00981D38"/>
    <w:rsid w:val="009829BD"/>
    <w:rsid w:val="00982A7E"/>
    <w:rsid w:val="009838FA"/>
    <w:rsid w:val="00985052"/>
    <w:rsid w:val="0098580F"/>
    <w:rsid w:val="00986CC4"/>
    <w:rsid w:val="00986EEA"/>
    <w:rsid w:val="0098796A"/>
    <w:rsid w:val="00991946"/>
    <w:rsid w:val="00991C43"/>
    <w:rsid w:val="0099244F"/>
    <w:rsid w:val="00992713"/>
    <w:rsid w:val="0099283C"/>
    <w:rsid w:val="00992A0B"/>
    <w:rsid w:val="0099537B"/>
    <w:rsid w:val="00995554"/>
    <w:rsid w:val="009957BD"/>
    <w:rsid w:val="00995994"/>
    <w:rsid w:val="009965D9"/>
    <w:rsid w:val="009973FB"/>
    <w:rsid w:val="009A0365"/>
    <w:rsid w:val="009A311B"/>
    <w:rsid w:val="009A387F"/>
    <w:rsid w:val="009A38DC"/>
    <w:rsid w:val="009A40A6"/>
    <w:rsid w:val="009A4505"/>
    <w:rsid w:val="009A578A"/>
    <w:rsid w:val="009A6946"/>
    <w:rsid w:val="009A78AA"/>
    <w:rsid w:val="009A7CF8"/>
    <w:rsid w:val="009B01FA"/>
    <w:rsid w:val="009B0660"/>
    <w:rsid w:val="009B1EC0"/>
    <w:rsid w:val="009B283D"/>
    <w:rsid w:val="009B2CDB"/>
    <w:rsid w:val="009B2D23"/>
    <w:rsid w:val="009B331F"/>
    <w:rsid w:val="009B3747"/>
    <w:rsid w:val="009B3B6D"/>
    <w:rsid w:val="009B4FB0"/>
    <w:rsid w:val="009B67B5"/>
    <w:rsid w:val="009B6C49"/>
    <w:rsid w:val="009B7770"/>
    <w:rsid w:val="009C015E"/>
    <w:rsid w:val="009C035C"/>
    <w:rsid w:val="009C0709"/>
    <w:rsid w:val="009C194F"/>
    <w:rsid w:val="009C1DF4"/>
    <w:rsid w:val="009C2357"/>
    <w:rsid w:val="009C2680"/>
    <w:rsid w:val="009C2866"/>
    <w:rsid w:val="009C31C1"/>
    <w:rsid w:val="009C36E7"/>
    <w:rsid w:val="009C3AC2"/>
    <w:rsid w:val="009C405E"/>
    <w:rsid w:val="009C4775"/>
    <w:rsid w:val="009C5559"/>
    <w:rsid w:val="009C5C82"/>
    <w:rsid w:val="009C620F"/>
    <w:rsid w:val="009C66AF"/>
    <w:rsid w:val="009C67B3"/>
    <w:rsid w:val="009C6E99"/>
    <w:rsid w:val="009C6F3B"/>
    <w:rsid w:val="009C715F"/>
    <w:rsid w:val="009C7AE0"/>
    <w:rsid w:val="009C7E2C"/>
    <w:rsid w:val="009D2278"/>
    <w:rsid w:val="009D39F7"/>
    <w:rsid w:val="009D3D27"/>
    <w:rsid w:val="009D4B6D"/>
    <w:rsid w:val="009D5407"/>
    <w:rsid w:val="009D5E5B"/>
    <w:rsid w:val="009D6195"/>
    <w:rsid w:val="009D6622"/>
    <w:rsid w:val="009D6886"/>
    <w:rsid w:val="009D6E3A"/>
    <w:rsid w:val="009D6EC9"/>
    <w:rsid w:val="009E09B8"/>
    <w:rsid w:val="009E0C1A"/>
    <w:rsid w:val="009E107C"/>
    <w:rsid w:val="009E1E89"/>
    <w:rsid w:val="009E4573"/>
    <w:rsid w:val="009E49DF"/>
    <w:rsid w:val="009E4AF7"/>
    <w:rsid w:val="009E52D9"/>
    <w:rsid w:val="009E5CB5"/>
    <w:rsid w:val="009E620D"/>
    <w:rsid w:val="009E6214"/>
    <w:rsid w:val="009E7449"/>
    <w:rsid w:val="009E7E6E"/>
    <w:rsid w:val="009F0937"/>
    <w:rsid w:val="009F0E14"/>
    <w:rsid w:val="009F1472"/>
    <w:rsid w:val="009F1700"/>
    <w:rsid w:val="009F2591"/>
    <w:rsid w:val="009F2B3B"/>
    <w:rsid w:val="009F2C57"/>
    <w:rsid w:val="009F3567"/>
    <w:rsid w:val="009F3D6A"/>
    <w:rsid w:val="009F3F6A"/>
    <w:rsid w:val="009F55C8"/>
    <w:rsid w:val="009F5DF6"/>
    <w:rsid w:val="009F60D0"/>
    <w:rsid w:val="009F78F3"/>
    <w:rsid w:val="00A00925"/>
    <w:rsid w:val="00A01579"/>
    <w:rsid w:val="00A0172E"/>
    <w:rsid w:val="00A017FF"/>
    <w:rsid w:val="00A029F1"/>
    <w:rsid w:val="00A03435"/>
    <w:rsid w:val="00A03FEF"/>
    <w:rsid w:val="00A04560"/>
    <w:rsid w:val="00A04AEC"/>
    <w:rsid w:val="00A04C6B"/>
    <w:rsid w:val="00A05A6B"/>
    <w:rsid w:val="00A05B41"/>
    <w:rsid w:val="00A06BE6"/>
    <w:rsid w:val="00A07A69"/>
    <w:rsid w:val="00A103DC"/>
    <w:rsid w:val="00A10BB8"/>
    <w:rsid w:val="00A1115E"/>
    <w:rsid w:val="00A11175"/>
    <w:rsid w:val="00A12038"/>
    <w:rsid w:val="00A1215B"/>
    <w:rsid w:val="00A1343E"/>
    <w:rsid w:val="00A14F8F"/>
    <w:rsid w:val="00A15A53"/>
    <w:rsid w:val="00A1748B"/>
    <w:rsid w:val="00A177B6"/>
    <w:rsid w:val="00A177CC"/>
    <w:rsid w:val="00A20072"/>
    <w:rsid w:val="00A20334"/>
    <w:rsid w:val="00A20370"/>
    <w:rsid w:val="00A204E1"/>
    <w:rsid w:val="00A2088D"/>
    <w:rsid w:val="00A20A54"/>
    <w:rsid w:val="00A21682"/>
    <w:rsid w:val="00A21964"/>
    <w:rsid w:val="00A22A5E"/>
    <w:rsid w:val="00A240BE"/>
    <w:rsid w:val="00A24CD3"/>
    <w:rsid w:val="00A24DF8"/>
    <w:rsid w:val="00A256CE"/>
    <w:rsid w:val="00A25D93"/>
    <w:rsid w:val="00A261CC"/>
    <w:rsid w:val="00A264ED"/>
    <w:rsid w:val="00A27141"/>
    <w:rsid w:val="00A271B4"/>
    <w:rsid w:val="00A3058B"/>
    <w:rsid w:val="00A31625"/>
    <w:rsid w:val="00A318EC"/>
    <w:rsid w:val="00A320B9"/>
    <w:rsid w:val="00A3233A"/>
    <w:rsid w:val="00A32E75"/>
    <w:rsid w:val="00A333B8"/>
    <w:rsid w:val="00A33892"/>
    <w:rsid w:val="00A33C70"/>
    <w:rsid w:val="00A3429F"/>
    <w:rsid w:val="00A34306"/>
    <w:rsid w:val="00A3555C"/>
    <w:rsid w:val="00A35C75"/>
    <w:rsid w:val="00A364AD"/>
    <w:rsid w:val="00A36DE8"/>
    <w:rsid w:val="00A36EFE"/>
    <w:rsid w:val="00A37E13"/>
    <w:rsid w:val="00A4046F"/>
    <w:rsid w:val="00A404FA"/>
    <w:rsid w:val="00A405E3"/>
    <w:rsid w:val="00A40EBE"/>
    <w:rsid w:val="00A42884"/>
    <w:rsid w:val="00A428D9"/>
    <w:rsid w:val="00A430F5"/>
    <w:rsid w:val="00A432AE"/>
    <w:rsid w:val="00A43757"/>
    <w:rsid w:val="00A437EE"/>
    <w:rsid w:val="00A437FF"/>
    <w:rsid w:val="00A43DB1"/>
    <w:rsid w:val="00A44162"/>
    <w:rsid w:val="00A4424B"/>
    <w:rsid w:val="00A448D2"/>
    <w:rsid w:val="00A44ECA"/>
    <w:rsid w:val="00A44F0E"/>
    <w:rsid w:val="00A45E93"/>
    <w:rsid w:val="00A45F69"/>
    <w:rsid w:val="00A46032"/>
    <w:rsid w:val="00A466BB"/>
    <w:rsid w:val="00A471B5"/>
    <w:rsid w:val="00A47672"/>
    <w:rsid w:val="00A47768"/>
    <w:rsid w:val="00A504A0"/>
    <w:rsid w:val="00A5078C"/>
    <w:rsid w:val="00A50BDC"/>
    <w:rsid w:val="00A51E51"/>
    <w:rsid w:val="00A52BBF"/>
    <w:rsid w:val="00A5325B"/>
    <w:rsid w:val="00A538B6"/>
    <w:rsid w:val="00A5430C"/>
    <w:rsid w:val="00A54521"/>
    <w:rsid w:val="00A5480F"/>
    <w:rsid w:val="00A54E03"/>
    <w:rsid w:val="00A54EE3"/>
    <w:rsid w:val="00A5667D"/>
    <w:rsid w:val="00A56A08"/>
    <w:rsid w:val="00A56CEC"/>
    <w:rsid w:val="00A57003"/>
    <w:rsid w:val="00A5703D"/>
    <w:rsid w:val="00A571FA"/>
    <w:rsid w:val="00A60A8A"/>
    <w:rsid w:val="00A61881"/>
    <w:rsid w:val="00A6210C"/>
    <w:rsid w:val="00A623E5"/>
    <w:rsid w:val="00A6327D"/>
    <w:rsid w:val="00A635F7"/>
    <w:rsid w:val="00A6409D"/>
    <w:rsid w:val="00A640C9"/>
    <w:rsid w:val="00A64700"/>
    <w:rsid w:val="00A65659"/>
    <w:rsid w:val="00A6586B"/>
    <w:rsid w:val="00A65EC4"/>
    <w:rsid w:val="00A66735"/>
    <w:rsid w:val="00A66B3A"/>
    <w:rsid w:val="00A6739E"/>
    <w:rsid w:val="00A67857"/>
    <w:rsid w:val="00A700E1"/>
    <w:rsid w:val="00A70299"/>
    <w:rsid w:val="00A70A3E"/>
    <w:rsid w:val="00A71459"/>
    <w:rsid w:val="00A7192B"/>
    <w:rsid w:val="00A71D39"/>
    <w:rsid w:val="00A725FB"/>
    <w:rsid w:val="00A72F80"/>
    <w:rsid w:val="00A743DF"/>
    <w:rsid w:val="00A756DB"/>
    <w:rsid w:val="00A757F9"/>
    <w:rsid w:val="00A7616C"/>
    <w:rsid w:val="00A76AB5"/>
    <w:rsid w:val="00A76E41"/>
    <w:rsid w:val="00A772B3"/>
    <w:rsid w:val="00A7730B"/>
    <w:rsid w:val="00A77505"/>
    <w:rsid w:val="00A7770B"/>
    <w:rsid w:val="00A77840"/>
    <w:rsid w:val="00A77A58"/>
    <w:rsid w:val="00A810F8"/>
    <w:rsid w:val="00A818F0"/>
    <w:rsid w:val="00A8212A"/>
    <w:rsid w:val="00A8388A"/>
    <w:rsid w:val="00A83F95"/>
    <w:rsid w:val="00A84414"/>
    <w:rsid w:val="00A84D0B"/>
    <w:rsid w:val="00A84ED1"/>
    <w:rsid w:val="00A85540"/>
    <w:rsid w:val="00A873AB"/>
    <w:rsid w:val="00A874E8"/>
    <w:rsid w:val="00A87628"/>
    <w:rsid w:val="00A91FFD"/>
    <w:rsid w:val="00A92AB4"/>
    <w:rsid w:val="00A93904"/>
    <w:rsid w:val="00A942BD"/>
    <w:rsid w:val="00A94ED4"/>
    <w:rsid w:val="00A958A1"/>
    <w:rsid w:val="00A964F8"/>
    <w:rsid w:val="00A973A4"/>
    <w:rsid w:val="00A973F9"/>
    <w:rsid w:val="00A97B73"/>
    <w:rsid w:val="00AA0229"/>
    <w:rsid w:val="00AA04CB"/>
    <w:rsid w:val="00AA064A"/>
    <w:rsid w:val="00AA0C96"/>
    <w:rsid w:val="00AA0DAA"/>
    <w:rsid w:val="00AA1BDF"/>
    <w:rsid w:val="00AA28A5"/>
    <w:rsid w:val="00AA3715"/>
    <w:rsid w:val="00AA3BDD"/>
    <w:rsid w:val="00AA471F"/>
    <w:rsid w:val="00AA5DED"/>
    <w:rsid w:val="00AA60A0"/>
    <w:rsid w:val="00AA6D13"/>
    <w:rsid w:val="00AA75F2"/>
    <w:rsid w:val="00AA76BD"/>
    <w:rsid w:val="00AA7C4B"/>
    <w:rsid w:val="00AB031A"/>
    <w:rsid w:val="00AB083E"/>
    <w:rsid w:val="00AB0E7A"/>
    <w:rsid w:val="00AB1ABD"/>
    <w:rsid w:val="00AB1B8F"/>
    <w:rsid w:val="00AB2730"/>
    <w:rsid w:val="00AB3981"/>
    <w:rsid w:val="00AB3ABB"/>
    <w:rsid w:val="00AB3D80"/>
    <w:rsid w:val="00AB3E50"/>
    <w:rsid w:val="00AB52C6"/>
    <w:rsid w:val="00AB58A5"/>
    <w:rsid w:val="00AB5F54"/>
    <w:rsid w:val="00AB620E"/>
    <w:rsid w:val="00AB663D"/>
    <w:rsid w:val="00AC0234"/>
    <w:rsid w:val="00AC0C12"/>
    <w:rsid w:val="00AC1240"/>
    <w:rsid w:val="00AC224C"/>
    <w:rsid w:val="00AC2926"/>
    <w:rsid w:val="00AC2A99"/>
    <w:rsid w:val="00AC3847"/>
    <w:rsid w:val="00AC47DD"/>
    <w:rsid w:val="00AC4824"/>
    <w:rsid w:val="00AC4DD4"/>
    <w:rsid w:val="00AC53FB"/>
    <w:rsid w:val="00AC5499"/>
    <w:rsid w:val="00AC566B"/>
    <w:rsid w:val="00AC648D"/>
    <w:rsid w:val="00AC6801"/>
    <w:rsid w:val="00AC7231"/>
    <w:rsid w:val="00AC75DB"/>
    <w:rsid w:val="00AC7A0F"/>
    <w:rsid w:val="00AD0631"/>
    <w:rsid w:val="00AD165C"/>
    <w:rsid w:val="00AD1F74"/>
    <w:rsid w:val="00AD2016"/>
    <w:rsid w:val="00AD2103"/>
    <w:rsid w:val="00AD26D1"/>
    <w:rsid w:val="00AD27D3"/>
    <w:rsid w:val="00AD27DD"/>
    <w:rsid w:val="00AD2B97"/>
    <w:rsid w:val="00AD2C8B"/>
    <w:rsid w:val="00AD2FBC"/>
    <w:rsid w:val="00AD3418"/>
    <w:rsid w:val="00AD3A7F"/>
    <w:rsid w:val="00AD3AF8"/>
    <w:rsid w:val="00AD4B4D"/>
    <w:rsid w:val="00AD5369"/>
    <w:rsid w:val="00AD583E"/>
    <w:rsid w:val="00AD606E"/>
    <w:rsid w:val="00AD61BB"/>
    <w:rsid w:val="00AD6CDA"/>
    <w:rsid w:val="00AD75A6"/>
    <w:rsid w:val="00AE005B"/>
    <w:rsid w:val="00AE036F"/>
    <w:rsid w:val="00AE0C86"/>
    <w:rsid w:val="00AE1227"/>
    <w:rsid w:val="00AE1F83"/>
    <w:rsid w:val="00AE2550"/>
    <w:rsid w:val="00AE3CA2"/>
    <w:rsid w:val="00AE49E0"/>
    <w:rsid w:val="00AE4DFA"/>
    <w:rsid w:val="00AE5359"/>
    <w:rsid w:val="00AF0EE9"/>
    <w:rsid w:val="00AF1325"/>
    <w:rsid w:val="00AF14F6"/>
    <w:rsid w:val="00AF1ACA"/>
    <w:rsid w:val="00AF274C"/>
    <w:rsid w:val="00AF3297"/>
    <w:rsid w:val="00AF3482"/>
    <w:rsid w:val="00AF4287"/>
    <w:rsid w:val="00AF45BB"/>
    <w:rsid w:val="00AF4FE6"/>
    <w:rsid w:val="00AF590F"/>
    <w:rsid w:val="00AF5F07"/>
    <w:rsid w:val="00AF640B"/>
    <w:rsid w:val="00AF6870"/>
    <w:rsid w:val="00AF7301"/>
    <w:rsid w:val="00AF7492"/>
    <w:rsid w:val="00AF77F3"/>
    <w:rsid w:val="00AF7B05"/>
    <w:rsid w:val="00B00B62"/>
    <w:rsid w:val="00B0148B"/>
    <w:rsid w:val="00B01AED"/>
    <w:rsid w:val="00B03438"/>
    <w:rsid w:val="00B0343E"/>
    <w:rsid w:val="00B049C0"/>
    <w:rsid w:val="00B0549B"/>
    <w:rsid w:val="00B0559E"/>
    <w:rsid w:val="00B05D84"/>
    <w:rsid w:val="00B05F46"/>
    <w:rsid w:val="00B0604A"/>
    <w:rsid w:val="00B0625A"/>
    <w:rsid w:val="00B067D5"/>
    <w:rsid w:val="00B06BC8"/>
    <w:rsid w:val="00B07BCB"/>
    <w:rsid w:val="00B13172"/>
    <w:rsid w:val="00B13286"/>
    <w:rsid w:val="00B13E46"/>
    <w:rsid w:val="00B13FB6"/>
    <w:rsid w:val="00B1460F"/>
    <w:rsid w:val="00B146DD"/>
    <w:rsid w:val="00B14E2D"/>
    <w:rsid w:val="00B15628"/>
    <w:rsid w:val="00B16F73"/>
    <w:rsid w:val="00B16FB4"/>
    <w:rsid w:val="00B17005"/>
    <w:rsid w:val="00B2017B"/>
    <w:rsid w:val="00B20442"/>
    <w:rsid w:val="00B2104E"/>
    <w:rsid w:val="00B217BA"/>
    <w:rsid w:val="00B225D9"/>
    <w:rsid w:val="00B22C70"/>
    <w:rsid w:val="00B22CE2"/>
    <w:rsid w:val="00B23392"/>
    <w:rsid w:val="00B2364A"/>
    <w:rsid w:val="00B257FB"/>
    <w:rsid w:val="00B25BB2"/>
    <w:rsid w:val="00B25BE7"/>
    <w:rsid w:val="00B26601"/>
    <w:rsid w:val="00B26C3A"/>
    <w:rsid w:val="00B26C87"/>
    <w:rsid w:val="00B26D3E"/>
    <w:rsid w:val="00B26E78"/>
    <w:rsid w:val="00B277B9"/>
    <w:rsid w:val="00B3019D"/>
    <w:rsid w:val="00B30BE3"/>
    <w:rsid w:val="00B3164C"/>
    <w:rsid w:val="00B3174B"/>
    <w:rsid w:val="00B31F6D"/>
    <w:rsid w:val="00B32576"/>
    <w:rsid w:val="00B32987"/>
    <w:rsid w:val="00B32C16"/>
    <w:rsid w:val="00B32FF4"/>
    <w:rsid w:val="00B330D6"/>
    <w:rsid w:val="00B33F2F"/>
    <w:rsid w:val="00B35AF8"/>
    <w:rsid w:val="00B40280"/>
    <w:rsid w:val="00B402DC"/>
    <w:rsid w:val="00B410DF"/>
    <w:rsid w:val="00B41170"/>
    <w:rsid w:val="00B4117D"/>
    <w:rsid w:val="00B42C27"/>
    <w:rsid w:val="00B433B2"/>
    <w:rsid w:val="00B4367D"/>
    <w:rsid w:val="00B43750"/>
    <w:rsid w:val="00B43784"/>
    <w:rsid w:val="00B47B09"/>
    <w:rsid w:val="00B5082B"/>
    <w:rsid w:val="00B5096F"/>
    <w:rsid w:val="00B50D84"/>
    <w:rsid w:val="00B51933"/>
    <w:rsid w:val="00B5205D"/>
    <w:rsid w:val="00B523D9"/>
    <w:rsid w:val="00B525AB"/>
    <w:rsid w:val="00B52A50"/>
    <w:rsid w:val="00B5301A"/>
    <w:rsid w:val="00B54BE5"/>
    <w:rsid w:val="00B54CEC"/>
    <w:rsid w:val="00B558B1"/>
    <w:rsid w:val="00B5662A"/>
    <w:rsid w:val="00B56C8D"/>
    <w:rsid w:val="00B57AC6"/>
    <w:rsid w:val="00B57C85"/>
    <w:rsid w:val="00B6239E"/>
    <w:rsid w:val="00B638A7"/>
    <w:rsid w:val="00B63CC2"/>
    <w:rsid w:val="00B644EB"/>
    <w:rsid w:val="00B64CA8"/>
    <w:rsid w:val="00B65A1F"/>
    <w:rsid w:val="00B708FF"/>
    <w:rsid w:val="00B70A81"/>
    <w:rsid w:val="00B72493"/>
    <w:rsid w:val="00B72CAC"/>
    <w:rsid w:val="00B72D2D"/>
    <w:rsid w:val="00B73069"/>
    <w:rsid w:val="00B73498"/>
    <w:rsid w:val="00B735E0"/>
    <w:rsid w:val="00B73723"/>
    <w:rsid w:val="00B737D7"/>
    <w:rsid w:val="00B745A1"/>
    <w:rsid w:val="00B75279"/>
    <w:rsid w:val="00B75320"/>
    <w:rsid w:val="00B76890"/>
    <w:rsid w:val="00B76A63"/>
    <w:rsid w:val="00B770AD"/>
    <w:rsid w:val="00B77504"/>
    <w:rsid w:val="00B77756"/>
    <w:rsid w:val="00B77CBF"/>
    <w:rsid w:val="00B77CF1"/>
    <w:rsid w:val="00B77DC3"/>
    <w:rsid w:val="00B8031B"/>
    <w:rsid w:val="00B80479"/>
    <w:rsid w:val="00B8078B"/>
    <w:rsid w:val="00B80876"/>
    <w:rsid w:val="00B80C86"/>
    <w:rsid w:val="00B80F61"/>
    <w:rsid w:val="00B810D0"/>
    <w:rsid w:val="00B81807"/>
    <w:rsid w:val="00B81F7F"/>
    <w:rsid w:val="00B823C9"/>
    <w:rsid w:val="00B828F4"/>
    <w:rsid w:val="00B8330C"/>
    <w:rsid w:val="00B833DD"/>
    <w:rsid w:val="00B83FF5"/>
    <w:rsid w:val="00B84029"/>
    <w:rsid w:val="00B856AA"/>
    <w:rsid w:val="00B866C7"/>
    <w:rsid w:val="00B868B8"/>
    <w:rsid w:val="00B86AA2"/>
    <w:rsid w:val="00B86BB5"/>
    <w:rsid w:val="00B86D93"/>
    <w:rsid w:val="00B87144"/>
    <w:rsid w:val="00B8722E"/>
    <w:rsid w:val="00B8727E"/>
    <w:rsid w:val="00B87347"/>
    <w:rsid w:val="00B87389"/>
    <w:rsid w:val="00B90461"/>
    <w:rsid w:val="00B90741"/>
    <w:rsid w:val="00B916D9"/>
    <w:rsid w:val="00B91979"/>
    <w:rsid w:val="00B92191"/>
    <w:rsid w:val="00B92617"/>
    <w:rsid w:val="00B92D73"/>
    <w:rsid w:val="00B93C0A"/>
    <w:rsid w:val="00B93C5E"/>
    <w:rsid w:val="00B94880"/>
    <w:rsid w:val="00B95EA6"/>
    <w:rsid w:val="00B96A8C"/>
    <w:rsid w:val="00B9724E"/>
    <w:rsid w:val="00B97309"/>
    <w:rsid w:val="00BA0563"/>
    <w:rsid w:val="00BA2814"/>
    <w:rsid w:val="00BA2D4F"/>
    <w:rsid w:val="00BA36D0"/>
    <w:rsid w:val="00BA469C"/>
    <w:rsid w:val="00BA6521"/>
    <w:rsid w:val="00BA6DF4"/>
    <w:rsid w:val="00BA71BC"/>
    <w:rsid w:val="00BB0062"/>
    <w:rsid w:val="00BB1CA4"/>
    <w:rsid w:val="00BB39BC"/>
    <w:rsid w:val="00BB3A5C"/>
    <w:rsid w:val="00BB4066"/>
    <w:rsid w:val="00BB4596"/>
    <w:rsid w:val="00BB69B7"/>
    <w:rsid w:val="00BB6F12"/>
    <w:rsid w:val="00BC0325"/>
    <w:rsid w:val="00BC0ED0"/>
    <w:rsid w:val="00BC1669"/>
    <w:rsid w:val="00BC1BA1"/>
    <w:rsid w:val="00BC2193"/>
    <w:rsid w:val="00BC2647"/>
    <w:rsid w:val="00BC2748"/>
    <w:rsid w:val="00BC2ED2"/>
    <w:rsid w:val="00BC4001"/>
    <w:rsid w:val="00BC4DC1"/>
    <w:rsid w:val="00BC5200"/>
    <w:rsid w:val="00BC569B"/>
    <w:rsid w:val="00BC609E"/>
    <w:rsid w:val="00BC65A4"/>
    <w:rsid w:val="00BC67EF"/>
    <w:rsid w:val="00BC766B"/>
    <w:rsid w:val="00BC7CF2"/>
    <w:rsid w:val="00BC7F01"/>
    <w:rsid w:val="00BD06D7"/>
    <w:rsid w:val="00BD09B5"/>
    <w:rsid w:val="00BD101E"/>
    <w:rsid w:val="00BD12D0"/>
    <w:rsid w:val="00BD1913"/>
    <w:rsid w:val="00BD24B8"/>
    <w:rsid w:val="00BD6393"/>
    <w:rsid w:val="00BD671D"/>
    <w:rsid w:val="00BD711C"/>
    <w:rsid w:val="00BD7742"/>
    <w:rsid w:val="00BE007E"/>
    <w:rsid w:val="00BE04C1"/>
    <w:rsid w:val="00BE0887"/>
    <w:rsid w:val="00BE1775"/>
    <w:rsid w:val="00BE1A53"/>
    <w:rsid w:val="00BE2693"/>
    <w:rsid w:val="00BE30C5"/>
    <w:rsid w:val="00BE31B9"/>
    <w:rsid w:val="00BE36FC"/>
    <w:rsid w:val="00BE40CF"/>
    <w:rsid w:val="00BE41E5"/>
    <w:rsid w:val="00BE44CA"/>
    <w:rsid w:val="00BE4628"/>
    <w:rsid w:val="00BE5A8C"/>
    <w:rsid w:val="00BE730B"/>
    <w:rsid w:val="00BE7929"/>
    <w:rsid w:val="00BE7ACF"/>
    <w:rsid w:val="00BE7B69"/>
    <w:rsid w:val="00BF013B"/>
    <w:rsid w:val="00BF19BD"/>
    <w:rsid w:val="00BF1AAC"/>
    <w:rsid w:val="00BF1DF5"/>
    <w:rsid w:val="00BF1F3E"/>
    <w:rsid w:val="00BF27D0"/>
    <w:rsid w:val="00BF28E9"/>
    <w:rsid w:val="00BF2D4F"/>
    <w:rsid w:val="00BF3692"/>
    <w:rsid w:val="00BF3857"/>
    <w:rsid w:val="00BF4D7F"/>
    <w:rsid w:val="00BF58C2"/>
    <w:rsid w:val="00BF5A01"/>
    <w:rsid w:val="00BF616E"/>
    <w:rsid w:val="00BF63E3"/>
    <w:rsid w:val="00BF66A8"/>
    <w:rsid w:val="00BF690F"/>
    <w:rsid w:val="00BF6F31"/>
    <w:rsid w:val="00BF73DF"/>
    <w:rsid w:val="00BF7D82"/>
    <w:rsid w:val="00BF7E2E"/>
    <w:rsid w:val="00C0021A"/>
    <w:rsid w:val="00C00231"/>
    <w:rsid w:val="00C034D4"/>
    <w:rsid w:val="00C04A97"/>
    <w:rsid w:val="00C04CEC"/>
    <w:rsid w:val="00C051D7"/>
    <w:rsid w:val="00C06085"/>
    <w:rsid w:val="00C061A1"/>
    <w:rsid w:val="00C06B99"/>
    <w:rsid w:val="00C0787D"/>
    <w:rsid w:val="00C07AAF"/>
    <w:rsid w:val="00C07CB0"/>
    <w:rsid w:val="00C10BA0"/>
    <w:rsid w:val="00C113D3"/>
    <w:rsid w:val="00C117C8"/>
    <w:rsid w:val="00C11DC5"/>
    <w:rsid w:val="00C122AF"/>
    <w:rsid w:val="00C12B2E"/>
    <w:rsid w:val="00C12C6F"/>
    <w:rsid w:val="00C144AD"/>
    <w:rsid w:val="00C1696E"/>
    <w:rsid w:val="00C17DF4"/>
    <w:rsid w:val="00C20395"/>
    <w:rsid w:val="00C218C9"/>
    <w:rsid w:val="00C21BC3"/>
    <w:rsid w:val="00C2201B"/>
    <w:rsid w:val="00C23535"/>
    <w:rsid w:val="00C23861"/>
    <w:rsid w:val="00C23A53"/>
    <w:rsid w:val="00C23AC1"/>
    <w:rsid w:val="00C24052"/>
    <w:rsid w:val="00C24421"/>
    <w:rsid w:val="00C25531"/>
    <w:rsid w:val="00C25C91"/>
    <w:rsid w:val="00C2606F"/>
    <w:rsid w:val="00C267B5"/>
    <w:rsid w:val="00C27875"/>
    <w:rsid w:val="00C32A61"/>
    <w:rsid w:val="00C3310A"/>
    <w:rsid w:val="00C35B6D"/>
    <w:rsid w:val="00C36138"/>
    <w:rsid w:val="00C36861"/>
    <w:rsid w:val="00C36F77"/>
    <w:rsid w:val="00C37442"/>
    <w:rsid w:val="00C37C3E"/>
    <w:rsid w:val="00C37E12"/>
    <w:rsid w:val="00C37F05"/>
    <w:rsid w:val="00C40C5F"/>
    <w:rsid w:val="00C41049"/>
    <w:rsid w:val="00C41780"/>
    <w:rsid w:val="00C41988"/>
    <w:rsid w:val="00C41D65"/>
    <w:rsid w:val="00C41F38"/>
    <w:rsid w:val="00C427CD"/>
    <w:rsid w:val="00C42CAE"/>
    <w:rsid w:val="00C43607"/>
    <w:rsid w:val="00C438DF"/>
    <w:rsid w:val="00C43ACA"/>
    <w:rsid w:val="00C448BA"/>
    <w:rsid w:val="00C449D5"/>
    <w:rsid w:val="00C47DD4"/>
    <w:rsid w:val="00C47E65"/>
    <w:rsid w:val="00C502F9"/>
    <w:rsid w:val="00C50FF7"/>
    <w:rsid w:val="00C51DBD"/>
    <w:rsid w:val="00C51FB8"/>
    <w:rsid w:val="00C524EC"/>
    <w:rsid w:val="00C529F5"/>
    <w:rsid w:val="00C53A1E"/>
    <w:rsid w:val="00C54278"/>
    <w:rsid w:val="00C550DA"/>
    <w:rsid w:val="00C558F5"/>
    <w:rsid w:val="00C55E97"/>
    <w:rsid w:val="00C56635"/>
    <w:rsid w:val="00C566B2"/>
    <w:rsid w:val="00C5697C"/>
    <w:rsid w:val="00C56ECE"/>
    <w:rsid w:val="00C56EE3"/>
    <w:rsid w:val="00C60572"/>
    <w:rsid w:val="00C606A4"/>
    <w:rsid w:val="00C60A33"/>
    <w:rsid w:val="00C60C70"/>
    <w:rsid w:val="00C61AD1"/>
    <w:rsid w:val="00C61EAE"/>
    <w:rsid w:val="00C61FCB"/>
    <w:rsid w:val="00C629B9"/>
    <w:rsid w:val="00C63266"/>
    <w:rsid w:val="00C6429B"/>
    <w:rsid w:val="00C65E1D"/>
    <w:rsid w:val="00C65E69"/>
    <w:rsid w:val="00C66515"/>
    <w:rsid w:val="00C6708E"/>
    <w:rsid w:val="00C67671"/>
    <w:rsid w:val="00C70356"/>
    <w:rsid w:val="00C71376"/>
    <w:rsid w:val="00C71F99"/>
    <w:rsid w:val="00C72A11"/>
    <w:rsid w:val="00C72F97"/>
    <w:rsid w:val="00C746DF"/>
    <w:rsid w:val="00C74866"/>
    <w:rsid w:val="00C74911"/>
    <w:rsid w:val="00C74BC8"/>
    <w:rsid w:val="00C74D41"/>
    <w:rsid w:val="00C761A7"/>
    <w:rsid w:val="00C7691B"/>
    <w:rsid w:val="00C76A56"/>
    <w:rsid w:val="00C80370"/>
    <w:rsid w:val="00C80F07"/>
    <w:rsid w:val="00C81524"/>
    <w:rsid w:val="00C83F8E"/>
    <w:rsid w:val="00C8403D"/>
    <w:rsid w:val="00C8415E"/>
    <w:rsid w:val="00C846F8"/>
    <w:rsid w:val="00C84CD6"/>
    <w:rsid w:val="00C85BE5"/>
    <w:rsid w:val="00C86703"/>
    <w:rsid w:val="00C912A0"/>
    <w:rsid w:val="00C914DC"/>
    <w:rsid w:val="00C918F5"/>
    <w:rsid w:val="00C9234B"/>
    <w:rsid w:val="00C92429"/>
    <w:rsid w:val="00C92705"/>
    <w:rsid w:val="00C928F9"/>
    <w:rsid w:val="00C92A3B"/>
    <w:rsid w:val="00C935E3"/>
    <w:rsid w:val="00C940C7"/>
    <w:rsid w:val="00C941B6"/>
    <w:rsid w:val="00C95F8C"/>
    <w:rsid w:val="00C97B32"/>
    <w:rsid w:val="00CA0DEB"/>
    <w:rsid w:val="00CA0E25"/>
    <w:rsid w:val="00CA12F2"/>
    <w:rsid w:val="00CA17BF"/>
    <w:rsid w:val="00CA1F64"/>
    <w:rsid w:val="00CA22A4"/>
    <w:rsid w:val="00CA25B1"/>
    <w:rsid w:val="00CA35A9"/>
    <w:rsid w:val="00CA4ED8"/>
    <w:rsid w:val="00CA507C"/>
    <w:rsid w:val="00CA5696"/>
    <w:rsid w:val="00CA5A77"/>
    <w:rsid w:val="00CA5AFC"/>
    <w:rsid w:val="00CA5B9C"/>
    <w:rsid w:val="00CA76EC"/>
    <w:rsid w:val="00CA7B0B"/>
    <w:rsid w:val="00CB0043"/>
    <w:rsid w:val="00CB0ADC"/>
    <w:rsid w:val="00CB125D"/>
    <w:rsid w:val="00CB13BE"/>
    <w:rsid w:val="00CB1505"/>
    <w:rsid w:val="00CB209E"/>
    <w:rsid w:val="00CB2730"/>
    <w:rsid w:val="00CB2CBA"/>
    <w:rsid w:val="00CB3074"/>
    <w:rsid w:val="00CB315D"/>
    <w:rsid w:val="00CB3234"/>
    <w:rsid w:val="00CB329C"/>
    <w:rsid w:val="00CB337D"/>
    <w:rsid w:val="00CB3416"/>
    <w:rsid w:val="00CB37FA"/>
    <w:rsid w:val="00CB4B29"/>
    <w:rsid w:val="00CB61D7"/>
    <w:rsid w:val="00CB61DB"/>
    <w:rsid w:val="00CB6ACB"/>
    <w:rsid w:val="00CB7276"/>
    <w:rsid w:val="00CB7BCC"/>
    <w:rsid w:val="00CB7E49"/>
    <w:rsid w:val="00CC033F"/>
    <w:rsid w:val="00CC082F"/>
    <w:rsid w:val="00CC0886"/>
    <w:rsid w:val="00CC1637"/>
    <w:rsid w:val="00CC18A4"/>
    <w:rsid w:val="00CC1AD4"/>
    <w:rsid w:val="00CC1D1C"/>
    <w:rsid w:val="00CC1E17"/>
    <w:rsid w:val="00CC238B"/>
    <w:rsid w:val="00CC2FFE"/>
    <w:rsid w:val="00CC3BDD"/>
    <w:rsid w:val="00CC3F99"/>
    <w:rsid w:val="00CC4284"/>
    <w:rsid w:val="00CC47EF"/>
    <w:rsid w:val="00CC5F20"/>
    <w:rsid w:val="00CC70D4"/>
    <w:rsid w:val="00CC740A"/>
    <w:rsid w:val="00CC7A23"/>
    <w:rsid w:val="00CD02E0"/>
    <w:rsid w:val="00CD07F8"/>
    <w:rsid w:val="00CD0826"/>
    <w:rsid w:val="00CD24F8"/>
    <w:rsid w:val="00CD291D"/>
    <w:rsid w:val="00CD29F5"/>
    <w:rsid w:val="00CD2ECD"/>
    <w:rsid w:val="00CD3B4D"/>
    <w:rsid w:val="00CD3B7B"/>
    <w:rsid w:val="00CD3C2A"/>
    <w:rsid w:val="00CD4119"/>
    <w:rsid w:val="00CD57F5"/>
    <w:rsid w:val="00CD582C"/>
    <w:rsid w:val="00CD63B1"/>
    <w:rsid w:val="00CD7C8F"/>
    <w:rsid w:val="00CE17EB"/>
    <w:rsid w:val="00CE2147"/>
    <w:rsid w:val="00CE2A88"/>
    <w:rsid w:val="00CE2BB5"/>
    <w:rsid w:val="00CE3A53"/>
    <w:rsid w:val="00CE540D"/>
    <w:rsid w:val="00CE5561"/>
    <w:rsid w:val="00CE55C9"/>
    <w:rsid w:val="00CE6643"/>
    <w:rsid w:val="00CE719B"/>
    <w:rsid w:val="00CE7515"/>
    <w:rsid w:val="00CE7573"/>
    <w:rsid w:val="00CE7918"/>
    <w:rsid w:val="00CF06FD"/>
    <w:rsid w:val="00CF0DEE"/>
    <w:rsid w:val="00CF1618"/>
    <w:rsid w:val="00CF22DF"/>
    <w:rsid w:val="00CF3225"/>
    <w:rsid w:val="00CF34BA"/>
    <w:rsid w:val="00CF3F3C"/>
    <w:rsid w:val="00CF4C6B"/>
    <w:rsid w:val="00CF4F44"/>
    <w:rsid w:val="00CF58AA"/>
    <w:rsid w:val="00CF6F36"/>
    <w:rsid w:val="00CF7848"/>
    <w:rsid w:val="00CF78FC"/>
    <w:rsid w:val="00CF792B"/>
    <w:rsid w:val="00CF7C01"/>
    <w:rsid w:val="00D004F7"/>
    <w:rsid w:val="00D00C2D"/>
    <w:rsid w:val="00D01902"/>
    <w:rsid w:val="00D0330D"/>
    <w:rsid w:val="00D03B7A"/>
    <w:rsid w:val="00D040FD"/>
    <w:rsid w:val="00D046ED"/>
    <w:rsid w:val="00D04F00"/>
    <w:rsid w:val="00D05716"/>
    <w:rsid w:val="00D05881"/>
    <w:rsid w:val="00D0754A"/>
    <w:rsid w:val="00D07B63"/>
    <w:rsid w:val="00D07D22"/>
    <w:rsid w:val="00D07D40"/>
    <w:rsid w:val="00D100D6"/>
    <w:rsid w:val="00D10A93"/>
    <w:rsid w:val="00D10B15"/>
    <w:rsid w:val="00D11FBA"/>
    <w:rsid w:val="00D12A3D"/>
    <w:rsid w:val="00D13376"/>
    <w:rsid w:val="00D13A1B"/>
    <w:rsid w:val="00D13B84"/>
    <w:rsid w:val="00D13ED1"/>
    <w:rsid w:val="00D141F6"/>
    <w:rsid w:val="00D14FA2"/>
    <w:rsid w:val="00D16D9B"/>
    <w:rsid w:val="00D1729D"/>
    <w:rsid w:val="00D1787B"/>
    <w:rsid w:val="00D17C22"/>
    <w:rsid w:val="00D17C34"/>
    <w:rsid w:val="00D20008"/>
    <w:rsid w:val="00D21005"/>
    <w:rsid w:val="00D21C17"/>
    <w:rsid w:val="00D22DB1"/>
    <w:rsid w:val="00D23631"/>
    <w:rsid w:val="00D24364"/>
    <w:rsid w:val="00D24596"/>
    <w:rsid w:val="00D24BE7"/>
    <w:rsid w:val="00D2563A"/>
    <w:rsid w:val="00D25F36"/>
    <w:rsid w:val="00D26BC5"/>
    <w:rsid w:val="00D274BE"/>
    <w:rsid w:val="00D276DA"/>
    <w:rsid w:val="00D27C51"/>
    <w:rsid w:val="00D30448"/>
    <w:rsid w:val="00D31620"/>
    <w:rsid w:val="00D31BF8"/>
    <w:rsid w:val="00D31E15"/>
    <w:rsid w:val="00D3300B"/>
    <w:rsid w:val="00D34168"/>
    <w:rsid w:val="00D3597D"/>
    <w:rsid w:val="00D374C8"/>
    <w:rsid w:val="00D40D0B"/>
    <w:rsid w:val="00D4103A"/>
    <w:rsid w:val="00D41E5A"/>
    <w:rsid w:val="00D42088"/>
    <w:rsid w:val="00D44CB1"/>
    <w:rsid w:val="00D455EE"/>
    <w:rsid w:val="00D45E2D"/>
    <w:rsid w:val="00D4652D"/>
    <w:rsid w:val="00D46A83"/>
    <w:rsid w:val="00D47955"/>
    <w:rsid w:val="00D47E10"/>
    <w:rsid w:val="00D50071"/>
    <w:rsid w:val="00D50AD5"/>
    <w:rsid w:val="00D515D3"/>
    <w:rsid w:val="00D52EC6"/>
    <w:rsid w:val="00D53725"/>
    <w:rsid w:val="00D5476A"/>
    <w:rsid w:val="00D573B3"/>
    <w:rsid w:val="00D57868"/>
    <w:rsid w:val="00D57A19"/>
    <w:rsid w:val="00D60B53"/>
    <w:rsid w:val="00D6104E"/>
    <w:rsid w:val="00D620EE"/>
    <w:rsid w:val="00D620FC"/>
    <w:rsid w:val="00D6220E"/>
    <w:rsid w:val="00D624E0"/>
    <w:rsid w:val="00D63A99"/>
    <w:rsid w:val="00D64605"/>
    <w:rsid w:val="00D6479F"/>
    <w:rsid w:val="00D64811"/>
    <w:rsid w:val="00D65D98"/>
    <w:rsid w:val="00D6649F"/>
    <w:rsid w:val="00D66DD9"/>
    <w:rsid w:val="00D66E50"/>
    <w:rsid w:val="00D67875"/>
    <w:rsid w:val="00D67B65"/>
    <w:rsid w:val="00D705A1"/>
    <w:rsid w:val="00D71131"/>
    <w:rsid w:val="00D715C1"/>
    <w:rsid w:val="00D71ED3"/>
    <w:rsid w:val="00D73045"/>
    <w:rsid w:val="00D741BD"/>
    <w:rsid w:val="00D7497E"/>
    <w:rsid w:val="00D74C5B"/>
    <w:rsid w:val="00D75F61"/>
    <w:rsid w:val="00D7640C"/>
    <w:rsid w:val="00D769C6"/>
    <w:rsid w:val="00D771B5"/>
    <w:rsid w:val="00D778E3"/>
    <w:rsid w:val="00D80708"/>
    <w:rsid w:val="00D80B89"/>
    <w:rsid w:val="00D80BEF"/>
    <w:rsid w:val="00D80E9A"/>
    <w:rsid w:val="00D813B3"/>
    <w:rsid w:val="00D821AB"/>
    <w:rsid w:val="00D8338F"/>
    <w:rsid w:val="00D848BE"/>
    <w:rsid w:val="00D84C66"/>
    <w:rsid w:val="00D84E34"/>
    <w:rsid w:val="00D854C9"/>
    <w:rsid w:val="00D85E22"/>
    <w:rsid w:val="00D866B6"/>
    <w:rsid w:val="00D90CC8"/>
    <w:rsid w:val="00D90E03"/>
    <w:rsid w:val="00D910CE"/>
    <w:rsid w:val="00D91B4F"/>
    <w:rsid w:val="00D91D65"/>
    <w:rsid w:val="00D93378"/>
    <w:rsid w:val="00D93A8F"/>
    <w:rsid w:val="00D9425B"/>
    <w:rsid w:val="00D944A6"/>
    <w:rsid w:val="00D9478B"/>
    <w:rsid w:val="00D948DF"/>
    <w:rsid w:val="00D94B2D"/>
    <w:rsid w:val="00D95786"/>
    <w:rsid w:val="00D958BC"/>
    <w:rsid w:val="00D9595A"/>
    <w:rsid w:val="00D95BB2"/>
    <w:rsid w:val="00D967FE"/>
    <w:rsid w:val="00D968BE"/>
    <w:rsid w:val="00D96EF1"/>
    <w:rsid w:val="00D9747A"/>
    <w:rsid w:val="00DA0786"/>
    <w:rsid w:val="00DA09D7"/>
    <w:rsid w:val="00DA0A21"/>
    <w:rsid w:val="00DA0AF9"/>
    <w:rsid w:val="00DA2739"/>
    <w:rsid w:val="00DA2BBA"/>
    <w:rsid w:val="00DA2C5A"/>
    <w:rsid w:val="00DA3182"/>
    <w:rsid w:val="00DA332B"/>
    <w:rsid w:val="00DA3E7E"/>
    <w:rsid w:val="00DA4531"/>
    <w:rsid w:val="00DA46C0"/>
    <w:rsid w:val="00DA5035"/>
    <w:rsid w:val="00DA52BE"/>
    <w:rsid w:val="00DA5306"/>
    <w:rsid w:val="00DA57C9"/>
    <w:rsid w:val="00DA6E7A"/>
    <w:rsid w:val="00DA767D"/>
    <w:rsid w:val="00DA7C50"/>
    <w:rsid w:val="00DB1084"/>
    <w:rsid w:val="00DB1574"/>
    <w:rsid w:val="00DB1577"/>
    <w:rsid w:val="00DB1A76"/>
    <w:rsid w:val="00DB209B"/>
    <w:rsid w:val="00DB2143"/>
    <w:rsid w:val="00DB2384"/>
    <w:rsid w:val="00DB25B4"/>
    <w:rsid w:val="00DB2FA7"/>
    <w:rsid w:val="00DB2FEB"/>
    <w:rsid w:val="00DB3B7E"/>
    <w:rsid w:val="00DB4E15"/>
    <w:rsid w:val="00DB5DBA"/>
    <w:rsid w:val="00DB5E3A"/>
    <w:rsid w:val="00DB5E54"/>
    <w:rsid w:val="00DB743C"/>
    <w:rsid w:val="00DC00FA"/>
    <w:rsid w:val="00DC0942"/>
    <w:rsid w:val="00DC0BD7"/>
    <w:rsid w:val="00DC2499"/>
    <w:rsid w:val="00DC2567"/>
    <w:rsid w:val="00DC25C1"/>
    <w:rsid w:val="00DC2984"/>
    <w:rsid w:val="00DC2DD0"/>
    <w:rsid w:val="00DC2F36"/>
    <w:rsid w:val="00DC31C7"/>
    <w:rsid w:val="00DC31E3"/>
    <w:rsid w:val="00DC34AF"/>
    <w:rsid w:val="00DC3E06"/>
    <w:rsid w:val="00DC4621"/>
    <w:rsid w:val="00DC4C25"/>
    <w:rsid w:val="00DC5B40"/>
    <w:rsid w:val="00DC620D"/>
    <w:rsid w:val="00DC6953"/>
    <w:rsid w:val="00DC7379"/>
    <w:rsid w:val="00DC7425"/>
    <w:rsid w:val="00DD07E4"/>
    <w:rsid w:val="00DD0944"/>
    <w:rsid w:val="00DD12A0"/>
    <w:rsid w:val="00DD135F"/>
    <w:rsid w:val="00DD161D"/>
    <w:rsid w:val="00DD1BDE"/>
    <w:rsid w:val="00DD289E"/>
    <w:rsid w:val="00DD2C6F"/>
    <w:rsid w:val="00DD5672"/>
    <w:rsid w:val="00DD5A55"/>
    <w:rsid w:val="00DD616B"/>
    <w:rsid w:val="00DD643F"/>
    <w:rsid w:val="00DD6DC0"/>
    <w:rsid w:val="00DE0344"/>
    <w:rsid w:val="00DE101A"/>
    <w:rsid w:val="00DE120B"/>
    <w:rsid w:val="00DE17FB"/>
    <w:rsid w:val="00DE23D1"/>
    <w:rsid w:val="00DE26F3"/>
    <w:rsid w:val="00DE329F"/>
    <w:rsid w:val="00DE3957"/>
    <w:rsid w:val="00DE3D88"/>
    <w:rsid w:val="00DE4786"/>
    <w:rsid w:val="00DE4E53"/>
    <w:rsid w:val="00DE6C4D"/>
    <w:rsid w:val="00DE6E61"/>
    <w:rsid w:val="00DF18E5"/>
    <w:rsid w:val="00DF1A58"/>
    <w:rsid w:val="00DF1F6B"/>
    <w:rsid w:val="00DF204A"/>
    <w:rsid w:val="00DF2B13"/>
    <w:rsid w:val="00DF2BA7"/>
    <w:rsid w:val="00DF2BC5"/>
    <w:rsid w:val="00DF3566"/>
    <w:rsid w:val="00DF4970"/>
    <w:rsid w:val="00DF4D39"/>
    <w:rsid w:val="00DF5D5E"/>
    <w:rsid w:val="00DF6758"/>
    <w:rsid w:val="00DF788D"/>
    <w:rsid w:val="00E00A73"/>
    <w:rsid w:val="00E00FE0"/>
    <w:rsid w:val="00E0108D"/>
    <w:rsid w:val="00E01E26"/>
    <w:rsid w:val="00E02359"/>
    <w:rsid w:val="00E0280F"/>
    <w:rsid w:val="00E02A1D"/>
    <w:rsid w:val="00E02B06"/>
    <w:rsid w:val="00E036B1"/>
    <w:rsid w:val="00E0391B"/>
    <w:rsid w:val="00E04A19"/>
    <w:rsid w:val="00E05543"/>
    <w:rsid w:val="00E0626C"/>
    <w:rsid w:val="00E066CC"/>
    <w:rsid w:val="00E06941"/>
    <w:rsid w:val="00E06E5B"/>
    <w:rsid w:val="00E07320"/>
    <w:rsid w:val="00E07A6C"/>
    <w:rsid w:val="00E07F26"/>
    <w:rsid w:val="00E10C43"/>
    <w:rsid w:val="00E13144"/>
    <w:rsid w:val="00E13B04"/>
    <w:rsid w:val="00E14585"/>
    <w:rsid w:val="00E14814"/>
    <w:rsid w:val="00E14D62"/>
    <w:rsid w:val="00E1535D"/>
    <w:rsid w:val="00E158DF"/>
    <w:rsid w:val="00E164F9"/>
    <w:rsid w:val="00E1660A"/>
    <w:rsid w:val="00E166E2"/>
    <w:rsid w:val="00E17D80"/>
    <w:rsid w:val="00E222C0"/>
    <w:rsid w:val="00E223C6"/>
    <w:rsid w:val="00E2277E"/>
    <w:rsid w:val="00E22A60"/>
    <w:rsid w:val="00E23168"/>
    <w:rsid w:val="00E24084"/>
    <w:rsid w:val="00E24942"/>
    <w:rsid w:val="00E250CA"/>
    <w:rsid w:val="00E260AA"/>
    <w:rsid w:val="00E260F8"/>
    <w:rsid w:val="00E26500"/>
    <w:rsid w:val="00E271CB"/>
    <w:rsid w:val="00E276A9"/>
    <w:rsid w:val="00E2790C"/>
    <w:rsid w:val="00E27B96"/>
    <w:rsid w:val="00E3018F"/>
    <w:rsid w:val="00E301C1"/>
    <w:rsid w:val="00E3029C"/>
    <w:rsid w:val="00E30CAF"/>
    <w:rsid w:val="00E31702"/>
    <w:rsid w:val="00E343D7"/>
    <w:rsid w:val="00E34E36"/>
    <w:rsid w:val="00E34EAB"/>
    <w:rsid w:val="00E34F3A"/>
    <w:rsid w:val="00E353A4"/>
    <w:rsid w:val="00E36217"/>
    <w:rsid w:val="00E40C58"/>
    <w:rsid w:val="00E4101C"/>
    <w:rsid w:val="00E414CB"/>
    <w:rsid w:val="00E41605"/>
    <w:rsid w:val="00E42478"/>
    <w:rsid w:val="00E4254A"/>
    <w:rsid w:val="00E42B73"/>
    <w:rsid w:val="00E431EA"/>
    <w:rsid w:val="00E433DC"/>
    <w:rsid w:val="00E43FFB"/>
    <w:rsid w:val="00E440A2"/>
    <w:rsid w:val="00E441E5"/>
    <w:rsid w:val="00E44667"/>
    <w:rsid w:val="00E45E3C"/>
    <w:rsid w:val="00E45EA5"/>
    <w:rsid w:val="00E46686"/>
    <w:rsid w:val="00E46935"/>
    <w:rsid w:val="00E473FC"/>
    <w:rsid w:val="00E509D9"/>
    <w:rsid w:val="00E50B61"/>
    <w:rsid w:val="00E51039"/>
    <w:rsid w:val="00E5133A"/>
    <w:rsid w:val="00E51E86"/>
    <w:rsid w:val="00E520A7"/>
    <w:rsid w:val="00E520D3"/>
    <w:rsid w:val="00E52380"/>
    <w:rsid w:val="00E52A36"/>
    <w:rsid w:val="00E53281"/>
    <w:rsid w:val="00E534E0"/>
    <w:rsid w:val="00E53644"/>
    <w:rsid w:val="00E549B1"/>
    <w:rsid w:val="00E55E9C"/>
    <w:rsid w:val="00E57830"/>
    <w:rsid w:val="00E61055"/>
    <w:rsid w:val="00E6111C"/>
    <w:rsid w:val="00E623BC"/>
    <w:rsid w:val="00E636E4"/>
    <w:rsid w:val="00E63BCD"/>
    <w:rsid w:val="00E63D2F"/>
    <w:rsid w:val="00E63E77"/>
    <w:rsid w:val="00E643C4"/>
    <w:rsid w:val="00E649B2"/>
    <w:rsid w:val="00E64A26"/>
    <w:rsid w:val="00E65731"/>
    <w:rsid w:val="00E6745E"/>
    <w:rsid w:val="00E67622"/>
    <w:rsid w:val="00E7026E"/>
    <w:rsid w:val="00E70D8C"/>
    <w:rsid w:val="00E7149E"/>
    <w:rsid w:val="00E71613"/>
    <w:rsid w:val="00E72031"/>
    <w:rsid w:val="00E7214B"/>
    <w:rsid w:val="00E7393F"/>
    <w:rsid w:val="00E75EC4"/>
    <w:rsid w:val="00E7612F"/>
    <w:rsid w:val="00E764C9"/>
    <w:rsid w:val="00E76F2B"/>
    <w:rsid w:val="00E77618"/>
    <w:rsid w:val="00E77924"/>
    <w:rsid w:val="00E81DC5"/>
    <w:rsid w:val="00E8200E"/>
    <w:rsid w:val="00E823DF"/>
    <w:rsid w:val="00E8356E"/>
    <w:rsid w:val="00E840FA"/>
    <w:rsid w:val="00E84102"/>
    <w:rsid w:val="00E86ECB"/>
    <w:rsid w:val="00E87F19"/>
    <w:rsid w:val="00E9020A"/>
    <w:rsid w:val="00E9023E"/>
    <w:rsid w:val="00E90517"/>
    <w:rsid w:val="00E90FA3"/>
    <w:rsid w:val="00E9118B"/>
    <w:rsid w:val="00E92211"/>
    <w:rsid w:val="00E9338D"/>
    <w:rsid w:val="00E93AB8"/>
    <w:rsid w:val="00E93E43"/>
    <w:rsid w:val="00E94325"/>
    <w:rsid w:val="00E94DBE"/>
    <w:rsid w:val="00E94E05"/>
    <w:rsid w:val="00E95A99"/>
    <w:rsid w:val="00E95B10"/>
    <w:rsid w:val="00E95C16"/>
    <w:rsid w:val="00E972D4"/>
    <w:rsid w:val="00E974CE"/>
    <w:rsid w:val="00E97577"/>
    <w:rsid w:val="00E978D7"/>
    <w:rsid w:val="00E97CB0"/>
    <w:rsid w:val="00EA0451"/>
    <w:rsid w:val="00EA1522"/>
    <w:rsid w:val="00EA187B"/>
    <w:rsid w:val="00EA1952"/>
    <w:rsid w:val="00EA28C7"/>
    <w:rsid w:val="00EA2DDF"/>
    <w:rsid w:val="00EA385C"/>
    <w:rsid w:val="00EA3C20"/>
    <w:rsid w:val="00EA3ECA"/>
    <w:rsid w:val="00EA3ED2"/>
    <w:rsid w:val="00EA4B05"/>
    <w:rsid w:val="00EA6B39"/>
    <w:rsid w:val="00EA6BED"/>
    <w:rsid w:val="00EA72C0"/>
    <w:rsid w:val="00EA791E"/>
    <w:rsid w:val="00EB06AF"/>
    <w:rsid w:val="00EB0E10"/>
    <w:rsid w:val="00EB1198"/>
    <w:rsid w:val="00EB17CF"/>
    <w:rsid w:val="00EB19E4"/>
    <w:rsid w:val="00EB1AE3"/>
    <w:rsid w:val="00EB1F3F"/>
    <w:rsid w:val="00EB2DAE"/>
    <w:rsid w:val="00EB35E4"/>
    <w:rsid w:val="00EB3B48"/>
    <w:rsid w:val="00EB3CD6"/>
    <w:rsid w:val="00EB3F9E"/>
    <w:rsid w:val="00EB4649"/>
    <w:rsid w:val="00EB5167"/>
    <w:rsid w:val="00EB536B"/>
    <w:rsid w:val="00EB5B3D"/>
    <w:rsid w:val="00EB6CC3"/>
    <w:rsid w:val="00EB707D"/>
    <w:rsid w:val="00EB7726"/>
    <w:rsid w:val="00EB7AFE"/>
    <w:rsid w:val="00EC0C06"/>
    <w:rsid w:val="00EC0CBA"/>
    <w:rsid w:val="00EC143B"/>
    <w:rsid w:val="00EC1D1C"/>
    <w:rsid w:val="00EC1DA6"/>
    <w:rsid w:val="00EC211D"/>
    <w:rsid w:val="00EC2DD0"/>
    <w:rsid w:val="00EC3588"/>
    <w:rsid w:val="00EC3610"/>
    <w:rsid w:val="00EC507A"/>
    <w:rsid w:val="00EC5ACA"/>
    <w:rsid w:val="00EC747C"/>
    <w:rsid w:val="00ED0545"/>
    <w:rsid w:val="00ED0943"/>
    <w:rsid w:val="00ED0AAA"/>
    <w:rsid w:val="00ED2458"/>
    <w:rsid w:val="00ED32FF"/>
    <w:rsid w:val="00ED35F3"/>
    <w:rsid w:val="00ED438F"/>
    <w:rsid w:val="00ED5448"/>
    <w:rsid w:val="00ED6514"/>
    <w:rsid w:val="00ED68BC"/>
    <w:rsid w:val="00ED6A04"/>
    <w:rsid w:val="00ED6DE8"/>
    <w:rsid w:val="00ED7B8A"/>
    <w:rsid w:val="00EE09EF"/>
    <w:rsid w:val="00EE0C4A"/>
    <w:rsid w:val="00EE14B2"/>
    <w:rsid w:val="00EE16FD"/>
    <w:rsid w:val="00EE1816"/>
    <w:rsid w:val="00EE1AAF"/>
    <w:rsid w:val="00EE1BDE"/>
    <w:rsid w:val="00EE2D99"/>
    <w:rsid w:val="00EE3362"/>
    <w:rsid w:val="00EE3643"/>
    <w:rsid w:val="00EE374E"/>
    <w:rsid w:val="00EE3F72"/>
    <w:rsid w:val="00EE40DB"/>
    <w:rsid w:val="00EE66D8"/>
    <w:rsid w:val="00EE6D23"/>
    <w:rsid w:val="00EE7243"/>
    <w:rsid w:val="00EE7FDF"/>
    <w:rsid w:val="00EF02F8"/>
    <w:rsid w:val="00EF051F"/>
    <w:rsid w:val="00EF0900"/>
    <w:rsid w:val="00EF1032"/>
    <w:rsid w:val="00EF1BAA"/>
    <w:rsid w:val="00EF1C53"/>
    <w:rsid w:val="00EF289C"/>
    <w:rsid w:val="00EF2C5B"/>
    <w:rsid w:val="00EF2C88"/>
    <w:rsid w:val="00EF31A0"/>
    <w:rsid w:val="00EF415E"/>
    <w:rsid w:val="00EF495E"/>
    <w:rsid w:val="00EF4C14"/>
    <w:rsid w:val="00EF53D0"/>
    <w:rsid w:val="00EF54A6"/>
    <w:rsid w:val="00EF6876"/>
    <w:rsid w:val="00EF6918"/>
    <w:rsid w:val="00EF6931"/>
    <w:rsid w:val="00EF7799"/>
    <w:rsid w:val="00EF7B75"/>
    <w:rsid w:val="00EF7CC2"/>
    <w:rsid w:val="00F00ACF"/>
    <w:rsid w:val="00F00FA0"/>
    <w:rsid w:val="00F01F4B"/>
    <w:rsid w:val="00F02CB4"/>
    <w:rsid w:val="00F03ED1"/>
    <w:rsid w:val="00F042FC"/>
    <w:rsid w:val="00F05ECE"/>
    <w:rsid w:val="00F0603A"/>
    <w:rsid w:val="00F063A1"/>
    <w:rsid w:val="00F067EF"/>
    <w:rsid w:val="00F07489"/>
    <w:rsid w:val="00F100F3"/>
    <w:rsid w:val="00F1033A"/>
    <w:rsid w:val="00F115B5"/>
    <w:rsid w:val="00F11BE4"/>
    <w:rsid w:val="00F11C57"/>
    <w:rsid w:val="00F11FB0"/>
    <w:rsid w:val="00F123C3"/>
    <w:rsid w:val="00F12C40"/>
    <w:rsid w:val="00F12C8C"/>
    <w:rsid w:val="00F13157"/>
    <w:rsid w:val="00F13193"/>
    <w:rsid w:val="00F136B2"/>
    <w:rsid w:val="00F13942"/>
    <w:rsid w:val="00F13DFE"/>
    <w:rsid w:val="00F14623"/>
    <w:rsid w:val="00F16002"/>
    <w:rsid w:val="00F16BF3"/>
    <w:rsid w:val="00F16C65"/>
    <w:rsid w:val="00F202C7"/>
    <w:rsid w:val="00F20823"/>
    <w:rsid w:val="00F2090F"/>
    <w:rsid w:val="00F23299"/>
    <w:rsid w:val="00F23638"/>
    <w:rsid w:val="00F238AB"/>
    <w:rsid w:val="00F2397D"/>
    <w:rsid w:val="00F24491"/>
    <w:rsid w:val="00F25955"/>
    <w:rsid w:val="00F25A63"/>
    <w:rsid w:val="00F2703D"/>
    <w:rsid w:val="00F2746C"/>
    <w:rsid w:val="00F27A01"/>
    <w:rsid w:val="00F306C2"/>
    <w:rsid w:val="00F30E46"/>
    <w:rsid w:val="00F31323"/>
    <w:rsid w:val="00F31440"/>
    <w:rsid w:val="00F318FE"/>
    <w:rsid w:val="00F31A60"/>
    <w:rsid w:val="00F3225E"/>
    <w:rsid w:val="00F3232D"/>
    <w:rsid w:val="00F32618"/>
    <w:rsid w:val="00F32A32"/>
    <w:rsid w:val="00F32ECC"/>
    <w:rsid w:val="00F32FEC"/>
    <w:rsid w:val="00F341CA"/>
    <w:rsid w:val="00F3427A"/>
    <w:rsid w:val="00F3474D"/>
    <w:rsid w:val="00F3505A"/>
    <w:rsid w:val="00F4028E"/>
    <w:rsid w:val="00F4065B"/>
    <w:rsid w:val="00F40745"/>
    <w:rsid w:val="00F4137B"/>
    <w:rsid w:val="00F41A1D"/>
    <w:rsid w:val="00F41C6E"/>
    <w:rsid w:val="00F42F19"/>
    <w:rsid w:val="00F431B6"/>
    <w:rsid w:val="00F436FF"/>
    <w:rsid w:val="00F43A4B"/>
    <w:rsid w:val="00F44D98"/>
    <w:rsid w:val="00F44F83"/>
    <w:rsid w:val="00F468A8"/>
    <w:rsid w:val="00F468EA"/>
    <w:rsid w:val="00F47190"/>
    <w:rsid w:val="00F473C5"/>
    <w:rsid w:val="00F501D1"/>
    <w:rsid w:val="00F50302"/>
    <w:rsid w:val="00F50682"/>
    <w:rsid w:val="00F509AF"/>
    <w:rsid w:val="00F51EFF"/>
    <w:rsid w:val="00F526B6"/>
    <w:rsid w:val="00F527CA"/>
    <w:rsid w:val="00F52851"/>
    <w:rsid w:val="00F52BF3"/>
    <w:rsid w:val="00F52E0E"/>
    <w:rsid w:val="00F54164"/>
    <w:rsid w:val="00F54A4A"/>
    <w:rsid w:val="00F550B6"/>
    <w:rsid w:val="00F551AE"/>
    <w:rsid w:val="00F56566"/>
    <w:rsid w:val="00F5728D"/>
    <w:rsid w:val="00F57713"/>
    <w:rsid w:val="00F601ED"/>
    <w:rsid w:val="00F61892"/>
    <w:rsid w:val="00F63361"/>
    <w:rsid w:val="00F63CFB"/>
    <w:rsid w:val="00F63DE0"/>
    <w:rsid w:val="00F65C56"/>
    <w:rsid w:val="00F66C90"/>
    <w:rsid w:val="00F670A8"/>
    <w:rsid w:val="00F6748E"/>
    <w:rsid w:val="00F679A2"/>
    <w:rsid w:val="00F67BEA"/>
    <w:rsid w:val="00F67DAC"/>
    <w:rsid w:val="00F70482"/>
    <w:rsid w:val="00F70D73"/>
    <w:rsid w:val="00F70ED4"/>
    <w:rsid w:val="00F72049"/>
    <w:rsid w:val="00F72EC7"/>
    <w:rsid w:val="00F73399"/>
    <w:rsid w:val="00F74E75"/>
    <w:rsid w:val="00F75FCC"/>
    <w:rsid w:val="00F766F6"/>
    <w:rsid w:val="00F76D5C"/>
    <w:rsid w:val="00F76F2D"/>
    <w:rsid w:val="00F77FD2"/>
    <w:rsid w:val="00F80ADB"/>
    <w:rsid w:val="00F80D6C"/>
    <w:rsid w:val="00F80E27"/>
    <w:rsid w:val="00F8274D"/>
    <w:rsid w:val="00F832E6"/>
    <w:rsid w:val="00F839C7"/>
    <w:rsid w:val="00F8567B"/>
    <w:rsid w:val="00F86F62"/>
    <w:rsid w:val="00F86FF2"/>
    <w:rsid w:val="00F87036"/>
    <w:rsid w:val="00F8732D"/>
    <w:rsid w:val="00F87610"/>
    <w:rsid w:val="00F90D7F"/>
    <w:rsid w:val="00F91B44"/>
    <w:rsid w:val="00F91E37"/>
    <w:rsid w:val="00F91E5A"/>
    <w:rsid w:val="00F92358"/>
    <w:rsid w:val="00F93266"/>
    <w:rsid w:val="00F936DF"/>
    <w:rsid w:val="00F93A0D"/>
    <w:rsid w:val="00F9405D"/>
    <w:rsid w:val="00F95538"/>
    <w:rsid w:val="00F96240"/>
    <w:rsid w:val="00F96D08"/>
    <w:rsid w:val="00F96E29"/>
    <w:rsid w:val="00F96ECA"/>
    <w:rsid w:val="00F977EF"/>
    <w:rsid w:val="00FA0AA9"/>
    <w:rsid w:val="00FA0B0F"/>
    <w:rsid w:val="00FA103D"/>
    <w:rsid w:val="00FA1701"/>
    <w:rsid w:val="00FA1850"/>
    <w:rsid w:val="00FA1F9C"/>
    <w:rsid w:val="00FA3DF6"/>
    <w:rsid w:val="00FA3FBA"/>
    <w:rsid w:val="00FA40B6"/>
    <w:rsid w:val="00FA46FA"/>
    <w:rsid w:val="00FA54B4"/>
    <w:rsid w:val="00FA56BF"/>
    <w:rsid w:val="00FA6E55"/>
    <w:rsid w:val="00FA6F4E"/>
    <w:rsid w:val="00FB09F7"/>
    <w:rsid w:val="00FB0D33"/>
    <w:rsid w:val="00FB1179"/>
    <w:rsid w:val="00FB153C"/>
    <w:rsid w:val="00FB1DE8"/>
    <w:rsid w:val="00FB256F"/>
    <w:rsid w:val="00FB3757"/>
    <w:rsid w:val="00FB37B8"/>
    <w:rsid w:val="00FB37E9"/>
    <w:rsid w:val="00FB4D15"/>
    <w:rsid w:val="00FB5251"/>
    <w:rsid w:val="00FB614A"/>
    <w:rsid w:val="00FB75E4"/>
    <w:rsid w:val="00FB77A5"/>
    <w:rsid w:val="00FB7BDD"/>
    <w:rsid w:val="00FC00A9"/>
    <w:rsid w:val="00FC05AF"/>
    <w:rsid w:val="00FC16DF"/>
    <w:rsid w:val="00FC1E86"/>
    <w:rsid w:val="00FC20B0"/>
    <w:rsid w:val="00FC20D7"/>
    <w:rsid w:val="00FC2833"/>
    <w:rsid w:val="00FC30D1"/>
    <w:rsid w:val="00FC3323"/>
    <w:rsid w:val="00FC380A"/>
    <w:rsid w:val="00FC4DC2"/>
    <w:rsid w:val="00FC56EE"/>
    <w:rsid w:val="00FC5CDD"/>
    <w:rsid w:val="00FC68E2"/>
    <w:rsid w:val="00FC732C"/>
    <w:rsid w:val="00FC7B0F"/>
    <w:rsid w:val="00FC7D0E"/>
    <w:rsid w:val="00FC7D61"/>
    <w:rsid w:val="00FC7FF8"/>
    <w:rsid w:val="00FD035A"/>
    <w:rsid w:val="00FD0755"/>
    <w:rsid w:val="00FD0BF3"/>
    <w:rsid w:val="00FD1BAE"/>
    <w:rsid w:val="00FD20D9"/>
    <w:rsid w:val="00FD2278"/>
    <w:rsid w:val="00FD2389"/>
    <w:rsid w:val="00FD28C2"/>
    <w:rsid w:val="00FD363A"/>
    <w:rsid w:val="00FD46A3"/>
    <w:rsid w:val="00FD4980"/>
    <w:rsid w:val="00FD55CE"/>
    <w:rsid w:val="00FD7406"/>
    <w:rsid w:val="00FD7D3B"/>
    <w:rsid w:val="00FE0081"/>
    <w:rsid w:val="00FE0B51"/>
    <w:rsid w:val="00FE1190"/>
    <w:rsid w:val="00FE12D4"/>
    <w:rsid w:val="00FE3433"/>
    <w:rsid w:val="00FE3970"/>
    <w:rsid w:val="00FE5F7C"/>
    <w:rsid w:val="00FE637F"/>
    <w:rsid w:val="00FF0689"/>
    <w:rsid w:val="00FF1357"/>
    <w:rsid w:val="00FF1926"/>
    <w:rsid w:val="00FF1E39"/>
    <w:rsid w:val="00FF2E24"/>
    <w:rsid w:val="00FF310C"/>
    <w:rsid w:val="00FF3C10"/>
    <w:rsid w:val="00FF444A"/>
    <w:rsid w:val="00FF4C62"/>
    <w:rsid w:val="00FF4D80"/>
    <w:rsid w:val="00FF5EBF"/>
    <w:rsid w:val="00FF6220"/>
    <w:rsid w:val="00FF62F8"/>
    <w:rsid w:val="00FF65FB"/>
    <w:rsid w:val="00FF6AE4"/>
    <w:rsid w:val="00FF6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9775F"/>
  <w15:docId w15:val="{DCFB1A56-6E73-49A9-98BD-EFD7D4AE5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2259AE"/>
    <w:pPr>
      <w:spacing w:before="120" w:after="0" w:line="264" w:lineRule="auto"/>
      <w:jc w:val="both"/>
    </w:pPr>
    <w:rPr>
      <w:rFonts w:ascii="Arial" w:eastAsia="Times New Roman" w:hAnsi="Arial" w:cs="Arial"/>
      <w:szCs w:val="24"/>
      <w:lang w:eastAsia="en-GB"/>
    </w:rPr>
  </w:style>
  <w:style w:type="paragraph" w:styleId="Naslov1">
    <w:name w:val="heading 1"/>
    <w:basedOn w:val="Navaden"/>
    <w:next w:val="Navaden"/>
    <w:link w:val="Naslov1Znak"/>
    <w:uiPriority w:val="9"/>
    <w:qFormat/>
    <w:rsid w:val="00803EB8"/>
    <w:pPr>
      <w:keepNext/>
      <w:numPr>
        <w:numId w:val="149"/>
      </w:numPr>
      <w:tabs>
        <w:tab w:val="left" w:pos="0"/>
      </w:tabs>
      <w:spacing w:before="360" w:line="240" w:lineRule="auto"/>
      <w:outlineLvl w:val="0"/>
    </w:pPr>
    <w:rPr>
      <w:rFonts w:eastAsia="Calibri"/>
      <w:b/>
      <w:sz w:val="24"/>
      <w:szCs w:val="20"/>
      <w:lang w:eastAsia="en-US"/>
    </w:rPr>
  </w:style>
  <w:style w:type="paragraph" w:styleId="Naslov2">
    <w:name w:val="heading 2"/>
    <w:basedOn w:val="Naslov1"/>
    <w:next w:val="Navaden"/>
    <w:link w:val="Naslov2Znak"/>
    <w:uiPriority w:val="9"/>
    <w:qFormat/>
    <w:rsid w:val="00210031"/>
    <w:pPr>
      <w:numPr>
        <w:ilvl w:val="1"/>
      </w:numPr>
      <w:tabs>
        <w:tab w:val="left" w:pos="567"/>
        <w:tab w:val="left" w:pos="1276"/>
      </w:tabs>
      <w:spacing w:before="0"/>
      <w:outlineLvl w:val="1"/>
    </w:pPr>
  </w:style>
  <w:style w:type="paragraph" w:styleId="Naslov3">
    <w:name w:val="heading 3"/>
    <w:basedOn w:val="ZPtekst"/>
    <w:link w:val="Naslov3Znak"/>
    <w:uiPriority w:val="9"/>
    <w:qFormat/>
    <w:rsid w:val="00781AE3"/>
    <w:pPr>
      <w:numPr>
        <w:ilvl w:val="2"/>
        <w:numId w:val="149"/>
      </w:numPr>
      <w:outlineLvl w:val="2"/>
    </w:pPr>
    <w:rPr>
      <w:i/>
      <w:szCs w:val="22"/>
    </w:rPr>
  </w:style>
  <w:style w:type="paragraph" w:styleId="Naslov4">
    <w:name w:val="heading 4"/>
    <w:basedOn w:val="Navaden"/>
    <w:link w:val="Naslov4Znak"/>
    <w:uiPriority w:val="10"/>
    <w:qFormat/>
    <w:rsid w:val="004F7F56"/>
    <w:pPr>
      <w:keepNext/>
      <w:numPr>
        <w:ilvl w:val="3"/>
        <w:numId w:val="149"/>
      </w:numPr>
      <w:tabs>
        <w:tab w:val="left" w:pos="0"/>
        <w:tab w:val="left" w:pos="480"/>
        <w:tab w:val="left" w:pos="906"/>
      </w:tabs>
      <w:outlineLvl w:val="3"/>
    </w:pPr>
    <w:rPr>
      <w:rFonts w:ascii="Times New Roman" w:hAnsi="Times New Roman"/>
      <w:sz w:val="24"/>
    </w:rPr>
  </w:style>
  <w:style w:type="paragraph" w:styleId="Naslov5">
    <w:name w:val="heading 5"/>
    <w:basedOn w:val="Navaden"/>
    <w:next w:val="Navaden"/>
    <w:link w:val="Naslov5Znak"/>
    <w:uiPriority w:val="11"/>
    <w:unhideWhenUsed/>
    <w:qFormat/>
    <w:rsid w:val="00B22C70"/>
    <w:pPr>
      <w:keepNext/>
      <w:keepLines/>
      <w:numPr>
        <w:ilvl w:val="4"/>
        <w:numId w:val="149"/>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nhideWhenUsed/>
    <w:qFormat/>
    <w:rsid w:val="00210031"/>
    <w:pPr>
      <w:keepNext/>
      <w:keepLines/>
      <w:numPr>
        <w:ilvl w:val="5"/>
        <w:numId w:val="149"/>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rsid w:val="00210031"/>
    <w:pPr>
      <w:keepNext/>
      <w:keepLines/>
      <w:numPr>
        <w:ilvl w:val="6"/>
        <w:numId w:val="149"/>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nhideWhenUsed/>
    <w:qFormat/>
    <w:rsid w:val="00210031"/>
    <w:pPr>
      <w:keepNext/>
      <w:keepLines/>
      <w:numPr>
        <w:ilvl w:val="7"/>
        <w:numId w:val="14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nhideWhenUsed/>
    <w:qFormat/>
    <w:rsid w:val="00210031"/>
    <w:pPr>
      <w:keepNext/>
      <w:keepLines/>
      <w:numPr>
        <w:ilvl w:val="8"/>
        <w:numId w:val="14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03EB8"/>
    <w:rPr>
      <w:rFonts w:ascii="Arial" w:eastAsia="Calibri" w:hAnsi="Arial" w:cs="Arial"/>
      <w:b/>
      <w:sz w:val="24"/>
      <w:szCs w:val="20"/>
    </w:rPr>
  </w:style>
  <w:style w:type="character" w:customStyle="1" w:styleId="Naslov2Znak">
    <w:name w:val="Naslov 2 Znak"/>
    <w:basedOn w:val="Privzetapisavaodstavka"/>
    <w:link w:val="Naslov2"/>
    <w:uiPriority w:val="9"/>
    <w:rsid w:val="00210031"/>
    <w:rPr>
      <w:rFonts w:ascii="Arial" w:eastAsia="Calibri" w:hAnsi="Arial" w:cs="Arial"/>
      <w:b/>
      <w:sz w:val="24"/>
      <w:szCs w:val="20"/>
    </w:rPr>
  </w:style>
  <w:style w:type="paragraph" w:customStyle="1" w:styleId="ZPtekst">
    <w:name w:val="ZP_tekst"/>
    <w:basedOn w:val="Navaden"/>
    <w:link w:val="ZPtekstZnak"/>
    <w:qFormat/>
    <w:rsid w:val="004F7F56"/>
  </w:style>
  <w:style w:type="character" w:customStyle="1" w:styleId="ZPtekstZnak">
    <w:name w:val="ZP_tekst Znak"/>
    <w:link w:val="ZPtekst"/>
    <w:rsid w:val="004F7F56"/>
    <w:rPr>
      <w:rFonts w:ascii="Arial" w:eastAsia="Times New Roman" w:hAnsi="Arial" w:cs="Arial"/>
    </w:rPr>
  </w:style>
  <w:style w:type="character" w:customStyle="1" w:styleId="Naslov3Znak">
    <w:name w:val="Naslov 3 Znak"/>
    <w:basedOn w:val="Privzetapisavaodstavka"/>
    <w:link w:val="Naslov3"/>
    <w:uiPriority w:val="9"/>
    <w:rsid w:val="00781AE3"/>
    <w:rPr>
      <w:rFonts w:ascii="Arial" w:eastAsia="Times New Roman" w:hAnsi="Arial" w:cs="Arial"/>
      <w:i/>
      <w:lang w:eastAsia="en-GB"/>
    </w:rPr>
  </w:style>
  <w:style w:type="character" w:customStyle="1" w:styleId="Naslov4Znak">
    <w:name w:val="Naslov 4 Znak"/>
    <w:basedOn w:val="Privzetapisavaodstavka"/>
    <w:link w:val="Naslov4"/>
    <w:uiPriority w:val="10"/>
    <w:rsid w:val="004F7F56"/>
    <w:rPr>
      <w:rFonts w:ascii="Times New Roman" w:eastAsia="Times New Roman" w:hAnsi="Times New Roman" w:cs="Arial"/>
      <w:sz w:val="24"/>
      <w:szCs w:val="24"/>
      <w:lang w:eastAsia="en-GB"/>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887DDE"/>
    <w:pPr>
      <w:ind w:left="720"/>
    </w:pPr>
    <w:rPr>
      <w:rFonts w:ascii="Times New Roman" w:hAnsi="Times New Roman"/>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887DDE"/>
    <w:rPr>
      <w:rFonts w:ascii="Times New Roman" w:eastAsia="Times New Roman" w:hAnsi="Times New Roman" w:cs="Times New Roman"/>
      <w:sz w:val="20"/>
      <w:szCs w:val="20"/>
      <w:lang w:val="en-GB" w:eastAsia="en-GB"/>
    </w:rPr>
  </w:style>
  <w:style w:type="table" w:styleId="Tabelamrea">
    <w:name w:val="Table Grid"/>
    <w:basedOn w:val="Navadnatabela"/>
    <w:uiPriority w:val="59"/>
    <w:rsid w:val="00887DD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rsid w:val="004F7F56"/>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4F7F56"/>
    <w:rPr>
      <w:rFonts w:ascii="Times New Roman" w:eastAsia="Times New Roman" w:hAnsi="Times New Roman" w:cs="Times New Roman"/>
      <w:sz w:val="20"/>
      <w:szCs w:val="20"/>
      <w:lang w:val="en-GB" w:eastAsia="en-GB"/>
    </w:rPr>
  </w:style>
  <w:style w:type="character" w:styleId="Pripombasklic">
    <w:name w:val="annotation reference"/>
    <w:basedOn w:val="Privzetapisavaodstavka"/>
    <w:uiPriority w:val="99"/>
    <w:unhideWhenUsed/>
    <w:rsid w:val="004F7F56"/>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4F7F56"/>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4F7F56"/>
    <w:rPr>
      <w:rFonts w:ascii="Times New Roman" w:eastAsia="Times New Roman" w:hAnsi="Times New Roman" w:cs="Times New Roman"/>
      <w:b/>
      <w:bCs/>
      <w:sz w:val="20"/>
      <w:szCs w:val="20"/>
      <w:lang w:val="en-GB" w:eastAsia="en-GB"/>
    </w:rPr>
  </w:style>
  <w:style w:type="paragraph" w:styleId="Revizija">
    <w:name w:val="Revision"/>
    <w:hidden/>
    <w:uiPriority w:val="99"/>
    <w:semiHidden/>
    <w:rsid w:val="004F7F56"/>
    <w:pPr>
      <w:spacing w:after="0" w:line="240" w:lineRule="auto"/>
    </w:pPr>
  </w:style>
  <w:style w:type="paragraph" w:styleId="Besedilooblaka">
    <w:name w:val="Balloon Text"/>
    <w:basedOn w:val="Navaden"/>
    <w:link w:val="BesedilooblakaZnak"/>
    <w:uiPriority w:val="99"/>
    <w:semiHidden/>
    <w:unhideWhenUsed/>
    <w:rsid w:val="004F7F5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7F56"/>
    <w:rPr>
      <w:rFonts w:ascii="Tahoma" w:hAnsi="Tahoma" w:cs="Tahoma"/>
      <w:sz w:val="16"/>
      <w:szCs w:val="16"/>
    </w:rPr>
  </w:style>
  <w:style w:type="paragraph" w:customStyle="1" w:styleId="ZPpodnapis">
    <w:name w:val="ZP_podnapis"/>
    <w:basedOn w:val="ZPtekst"/>
    <w:next w:val="ZPtekst"/>
    <w:qFormat/>
    <w:rsid w:val="003B14CA"/>
    <w:pPr>
      <w:widowControl w:val="0"/>
      <w:spacing w:after="200"/>
      <w:ind w:left="170" w:hanging="170"/>
      <w:contextualSpacing/>
    </w:pPr>
    <w:rPr>
      <w:sz w:val="16"/>
    </w:rPr>
  </w:style>
  <w:style w:type="paragraph" w:customStyle="1" w:styleId="ZPslikanaslov">
    <w:name w:val="ZP_slika_naslov"/>
    <w:basedOn w:val="Navaden"/>
    <w:qFormat/>
    <w:rsid w:val="003B14CA"/>
    <w:pPr>
      <w:keepNext/>
      <w:keepLines/>
      <w:spacing w:before="240" w:after="80"/>
      <w:jc w:val="center"/>
    </w:pPr>
    <w:rPr>
      <w:i/>
      <w:lang w:eastAsia="sl-SI"/>
    </w:rPr>
  </w:style>
  <w:style w:type="paragraph" w:customStyle="1" w:styleId="SCslika">
    <w:name w:val="SC_slika"/>
    <w:basedOn w:val="Navaden"/>
    <w:qFormat/>
    <w:rsid w:val="00BF3692"/>
    <w:pPr>
      <w:spacing w:before="80" w:after="80"/>
    </w:pPr>
    <w:rPr>
      <w:noProof/>
      <w:lang w:eastAsia="sl-SI"/>
    </w:rPr>
  </w:style>
  <w:style w:type="paragraph" w:customStyle="1" w:styleId="Default">
    <w:name w:val="Default"/>
    <w:rsid w:val="003B5832"/>
    <w:pPr>
      <w:autoSpaceDE w:val="0"/>
      <w:autoSpaceDN w:val="0"/>
      <w:adjustRightInd w:val="0"/>
      <w:spacing w:after="0" w:line="240" w:lineRule="auto"/>
    </w:pPr>
    <w:rPr>
      <w:rFonts w:ascii="Verdana" w:hAnsi="Verdana" w:cs="Verdana"/>
      <w:color w:val="000000"/>
      <w:sz w:val="24"/>
      <w:szCs w:val="24"/>
    </w:rPr>
  </w:style>
  <w:style w:type="paragraph" w:customStyle="1" w:styleId="indicatorkpititle">
    <w:name w:val="indicatorkpititle"/>
    <w:basedOn w:val="Navaden"/>
    <w:rsid w:val="00152530"/>
    <w:pPr>
      <w:spacing w:before="100" w:beforeAutospacing="1" w:after="100" w:afterAutospacing="1"/>
    </w:pPr>
    <w:rPr>
      <w:rFonts w:ascii="Times New Roman" w:hAnsi="Times New Roman"/>
      <w:sz w:val="24"/>
      <w:lang w:eastAsia="sl-SI"/>
    </w:rPr>
  </w:style>
  <w:style w:type="character" w:customStyle="1" w:styleId="TelobesedilaZnak1">
    <w:name w:val="Telo besedila Znak1"/>
    <w:rsid w:val="00152530"/>
    <w:rPr>
      <w:rFonts w:ascii="Arial" w:hAnsi="Arial" w:cs="Arial"/>
      <w:noProof w:val="0"/>
      <w:sz w:val="22"/>
      <w:szCs w:val="22"/>
      <w:lang w:val="sl-SI" w:eastAsia="en-US" w:bidi="ar-SA"/>
    </w:rPr>
  </w:style>
  <w:style w:type="paragraph" w:styleId="Napis">
    <w:name w:val="caption"/>
    <w:basedOn w:val="Navaden"/>
    <w:next w:val="Navaden"/>
    <w:link w:val="NapisZnak"/>
    <w:qFormat/>
    <w:rsid w:val="00747E17"/>
    <w:pPr>
      <w:jc w:val="center"/>
    </w:pPr>
    <w:rPr>
      <w:sz w:val="20"/>
      <w:szCs w:val="2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Char "/>
    <w:basedOn w:val="Navaden"/>
    <w:link w:val="Sprotnaopomba-besediloZnak"/>
    <w:qFormat/>
    <w:rsid w:val="00152530"/>
    <w:pPr>
      <w:ind w:left="714" w:hanging="357"/>
    </w:pPr>
    <w:rPr>
      <w:rFonts w:ascii="Times New Roman" w:hAnsi="Times New Roman"/>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Char  Znak"/>
    <w:basedOn w:val="Privzetapisavaodstavka"/>
    <w:link w:val="Sprotnaopomba-besedilo"/>
    <w:rsid w:val="00152530"/>
    <w:rPr>
      <w:rFonts w:ascii="Times New Roman" w:eastAsia="Times New Roman" w:hAnsi="Times New Roman" w:cs="Times New Roman"/>
      <w:sz w:val="20"/>
      <w:szCs w:val="20"/>
      <w:lang w:val="en-GB" w:eastAsia="en-GB"/>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sid w:val="00152530"/>
    <w:rPr>
      <w:w w:val="100"/>
      <w:sz w:val="20"/>
      <w:szCs w:val="20"/>
      <w:shd w:val="clear" w:color="auto" w:fill="auto"/>
      <w:vertAlign w:val="superscript"/>
    </w:rPr>
  </w:style>
  <w:style w:type="paragraph" w:customStyle="1" w:styleId="ZPpregtekst">
    <w:name w:val="ZP_preg_tekst"/>
    <w:basedOn w:val="Navaden"/>
    <w:next w:val="Navaden"/>
    <w:qFormat/>
    <w:rsid w:val="00152530"/>
    <w:pPr>
      <w:keepNext/>
      <w:keepLines/>
      <w:autoSpaceDE w:val="0"/>
      <w:autoSpaceDN w:val="0"/>
      <w:adjustRightInd w:val="0"/>
    </w:pPr>
    <w:rPr>
      <w:sz w:val="16"/>
      <w:lang w:eastAsia="sl-SI"/>
    </w:rPr>
  </w:style>
  <w:style w:type="paragraph" w:customStyle="1" w:styleId="ZPpregglava">
    <w:name w:val="ZP_preg_glava"/>
    <w:basedOn w:val="ZPpregtekst"/>
    <w:next w:val="ZPpregtekst"/>
    <w:qFormat/>
    <w:rsid w:val="00152530"/>
    <w:pPr>
      <w:spacing w:before="40" w:after="20"/>
      <w:jc w:val="right"/>
      <w:outlineLvl w:val="0"/>
    </w:pPr>
    <w:rPr>
      <w:b/>
    </w:rPr>
  </w:style>
  <w:style w:type="paragraph" w:customStyle="1" w:styleId="ZPpregnaslov">
    <w:name w:val="ZP_preg_naslov"/>
    <w:basedOn w:val="Navaden"/>
    <w:link w:val="ZPpregnaslovZnak"/>
    <w:qFormat/>
    <w:rsid w:val="00152530"/>
    <w:pPr>
      <w:keepNext/>
      <w:keepLines/>
      <w:spacing w:before="200" w:after="80"/>
      <w:ind w:left="1588" w:hanging="1588"/>
      <w:contextualSpacing/>
      <w:outlineLvl w:val="0"/>
    </w:pPr>
    <w:rPr>
      <w:i/>
      <w:szCs w:val="20"/>
      <w:lang w:eastAsia="sl-SI"/>
    </w:rPr>
  </w:style>
  <w:style w:type="character" w:customStyle="1" w:styleId="ZPpregnaslovZnak">
    <w:name w:val="ZP_preg_naslov Znak"/>
    <w:link w:val="ZPpregnaslov"/>
    <w:rsid w:val="00152530"/>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152530"/>
    <w:pPr>
      <w:keepNext/>
      <w:keepLines/>
      <w:autoSpaceDE w:val="0"/>
      <w:autoSpaceDN w:val="0"/>
      <w:adjustRightInd w:val="0"/>
      <w:jc w:val="right"/>
    </w:pPr>
    <w:rPr>
      <w:sz w:val="16"/>
      <w:lang w:eastAsia="sl-SI"/>
    </w:rPr>
  </w:style>
  <w:style w:type="character" w:styleId="Poudarek">
    <w:name w:val="Emphasis"/>
    <w:uiPriority w:val="20"/>
    <w:qFormat/>
    <w:rsid w:val="00152530"/>
    <w:rPr>
      <w:i/>
      <w:iCs/>
    </w:rPr>
  </w:style>
  <w:style w:type="paragraph" w:customStyle="1" w:styleId="1">
    <w:name w:val="1"/>
    <w:basedOn w:val="Navaden"/>
    <w:qFormat/>
    <w:rsid w:val="00152530"/>
    <w:pPr>
      <w:spacing w:line="260" w:lineRule="atLeast"/>
    </w:pPr>
    <w:rPr>
      <w:sz w:val="20"/>
      <w:szCs w:val="20"/>
    </w:rPr>
  </w:style>
  <w:style w:type="paragraph" w:customStyle="1" w:styleId="SlogSprotnaopomba-besediloZnakZnak">
    <w:name w:val="Slog Sprotna opomba - besedilo Znak Znak"/>
    <w:link w:val="SlogSprotnaopomba-besediloZnakZnakZnak"/>
    <w:rsid w:val="00412B83"/>
    <w:pPr>
      <w:spacing w:before="60" w:after="180" w:line="240" w:lineRule="auto"/>
      <w:ind w:left="227" w:hanging="227"/>
      <w:contextualSpacing/>
    </w:pPr>
    <w:rPr>
      <w:rFonts w:ascii="Arial" w:eastAsia="Times New Roman" w:hAnsi="Arial" w:cs="Times New Roman"/>
      <w:sz w:val="16"/>
      <w:szCs w:val="24"/>
    </w:rPr>
  </w:style>
  <w:style w:type="character" w:customStyle="1" w:styleId="SlogSprotnaopomba-besediloZnakZnakZnak">
    <w:name w:val="Slog Sprotna opomba - besedilo Znak Znak Znak"/>
    <w:link w:val="SlogSprotnaopomba-besediloZnakZnak"/>
    <w:rsid w:val="00412B83"/>
    <w:rPr>
      <w:rFonts w:ascii="Arial" w:eastAsia="Times New Roman" w:hAnsi="Arial" w:cs="Times New Roman"/>
      <w:sz w:val="16"/>
      <w:szCs w:val="24"/>
    </w:rPr>
  </w:style>
  <w:style w:type="paragraph" w:styleId="Naslov">
    <w:name w:val="Title"/>
    <w:aliases w:val="naslov velik JOŽI"/>
    <w:basedOn w:val="Navaden"/>
    <w:link w:val="NaslovZnak"/>
    <w:uiPriority w:val="10"/>
    <w:qFormat/>
    <w:rsid w:val="00342449"/>
    <w:pPr>
      <w:jc w:val="center"/>
    </w:pPr>
    <w:rPr>
      <w:rFonts w:eastAsia="Arial"/>
      <w:b/>
      <w:sz w:val="32"/>
      <w:szCs w:val="32"/>
    </w:rPr>
  </w:style>
  <w:style w:type="character" w:customStyle="1" w:styleId="NaslovZnak">
    <w:name w:val="Naslov Znak"/>
    <w:aliases w:val="naslov velik JOŽI Znak"/>
    <w:basedOn w:val="Privzetapisavaodstavka"/>
    <w:link w:val="Naslov"/>
    <w:uiPriority w:val="10"/>
    <w:rsid w:val="00342449"/>
    <w:rPr>
      <w:rFonts w:ascii="Arial" w:eastAsia="Arial" w:hAnsi="Arial" w:cs="Times New Roman"/>
      <w:b/>
      <w:sz w:val="32"/>
      <w:szCs w:val="32"/>
      <w:lang w:val="en-GB" w:eastAsia="en-GB"/>
    </w:rPr>
  </w:style>
  <w:style w:type="character" w:customStyle="1" w:styleId="tlid-translation">
    <w:name w:val="tlid-translation"/>
    <w:basedOn w:val="Privzetapisavaodstavka"/>
    <w:rsid w:val="00EE09EF"/>
  </w:style>
  <w:style w:type="paragraph" w:styleId="Navadensplet">
    <w:name w:val="Normal (Web)"/>
    <w:basedOn w:val="Navaden"/>
    <w:uiPriority w:val="99"/>
    <w:unhideWhenUsed/>
    <w:rsid w:val="002A5D8B"/>
    <w:pPr>
      <w:spacing w:before="100" w:beforeAutospacing="1" w:after="100" w:afterAutospacing="1"/>
    </w:pPr>
    <w:rPr>
      <w:rFonts w:ascii="Times New Roman" w:hAnsi="Times New Roman"/>
      <w:sz w:val="24"/>
      <w:lang w:eastAsia="sl-SI"/>
    </w:rPr>
  </w:style>
  <w:style w:type="character" w:styleId="Krepko">
    <w:name w:val="Strong"/>
    <w:basedOn w:val="Privzetapisavaodstavka"/>
    <w:uiPriority w:val="22"/>
    <w:qFormat/>
    <w:rsid w:val="008F3DED"/>
    <w:rPr>
      <w:b/>
      <w:bCs/>
    </w:rPr>
  </w:style>
  <w:style w:type="character" w:customStyle="1" w:styleId="tableinformationtitle">
    <w:name w:val="tableinformation_title"/>
    <w:basedOn w:val="Privzetapisavaodstavka"/>
    <w:rsid w:val="00D90CC8"/>
  </w:style>
  <w:style w:type="character" w:styleId="Hiperpovezava">
    <w:name w:val="Hyperlink"/>
    <w:basedOn w:val="Privzetapisavaodstavka"/>
    <w:uiPriority w:val="99"/>
    <w:unhideWhenUsed/>
    <w:rsid w:val="001002AC"/>
    <w:rPr>
      <w:color w:val="0000FF" w:themeColor="hyperlink"/>
      <w:u w:val="single"/>
    </w:rPr>
  </w:style>
  <w:style w:type="paragraph" w:styleId="NaslovTOC">
    <w:name w:val="TOC Heading"/>
    <w:basedOn w:val="Naslov1"/>
    <w:next w:val="Navaden"/>
    <w:uiPriority w:val="39"/>
    <w:unhideWhenUsed/>
    <w:qFormat/>
    <w:rsid w:val="0007738B"/>
    <w:pPr>
      <w:keepLines/>
      <w:tabs>
        <w:tab w:val="clear" w:pos="0"/>
      </w:tabs>
      <w:spacing w:before="480" w:line="276" w:lineRule="auto"/>
      <w:jc w:val="left"/>
      <w:outlineLvl w:val="9"/>
    </w:pPr>
    <w:rPr>
      <w:rFonts w:asciiTheme="majorHAnsi" w:eastAsiaTheme="majorEastAsia" w:hAnsiTheme="majorHAnsi" w:cstheme="majorBidi"/>
      <w:bCs/>
      <w:smallCaps/>
      <w:color w:val="365F91" w:themeColor="accent1" w:themeShade="BF"/>
      <w:sz w:val="28"/>
      <w:szCs w:val="28"/>
      <w:lang w:eastAsia="sl-SI"/>
    </w:rPr>
  </w:style>
  <w:style w:type="paragraph" w:styleId="Kazalovsebine1">
    <w:name w:val="toc 1"/>
    <w:basedOn w:val="Navaden"/>
    <w:next w:val="Navaden"/>
    <w:autoRedefine/>
    <w:uiPriority w:val="39"/>
    <w:unhideWhenUsed/>
    <w:rsid w:val="00C92429"/>
    <w:pPr>
      <w:tabs>
        <w:tab w:val="left" w:pos="440"/>
        <w:tab w:val="right" w:leader="dot" w:pos="9062"/>
      </w:tabs>
      <w:spacing w:after="100"/>
    </w:pPr>
    <w:rPr>
      <w:rFonts w:eastAsia="Calibri"/>
      <w:noProof/>
      <w:lang w:eastAsia="en-US"/>
    </w:rPr>
  </w:style>
  <w:style w:type="paragraph" w:styleId="Kazalovsebine2">
    <w:name w:val="toc 2"/>
    <w:basedOn w:val="Navaden"/>
    <w:next w:val="Navaden"/>
    <w:autoRedefine/>
    <w:uiPriority w:val="39"/>
    <w:unhideWhenUsed/>
    <w:rsid w:val="00081CD6"/>
    <w:pPr>
      <w:tabs>
        <w:tab w:val="left" w:pos="880"/>
        <w:tab w:val="right" w:leader="dot" w:pos="9072"/>
      </w:tabs>
      <w:spacing w:after="100"/>
      <w:ind w:left="851" w:right="283" w:hanging="611"/>
    </w:p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CB2CBA"/>
    <w:rPr>
      <w:rFonts w:ascii="Arial" w:hAnsi="Arial"/>
      <w:sz w:val="22"/>
      <w:szCs w:val="24"/>
      <w:lang w:val="sl-SI" w:eastAsia="sl-SI" w:bidi="ar-SA"/>
    </w:rPr>
  </w:style>
  <w:style w:type="paragraph" w:styleId="Kazalovsebine3">
    <w:name w:val="toc 3"/>
    <w:basedOn w:val="Navaden"/>
    <w:next w:val="Navaden"/>
    <w:autoRedefine/>
    <w:uiPriority w:val="39"/>
    <w:unhideWhenUsed/>
    <w:rsid w:val="007536DF"/>
    <w:pPr>
      <w:spacing w:after="100"/>
      <w:ind w:left="440"/>
    </w:pPr>
  </w:style>
  <w:style w:type="paragraph" w:styleId="Glava">
    <w:name w:val="header"/>
    <w:basedOn w:val="Navaden"/>
    <w:link w:val="GlavaZnak"/>
    <w:uiPriority w:val="99"/>
    <w:unhideWhenUsed/>
    <w:rsid w:val="00197491"/>
    <w:pPr>
      <w:tabs>
        <w:tab w:val="center" w:pos="4536"/>
        <w:tab w:val="right" w:pos="9072"/>
      </w:tabs>
    </w:pPr>
  </w:style>
  <w:style w:type="character" w:customStyle="1" w:styleId="GlavaZnak">
    <w:name w:val="Glava Znak"/>
    <w:basedOn w:val="Privzetapisavaodstavka"/>
    <w:link w:val="Glava"/>
    <w:uiPriority w:val="99"/>
    <w:rsid w:val="00197491"/>
    <w:rPr>
      <w:rFonts w:ascii="Arial" w:eastAsia="Times New Roman" w:hAnsi="Arial" w:cs="Times New Roman"/>
      <w:szCs w:val="24"/>
      <w:lang w:val="en-GB" w:eastAsia="en-GB"/>
    </w:rPr>
  </w:style>
  <w:style w:type="paragraph" w:styleId="Noga">
    <w:name w:val="footer"/>
    <w:basedOn w:val="Navaden"/>
    <w:link w:val="NogaZnak"/>
    <w:uiPriority w:val="99"/>
    <w:unhideWhenUsed/>
    <w:rsid w:val="00197491"/>
    <w:pPr>
      <w:tabs>
        <w:tab w:val="center" w:pos="4536"/>
        <w:tab w:val="right" w:pos="9072"/>
      </w:tabs>
    </w:pPr>
  </w:style>
  <w:style w:type="character" w:customStyle="1" w:styleId="NogaZnak">
    <w:name w:val="Noga Znak"/>
    <w:basedOn w:val="Privzetapisavaodstavka"/>
    <w:link w:val="Noga"/>
    <w:uiPriority w:val="99"/>
    <w:rsid w:val="00197491"/>
    <w:rPr>
      <w:rFonts w:ascii="Arial" w:eastAsia="Times New Roman" w:hAnsi="Arial" w:cs="Times New Roman"/>
      <w:szCs w:val="24"/>
      <w:lang w:val="en-GB" w:eastAsia="en-GB"/>
    </w:rPr>
  </w:style>
  <w:style w:type="paragraph" w:customStyle="1" w:styleId="ListBullet1">
    <w:name w:val="List Bullet 1"/>
    <w:basedOn w:val="Navaden"/>
    <w:rsid w:val="0005485C"/>
    <w:pPr>
      <w:numPr>
        <w:numId w:val="2"/>
      </w:numPr>
      <w:ind w:left="0" w:firstLine="0"/>
    </w:pPr>
    <w:rPr>
      <w:rFonts w:ascii="Times New Roman" w:hAnsi="Times New Roman"/>
      <w:sz w:val="24"/>
    </w:rPr>
  </w:style>
  <w:style w:type="paragraph" w:customStyle="1" w:styleId="TAbela0">
    <w:name w:val="TAbela"/>
    <w:basedOn w:val="Navaden"/>
    <w:uiPriority w:val="1"/>
    <w:qFormat/>
    <w:rsid w:val="00F123C3"/>
    <w:rPr>
      <w:rFonts w:eastAsia="Arial"/>
      <w:sz w:val="16"/>
      <w:lang w:eastAsia="en-US"/>
    </w:rPr>
  </w:style>
  <w:style w:type="paragraph" w:customStyle="1" w:styleId="ZPnaslovneov">
    <w:name w:val="ZP_naslov_neoš_vč"/>
    <w:basedOn w:val="Navaden"/>
    <w:next w:val="ZPtekst"/>
    <w:qFormat/>
    <w:rsid w:val="00CA5AFC"/>
    <w:pPr>
      <w:keepNext/>
      <w:autoSpaceDE w:val="0"/>
      <w:autoSpaceDN w:val="0"/>
      <w:adjustRightInd w:val="0"/>
      <w:spacing w:before="240" w:after="240" w:line="240" w:lineRule="auto"/>
      <w:jc w:val="left"/>
    </w:pPr>
    <w:rPr>
      <w:b/>
      <w:sz w:val="24"/>
      <w:lang w:eastAsia="sl-SI"/>
    </w:rPr>
  </w:style>
  <w:style w:type="paragraph" w:customStyle="1" w:styleId="ZPnaslovneom">
    <w:name w:val="ZP_naslov_neoš_mč"/>
    <w:basedOn w:val="Navaden"/>
    <w:next w:val="Navaden"/>
    <w:qFormat/>
    <w:rsid w:val="00EE66D8"/>
    <w:pPr>
      <w:keepNext/>
      <w:autoSpaceDE w:val="0"/>
      <w:autoSpaceDN w:val="0"/>
      <w:adjustRightInd w:val="0"/>
      <w:spacing w:before="240" w:after="120"/>
    </w:pPr>
    <w:rPr>
      <w:b/>
      <w:i/>
      <w:szCs w:val="22"/>
      <w:lang w:eastAsia="sl-SI"/>
    </w:rPr>
  </w:style>
  <w:style w:type="paragraph" w:customStyle="1" w:styleId="Virpodrazpredelnico">
    <w:name w:val="Vir pod razpredelnico"/>
    <w:aliases w:val="sliko ZP"/>
    <w:basedOn w:val="Navaden"/>
    <w:rsid w:val="00EE66D8"/>
    <w:pPr>
      <w:keepNext/>
      <w:keepLines/>
      <w:spacing w:before="60" w:after="240" w:line="240" w:lineRule="auto"/>
      <w:contextualSpacing/>
      <w:jc w:val="left"/>
    </w:pPr>
    <w:rPr>
      <w:rFonts w:cs="Times New Roman"/>
      <w:sz w:val="16"/>
      <w:szCs w:val="20"/>
      <w:lang w:eastAsia="en-US"/>
    </w:rPr>
  </w:style>
  <w:style w:type="paragraph" w:styleId="Kazalovsebine4">
    <w:name w:val="toc 4"/>
    <w:basedOn w:val="Navaden"/>
    <w:next w:val="Navaden"/>
    <w:autoRedefine/>
    <w:uiPriority w:val="39"/>
    <w:unhideWhenUsed/>
    <w:rsid w:val="001E27CC"/>
    <w:pPr>
      <w:spacing w:before="0" w:after="100" w:line="276" w:lineRule="auto"/>
      <w:ind w:left="660"/>
      <w:jc w:val="left"/>
    </w:pPr>
    <w:rPr>
      <w:rFonts w:asciiTheme="minorHAnsi" w:eastAsiaTheme="minorEastAsia" w:hAnsiTheme="minorHAnsi" w:cstheme="minorBidi"/>
      <w:szCs w:val="22"/>
      <w:lang w:eastAsia="sl-SI"/>
    </w:rPr>
  </w:style>
  <w:style w:type="paragraph" w:styleId="Kazalovsebine5">
    <w:name w:val="toc 5"/>
    <w:basedOn w:val="Navaden"/>
    <w:next w:val="Navaden"/>
    <w:autoRedefine/>
    <w:uiPriority w:val="39"/>
    <w:unhideWhenUsed/>
    <w:rsid w:val="001E27CC"/>
    <w:pPr>
      <w:spacing w:before="0" w:after="100" w:line="276" w:lineRule="auto"/>
      <w:ind w:left="880"/>
      <w:jc w:val="left"/>
    </w:pPr>
    <w:rPr>
      <w:rFonts w:asciiTheme="minorHAnsi" w:eastAsiaTheme="minorEastAsia" w:hAnsiTheme="minorHAnsi" w:cstheme="minorBidi"/>
      <w:szCs w:val="22"/>
      <w:lang w:eastAsia="sl-SI"/>
    </w:rPr>
  </w:style>
  <w:style w:type="paragraph" w:styleId="Kazalovsebine6">
    <w:name w:val="toc 6"/>
    <w:basedOn w:val="Navaden"/>
    <w:next w:val="Navaden"/>
    <w:autoRedefine/>
    <w:uiPriority w:val="39"/>
    <w:unhideWhenUsed/>
    <w:rsid w:val="001E27CC"/>
    <w:pPr>
      <w:spacing w:before="0" w:after="100" w:line="276" w:lineRule="auto"/>
      <w:ind w:left="1100"/>
      <w:jc w:val="left"/>
    </w:pPr>
    <w:rPr>
      <w:rFonts w:asciiTheme="minorHAnsi" w:eastAsiaTheme="minorEastAsia" w:hAnsiTheme="minorHAnsi" w:cstheme="minorBidi"/>
      <w:szCs w:val="22"/>
      <w:lang w:eastAsia="sl-SI"/>
    </w:rPr>
  </w:style>
  <w:style w:type="paragraph" w:styleId="Kazalovsebine7">
    <w:name w:val="toc 7"/>
    <w:basedOn w:val="Navaden"/>
    <w:next w:val="Navaden"/>
    <w:autoRedefine/>
    <w:uiPriority w:val="39"/>
    <w:unhideWhenUsed/>
    <w:rsid w:val="001E27CC"/>
    <w:pPr>
      <w:spacing w:before="0" w:after="100" w:line="276" w:lineRule="auto"/>
      <w:ind w:left="1320"/>
      <w:jc w:val="left"/>
    </w:pPr>
    <w:rPr>
      <w:rFonts w:asciiTheme="minorHAnsi" w:eastAsiaTheme="minorEastAsia" w:hAnsiTheme="minorHAnsi" w:cstheme="minorBidi"/>
      <w:szCs w:val="22"/>
      <w:lang w:eastAsia="sl-SI"/>
    </w:rPr>
  </w:style>
  <w:style w:type="paragraph" w:styleId="Kazalovsebine8">
    <w:name w:val="toc 8"/>
    <w:basedOn w:val="Navaden"/>
    <w:next w:val="Navaden"/>
    <w:autoRedefine/>
    <w:uiPriority w:val="39"/>
    <w:unhideWhenUsed/>
    <w:rsid w:val="001E27CC"/>
    <w:pPr>
      <w:spacing w:before="0" w:after="100" w:line="276" w:lineRule="auto"/>
      <w:ind w:left="1540"/>
      <w:jc w:val="left"/>
    </w:pPr>
    <w:rPr>
      <w:rFonts w:asciiTheme="minorHAnsi" w:eastAsiaTheme="minorEastAsia" w:hAnsiTheme="minorHAnsi" w:cstheme="minorBidi"/>
      <w:szCs w:val="22"/>
      <w:lang w:eastAsia="sl-SI"/>
    </w:rPr>
  </w:style>
  <w:style w:type="paragraph" w:styleId="Kazalovsebine9">
    <w:name w:val="toc 9"/>
    <w:basedOn w:val="Navaden"/>
    <w:next w:val="Navaden"/>
    <w:autoRedefine/>
    <w:uiPriority w:val="39"/>
    <w:unhideWhenUsed/>
    <w:rsid w:val="001E27CC"/>
    <w:pPr>
      <w:spacing w:before="0" w:after="100" w:line="276" w:lineRule="auto"/>
      <w:ind w:left="1760"/>
      <w:jc w:val="left"/>
    </w:pPr>
    <w:rPr>
      <w:rFonts w:asciiTheme="minorHAnsi" w:eastAsiaTheme="minorEastAsia" w:hAnsiTheme="minorHAnsi" w:cstheme="minorBidi"/>
      <w:szCs w:val="22"/>
      <w:lang w:eastAsia="sl-SI"/>
    </w:rPr>
  </w:style>
  <w:style w:type="table" w:customStyle="1" w:styleId="Tabelamrea1">
    <w:name w:val="Tabela – mreža1"/>
    <w:basedOn w:val="Navadnatabela"/>
    <w:next w:val="Tabelamrea"/>
    <w:uiPriority w:val="59"/>
    <w:rsid w:val="00B060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0D3C6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D3C63"/>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0D3C63"/>
    <w:rPr>
      <w:vertAlign w:val="superscript"/>
    </w:rPr>
  </w:style>
  <w:style w:type="paragraph" w:customStyle="1" w:styleId="Text1">
    <w:name w:val="Text 1"/>
    <w:basedOn w:val="Navaden"/>
    <w:rsid w:val="007024C8"/>
    <w:pPr>
      <w:spacing w:before="0" w:line="240" w:lineRule="auto"/>
      <w:ind w:left="482"/>
    </w:pPr>
    <w:rPr>
      <w:rFonts w:ascii="Times New Roman" w:hAnsi="Times New Roman" w:cs="Times New Roman"/>
      <w:sz w:val="24"/>
      <w:lang w:val="en-GB"/>
    </w:rPr>
  </w:style>
  <w:style w:type="paragraph" w:customStyle="1" w:styleId="SCSlika0">
    <w:name w:val="SC_Slika"/>
    <w:basedOn w:val="Navaden"/>
    <w:next w:val="Navaden"/>
    <w:link w:val="SCSlikaZnak"/>
    <w:uiPriority w:val="1"/>
    <w:qFormat/>
    <w:rsid w:val="00871B06"/>
    <w:pPr>
      <w:keepNext/>
      <w:spacing w:before="80" w:after="80"/>
    </w:pPr>
  </w:style>
  <w:style w:type="paragraph" w:customStyle="1" w:styleId="SCPreglednica">
    <w:name w:val="SC_Preglednica"/>
    <w:basedOn w:val="Navaden"/>
    <w:next w:val="Navaden"/>
    <w:link w:val="SCPreglednicaZnak"/>
    <w:uiPriority w:val="1"/>
    <w:qFormat/>
    <w:rsid w:val="00304C05"/>
    <w:pPr>
      <w:keepNext/>
    </w:pPr>
  </w:style>
  <w:style w:type="character" w:customStyle="1" w:styleId="NapisZnak">
    <w:name w:val="Napis Znak"/>
    <w:basedOn w:val="Privzetapisavaodstavka"/>
    <w:link w:val="Napis"/>
    <w:rsid w:val="00747E17"/>
    <w:rPr>
      <w:rFonts w:ascii="Arial" w:eastAsia="Times New Roman" w:hAnsi="Arial" w:cs="Arial"/>
      <w:sz w:val="20"/>
      <w:szCs w:val="20"/>
      <w:lang w:eastAsia="en-GB"/>
    </w:rPr>
  </w:style>
  <w:style w:type="character" w:customStyle="1" w:styleId="SCSlikaZnak">
    <w:name w:val="SC_Slika Znak"/>
    <w:basedOn w:val="NapisZnak"/>
    <w:link w:val="SCSlika0"/>
    <w:uiPriority w:val="1"/>
    <w:rsid w:val="00871B06"/>
    <w:rPr>
      <w:rFonts w:ascii="Arial" w:eastAsia="Times New Roman" w:hAnsi="Arial" w:cs="Arial"/>
      <w:sz w:val="20"/>
      <w:szCs w:val="24"/>
      <w:lang w:eastAsia="en-GB"/>
    </w:rPr>
  </w:style>
  <w:style w:type="character" w:customStyle="1" w:styleId="SCPreglednicaZnak">
    <w:name w:val="SC_Preglednica Znak"/>
    <w:basedOn w:val="NapisZnak"/>
    <w:link w:val="SCPreglednica"/>
    <w:uiPriority w:val="1"/>
    <w:rsid w:val="00304C05"/>
    <w:rPr>
      <w:rFonts w:ascii="Arial" w:eastAsia="Times New Roman" w:hAnsi="Arial" w:cs="Arial"/>
      <w:sz w:val="20"/>
      <w:szCs w:val="24"/>
      <w:lang w:eastAsia="en-GB"/>
    </w:rPr>
  </w:style>
  <w:style w:type="paragraph" w:customStyle="1" w:styleId="ZPslika">
    <w:name w:val="ZP_slika"/>
    <w:basedOn w:val="Navaden"/>
    <w:qFormat/>
    <w:rsid w:val="00F91E5A"/>
    <w:pPr>
      <w:spacing w:before="80" w:after="80" w:line="240" w:lineRule="auto"/>
      <w:jc w:val="center"/>
    </w:pPr>
    <w:rPr>
      <w:noProof/>
      <w:sz w:val="16"/>
      <w:szCs w:val="22"/>
      <w:lang w:eastAsia="sl-SI"/>
    </w:rPr>
  </w:style>
  <w:style w:type="paragraph" w:customStyle="1" w:styleId="Preglednica">
    <w:name w:val="Preglednica"/>
    <w:basedOn w:val="Navaden"/>
    <w:link w:val="PreglednicaZnak"/>
    <w:qFormat/>
    <w:rsid w:val="00F91E5A"/>
    <w:pPr>
      <w:keepNext/>
      <w:keepLines/>
      <w:tabs>
        <w:tab w:val="left" w:pos="180"/>
      </w:tabs>
      <w:spacing w:before="0" w:after="120" w:line="240" w:lineRule="auto"/>
    </w:pPr>
    <w:rPr>
      <w:bCs/>
      <w:i/>
      <w:color w:val="000000"/>
      <w:sz w:val="20"/>
      <w:szCs w:val="20"/>
      <w:lang w:eastAsia="en-US"/>
    </w:rPr>
  </w:style>
  <w:style w:type="character" w:customStyle="1" w:styleId="PreglednicaZnak">
    <w:name w:val="Preglednica Znak"/>
    <w:basedOn w:val="Privzetapisavaodstavka"/>
    <w:link w:val="Preglednica"/>
    <w:rsid w:val="00F91E5A"/>
    <w:rPr>
      <w:rFonts w:ascii="Arial" w:eastAsia="Times New Roman" w:hAnsi="Arial" w:cs="Arial"/>
      <w:bCs/>
      <w:i/>
      <w:color w:val="000000"/>
      <w:sz w:val="20"/>
      <w:szCs w:val="20"/>
    </w:rPr>
  </w:style>
  <w:style w:type="paragraph" w:customStyle="1" w:styleId="sporocilo1">
    <w:name w:val="sporocilo1"/>
    <w:basedOn w:val="Navaden"/>
    <w:rsid w:val="007F5A4F"/>
    <w:pPr>
      <w:spacing w:before="100" w:beforeAutospacing="1" w:after="100" w:afterAutospacing="1" w:line="240" w:lineRule="auto"/>
      <w:jc w:val="left"/>
    </w:pPr>
    <w:rPr>
      <w:rFonts w:ascii="Times New Roman" w:hAnsi="Times New Roman" w:cs="Times New Roman"/>
      <w:b/>
      <w:bCs/>
      <w:sz w:val="24"/>
      <w:lang w:val="en-GB"/>
    </w:rPr>
  </w:style>
  <w:style w:type="paragraph" w:customStyle="1" w:styleId="opis1">
    <w:name w:val="opis1"/>
    <w:basedOn w:val="Navaden"/>
    <w:rsid w:val="007F5A4F"/>
    <w:pPr>
      <w:spacing w:before="100" w:beforeAutospacing="1" w:after="100" w:afterAutospacing="1" w:line="240" w:lineRule="auto"/>
      <w:jc w:val="left"/>
    </w:pPr>
    <w:rPr>
      <w:rFonts w:ascii="Times New Roman" w:hAnsi="Times New Roman" w:cs="Times New Roman"/>
      <w:i/>
      <w:iCs/>
      <w:sz w:val="24"/>
      <w:lang w:val="en-GB"/>
    </w:rPr>
  </w:style>
  <w:style w:type="character" w:styleId="SledenaHiperpovezava">
    <w:name w:val="FollowedHyperlink"/>
    <w:basedOn w:val="Privzetapisavaodstavka"/>
    <w:uiPriority w:val="99"/>
    <w:unhideWhenUsed/>
    <w:rsid w:val="00037B95"/>
    <w:rPr>
      <w:color w:val="800080" w:themeColor="followedHyperlink"/>
      <w:u w:val="single"/>
    </w:rPr>
  </w:style>
  <w:style w:type="paragraph" w:styleId="Kazaloslik">
    <w:name w:val="table of figures"/>
    <w:basedOn w:val="Navaden"/>
    <w:next w:val="Navaden"/>
    <w:uiPriority w:val="99"/>
    <w:unhideWhenUsed/>
    <w:rsid w:val="00A45F69"/>
  </w:style>
  <w:style w:type="character" w:customStyle="1" w:styleId="Naslov5Znak">
    <w:name w:val="Naslov 5 Znak"/>
    <w:basedOn w:val="Privzetapisavaodstavka"/>
    <w:link w:val="Naslov5"/>
    <w:uiPriority w:val="11"/>
    <w:rsid w:val="00B22C70"/>
    <w:rPr>
      <w:rFonts w:asciiTheme="majorHAnsi" w:eastAsiaTheme="majorEastAsia" w:hAnsiTheme="majorHAnsi" w:cstheme="majorBidi"/>
      <w:color w:val="243F60" w:themeColor="accent1" w:themeShade="7F"/>
      <w:szCs w:val="24"/>
      <w:lang w:eastAsia="en-GB"/>
    </w:rPr>
  </w:style>
  <w:style w:type="character" w:customStyle="1" w:styleId="largetext">
    <w:name w:val="largetext"/>
    <w:rsid w:val="00261153"/>
  </w:style>
  <w:style w:type="character" w:styleId="Intenzivenpoudarek">
    <w:name w:val="Intense Emphasis"/>
    <w:basedOn w:val="Privzetapisavaodstavka"/>
    <w:uiPriority w:val="21"/>
    <w:qFormat/>
    <w:rsid w:val="00261153"/>
    <w:rPr>
      <w:rFonts w:cs="Times New Roman"/>
      <w:b/>
      <w:bCs/>
      <w:i/>
      <w:iCs/>
      <w:color w:val="4F81BD"/>
    </w:rPr>
  </w:style>
  <w:style w:type="paragraph" w:customStyle="1" w:styleId="odstavek">
    <w:name w:val="odstavek"/>
    <w:basedOn w:val="Navaden"/>
    <w:rsid w:val="00261153"/>
    <w:pPr>
      <w:spacing w:before="100" w:beforeAutospacing="1" w:after="100" w:afterAutospacing="1" w:line="240" w:lineRule="auto"/>
      <w:jc w:val="left"/>
    </w:pPr>
    <w:rPr>
      <w:rFonts w:ascii="Times New Roman" w:hAnsi="Times New Roman" w:cs="Times New Roman"/>
      <w:sz w:val="24"/>
      <w:lang w:eastAsia="sl-SI"/>
    </w:rPr>
  </w:style>
  <w:style w:type="table" w:customStyle="1" w:styleId="TableGrid1">
    <w:name w:val="Table Grid1"/>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avadnatabela"/>
    <w:next w:val="Tabelamrea"/>
    <w:uiPriority w:val="39"/>
    <w:rsid w:val="00B32C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D1B4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A16">
    <w:name w:val="A16"/>
    <w:uiPriority w:val="99"/>
    <w:rsid w:val="00CD0826"/>
    <w:rPr>
      <w:rFonts w:cs="HelveticaNeueLT Pro 55 Roman"/>
      <w:color w:val="000000"/>
      <w:sz w:val="22"/>
      <w:szCs w:val="22"/>
    </w:rPr>
  </w:style>
  <w:style w:type="character" w:customStyle="1" w:styleId="leaf">
    <w:name w:val="leaf"/>
    <w:basedOn w:val="Privzetapisavaodstavka"/>
    <w:rsid w:val="00CF792B"/>
  </w:style>
  <w:style w:type="character" w:customStyle="1" w:styleId="a">
    <w:name w:val="_"/>
    <w:basedOn w:val="Privzetapisavaodstavka"/>
    <w:rsid w:val="0015568F"/>
  </w:style>
  <w:style w:type="character" w:customStyle="1" w:styleId="ff6">
    <w:name w:val="ff6"/>
    <w:basedOn w:val="Privzetapisavaodstavka"/>
    <w:rsid w:val="0015568F"/>
  </w:style>
  <w:style w:type="numbering" w:customStyle="1" w:styleId="Slog1">
    <w:name w:val="Slog1"/>
    <w:uiPriority w:val="99"/>
    <w:rsid w:val="00141712"/>
    <w:pPr>
      <w:numPr>
        <w:numId w:val="121"/>
      </w:numPr>
    </w:pPr>
  </w:style>
  <w:style w:type="numbering" w:customStyle="1" w:styleId="Slog2">
    <w:name w:val="Slog2"/>
    <w:uiPriority w:val="99"/>
    <w:rsid w:val="00141712"/>
    <w:pPr>
      <w:numPr>
        <w:numId w:val="123"/>
      </w:numPr>
    </w:pPr>
  </w:style>
  <w:style w:type="numbering" w:customStyle="1" w:styleId="CILJ2">
    <w:name w:val="CILJ 2"/>
    <w:uiPriority w:val="99"/>
    <w:rsid w:val="00141712"/>
    <w:pPr>
      <w:numPr>
        <w:numId w:val="126"/>
      </w:numPr>
    </w:pPr>
  </w:style>
  <w:style w:type="numbering" w:customStyle="1" w:styleId="CILJ2NOV">
    <w:name w:val="CILJ 2_NOV"/>
    <w:uiPriority w:val="99"/>
    <w:rsid w:val="00141712"/>
    <w:pPr>
      <w:numPr>
        <w:numId w:val="127"/>
      </w:numPr>
    </w:pPr>
  </w:style>
  <w:style w:type="paragraph" w:styleId="Telobesedila">
    <w:name w:val="Body Text"/>
    <w:basedOn w:val="Navaden"/>
    <w:link w:val="TelobesedilaZnak"/>
    <w:rsid w:val="004732CD"/>
    <w:pPr>
      <w:spacing w:before="0" w:line="240" w:lineRule="auto"/>
    </w:pPr>
    <w:rPr>
      <w:rFonts w:ascii="Times New Roman" w:hAnsi="Times New Roman" w:cs="Times New Roman"/>
      <w:sz w:val="24"/>
      <w:szCs w:val="20"/>
      <w:lang w:eastAsia="sl-SI"/>
    </w:rPr>
  </w:style>
  <w:style w:type="character" w:customStyle="1" w:styleId="TelobesedilaZnak">
    <w:name w:val="Telo besedila Znak"/>
    <w:basedOn w:val="Privzetapisavaodstavka"/>
    <w:link w:val="Telobesedila"/>
    <w:rsid w:val="004732CD"/>
    <w:rPr>
      <w:rFonts w:ascii="Times New Roman" w:eastAsia="Times New Roman" w:hAnsi="Times New Roman" w:cs="Times New Roman"/>
      <w:sz w:val="24"/>
      <w:szCs w:val="20"/>
      <w:lang w:eastAsia="sl-SI"/>
    </w:rPr>
  </w:style>
  <w:style w:type="table" w:styleId="Svetelseznampoudarek3">
    <w:name w:val="Light List Accent 3"/>
    <w:basedOn w:val="Navadnatabela"/>
    <w:uiPriority w:val="61"/>
    <w:rsid w:val="001A4858"/>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ulet1">
    <w:name w:val="Bulet 1"/>
    <w:link w:val="Bulet1Znak"/>
    <w:uiPriority w:val="99"/>
    <w:rsid w:val="0051019D"/>
    <w:pPr>
      <w:tabs>
        <w:tab w:val="left" w:pos="284"/>
      </w:tabs>
      <w:spacing w:before="120" w:after="0" w:line="240" w:lineRule="exact"/>
      <w:ind w:left="284" w:hanging="284"/>
      <w:jc w:val="both"/>
    </w:pPr>
    <w:rPr>
      <w:rFonts w:ascii="Calibri" w:eastAsia="Times New Roman" w:hAnsi="Calibri" w:cs="Calibri"/>
      <w:noProof/>
      <w:color w:val="000000"/>
      <w:lang w:eastAsia="sl-SI"/>
    </w:rPr>
  </w:style>
  <w:style w:type="character" w:customStyle="1" w:styleId="Bulet1Znak">
    <w:name w:val="Bulet 1 Znak"/>
    <w:link w:val="Bulet1"/>
    <w:uiPriority w:val="99"/>
    <w:rsid w:val="0051019D"/>
    <w:rPr>
      <w:rFonts w:ascii="Calibri" w:eastAsia="Times New Roman" w:hAnsi="Calibri" w:cs="Calibri"/>
      <w:noProof/>
      <w:color w:val="000000"/>
      <w:lang w:eastAsia="sl-SI"/>
    </w:rPr>
  </w:style>
  <w:style w:type="paragraph" w:customStyle="1" w:styleId="Bulet2">
    <w:name w:val="Bulet 2"/>
    <w:basedOn w:val="Bulet1"/>
    <w:uiPriority w:val="99"/>
    <w:rsid w:val="0051019D"/>
    <w:pPr>
      <w:tabs>
        <w:tab w:val="clear" w:pos="284"/>
        <w:tab w:val="left" w:pos="426"/>
      </w:tabs>
      <w:spacing w:before="60"/>
      <w:ind w:left="426" w:hanging="142"/>
    </w:pPr>
  </w:style>
  <w:style w:type="table" w:customStyle="1" w:styleId="Tabelamrea2">
    <w:name w:val="Tabela – mreža2"/>
    <w:basedOn w:val="Navadnatabela"/>
    <w:next w:val="Tabelamrea"/>
    <w:uiPriority w:val="39"/>
    <w:rsid w:val="0052315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
    <w:name w:val="Vir"/>
    <w:basedOn w:val="Navaden"/>
    <w:autoRedefine/>
    <w:qFormat/>
    <w:rsid w:val="00FC7B0F"/>
    <w:pPr>
      <w:spacing w:before="80" w:after="80" w:line="240" w:lineRule="auto"/>
    </w:pPr>
    <w:rPr>
      <w:rFonts w:eastAsiaTheme="minorHAnsi" w:cstheme="minorBidi"/>
      <w:color w:val="000000" w:themeColor="text1"/>
      <w:sz w:val="16"/>
      <w:szCs w:val="16"/>
      <w:lang w:eastAsia="en-US"/>
    </w:rPr>
  </w:style>
  <w:style w:type="paragraph" w:customStyle="1" w:styleId="Slike">
    <w:name w:val="Slike"/>
    <w:basedOn w:val="Navaden"/>
    <w:next w:val="Navaden"/>
    <w:qFormat/>
    <w:rsid w:val="00FC7B0F"/>
    <w:pPr>
      <w:pBdr>
        <w:top w:val="single" w:sz="4" w:space="1" w:color="auto"/>
        <w:left w:val="single" w:sz="4" w:space="4" w:color="auto"/>
        <w:bottom w:val="single" w:sz="4" w:space="1" w:color="auto"/>
        <w:right w:val="single" w:sz="4" w:space="4" w:color="auto"/>
      </w:pBdr>
      <w:spacing w:before="0" w:line="240" w:lineRule="auto"/>
      <w:jc w:val="center"/>
    </w:pPr>
    <w:rPr>
      <w:rFonts w:eastAsiaTheme="minorHAnsi" w:cstheme="minorBidi"/>
      <w:noProof/>
      <w:color w:val="000000" w:themeColor="text1"/>
      <w:sz w:val="20"/>
      <w:szCs w:val="22"/>
      <w:lang w:eastAsia="sl-SI"/>
    </w:rPr>
  </w:style>
  <w:style w:type="character" w:customStyle="1" w:styleId="A7">
    <w:name w:val="A7"/>
    <w:uiPriority w:val="99"/>
    <w:rsid w:val="005B0214"/>
    <w:rPr>
      <w:rFonts w:cs="Minion Pro"/>
      <w:color w:val="000000"/>
      <w:sz w:val="23"/>
      <w:szCs w:val="23"/>
    </w:rPr>
  </w:style>
  <w:style w:type="character" w:customStyle="1" w:styleId="rightside">
    <w:name w:val="right_side"/>
    <w:basedOn w:val="Privzetapisavaodstavka"/>
    <w:rsid w:val="000B0122"/>
  </w:style>
  <w:style w:type="numbering" w:customStyle="1" w:styleId="CILJ2NOV1">
    <w:name w:val="CILJ 2_NOV1"/>
    <w:uiPriority w:val="99"/>
    <w:rsid w:val="003C45CB"/>
  </w:style>
  <w:style w:type="character" w:customStyle="1" w:styleId="highlight">
    <w:name w:val="highlight"/>
    <w:basedOn w:val="Privzetapisavaodstavka"/>
    <w:rsid w:val="0036007A"/>
  </w:style>
  <w:style w:type="paragraph" w:customStyle="1" w:styleId="Odstavek1">
    <w:name w:val="Odstavek1"/>
    <w:basedOn w:val="Navaden"/>
    <w:link w:val="Odstavek1Znak"/>
    <w:uiPriority w:val="1"/>
    <w:qFormat/>
    <w:rsid w:val="00DD5672"/>
    <w:pPr>
      <w:spacing w:before="0" w:line="276" w:lineRule="auto"/>
    </w:pPr>
    <w:rPr>
      <w:szCs w:val="20"/>
    </w:rPr>
  </w:style>
  <w:style w:type="character" w:customStyle="1" w:styleId="Odstavek1Znak">
    <w:name w:val="Odstavek1 Znak"/>
    <w:basedOn w:val="Privzetapisavaodstavka"/>
    <w:link w:val="Odstavek1"/>
    <w:uiPriority w:val="1"/>
    <w:rsid w:val="00DD5672"/>
    <w:rPr>
      <w:rFonts w:ascii="Arial" w:eastAsia="Times New Roman" w:hAnsi="Arial" w:cs="Arial"/>
      <w:szCs w:val="20"/>
      <w:lang w:eastAsia="en-GB"/>
    </w:rPr>
  </w:style>
  <w:style w:type="character" w:customStyle="1" w:styleId="Naslov6Znak">
    <w:name w:val="Naslov 6 Znak"/>
    <w:basedOn w:val="Privzetapisavaodstavka"/>
    <w:link w:val="Naslov6"/>
    <w:rsid w:val="00210031"/>
    <w:rPr>
      <w:rFonts w:asciiTheme="majorHAnsi" w:eastAsiaTheme="majorEastAsia" w:hAnsiTheme="majorHAnsi" w:cstheme="majorBidi"/>
      <w:color w:val="243F60" w:themeColor="accent1" w:themeShade="7F"/>
      <w:szCs w:val="24"/>
      <w:lang w:eastAsia="en-GB"/>
    </w:rPr>
  </w:style>
  <w:style w:type="character" w:customStyle="1" w:styleId="Naslov7Znak">
    <w:name w:val="Naslov 7 Znak"/>
    <w:basedOn w:val="Privzetapisavaodstavka"/>
    <w:link w:val="Naslov7"/>
    <w:rsid w:val="00210031"/>
    <w:rPr>
      <w:rFonts w:asciiTheme="majorHAnsi" w:eastAsiaTheme="majorEastAsia" w:hAnsiTheme="majorHAnsi" w:cstheme="majorBidi"/>
      <w:i/>
      <w:iCs/>
      <w:color w:val="243F60" w:themeColor="accent1" w:themeShade="7F"/>
      <w:szCs w:val="24"/>
      <w:lang w:eastAsia="en-GB"/>
    </w:rPr>
  </w:style>
  <w:style w:type="character" w:customStyle="1" w:styleId="Naslov8Znak">
    <w:name w:val="Naslov 8 Znak"/>
    <w:basedOn w:val="Privzetapisavaodstavka"/>
    <w:link w:val="Naslov8"/>
    <w:rsid w:val="00210031"/>
    <w:rPr>
      <w:rFonts w:asciiTheme="majorHAnsi" w:eastAsiaTheme="majorEastAsia" w:hAnsiTheme="majorHAnsi" w:cstheme="majorBidi"/>
      <w:color w:val="272727" w:themeColor="text1" w:themeTint="D8"/>
      <w:sz w:val="21"/>
      <w:szCs w:val="21"/>
      <w:lang w:eastAsia="en-GB"/>
    </w:rPr>
  </w:style>
  <w:style w:type="character" w:customStyle="1" w:styleId="Naslov9Znak">
    <w:name w:val="Naslov 9 Znak"/>
    <w:basedOn w:val="Privzetapisavaodstavka"/>
    <w:link w:val="Naslov9"/>
    <w:rsid w:val="00210031"/>
    <w:rPr>
      <w:rFonts w:asciiTheme="majorHAnsi" w:eastAsiaTheme="majorEastAsia" w:hAnsiTheme="majorHAnsi" w:cstheme="majorBidi"/>
      <w:i/>
      <w:iCs/>
      <w:color w:val="272727" w:themeColor="text1" w:themeTint="D8"/>
      <w:sz w:val="21"/>
      <w:szCs w:val="21"/>
      <w:lang w:eastAsia="en-GB"/>
    </w:rPr>
  </w:style>
  <w:style w:type="paragraph" w:customStyle="1" w:styleId="SCPreglednica0">
    <w:name w:val="SC Preglednica"/>
    <w:basedOn w:val="Navaden"/>
    <w:next w:val="Navaden"/>
    <w:link w:val="SCPreglednicaZnak0"/>
    <w:qFormat/>
    <w:rsid w:val="00871B06"/>
    <w:pPr>
      <w:keepNext/>
      <w:spacing w:before="240" w:after="120" w:line="276" w:lineRule="auto"/>
    </w:pPr>
    <w:rPr>
      <w:rFonts w:eastAsiaTheme="minorHAnsi" w:cstheme="minorBidi"/>
      <w:szCs w:val="22"/>
      <w:lang w:eastAsia="en-US"/>
    </w:rPr>
  </w:style>
  <w:style w:type="character" w:customStyle="1" w:styleId="SCPreglednicaZnak0">
    <w:name w:val="SC Preglednica Znak"/>
    <w:basedOn w:val="Privzetapisavaodstavka"/>
    <w:link w:val="SCPreglednica0"/>
    <w:rsid w:val="00871B06"/>
    <w:rPr>
      <w:rFonts w:ascii="Arial" w:hAnsi="Arial"/>
    </w:rPr>
  </w:style>
  <w:style w:type="character" w:customStyle="1" w:styleId="st">
    <w:name w:val="st"/>
    <w:rsid w:val="00CB7BCC"/>
  </w:style>
  <w:style w:type="numbering" w:customStyle="1" w:styleId="Brezseznama1">
    <w:name w:val="Brez seznama1"/>
    <w:next w:val="Brezseznama"/>
    <w:uiPriority w:val="99"/>
    <w:semiHidden/>
    <w:unhideWhenUsed/>
    <w:rsid w:val="00CB7BCC"/>
  </w:style>
  <w:style w:type="paragraph" w:customStyle="1" w:styleId="SCSLIKA1">
    <w:name w:val="SC_SLIKA"/>
    <w:basedOn w:val="Napis"/>
    <w:link w:val="SCSLIKAZnak0"/>
    <w:uiPriority w:val="1"/>
    <w:qFormat/>
    <w:rsid w:val="00CB7BCC"/>
    <w:pPr>
      <w:keepNext/>
      <w:jc w:val="left"/>
    </w:pPr>
    <w:rPr>
      <w:b/>
      <w:sz w:val="16"/>
      <w:szCs w:val="16"/>
    </w:rPr>
  </w:style>
  <w:style w:type="paragraph" w:customStyle="1" w:styleId="SCPREGLEDNICA1">
    <w:name w:val="SC_PREGLEDNICA"/>
    <w:basedOn w:val="Napis"/>
    <w:link w:val="SCPREGLEDNICAZnak1"/>
    <w:uiPriority w:val="1"/>
    <w:qFormat/>
    <w:rsid w:val="00CB7BCC"/>
    <w:pPr>
      <w:keepNext/>
      <w:jc w:val="left"/>
    </w:pPr>
    <w:rPr>
      <w:b/>
      <w:sz w:val="16"/>
      <w:szCs w:val="16"/>
    </w:rPr>
  </w:style>
  <w:style w:type="character" w:customStyle="1" w:styleId="SCSLIKAZnak0">
    <w:name w:val="SC_SLIKA Znak"/>
    <w:basedOn w:val="NapisZnak"/>
    <w:link w:val="SCSLIKA1"/>
    <w:uiPriority w:val="1"/>
    <w:rsid w:val="00CB7BCC"/>
    <w:rPr>
      <w:rFonts w:ascii="Arial" w:eastAsia="Times New Roman" w:hAnsi="Arial" w:cs="Arial"/>
      <w:b/>
      <w:sz w:val="16"/>
      <w:szCs w:val="16"/>
      <w:lang w:eastAsia="en-GB"/>
    </w:rPr>
  </w:style>
  <w:style w:type="character" w:customStyle="1" w:styleId="SCPREGLEDNICAZnak1">
    <w:name w:val="SC_PREGLEDNICA Znak"/>
    <w:basedOn w:val="NapisZnak"/>
    <w:link w:val="SCPREGLEDNICA1"/>
    <w:uiPriority w:val="1"/>
    <w:rsid w:val="00CB7BCC"/>
    <w:rPr>
      <w:rFonts w:ascii="Arial" w:eastAsia="Times New Roman" w:hAnsi="Arial" w:cs="Arial"/>
      <w:b/>
      <w:sz w:val="16"/>
      <w:szCs w:val="16"/>
      <w:lang w:eastAsia="en-GB"/>
    </w:rPr>
  </w:style>
  <w:style w:type="paragraph" w:customStyle="1" w:styleId="TableContents">
    <w:name w:val="Table Contents"/>
    <w:basedOn w:val="Navaden"/>
    <w:rsid w:val="00CB7BCC"/>
    <w:pPr>
      <w:suppressLineNumbers/>
      <w:suppressAutoHyphens/>
      <w:autoSpaceDN w:val="0"/>
      <w:spacing w:before="0" w:line="240" w:lineRule="auto"/>
      <w:jc w:val="left"/>
      <w:textAlignment w:val="baseline"/>
    </w:pPr>
    <w:rPr>
      <w:rFonts w:ascii="Liberation Serif" w:eastAsia="SimSun" w:hAnsi="Liberation Serif"/>
      <w:kern w:val="3"/>
      <w:sz w:val="24"/>
      <w:lang w:eastAsia="zh-CN" w:bidi="hi-IN"/>
    </w:rPr>
  </w:style>
  <w:style w:type="character" w:styleId="HTML-citat">
    <w:name w:val="HTML Cite"/>
    <w:basedOn w:val="Privzetapisavaodstavka"/>
    <w:uiPriority w:val="99"/>
    <w:semiHidden/>
    <w:unhideWhenUsed/>
    <w:rsid w:val="00CB7BCC"/>
    <w:rPr>
      <w:i w:val="0"/>
      <w:iCs w:val="0"/>
      <w:color w:val="006D21"/>
    </w:rPr>
  </w:style>
  <w:style w:type="paragraph" w:styleId="HTML-oblikovano">
    <w:name w:val="HTML Preformatted"/>
    <w:basedOn w:val="Navaden"/>
    <w:link w:val="HTML-oblikovanoZnak"/>
    <w:uiPriority w:val="99"/>
    <w:unhideWhenUsed/>
    <w:rsid w:val="00CB7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rsid w:val="00CB7BCC"/>
    <w:rPr>
      <w:rFonts w:ascii="Courier New" w:eastAsia="Times New Roman" w:hAnsi="Courier New" w:cs="Courier New"/>
      <w:sz w:val="20"/>
      <w:szCs w:val="20"/>
      <w:lang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CB7BCC"/>
    <w:pPr>
      <w:widowControl w:val="0"/>
      <w:adjustRightInd w:val="0"/>
      <w:spacing w:before="0" w:after="160" w:line="240" w:lineRule="exact"/>
      <w:textAlignment w:val="baseline"/>
    </w:pPr>
    <w:rPr>
      <w:rFonts w:ascii="Tahoma" w:hAnsi="Tahoma" w:cs="Tahoma"/>
      <w:sz w:val="20"/>
      <w:szCs w:val="20"/>
      <w:lang w:val="en-US" w:eastAsia="en-US"/>
    </w:rPr>
  </w:style>
  <w:style w:type="character" w:customStyle="1" w:styleId="FontStyle54">
    <w:name w:val="Font Style54"/>
    <w:basedOn w:val="Privzetapisavaodstavka"/>
    <w:uiPriority w:val="99"/>
    <w:rsid w:val="00CB7BCC"/>
    <w:rPr>
      <w:rFonts w:ascii="Arial" w:hAnsi="Arial" w:cs="Arial"/>
      <w:color w:val="000000"/>
      <w:sz w:val="16"/>
      <w:szCs w:val="16"/>
    </w:rPr>
  </w:style>
  <w:style w:type="paragraph" w:customStyle="1" w:styleId="Style6">
    <w:name w:val="Style6"/>
    <w:basedOn w:val="Navaden"/>
    <w:uiPriority w:val="99"/>
    <w:rsid w:val="00CB7BCC"/>
    <w:pPr>
      <w:widowControl w:val="0"/>
      <w:autoSpaceDE w:val="0"/>
      <w:autoSpaceDN w:val="0"/>
      <w:adjustRightInd w:val="0"/>
      <w:spacing w:before="0" w:line="221" w:lineRule="exact"/>
    </w:pPr>
    <w:rPr>
      <w:rFonts w:eastAsiaTheme="minorEastAsia"/>
      <w:sz w:val="24"/>
      <w:lang w:val="en-GB" w:eastAsia="sl-SI"/>
    </w:rPr>
  </w:style>
  <w:style w:type="paragraph" w:customStyle="1" w:styleId="Style46">
    <w:name w:val="Style46"/>
    <w:basedOn w:val="Navaden"/>
    <w:uiPriority w:val="99"/>
    <w:rsid w:val="00CB7BCC"/>
    <w:pPr>
      <w:widowControl w:val="0"/>
      <w:autoSpaceDE w:val="0"/>
      <w:autoSpaceDN w:val="0"/>
      <w:adjustRightInd w:val="0"/>
      <w:spacing w:before="0" w:line="182" w:lineRule="exact"/>
      <w:ind w:firstLine="2222"/>
      <w:jc w:val="left"/>
    </w:pPr>
    <w:rPr>
      <w:rFonts w:eastAsiaTheme="minorEastAsia"/>
      <w:sz w:val="24"/>
      <w:lang w:val="en-GB" w:eastAsia="sl-SI"/>
    </w:rPr>
  </w:style>
  <w:style w:type="character" w:customStyle="1" w:styleId="FontStyle57">
    <w:name w:val="Font Style57"/>
    <w:basedOn w:val="Privzetapisavaodstavka"/>
    <w:uiPriority w:val="99"/>
    <w:rsid w:val="00CB7BCC"/>
    <w:rPr>
      <w:rFonts w:ascii="Arial" w:hAnsi="Arial" w:cs="Arial"/>
      <w:b/>
      <w:bCs/>
      <w:color w:val="000000"/>
      <w:sz w:val="16"/>
      <w:szCs w:val="16"/>
    </w:rPr>
  </w:style>
  <w:style w:type="paragraph" w:styleId="Blokbesedila">
    <w:name w:val="Block Text"/>
    <w:basedOn w:val="Navaden"/>
    <w:rsid w:val="00CB7BCC"/>
    <w:pPr>
      <w:spacing w:before="0" w:line="240" w:lineRule="auto"/>
      <w:ind w:left="1440" w:right="1440"/>
    </w:pPr>
    <w:rPr>
      <w:rFonts w:ascii="Times New Roman" w:hAnsi="Times New Roman" w:cs="Times New Roman"/>
      <w:sz w:val="24"/>
      <w:lang w:val="en-GB"/>
    </w:rPr>
  </w:style>
  <w:style w:type="paragraph" w:customStyle="1" w:styleId="SlogNaslovtabeleLevo0cmVisee1cm">
    <w:name w:val="Slog Naslov tabele + Levo:  0 cm Viseče:  1 cm"/>
    <w:basedOn w:val="Navaden"/>
    <w:rsid w:val="00CB7BCC"/>
    <w:pPr>
      <w:autoSpaceDE w:val="0"/>
      <w:autoSpaceDN w:val="0"/>
      <w:adjustRightInd w:val="0"/>
      <w:spacing w:after="60" w:line="240" w:lineRule="auto"/>
      <w:ind w:left="454" w:hanging="454"/>
      <w:jc w:val="left"/>
    </w:pPr>
    <w:rPr>
      <w:rFonts w:cs="Times New Roman"/>
      <w:i/>
      <w:iCs/>
      <w:sz w:val="20"/>
      <w:szCs w:val="20"/>
      <w:lang w:eastAsia="sl-SI"/>
    </w:rPr>
  </w:style>
  <w:style w:type="paragraph" w:customStyle="1" w:styleId="Naslov31">
    <w:name w:val="Naslov 3."/>
    <w:basedOn w:val="Naslov4"/>
    <w:link w:val="Naslov3Znak0"/>
    <w:uiPriority w:val="1"/>
    <w:qFormat/>
    <w:rsid w:val="00CB7BCC"/>
    <w:pPr>
      <w:numPr>
        <w:ilvl w:val="0"/>
        <w:numId w:val="0"/>
      </w:numPr>
      <w:tabs>
        <w:tab w:val="clear" w:pos="906"/>
        <w:tab w:val="left" w:pos="360"/>
        <w:tab w:val="left" w:pos="851"/>
      </w:tabs>
      <w:ind w:left="1200" w:hanging="840"/>
    </w:pPr>
    <w:rPr>
      <w:rFonts w:ascii="Arial" w:hAnsi="Arial"/>
      <w:i/>
      <w:color w:val="92D050"/>
      <w:sz w:val="20"/>
      <w:szCs w:val="20"/>
    </w:rPr>
  </w:style>
  <w:style w:type="paragraph" w:customStyle="1" w:styleId="Naslov310">
    <w:name w:val="Naslov3.1"/>
    <w:basedOn w:val="Naslov31"/>
    <w:link w:val="Naslov31Znak"/>
    <w:uiPriority w:val="1"/>
    <w:qFormat/>
    <w:rsid w:val="00CB7BCC"/>
    <w:pPr>
      <w:ind w:left="851" w:hanging="851"/>
    </w:pPr>
    <w:rPr>
      <w:rFonts w:eastAsia="Calibri"/>
    </w:rPr>
  </w:style>
  <w:style w:type="character" w:customStyle="1" w:styleId="Naslov3Znak0">
    <w:name w:val="Naslov 3. Znak"/>
    <w:basedOn w:val="Naslov4Znak"/>
    <w:link w:val="Naslov31"/>
    <w:uiPriority w:val="1"/>
    <w:rsid w:val="00CB7BCC"/>
    <w:rPr>
      <w:rFonts w:ascii="Arial" w:eastAsia="Times New Roman" w:hAnsi="Arial" w:cs="Arial"/>
      <w:i/>
      <w:color w:val="92D050"/>
      <w:sz w:val="20"/>
      <w:szCs w:val="20"/>
      <w:lang w:eastAsia="en-GB"/>
    </w:rPr>
  </w:style>
  <w:style w:type="paragraph" w:customStyle="1" w:styleId="Naslov32">
    <w:name w:val="Naslov 3.2"/>
    <w:basedOn w:val="Naslov31"/>
    <w:link w:val="Naslov32Znak"/>
    <w:uiPriority w:val="1"/>
    <w:qFormat/>
    <w:rsid w:val="00CB7BCC"/>
    <w:pPr>
      <w:ind w:left="851" w:hanging="851"/>
    </w:pPr>
  </w:style>
  <w:style w:type="character" w:customStyle="1" w:styleId="Naslov31Znak">
    <w:name w:val="Naslov3.1 Znak"/>
    <w:basedOn w:val="Naslov3Znak0"/>
    <w:link w:val="Naslov310"/>
    <w:uiPriority w:val="1"/>
    <w:rsid w:val="00CB7BCC"/>
    <w:rPr>
      <w:rFonts w:ascii="Arial" w:eastAsia="Calibri" w:hAnsi="Arial" w:cs="Arial"/>
      <w:i/>
      <w:color w:val="92D050"/>
      <w:sz w:val="20"/>
      <w:szCs w:val="20"/>
      <w:lang w:eastAsia="en-GB"/>
    </w:rPr>
  </w:style>
  <w:style w:type="character" w:customStyle="1" w:styleId="Naslov32Znak">
    <w:name w:val="Naslov 3.2 Znak"/>
    <w:basedOn w:val="Naslov3Znak0"/>
    <w:link w:val="Naslov32"/>
    <w:uiPriority w:val="1"/>
    <w:rsid w:val="00CB7BCC"/>
    <w:rPr>
      <w:rFonts w:ascii="Arial" w:eastAsia="Times New Roman" w:hAnsi="Arial" w:cs="Arial"/>
      <w:i/>
      <w:color w:val="92D050"/>
      <w:sz w:val="20"/>
      <w:szCs w:val="20"/>
      <w:lang w:eastAsia="en-GB"/>
    </w:rPr>
  </w:style>
  <w:style w:type="paragraph" w:customStyle="1" w:styleId="NASLOV30">
    <w:name w:val="NASLOV3"/>
    <w:basedOn w:val="Odstavekseznama"/>
    <w:link w:val="NASLOV3Znak1"/>
    <w:uiPriority w:val="1"/>
    <w:qFormat/>
    <w:rsid w:val="00CB7BCC"/>
    <w:pPr>
      <w:keepNext/>
      <w:keepLines/>
      <w:numPr>
        <w:numId w:val="154"/>
      </w:numPr>
      <w:spacing w:before="0" w:line="240" w:lineRule="auto"/>
      <w:ind w:left="709" w:hanging="709"/>
    </w:pPr>
    <w:rPr>
      <w:rFonts w:ascii="Arial" w:hAnsi="Arial"/>
      <w:lang w:val="en-GB"/>
    </w:rPr>
  </w:style>
  <w:style w:type="paragraph" w:customStyle="1" w:styleId="Naslov33">
    <w:name w:val="Naslov3.3"/>
    <w:basedOn w:val="Naslov2"/>
    <w:link w:val="Naslov33Znak"/>
    <w:uiPriority w:val="1"/>
    <w:qFormat/>
    <w:rsid w:val="00CB7BCC"/>
    <w:pPr>
      <w:keepLines/>
      <w:numPr>
        <w:numId w:val="155"/>
      </w:numPr>
      <w:spacing w:after="120"/>
      <w:ind w:left="709" w:hanging="709"/>
    </w:pPr>
    <w:rPr>
      <w:rFonts w:eastAsia="Times New Roman"/>
      <w:b w:val="0"/>
      <w:color w:val="92D050"/>
    </w:rPr>
  </w:style>
  <w:style w:type="character" w:customStyle="1" w:styleId="NASLOV3Znak1">
    <w:name w:val="NASLOV3 Znak"/>
    <w:basedOn w:val="OdstavekseznamaZnak"/>
    <w:link w:val="NASLOV30"/>
    <w:uiPriority w:val="1"/>
    <w:rsid w:val="00CB7BCC"/>
    <w:rPr>
      <w:rFonts w:ascii="Arial" w:eastAsia="Times New Roman" w:hAnsi="Arial" w:cs="Arial"/>
      <w:sz w:val="20"/>
      <w:szCs w:val="20"/>
      <w:lang w:val="en-GB" w:eastAsia="en-GB"/>
    </w:rPr>
  </w:style>
  <w:style w:type="paragraph" w:customStyle="1" w:styleId="Naslov330">
    <w:name w:val="Naslov 3.3"/>
    <w:basedOn w:val="Naslov33"/>
    <w:link w:val="Naslov33Znak0"/>
    <w:uiPriority w:val="1"/>
    <w:qFormat/>
    <w:rsid w:val="00CB7BCC"/>
  </w:style>
  <w:style w:type="character" w:customStyle="1" w:styleId="Naslov33Znak">
    <w:name w:val="Naslov3.3 Znak"/>
    <w:basedOn w:val="Naslov2Znak"/>
    <w:link w:val="Naslov33"/>
    <w:uiPriority w:val="1"/>
    <w:rsid w:val="00CB7BCC"/>
    <w:rPr>
      <w:rFonts w:ascii="Arial" w:eastAsia="Times New Roman" w:hAnsi="Arial" w:cs="Arial"/>
      <w:b w:val="0"/>
      <w:color w:val="92D050"/>
      <w:sz w:val="24"/>
      <w:szCs w:val="20"/>
    </w:rPr>
  </w:style>
  <w:style w:type="character" w:customStyle="1" w:styleId="Naslov33Znak0">
    <w:name w:val="Naslov 3.3 Znak"/>
    <w:basedOn w:val="Naslov33Znak"/>
    <w:link w:val="Naslov330"/>
    <w:uiPriority w:val="1"/>
    <w:rsid w:val="00CB7BCC"/>
    <w:rPr>
      <w:rFonts w:ascii="Arial" w:eastAsia="Times New Roman" w:hAnsi="Arial" w:cs="Arial"/>
      <w:b w:val="0"/>
      <w:color w:val="92D050"/>
      <w:sz w:val="24"/>
      <w:szCs w:val="20"/>
    </w:rPr>
  </w:style>
  <w:style w:type="paragraph" w:customStyle="1" w:styleId="SLIKA">
    <w:name w:val="SLIKA"/>
    <w:basedOn w:val="Navaden"/>
    <w:link w:val="SLIKAZnak"/>
    <w:rsid w:val="00CB7BCC"/>
    <w:pPr>
      <w:numPr>
        <w:numId w:val="153"/>
      </w:numPr>
      <w:spacing w:line="240" w:lineRule="auto"/>
      <w:ind w:left="426" w:hanging="284"/>
    </w:pPr>
    <w:rPr>
      <w:b/>
      <w:sz w:val="20"/>
      <w:szCs w:val="20"/>
    </w:rPr>
  </w:style>
  <w:style w:type="character" w:customStyle="1" w:styleId="SLIKAZnak">
    <w:name w:val="SLIKA Znak"/>
    <w:basedOn w:val="Privzetapisavaodstavka"/>
    <w:link w:val="SLIKA"/>
    <w:rsid w:val="00CB7BCC"/>
    <w:rPr>
      <w:rFonts w:ascii="Arial" w:eastAsia="Times New Roman" w:hAnsi="Arial" w:cs="Arial"/>
      <w:b/>
      <w:sz w:val="20"/>
      <w:szCs w:val="20"/>
      <w:lang w:eastAsia="en-GB"/>
    </w:rPr>
  </w:style>
  <w:style w:type="paragraph" w:styleId="Brezrazmikov">
    <w:name w:val="No Spacing"/>
    <w:aliases w:val="navaden bold JOŽI"/>
    <w:link w:val="BrezrazmikovZnak"/>
    <w:uiPriority w:val="1"/>
    <w:qFormat/>
    <w:rsid w:val="00CB7BCC"/>
    <w:pPr>
      <w:spacing w:after="0" w:line="240" w:lineRule="auto"/>
    </w:pPr>
    <w:rPr>
      <w:rFonts w:ascii="Calibri" w:eastAsia="Calibri" w:hAnsi="Calibri" w:cs="Times New Roman"/>
      <w:sz w:val="20"/>
      <w:lang w:val="en-GB" w:eastAsia="en-GB"/>
    </w:rPr>
  </w:style>
  <w:style w:type="paragraph" w:styleId="Podnaslov">
    <w:name w:val="Subtitle"/>
    <w:aliases w:val="podnaslov JOŽI"/>
    <w:basedOn w:val="Navaden"/>
    <w:link w:val="PodnaslovZnak"/>
    <w:uiPriority w:val="11"/>
    <w:qFormat/>
    <w:rsid w:val="00CB7BCC"/>
    <w:pPr>
      <w:spacing w:before="0" w:line="240" w:lineRule="auto"/>
      <w:jc w:val="center"/>
    </w:pPr>
    <w:rPr>
      <w:rFonts w:eastAsia="Arial" w:cs="Times New Roman"/>
      <w:sz w:val="20"/>
      <w:szCs w:val="20"/>
    </w:rPr>
  </w:style>
  <w:style w:type="character" w:customStyle="1" w:styleId="PodnaslovZnak">
    <w:name w:val="Podnaslov Znak"/>
    <w:aliases w:val="podnaslov JOŽI Znak"/>
    <w:basedOn w:val="Privzetapisavaodstavka"/>
    <w:link w:val="Podnaslov"/>
    <w:uiPriority w:val="11"/>
    <w:rsid w:val="00CB7BCC"/>
    <w:rPr>
      <w:rFonts w:ascii="Arial" w:eastAsia="Arial" w:hAnsi="Arial" w:cs="Times New Roman"/>
      <w:sz w:val="20"/>
      <w:szCs w:val="20"/>
      <w:lang w:eastAsia="en-GB"/>
    </w:rPr>
  </w:style>
  <w:style w:type="character" w:styleId="Neenpoudarek">
    <w:name w:val="Subtle Emphasis"/>
    <w:basedOn w:val="Privzetapisavaodstavka"/>
    <w:uiPriority w:val="17"/>
    <w:qFormat/>
    <w:rsid w:val="00CB7BCC"/>
    <w:rPr>
      <w:i/>
      <w:color w:val="808080" w:themeColor="text1" w:themeTint="7F"/>
      <w:w w:val="100"/>
      <w:sz w:val="20"/>
      <w:szCs w:val="20"/>
      <w:shd w:val="clear" w:color="auto" w:fill="auto"/>
    </w:rPr>
  </w:style>
  <w:style w:type="paragraph" w:customStyle="1" w:styleId="Text2">
    <w:name w:val="Text 2"/>
    <w:basedOn w:val="Navaden"/>
    <w:link w:val="Text2Char"/>
    <w:rsid w:val="00CB7BCC"/>
    <w:pPr>
      <w:tabs>
        <w:tab w:val="left" w:pos="2160"/>
      </w:tabs>
      <w:spacing w:before="0" w:line="240" w:lineRule="auto"/>
      <w:ind w:left="1077"/>
    </w:pPr>
    <w:rPr>
      <w:rFonts w:ascii="Times New Roman" w:hAnsi="Times New Roman" w:cs="Times New Roman"/>
      <w:sz w:val="24"/>
    </w:rPr>
  </w:style>
  <w:style w:type="paragraph" w:customStyle="1" w:styleId="Text3">
    <w:name w:val="Text 3"/>
    <w:basedOn w:val="Navaden"/>
    <w:qFormat/>
    <w:rsid w:val="00CB7BCC"/>
    <w:pPr>
      <w:tabs>
        <w:tab w:val="left" w:pos="2302"/>
      </w:tabs>
      <w:spacing w:before="0" w:line="240" w:lineRule="auto"/>
      <w:ind w:left="1916"/>
    </w:pPr>
    <w:rPr>
      <w:rFonts w:ascii="Times New Roman" w:hAnsi="Times New Roman" w:cs="Times New Roman"/>
      <w:sz w:val="24"/>
    </w:rPr>
  </w:style>
  <w:style w:type="paragraph" w:customStyle="1" w:styleId="Text4">
    <w:name w:val="Text 4"/>
    <w:basedOn w:val="Navaden"/>
    <w:rsid w:val="00CB7BCC"/>
    <w:pPr>
      <w:spacing w:before="0" w:line="240" w:lineRule="auto"/>
      <w:ind w:left="2880"/>
    </w:pPr>
    <w:rPr>
      <w:rFonts w:ascii="Times New Roman" w:hAnsi="Times New Roman" w:cs="Times New Roman"/>
      <w:sz w:val="24"/>
    </w:rPr>
  </w:style>
  <w:style w:type="paragraph" w:customStyle="1" w:styleId="Address">
    <w:name w:val="Address"/>
    <w:basedOn w:val="Navaden"/>
    <w:rsid w:val="00CB7BCC"/>
    <w:pPr>
      <w:spacing w:before="0" w:line="240" w:lineRule="auto"/>
    </w:pPr>
    <w:rPr>
      <w:rFonts w:ascii="Times New Roman" w:hAnsi="Times New Roman" w:cs="Times New Roman"/>
      <w:sz w:val="24"/>
    </w:rPr>
  </w:style>
  <w:style w:type="paragraph" w:customStyle="1" w:styleId="AddressTL">
    <w:name w:val="AddressTL"/>
    <w:basedOn w:val="Navaden"/>
    <w:next w:val="Navaden"/>
    <w:rsid w:val="00CB7BCC"/>
    <w:pPr>
      <w:spacing w:before="0" w:line="240" w:lineRule="auto"/>
    </w:pPr>
    <w:rPr>
      <w:rFonts w:ascii="Times New Roman" w:hAnsi="Times New Roman" w:cs="Times New Roman"/>
      <w:sz w:val="24"/>
    </w:rPr>
  </w:style>
  <w:style w:type="paragraph" w:customStyle="1" w:styleId="AddressTR">
    <w:name w:val="AddressTR"/>
    <w:basedOn w:val="Navaden"/>
    <w:next w:val="Navaden"/>
    <w:rsid w:val="00CB7BCC"/>
    <w:pPr>
      <w:spacing w:before="0" w:line="240" w:lineRule="auto"/>
      <w:ind w:left="5103"/>
    </w:pPr>
    <w:rPr>
      <w:rFonts w:ascii="Times New Roman" w:hAnsi="Times New Roman" w:cs="Times New Roman"/>
      <w:sz w:val="24"/>
    </w:rPr>
  </w:style>
  <w:style w:type="paragraph" w:styleId="Telobesedila2">
    <w:name w:val="Body Text 2"/>
    <w:basedOn w:val="Navaden"/>
    <w:link w:val="Telobesedila2Znak"/>
    <w:rsid w:val="00CB7BCC"/>
    <w:pPr>
      <w:spacing w:before="0" w:line="240" w:lineRule="auto"/>
    </w:pPr>
    <w:rPr>
      <w:rFonts w:ascii="Times New Roman" w:hAnsi="Times New Roman" w:cs="Times New Roman"/>
      <w:sz w:val="24"/>
    </w:rPr>
  </w:style>
  <w:style w:type="character" w:customStyle="1" w:styleId="Telobesedila2Znak">
    <w:name w:val="Telo besedila 2 Znak"/>
    <w:basedOn w:val="Privzetapisavaodstavka"/>
    <w:link w:val="Telobesedila2"/>
    <w:rsid w:val="00CB7BCC"/>
    <w:rPr>
      <w:rFonts w:ascii="Times New Roman" w:eastAsia="Times New Roman" w:hAnsi="Times New Roman" w:cs="Times New Roman"/>
      <w:sz w:val="24"/>
      <w:szCs w:val="24"/>
      <w:lang w:eastAsia="en-GB"/>
    </w:rPr>
  </w:style>
  <w:style w:type="paragraph" w:styleId="Telobesedila3">
    <w:name w:val="Body Text 3"/>
    <w:basedOn w:val="Navaden"/>
    <w:link w:val="Telobesedila3Znak"/>
    <w:rsid w:val="00CB7BCC"/>
    <w:pPr>
      <w:spacing w:before="0" w:line="240" w:lineRule="auto"/>
    </w:pPr>
    <w:rPr>
      <w:rFonts w:ascii="Times New Roman" w:hAnsi="Times New Roman" w:cs="Times New Roman"/>
      <w:sz w:val="16"/>
      <w:szCs w:val="16"/>
    </w:rPr>
  </w:style>
  <w:style w:type="character" w:customStyle="1" w:styleId="Telobesedila3Znak">
    <w:name w:val="Telo besedila 3 Znak"/>
    <w:basedOn w:val="Privzetapisavaodstavka"/>
    <w:link w:val="Telobesedila3"/>
    <w:rsid w:val="00CB7BCC"/>
    <w:rPr>
      <w:rFonts w:ascii="Times New Roman" w:eastAsia="Times New Roman" w:hAnsi="Times New Roman" w:cs="Times New Roman"/>
      <w:sz w:val="16"/>
      <w:szCs w:val="16"/>
      <w:lang w:eastAsia="en-GB"/>
    </w:rPr>
  </w:style>
  <w:style w:type="paragraph" w:styleId="Telobesedila-prvizamik">
    <w:name w:val="Body Text First Indent"/>
    <w:basedOn w:val="Telobesedila"/>
    <w:link w:val="Telobesedila-prvizamikZnak"/>
    <w:rsid w:val="00CB7BCC"/>
    <w:pPr>
      <w:ind w:firstLine="210"/>
    </w:pPr>
    <w:rPr>
      <w:szCs w:val="24"/>
      <w:lang w:eastAsia="en-GB"/>
    </w:rPr>
  </w:style>
  <w:style w:type="character" w:customStyle="1" w:styleId="Telobesedila-prvizamikZnak">
    <w:name w:val="Telo besedila - prvi zamik Znak"/>
    <w:basedOn w:val="TelobesedilaZnak"/>
    <w:link w:val="Telobesedila-prvizamik"/>
    <w:rsid w:val="00CB7BCC"/>
    <w:rPr>
      <w:rFonts w:ascii="Times New Roman" w:eastAsia="Times New Roman" w:hAnsi="Times New Roman" w:cs="Times New Roman"/>
      <w:sz w:val="24"/>
      <w:szCs w:val="24"/>
      <w:lang w:eastAsia="en-GB"/>
    </w:rPr>
  </w:style>
  <w:style w:type="paragraph" w:styleId="Telobesedila-zamik">
    <w:name w:val="Body Text Indent"/>
    <w:basedOn w:val="Navaden"/>
    <w:link w:val="Telobesedila-zamikZnak"/>
    <w:rsid w:val="00CB7BCC"/>
    <w:pPr>
      <w:spacing w:before="0" w:line="240" w:lineRule="auto"/>
      <w:ind w:left="283"/>
    </w:pPr>
    <w:rPr>
      <w:rFonts w:ascii="Times New Roman" w:hAnsi="Times New Roman" w:cs="Times New Roman"/>
      <w:sz w:val="24"/>
    </w:rPr>
  </w:style>
  <w:style w:type="character" w:customStyle="1" w:styleId="Telobesedila-zamikZnak">
    <w:name w:val="Telo besedila - zamik Znak"/>
    <w:basedOn w:val="Privzetapisavaodstavka"/>
    <w:link w:val="Telobesedila-zamik"/>
    <w:rsid w:val="00CB7BCC"/>
    <w:rPr>
      <w:rFonts w:ascii="Times New Roman" w:eastAsia="Times New Roman" w:hAnsi="Times New Roman" w:cs="Times New Roman"/>
      <w:sz w:val="24"/>
      <w:szCs w:val="24"/>
      <w:lang w:eastAsia="en-GB"/>
    </w:rPr>
  </w:style>
  <w:style w:type="paragraph" w:styleId="Telobesedila-prvizamik2">
    <w:name w:val="Body Text First Indent 2"/>
    <w:basedOn w:val="Telobesedila-zamik"/>
    <w:link w:val="Telobesedila-prvizamik2Znak"/>
    <w:rsid w:val="00CB7BCC"/>
    <w:pPr>
      <w:ind w:firstLine="210"/>
    </w:pPr>
  </w:style>
  <w:style w:type="character" w:customStyle="1" w:styleId="Telobesedila-prvizamik2Znak">
    <w:name w:val="Telo besedila - prvi zamik 2 Znak"/>
    <w:basedOn w:val="Telobesedila-zamikZnak"/>
    <w:link w:val="Telobesedila-prvizamik2"/>
    <w:rsid w:val="00CB7BCC"/>
    <w:rPr>
      <w:rFonts w:ascii="Times New Roman" w:eastAsia="Times New Roman" w:hAnsi="Times New Roman" w:cs="Times New Roman"/>
      <w:sz w:val="24"/>
      <w:szCs w:val="24"/>
      <w:lang w:eastAsia="en-GB"/>
    </w:rPr>
  </w:style>
  <w:style w:type="paragraph" w:styleId="Telobesedila-zamik2">
    <w:name w:val="Body Text Indent 2"/>
    <w:basedOn w:val="Navaden"/>
    <w:link w:val="Telobesedila-zamik2Znak"/>
    <w:rsid w:val="00CB7BCC"/>
    <w:pPr>
      <w:spacing w:before="0" w:line="240" w:lineRule="auto"/>
      <w:ind w:left="283"/>
    </w:pPr>
    <w:rPr>
      <w:rFonts w:ascii="Times New Roman" w:hAnsi="Times New Roman" w:cs="Times New Roman"/>
      <w:sz w:val="24"/>
    </w:rPr>
  </w:style>
  <w:style w:type="character" w:customStyle="1" w:styleId="Telobesedila-zamik2Znak">
    <w:name w:val="Telo besedila - zamik 2 Znak"/>
    <w:basedOn w:val="Privzetapisavaodstavka"/>
    <w:link w:val="Telobesedila-zamik2"/>
    <w:rsid w:val="00CB7BCC"/>
    <w:rPr>
      <w:rFonts w:ascii="Times New Roman" w:eastAsia="Times New Roman" w:hAnsi="Times New Roman" w:cs="Times New Roman"/>
      <w:sz w:val="24"/>
      <w:szCs w:val="24"/>
      <w:lang w:eastAsia="en-GB"/>
    </w:rPr>
  </w:style>
  <w:style w:type="paragraph" w:styleId="Telobesedila-zamik3">
    <w:name w:val="Body Text Indent 3"/>
    <w:basedOn w:val="Navaden"/>
    <w:link w:val="Telobesedila-zamik3Znak"/>
    <w:rsid w:val="00CB7BCC"/>
    <w:pPr>
      <w:spacing w:before="0" w:line="240" w:lineRule="auto"/>
      <w:ind w:left="283"/>
    </w:pPr>
    <w:rPr>
      <w:rFonts w:ascii="Times New Roman" w:hAnsi="Times New Roman" w:cs="Times New Roman"/>
      <w:sz w:val="16"/>
      <w:szCs w:val="16"/>
    </w:rPr>
  </w:style>
  <w:style w:type="character" w:customStyle="1" w:styleId="Telobesedila-zamik3Znak">
    <w:name w:val="Telo besedila - zamik 3 Znak"/>
    <w:basedOn w:val="Privzetapisavaodstavka"/>
    <w:link w:val="Telobesedila-zamik3"/>
    <w:rsid w:val="00CB7BCC"/>
    <w:rPr>
      <w:rFonts w:ascii="Times New Roman" w:eastAsia="Times New Roman" w:hAnsi="Times New Roman" w:cs="Times New Roman"/>
      <w:sz w:val="16"/>
      <w:szCs w:val="16"/>
      <w:lang w:eastAsia="en-GB"/>
    </w:rPr>
  </w:style>
  <w:style w:type="paragraph" w:styleId="Zakljunipozdrav">
    <w:name w:val="Closing"/>
    <w:basedOn w:val="Navaden"/>
    <w:link w:val="ZakljunipozdravZnak"/>
    <w:rsid w:val="00CB7BCC"/>
    <w:pPr>
      <w:tabs>
        <w:tab w:val="left" w:pos="5103"/>
      </w:tabs>
      <w:spacing w:before="0" w:line="240" w:lineRule="auto"/>
      <w:ind w:left="5103"/>
    </w:pPr>
    <w:rPr>
      <w:rFonts w:ascii="Times New Roman" w:hAnsi="Times New Roman" w:cs="Times New Roman"/>
      <w:sz w:val="24"/>
    </w:rPr>
  </w:style>
  <w:style w:type="character" w:customStyle="1" w:styleId="ZakljunipozdravZnak">
    <w:name w:val="Zaključni pozdrav Znak"/>
    <w:basedOn w:val="Privzetapisavaodstavka"/>
    <w:link w:val="Zakljunipozdrav"/>
    <w:rsid w:val="00CB7BCC"/>
    <w:rPr>
      <w:rFonts w:ascii="Times New Roman" w:eastAsia="Times New Roman" w:hAnsi="Times New Roman" w:cs="Times New Roman"/>
      <w:sz w:val="24"/>
      <w:szCs w:val="24"/>
      <w:lang w:eastAsia="en-GB"/>
    </w:rPr>
  </w:style>
  <w:style w:type="paragraph" w:styleId="Podpis">
    <w:name w:val="Signature"/>
    <w:basedOn w:val="Navaden"/>
    <w:link w:val="PodpisZnak"/>
    <w:rsid w:val="00CB7BCC"/>
    <w:pPr>
      <w:tabs>
        <w:tab w:val="left" w:pos="5103"/>
      </w:tabs>
      <w:spacing w:before="0" w:line="240" w:lineRule="auto"/>
      <w:ind w:left="5103"/>
      <w:jc w:val="center"/>
    </w:pPr>
    <w:rPr>
      <w:rFonts w:ascii="Times New Roman" w:hAnsi="Times New Roman" w:cs="Times New Roman"/>
      <w:sz w:val="24"/>
    </w:rPr>
  </w:style>
  <w:style w:type="character" w:customStyle="1" w:styleId="PodpisZnak">
    <w:name w:val="Podpis Znak"/>
    <w:basedOn w:val="Privzetapisavaodstavka"/>
    <w:link w:val="Podpis"/>
    <w:rsid w:val="00CB7BCC"/>
    <w:rPr>
      <w:rFonts w:ascii="Times New Roman" w:eastAsia="Times New Roman" w:hAnsi="Times New Roman" w:cs="Times New Roman"/>
      <w:sz w:val="24"/>
      <w:szCs w:val="24"/>
      <w:lang w:eastAsia="en-GB"/>
    </w:rPr>
  </w:style>
  <w:style w:type="paragraph" w:customStyle="1" w:styleId="Enclosures">
    <w:name w:val="Enclosures"/>
    <w:basedOn w:val="Navaden"/>
    <w:rsid w:val="00CB7BCC"/>
    <w:pPr>
      <w:keepNext/>
      <w:keepLines/>
      <w:tabs>
        <w:tab w:val="left" w:pos="5670"/>
      </w:tabs>
      <w:spacing w:before="0" w:line="240" w:lineRule="auto"/>
      <w:ind w:left="3970" w:hanging="1985"/>
    </w:pPr>
    <w:rPr>
      <w:rFonts w:ascii="Times New Roman" w:hAnsi="Times New Roman" w:cs="Times New Roman"/>
      <w:sz w:val="24"/>
    </w:rPr>
  </w:style>
  <w:style w:type="paragraph" w:customStyle="1" w:styleId="Participants">
    <w:name w:val="Participants"/>
    <w:basedOn w:val="Navaden"/>
    <w:rsid w:val="00CB7BCC"/>
    <w:pPr>
      <w:tabs>
        <w:tab w:val="left" w:pos="2552"/>
        <w:tab w:val="left" w:pos="2835"/>
        <w:tab w:val="left" w:pos="5670"/>
        <w:tab w:val="left" w:pos="6379"/>
        <w:tab w:val="left" w:pos="6804"/>
      </w:tabs>
      <w:spacing w:before="0" w:line="240" w:lineRule="auto"/>
      <w:ind w:left="3970" w:hanging="1985"/>
    </w:pPr>
    <w:rPr>
      <w:rFonts w:ascii="Times New Roman" w:hAnsi="Times New Roman" w:cs="Times New Roman"/>
      <w:sz w:val="24"/>
    </w:rPr>
  </w:style>
  <w:style w:type="paragraph" w:customStyle="1" w:styleId="Copies">
    <w:name w:val="Copies"/>
    <w:basedOn w:val="Navaden"/>
    <w:next w:val="Navaden"/>
    <w:rsid w:val="00CB7BCC"/>
    <w:pPr>
      <w:tabs>
        <w:tab w:val="left" w:pos="2552"/>
        <w:tab w:val="left" w:pos="2835"/>
        <w:tab w:val="left" w:pos="5670"/>
        <w:tab w:val="left" w:pos="6379"/>
        <w:tab w:val="left" w:pos="6804"/>
      </w:tabs>
      <w:spacing w:before="0" w:line="240" w:lineRule="auto"/>
      <w:ind w:left="3970" w:hanging="1985"/>
    </w:pPr>
    <w:rPr>
      <w:rFonts w:ascii="Times New Roman" w:hAnsi="Times New Roman" w:cs="Times New Roman"/>
      <w:sz w:val="24"/>
    </w:rPr>
  </w:style>
  <w:style w:type="paragraph" w:styleId="Datum">
    <w:name w:val="Date"/>
    <w:basedOn w:val="Navaden"/>
    <w:link w:val="DatumZnak"/>
    <w:rsid w:val="00CB7BCC"/>
    <w:pPr>
      <w:spacing w:before="0" w:line="240" w:lineRule="auto"/>
      <w:ind w:left="5103" w:right="-567"/>
    </w:pPr>
    <w:rPr>
      <w:rFonts w:ascii="Times New Roman" w:hAnsi="Times New Roman" w:cs="Times New Roman"/>
      <w:sz w:val="24"/>
    </w:rPr>
  </w:style>
  <w:style w:type="character" w:customStyle="1" w:styleId="DatumZnak">
    <w:name w:val="Datum Znak"/>
    <w:basedOn w:val="Privzetapisavaodstavka"/>
    <w:link w:val="Datum"/>
    <w:rsid w:val="00CB7BCC"/>
    <w:rPr>
      <w:rFonts w:ascii="Times New Roman" w:eastAsia="Times New Roman" w:hAnsi="Times New Roman" w:cs="Times New Roman"/>
      <w:sz w:val="24"/>
      <w:szCs w:val="24"/>
      <w:lang w:eastAsia="en-GB"/>
    </w:rPr>
  </w:style>
  <w:style w:type="paragraph" w:customStyle="1" w:styleId="References">
    <w:name w:val="References"/>
    <w:basedOn w:val="Navaden"/>
    <w:next w:val="AddressTR"/>
    <w:rsid w:val="00CB7BCC"/>
    <w:pPr>
      <w:spacing w:before="0" w:line="240" w:lineRule="auto"/>
      <w:ind w:left="5103"/>
    </w:pPr>
    <w:rPr>
      <w:rFonts w:ascii="Times New Roman" w:hAnsi="Times New Roman" w:cs="Times New Roman"/>
      <w:sz w:val="20"/>
      <w:szCs w:val="20"/>
    </w:rPr>
  </w:style>
  <w:style w:type="paragraph" w:styleId="Zgradbadokumenta">
    <w:name w:val="Document Map"/>
    <w:basedOn w:val="Navaden"/>
    <w:link w:val="ZgradbadokumentaZnak"/>
    <w:semiHidden/>
    <w:rsid w:val="00CB7BCC"/>
    <w:pPr>
      <w:shd w:val="clear" w:color="000000" w:fill="000080"/>
      <w:spacing w:before="0" w:line="240" w:lineRule="auto"/>
    </w:pPr>
    <w:rPr>
      <w:rFonts w:ascii="Tahoma" w:eastAsia="Tahoma" w:hAnsi="Tahoma" w:cs="Times New Roman"/>
      <w:sz w:val="20"/>
      <w:szCs w:val="20"/>
    </w:rPr>
  </w:style>
  <w:style w:type="character" w:customStyle="1" w:styleId="ZgradbadokumentaZnak">
    <w:name w:val="Zgradba dokumenta Znak"/>
    <w:basedOn w:val="Privzetapisavaodstavka"/>
    <w:link w:val="Zgradbadokumenta"/>
    <w:semiHidden/>
    <w:rsid w:val="00CB7BCC"/>
    <w:rPr>
      <w:rFonts w:ascii="Tahoma" w:eastAsia="Tahoma" w:hAnsi="Tahoma" w:cs="Times New Roman"/>
      <w:sz w:val="20"/>
      <w:szCs w:val="20"/>
      <w:shd w:val="clear" w:color="000000" w:fill="000080"/>
      <w:lang w:eastAsia="en-GB"/>
    </w:rPr>
  </w:style>
  <w:style w:type="paragraph" w:customStyle="1" w:styleId="DoubSign">
    <w:name w:val="DoubSign"/>
    <w:basedOn w:val="Navaden"/>
    <w:rsid w:val="00CB7BCC"/>
    <w:pPr>
      <w:tabs>
        <w:tab w:val="left" w:pos="5103"/>
      </w:tabs>
      <w:spacing w:before="0" w:line="240" w:lineRule="auto"/>
    </w:pPr>
    <w:rPr>
      <w:rFonts w:ascii="Times New Roman" w:hAnsi="Times New Roman" w:cs="Times New Roman"/>
      <w:sz w:val="24"/>
    </w:rPr>
  </w:style>
  <w:style w:type="paragraph" w:styleId="Naslovnaslovnika">
    <w:name w:val="envelope address"/>
    <w:basedOn w:val="Navaden"/>
    <w:rsid w:val="00CB7BCC"/>
    <w:pPr>
      <w:spacing w:before="0" w:line="240" w:lineRule="auto"/>
    </w:pPr>
    <w:rPr>
      <w:rFonts w:ascii="Times New Roman" w:hAnsi="Times New Roman" w:cs="Times New Roman"/>
      <w:sz w:val="24"/>
    </w:rPr>
  </w:style>
  <w:style w:type="paragraph" w:styleId="Naslovpoiljatelja">
    <w:name w:val="envelope return"/>
    <w:basedOn w:val="Navaden"/>
    <w:rsid w:val="00CB7BCC"/>
    <w:pPr>
      <w:spacing w:before="0" w:line="240" w:lineRule="auto"/>
    </w:pPr>
    <w:rPr>
      <w:rFonts w:ascii="Times New Roman" w:hAnsi="Times New Roman" w:cs="Times New Roman"/>
      <w:sz w:val="20"/>
      <w:szCs w:val="20"/>
    </w:rPr>
  </w:style>
  <w:style w:type="paragraph" w:styleId="Stvarnokazalo1">
    <w:name w:val="index 1"/>
    <w:basedOn w:val="Navaden"/>
    <w:next w:val="Navaden"/>
    <w:semiHidden/>
    <w:rsid w:val="00CB7BCC"/>
    <w:pPr>
      <w:spacing w:before="0" w:line="240" w:lineRule="auto"/>
      <w:ind w:left="480" w:hanging="240"/>
    </w:pPr>
    <w:rPr>
      <w:rFonts w:ascii="Times New Roman" w:hAnsi="Times New Roman" w:cs="Times New Roman"/>
      <w:sz w:val="24"/>
    </w:rPr>
  </w:style>
  <w:style w:type="paragraph" w:styleId="Stvarnokazalo2">
    <w:name w:val="index 2"/>
    <w:basedOn w:val="Navaden"/>
    <w:next w:val="Navaden"/>
    <w:semiHidden/>
    <w:rsid w:val="00CB7BCC"/>
    <w:pPr>
      <w:spacing w:before="0" w:line="240" w:lineRule="auto"/>
      <w:ind w:left="720" w:hanging="240"/>
    </w:pPr>
    <w:rPr>
      <w:rFonts w:ascii="Times New Roman" w:hAnsi="Times New Roman" w:cs="Times New Roman"/>
      <w:sz w:val="24"/>
    </w:rPr>
  </w:style>
  <w:style w:type="paragraph" w:styleId="Stvarnokazalo3">
    <w:name w:val="index 3"/>
    <w:basedOn w:val="Navaden"/>
    <w:next w:val="Navaden"/>
    <w:semiHidden/>
    <w:rsid w:val="00CB7BCC"/>
    <w:pPr>
      <w:spacing w:before="0" w:line="240" w:lineRule="auto"/>
      <w:ind w:left="960" w:hanging="240"/>
    </w:pPr>
    <w:rPr>
      <w:rFonts w:ascii="Times New Roman" w:hAnsi="Times New Roman" w:cs="Times New Roman"/>
      <w:sz w:val="24"/>
    </w:rPr>
  </w:style>
  <w:style w:type="paragraph" w:styleId="Stvarnokazalo4">
    <w:name w:val="index 4"/>
    <w:basedOn w:val="Navaden"/>
    <w:next w:val="Navaden"/>
    <w:semiHidden/>
    <w:rsid w:val="00CB7BCC"/>
    <w:pPr>
      <w:spacing w:before="0" w:line="240" w:lineRule="auto"/>
      <w:ind w:left="1200" w:hanging="240"/>
    </w:pPr>
    <w:rPr>
      <w:rFonts w:ascii="Times New Roman" w:hAnsi="Times New Roman" w:cs="Times New Roman"/>
      <w:sz w:val="24"/>
    </w:rPr>
  </w:style>
  <w:style w:type="paragraph" w:styleId="Stvarnokazalo5">
    <w:name w:val="index 5"/>
    <w:basedOn w:val="Navaden"/>
    <w:next w:val="Navaden"/>
    <w:semiHidden/>
    <w:rsid w:val="00CB7BCC"/>
    <w:pPr>
      <w:spacing w:before="0" w:line="240" w:lineRule="auto"/>
      <w:ind w:left="1440" w:hanging="240"/>
    </w:pPr>
    <w:rPr>
      <w:rFonts w:ascii="Times New Roman" w:hAnsi="Times New Roman" w:cs="Times New Roman"/>
      <w:sz w:val="24"/>
    </w:rPr>
  </w:style>
  <w:style w:type="paragraph" w:styleId="Stvarnokazalo6">
    <w:name w:val="index 6"/>
    <w:basedOn w:val="Navaden"/>
    <w:next w:val="Navaden"/>
    <w:semiHidden/>
    <w:rsid w:val="00CB7BCC"/>
    <w:pPr>
      <w:spacing w:before="0" w:line="240" w:lineRule="auto"/>
      <w:ind w:left="1680" w:hanging="240"/>
    </w:pPr>
    <w:rPr>
      <w:rFonts w:ascii="Times New Roman" w:hAnsi="Times New Roman" w:cs="Times New Roman"/>
      <w:sz w:val="24"/>
    </w:rPr>
  </w:style>
  <w:style w:type="paragraph" w:styleId="Stvarnokazalo7">
    <w:name w:val="index 7"/>
    <w:basedOn w:val="Navaden"/>
    <w:next w:val="Navaden"/>
    <w:semiHidden/>
    <w:rsid w:val="00CB7BCC"/>
    <w:pPr>
      <w:spacing w:before="0" w:line="240" w:lineRule="auto"/>
      <w:ind w:left="1920" w:hanging="240"/>
    </w:pPr>
    <w:rPr>
      <w:rFonts w:ascii="Times New Roman" w:hAnsi="Times New Roman" w:cs="Times New Roman"/>
      <w:sz w:val="24"/>
    </w:rPr>
  </w:style>
  <w:style w:type="paragraph" w:styleId="Stvarnokazalo8">
    <w:name w:val="index 8"/>
    <w:basedOn w:val="Navaden"/>
    <w:next w:val="Navaden"/>
    <w:semiHidden/>
    <w:rsid w:val="00CB7BCC"/>
    <w:pPr>
      <w:spacing w:before="0" w:line="240" w:lineRule="auto"/>
      <w:ind w:left="2160" w:hanging="240"/>
    </w:pPr>
    <w:rPr>
      <w:rFonts w:ascii="Times New Roman" w:hAnsi="Times New Roman" w:cs="Times New Roman"/>
      <w:sz w:val="24"/>
    </w:rPr>
  </w:style>
  <w:style w:type="paragraph" w:styleId="Stvarnokazalo9">
    <w:name w:val="index 9"/>
    <w:basedOn w:val="Navaden"/>
    <w:next w:val="Navaden"/>
    <w:semiHidden/>
    <w:rsid w:val="00CB7BCC"/>
    <w:pPr>
      <w:spacing w:before="0" w:line="240" w:lineRule="auto"/>
      <w:ind w:left="2400" w:hanging="240"/>
    </w:pPr>
    <w:rPr>
      <w:rFonts w:ascii="Times New Roman" w:hAnsi="Times New Roman" w:cs="Times New Roman"/>
      <w:sz w:val="24"/>
    </w:rPr>
  </w:style>
  <w:style w:type="paragraph" w:styleId="Stvarnokazalo-naslov">
    <w:name w:val="index heading"/>
    <w:basedOn w:val="Navaden"/>
    <w:next w:val="Stvarnokazalo1"/>
    <w:semiHidden/>
    <w:rsid w:val="00CB7BCC"/>
    <w:pPr>
      <w:spacing w:before="0" w:line="240" w:lineRule="auto"/>
    </w:pPr>
    <w:rPr>
      <w:rFonts w:eastAsia="Arial" w:cs="Times New Roman"/>
      <w:b/>
      <w:sz w:val="20"/>
      <w:szCs w:val="20"/>
    </w:rPr>
  </w:style>
  <w:style w:type="paragraph" w:styleId="Seznam">
    <w:name w:val="List"/>
    <w:basedOn w:val="Navaden"/>
    <w:rsid w:val="00CB7BCC"/>
    <w:pPr>
      <w:spacing w:before="0" w:line="240" w:lineRule="auto"/>
      <w:ind w:left="566" w:hanging="283"/>
    </w:pPr>
    <w:rPr>
      <w:rFonts w:ascii="Times New Roman" w:hAnsi="Times New Roman" w:cs="Times New Roman"/>
      <w:sz w:val="24"/>
    </w:rPr>
  </w:style>
  <w:style w:type="paragraph" w:styleId="Seznam2">
    <w:name w:val="List 2"/>
    <w:basedOn w:val="Navaden"/>
    <w:rsid w:val="00CB7BCC"/>
    <w:pPr>
      <w:spacing w:before="0" w:line="240" w:lineRule="auto"/>
      <w:ind w:left="849" w:hanging="283"/>
    </w:pPr>
    <w:rPr>
      <w:rFonts w:ascii="Times New Roman" w:hAnsi="Times New Roman" w:cs="Times New Roman"/>
      <w:sz w:val="24"/>
    </w:rPr>
  </w:style>
  <w:style w:type="paragraph" w:styleId="Seznam3">
    <w:name w:val="List 3"/>
    <w:basedOn w:val="Navaden"/>
    <w:rsid w:val="00CB7BCC"/>
    <w:pPr>
      <w:spacing w:before="0" w:line="240" w:lineRule="auto"/>
      <w:ind w:left="1132" w:hanging="283"/>
    </w:pPr>
    <w:rPr>
      <w:rFonts w:ascii="Times New Roman" w:hAnsi="Times New Roman" w:cs="Times New Roman"/>
      <w:sz w:val="24"/>
    </w:rPr>
  </w:style>
  <w:style w:type="paragraph" w:styleId="Seznam4">
    <w:name w:val="List 4"/>
    <w:basedOn w:val="Navaden"/>
    <w:rsid w:val="00CB7BCC"/>
    <w:pPr>
      <w:spacing w:before="0" w:line="240" w:lineRule="auto"/>
      <w:ind w:left="1415" w:hanging="283"/>
    </w:pPr>
    <w:rPr>
      <w:rFonts w:ascii="Times New Roman" w:hAnsi="Times New Roman" w:cs="Times New Roman"/>
      <w:sz w:val="24"/>
    </w:rPr>
  </w:style>
  <w:style w:type="paragraph" w:styleId="Seznam5">
    <w:name w:val="List 5"/>
    <w:basedOn w:val="Navaden"/>
    <w:rsid w:val="00CB7BCC"/>
    <w:pPr>
      <w:spacing w:before="0" w:line="240" w:lineRule="auto"/>
      <w:ind w:left="1698" w:hanging="283"/>
    </w:pPr>
    <w:rPr>
      <w:rFonts w:ascii="Times New Roman" w:hAnsi="Times New Roman" w:cs="Times New Roman"/>
      <w:sz w:val="24"/>
    </w:rPr>
  </w:style>
  <w:style w:type="paragraph" w:styleId="Oznaenseznam">
    <w:name w:val="List Bullet"/>
    <w:basedOn w:val="Navaden"/>
    <w:rsid w:val="00CB7BCC"/>
    <w:pPr>
      <w:numPr>
        <w:numId w:val="158"/>
      </w:numPr>
      <w:spacing w:before="0" w:line="240" w:lineRule="auto"/>
      <w:ind w:left="0" w:firstLine="0"/>
    </w:pPr>
    <w:rPr>
      <w:rFonts w:ascii="Times New Roman" w:hAnsi="Times New Roman" w:cs="Times New Roman"/>
      <w:sz w:val="24"/>
    </w:rPr>
  </w:style>
  <w:style w:type="paragraph" w:styleId="Oznaenseznam2">
    <w:name w:val="List Bullet 2"/>
    <w:basedOn w:val="Text2"/>
    <w:rsid w:val="00CB7BCC"/>
    <w:pPr>
      <w:numPr>
        <w:numId w:val="159"/>
      </w:numPr>
      <w:tabs>
        <w:tab w:val="clear" w:pos="1360"/>
      </w:tabs>
      <w:ind w:left="0" w:firstLine="0"/>
    </w:pPr>
  </w:style>
  <w:style w:type="paragraph" w:styleId="Oznaenseznam3">
    <w:name w:val="List Bullet 3"/>
    <w:basedOn w:val="Text3"/>
    <w:rsid w:val="00CB7BCC"/>
    <w:pPr>
      <w:numPr>
        <w:numId w:val="160"/>
      </w:numPr>
      <w:ind w:left="0" w:firstLine="0"/>
    </w:pPr>
  </w:style>
  <w:style w:type="paragraph" w:styleId="Oznaenseznam4">
    <w:name w:val="List Bullet 4"/>
    <w:basedOn w:val="Text4"/>
    <w:rsid w:val="00CB7BCC"/>
    <w:pPr>
      <w:numPr>
        <w:numId w:val="161"/>
      </w:numPr>
      <w:ind w:left="0" w:firstLine="0"/>
    </w:pPr>
  </w:style>
  <w:style w:type="paragraph" w:styleId="Oznaenseznam5">
    <w:name w:val="List Bullet 5"/>
    <w:basedOn w:val="Navaden"/>
    <w:rsid w:val="00CB7BCC"/>
    <w:pPr>
      <w:numPr>
        <w:numId w:val="156"/>
      </w:numPr>
      <w:spacing w:before="0" w:line="240" w:lineRule="auto"/>
      <w:ind w:left="0" w:firstLine="0"/>
    </w:pPr>
    <w:rPr>
      <w:rFonts w:ascii="Times New Roman" w:hAnsi="Times New Roman" w:cs="Times New Roman"/>
      <w:sz w:val="24"/>
    </w:rPr>
  </w:style>
  <w:style w:type="paragraph" w:styleId="Seznam-nadaljevanje">
    <w:name w:val="List Continue"/>
    <w:basedOn w:val="Navaden"/>
    <w:rsid w:val="00CB7BCC"/>
    <w:pPr>
      <w:spacing w:before="0" w:line="240" w:lineRule="auto"/>
      <w:ind w:left="283"/>
    </w:pPr>
    <w:rPr>
      <w:rFonts w:ascii="Times New Roman" w:hAnsi="Times New Roman" w:cs="Times New Roman"/>
      <w:sz w:val="24"/>
    </w:rPr>
  </w:style>
  <w:style w:type="paragraph" w:styleId="Seznam-nadaljevanje2">
    <w:name w:val="List Continue 2"/>
    <w:basedOn w:val="Navaden"/>
    <w:rsid w:val="00CB7BCC"/>
    <w:pPr>
      <w:spacing w:before="0" w:line="240" w:lineRule="auto"/>
      <w:ind w:left="566"/>
    </w:pPr>
    <w:rPr>
      <w:rFonts w:ascii="Times New Roman" w:hAnsi="Times New Roman" w:cs="Times New Roman"/>
      <w:sz w:val="24"/>
    </w:rPr>
  </w:style>
  <w:style w:type="paragraph" w:styleId="Seznam-nadaljevanje3">
    <w:name w:val="List Continue 3"/>
    <w:basedOn w:val="Navaden"/>
    <w:rsid w:val="00CB7BCC"/>
    <w:pPr>
      <w:spacing w:before="0" w:line="240" w:lineRule="auto"/>
      <w:ind w:left="849"/>
    </w:pPr>
    <w:rPr>
      <w:rFonts w:ascii="Times New Roman" w:hAnsi="Times New Roman" w:cs="Times New Roman"/>
      <w:sz w:val="24"/>
    </w:rPr>
  </w:style>
  <w:style w:type="paragraph" w:styleId="Seznam-nadaljevanje4">
    <w:name w:val="List Continue 4"/>
    <w:basedOn w:val="Navaden"/>
    <w:rsid w:val="00CB7BCC"/>
    <w:pPr>
      <w:spacing w:before="0" w:line="240" w:lineRule="auto"/>
      <w:ind w:left="1132"/>
    </w:pPr>
    <w:rPr>
      <w:rFonts w:ascii="Times New Roman" w:hAnsi="Times New Roman" w:cs="Times New Roman"/>
      <w:sz w:val="24"/>
    </w:rPr>
  </w:style>
  <w:style w:type="paragraph" w:styleId="Seznam-nadaljevanje5">
    <w:name w:val="List Continue 5"/>
    <w:basedOn w:val="Navaden"/>
    <w:rsid w:val="00CB7BCC"/>
    <w:pPr>
      <w:spacing w:before="0" w:line="240" w:lineRule="auto"/>
      <w:ind w:left="1415"/>
    </w:pPr>
    <w:rPr>
      <w:rFonts w:ascii="Times New Roman" w:hAnsi="Times New Roman" w:cs="Times New Roman"/>
      <w:sz w:val="24"/>
    </w:rPr>
  </w:style>
  <w:style w:type="paragraph" w:styleId="Otevilenseznam">
    <w:name w:val="List Number"/>
    <w:basedOn w:val="Navaden"/>
    <w:rsid w:val="00CB7BCC"/>
    <w:pPr>
      <w:numPr>
        <w:numId w:val="166"/>
      </w:numPr>
      <w:spacing w:before="0" w:line="240" w:lineRule="auto"/>
      <w:ind w:left="0" w:firstLine="0"/>
    </w:pPr>
    <w:rPr>
      <w:rFonts w:ascii="Times New Roman" w:hAnsi="Times New Roman" w:cs="Times New Roman"/>
      <w:sz w:val="24"/>
    </w:rPr>
  </w:style>
  <w:style w:type="paragraph" w:styleId="Otevilenseznam2">
    <w:name w:val="List Number 2"/>
    <w:basedOn w:val="Text2"/>
    <w:rsid w:val="00CB7BCC"/>
    <w:pPr>
      <w:numPr>
        <w:numId w:val="168"/>
      </w:numPr>
      <w:tabs>
        <w:tab w:val="clear" w:pos="1786"/>
        <w:tab w:val="left" w:pos="0"/>
        <w:tab w:val="num" w:pos="720"/>
      </w:tabs>
      <w:ind w:left="0" w:firstLine="0"/>
    </w:pPr>
  </w:style>
  <w:style w:type="paragraph" w:styleId="Otevilenseznam3">
    <w:name w:val="List Number 3"/>
    <w:basedOn w:val="Text3"/>
    <w:rsid w:val="00CB7BCC"/>
    <w:pPr>
      <w:numPr>
        <w:numId w:val="169"/>
      </w:numPr>
      <w:ind w:left="0" w:firstLine="0"/>
    </w:pPr>
  </w:style>
  <w:style w:type="paragraph" w:styleId="Otevilenseznam4">
    <w:name w:val="List Number 4"/>
    <w:basedOn w:val="Text4"/>
    <w:rsid w:val="00CB7BCC"/>
    <w:pPr>
      <w:numPr>
        <w:numId w:val="170"/>
      </w:numPr>
      <w:ind w:left="0" w:firstLine="0"/>
    </w:pPr>
  </w:style>
  <w:style w:type="paragraph" w:styleId="Otevilenseznam5">
    <w:name w:val="List Number 5"/>
    <w:basedOn w:val="Navaden"/>
    <w:rsid w:val="00CB7BCC"/>
    <w:pPr>
      <w:numPr>
        <w:numId w:val="157"/>
      </w:numPr>
      <w:spacing w:before="0" w:line="240" w:lineRule="auto"/>
      <w:ind w:left="0" w:firstLine="0"/>
    </w:pPr>
    <w:rPr>
      <w:rFonts w:ascii="Times New Roman" w:hAnsi="Times New Roman" w:cs="Times New Roman"/>
      <w:sz w:val="24"/>
    </w:rPr>
  </w:style>
  <w:style w:type="paragraph" w:styleId="Makrobesedilo">
    <w:name w:val="macro"/>
    <w:link w:val="MakrobesediloZnak"/>
    <w:semiHidden/>
    <w:rsid w:val="00CB7BC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Courier New" w:hAnsi="Courier New" w:cs="Times New Roman"/>
      <w:sz w:val="20"/>
      <w:szCs w:val="20"/>
      <w:lang w:val="en-GB" w:eastAsia="en-GB"/>
    </w:rPr>
  </w:style>
  <w:style w:type="character" w:customStyle="1" w:styleId="MakrobesediloZnak">
    <w:name w:val="Makro besedilo Znak"/>
    <w:basedOn w:val="Privzetapisavaodstavka"/>
    <w:link w:val="Makrobesedilo"/>
    <w:semiHidden/>
    <w:rsid w:val="00CB7BCC"/>
    <w:rPr>
      <w:rFonts w:ascii="Courier New" w:eastAsia="Courier New" w:hAnsi="Courier New" w:cs="Times New Roman"/>
      <w:sz w:val="20"/>
      <w:szCs w:val="20"/>
      <w:lang w:val="en-GB" w:eastAsia="en-GB"/>
    </w:rPr>
  </w:style>
  <w:style w:type="paragraph" w:styleId="Glavasporoila">
    <w:name w:val="Message Header"/>
    <w:basedOn w:val="Navaden"/>
    <w:link w:val="GlavasporoilaZnak"/>
    <w:rsid w:val="00CB7BCC"/>
    <w:pPr>
      <w:shd w:val="pct20" w:color="000000" w:fill="auto"/>
      <w:spacing w:before="0" w:line="240" w:lineRule="auto"/>
      <w:ind w:left="2268" w:hanging="1134"/>
    </w:pPr>
    <w:rPr>
      <w:rFonts w:eastAsia="Arial" w:cs="Times New Roman"/>
      <w:sz w:val="20"/>
      <w:szCs w:val="20"/>
    </w:rPr>
  </w:style>
  <w:style w:type="character" w:customStyle="1" w:styleId="GlavasporoilaZnak">
    <w:name w:val="Glava sporočila Znak"/>
    <w:basedOn w:val="Privzetapisavaodstavka"/>
    <w:link w:val="Glavasporoila"/>
    <w:rsid w:val="00CB7BCC"/>
    <w:rPr>
      <w:rFonts w:ascii="Arial" w:eastAsia="Arial" w:hAnsi="Arial" w:cs="Times New Roman"/>
      <w:sz w:val="20"/>
      <w:szCs w:val="20"/>
      <w:shd w:val="pct20" w:color="000000" w:fill="auto"/>
      <w:lang w:eastAsia="en-GB"/>
    </w:rPr>
  </w:style>
  <w:style w:type="paragraph" w:styleId="Navaden-zamik">
    <w:name w:val="Normal Indent"/>
    <w:basedOn w:val="Navaden"/>
    <w:rsid w:val="00CB7BCC"/>
    <w:pPr>
      <w:spacing w:before="0" w:line="240" w:lineRule="auto"/>
      <w:ind w:left="720"/>
    </w:pPr>
    <w:rPr>
      <w:rFonts w:ascii="Times New Roman" w:hAnsi="Times New Roman" w:cs="Times New Roman"/>
      <w:sz w:val="24"/>
    </w:rPr>
  </w:style>
  <w:style w:type="paragraph" w:styleId="Opomba-naslov">
    <w:name w:val="Note Heading"/>
    <w:basedOn w:val="Navaden"/>
    <w:next w:val="Navaden"/>
    <w:link w:val="Opomba-naslovZnak"/>
    <w:rsid w:val="00CB7BCC"/>
    <w:pPr>
      <w:spacing w:before="0" w:line="240" w:lineRule="auto"/>
    </w:pPr>
    <w:rPr>
      <w:rFonts w:ascii="Times New Roman" w:hAnsi="Times New Roman" w:cs="Times New Roman"/>
      <w:sz w:val="24"/>
    </w:rPr>
  </w:style>
  <w:style w:type="character" w:customStyle="1" w:styleId="Opomba-naslovZnak">
    <w:name w:val="Opomba - naslov Znak"/>
    <w:basedOn w:val="Privzetapisavaodstavka"/>
    <w:link w:val="Opomba-naslov"/>
    <w:rsid w:val="00CB7BCC"/>
    <w:rPr>
      <w:rFonts w:ascii="Times New Roman" w:eastAsia="Times New Roman" w:hAnsi="Times New Roman" w:cs="Times New Roman"/>
      <w:sz w:val="24"/>
      <w:szCs w:val="24"/>
      <w:lang w:eastAsia="en-GB"/>
    </w:rPr>
  </w:style>
  <w:style w:type="paragraph" w:customStyle="1" w:styleId="NoteHead">
    <w:name w:val="NoteHead"/>
    <w:basedOn w:val="Navaden"/>
    <w:rsid w:val="00CB7BCC"/>
    <w:pPr>
      <w:spacing w:before="0" w:line="240" w:lineRule="auto"/>
      <w:jc w:val="center"/>
    </w:pPr>
    <w:rPr>
      <w:rFonts w:ascii="Times New Roman" w:hAnsi="Times New Roman" w:cs="Times New Roman"/>
      <w:b/>
      <w:smallCaps/>
      <w:sz w:val="20"/>
      <w:szCs w:val="20"/>
    </w:rPr>
  </w:style>
  <w:style w:type="paragraph" w:customStyle="1" w:styleId="Subject">
    <w:name w:val="Subject"/>
    <w:basedOn w:val="Navaden"/>
    <w:next w:val="Navaden"/>
    <w:rsid w:val="00CB7BCC"/>
    <w:pPr>
      <w:spacing w:before="0" w:line="240" w:lineRule="auto"/>
      <w:ind w:left="3062" w:hanging="1531"/>
    </w:pPr>
    <w:rPr>
      <w:rFonts w:ascii="Times New Roman" w:hAnsi="Times New Roman" w:cs="Times New Roman"/>
      <w:b/>
      <w:sz w:val="20"/>
      <w:szCs w:val="20"/>
    </w:rPr>
  </w:style>
  <w:style w:type="paragraph" w:customStyle="1" w:styleId="NoteList">
    <w:name w:val="NoteList"/>
    <w:basedOn w:val="Navaden"/>
    <w:next w:val="Subject"/>
    <w:rsid w:val="00CB7BCC"/>
    <w:pPr>
      <w:tabs>
        <w:tab w:val="left" w:pos="5823"/>
      </w:tabs>
      <w:spacing w:before="0" w:line="240" w:lineRule="auto"/>
      <w:ind w:left="8223" w:hanging="3119"/>
    </w:pPr>
    <w:rPr>
      <w:rFonts w:ascii="Times New Roman" w:hAnsi="Times New Roman" w:cs="Times New Roman"/>
      <w:b/>
      <w:smallCaps/>
      <w:sz w:val="20"/>
      <w:szCs w:val="20"/>
    </w:rPr>
  </w:style>
  <w:style w:type="paragraph" w:customStyle="1" w:styleId="NumPar1">
    <w:name w:val="NumPar 1"/>
    <w:basedOn w:val="Naslov1"/>
    <w:next w:val="Text1"/>
    <w:rsid w:val="00CB7BCC"/>
    <w:pPr>
      <w:tabs>
        <w:tab w:val="clear" w:pos="0"/>
        <w:tab w:val="left" w:pos="4537"/>
      </w:tabs>
      <w:spacing w:before="0" w:line="260" w:lineRule="atLeast"/>
      <w:ind w:left="720" w:hanging="360"/>
    </w:pPr>
    <w:rPr>
      <w:rFonts w:cs="Times New Roman"/>
      <w:b w:val="0"/>
      <w:color w:val="339933"/>
      <w:sz w:val="20"/>
      <w:lang w:eastAsia="en-GB"/>
    </w:rPr>
  </w:style>
  <w:style w:type="paragraph" w:customStyle="1" w:styleId="NumPar2">
    <w:name w:val="NumPar 2"/>
    <w:basedOn w:val="Naslov2"/>
    <w:next w:val="Text2"/>
    <w:rsid w:val="00CB7BCC"/>
    <w:pPr>
      <w:tabs>
        <w:tab w:val="clear" w:pos="567"/>
        <w:tab w:val="left" w:pos="480"/>
        <w:tab w:val="left" w:pos="4537"/>
      </w:tabs>
      <w:spacing w:line="260" w:lineRule="atLeast"/>
      <w:ind w:left="600" w:hanging="600"/>
    </w:pPr>
    <w:rPr>
      <w:rFonts w:eastAsia="Arial" w:cs="Times New Roman"/>
      <w:b w:val="0"/>
      <w:caps/>
      <w:color w:val="00B050"/>
      <w:sz w:val="20"/>
      <w:lang w:eastAsia="en-GB"/>
    </w:rPr>
  </w:style>
  <w:style w:type="paragraph" w:customStyle="1" w:styleId="NumPar3">
    <w:name w:val="NumPar 3"/>
    <w:basedOn w:val="Naslov3"/>
    <w:next w:val="Text3"/>
    <w:rsid w:val="00CB7BCC"/>
    <w:pPr>
      <w:keepNext/>
      <w:tabs>
        <w:tab w:val="left" w:pos="360"/>
        <w:tab w:val="left" w:pos="4537"/>
      </w:tabs>
      <w:spacing w:before="0" w:line="260" w:lineRule="atLeast"/>
      <w:ind w:left="1200" w:hanging="840"/>
    </w:pPr>
    <w:rPr>
      <w:rFonts w:cs="Times New Roman"/>
      <w:b/>
      <w:i w:val="0"/>
      <w:color w:val="00B050"/>
      <w:szCs w:val="20"/>
    </w:rPr>
  </w:style>
  <w:style w:type="paragraph" w:customStyle="1" w:styleId="NumPar4">
    <w:name w:val="NumPar 4"/>
    <w:basedOn w:val="Naslov4"/>
    <w:next w:val="Text4"/>
    <w:rsid w:val="00CB7BCC"/>
    <w:pPr>
      <w:tabs>
        <w:tab w:val="left" w:pos="4537"/>
      </w:tabs>
      <w:spacing w:before="0" w:line="240" w:lineRule="auto"/>
      <w:ind w:left="1866" w:hanging="960"/>
    </w:pPr>
    <w:rPr>
      <w:rFonts w:ascii="Arial" w:hAnsi="Arial" w:cs="Times New Roman"/>
      <w:b/>
      <w:color w:val="00B050"/>
      <w:sz w:val="20"/>
    </w:rPr>
  </w:style>
  <w:style w:type="paragraph" w:styleId="Golobesedilo">
    <w:name w:val="Plain Text"/>
    <w:basedOn w:val="Navaden"/>
    <w:link w:val="GolobesediloZnak"/>
    <w:rsid w:val="00CB7BCC"/>
    <w:pPr>
      <w:spacing w:before="0" w:line="240" w:lineRule="auto"/>
    </w:pPr>
    <w:rPr>
      <w:rFonts w:ascii="Courier New" w:eastAsia="Courier New" w:hAnsi="Courier New" w:cs="Times New Roman"/>
      <w:sz w:val="20"/>
      <w:szCs w:val="20"/>
    </w:rPr>
  </w:style>
  <w:style w:type="character" w:customStyle="1" w:styleId="GolobesediloZnak">
    <w:name w:val="Golo besedilo Znak"/>
    <w:basedOn w:val="Privzetapisavaodstavka"/>
    <w:link w:val="Golobesedilo"/>
    <w:rsid w:val="00CB7BCC"/>
    <w:rPr>
      <w:rFonts w:ascii="Courier New" w:eastAsia="Courier New" w:hAnsi="Courier New" w:cs="Times New Roman"/>
      <w:sz w:val="20"/>
      <w:szCs w:val="20"/>
      <w:lang w:eastAsia="en-GB"/>
    </w:rPr>
  </w:style>
  <w:style w:type="paragraph" w:styleId="Uvodnipozdrav">
    <w:name w:val="Salutation"/>
    <w:basedOn w:val="Navaden"/>
    <w:next w:val="Navaden"/>
    <w:link w:val="UvodnipozdravZnak"/>
    <w:rsid w:val="00CB7BCC"/>
    <w:pPr>
      <w:spacing w:before="0" w:line="240" w:lineRule="auto"/>
    </w:pPr>
    <w:rPr>
      <w:rFonts w:ascii="Times New Roman" w:hAnsi="Times New Roman" w:cs="Times New Roman"/>
      <w:sz w:val="24"/>
    </w:rPr>
  </w:style>
  <w:style w:type="character" w:customStyle="1" w:styleId="UvodnipozdravZnak">
    <w:name w:val="Uvodni pozdrav Znak"/>
    <w:basedOn w:val="Privzetapisavaodstavka"/>
    <w:link w:val="Uvodnipozdrav"/>
    <w:rsid w:val="00CB7BCC"/>
    <w:rPr>
      <w:rFonts w:ascii="Times New Roman" w:eastAsia="Times New Roman" w:hAnsi="Times New Roman" w:cs="Times New Roman"/>
      <w:sz w:val="24"/>
      <w:szCs w:val="24"/>
      <w:lang w:eastAsia="en-GB"/>
    </w:rPr>
  </w:style>
  <w:style w:type="paragraph" w:styleId="Kazalovirov">
    <w:name w:val="table of authorities"/>
    <w:basedOn w:val="Navaden"/>
    <w:next w:val="Navaden"/>
    <w:semiHidden/>
    <w:rsid w:val="00CB7BCC"/>
    <w:pPr>
      <w:spacing w:before="0" w:line="240" w:lineRule="auto"/>
      <w:ind w:left="480" w:hanging="240"/>
    </w:pPr>
    <w:rPr>
      <w:rFonts w:ascii="Times New Roman" w:hAnsi="Times New Roman" w:cs="Times New Roman"/>
      <w:sz w:val="24"/>
    </w:rPr>
  </w:style>
  <w:style w:type="paragraph" w:styleId="Kazalovirov-naslov">
    <w:name w:val="toa heading"/>
    <w:basedOn w:val="Navaden"/>
    <w:next w:val="Navaden"/>
    <w:semiHidden/>
    <w:rsid w:val="00CB7BCC"/>
    <w:pPr>
      <w:spacing w:before="0" w:line="240" w:lineRule="auto"/>
    </w:pPr>
    <w:rPr>
      <w:rFonts w:eastAsia="Arial" w:cs="Times New Roman"/>
      <w:b/>
      <w:sz w:val="20"/>
      <w:szCs w:val="20"/>
    </w:rPr>
  </w:style>
  <w:style w:type="paragraph" w:customStyle="1" w:styleId="YReferences">
    <w:name w:val="YReferences"/>
    <w:basedOn w:val="Navaden"/>
    <w:next w:val="Navaden"/>
    <w:rsid w:val="00CB7BCC"/>
    <w:pPr>
      <w:spacing w:before="0" w:line="240" w:lineRule="auto"/>
      <w:ind w:left="3062" w:hanging="1531"/>
    </w:pPr>
    <w:rPr>
      <w:rFonts w:ascii="Times New Roman" w:hAnsi="Times New Roman" w:cs="Times New Roman"/>
      <w:sz w:val="24"/>
    </w:rPr>
  </w:style>
  <w:style w:type="paragraph" w:customStyle="1" w:styleId="ListDash">
    <w:name w:val="List Dash"/>
    <w:basedOn w:val="Navaden"/>
    <w:rsid w:val="00CB7BCC"/>
    <w:pPr>
      <w:tabs>
        <w:tab w:val="left" w:pos="283"/>
      </w:tabs>
      <w:spacing w:before="0" w:line="240" w:lineRule="auto"/>
    </w:pPr>
    <w:rPr>
      <w:rFonts w:ascii="Times New Roman" w:hAnsi="Times New Roman" w:cs="Times New Roman"/>
      <w:sz w:val="24"/>
    </w:rPr>
  </w:style>
  <w:style w:type="paragraph" w:customStyle="1" w:styleId="ListDash1">
    <w:name w:val="List Dash 1"/>
    <w:basedOn w:val="Text1"/>
    <w:rsid w:val="00CB7BCC"/>
    <w:pPr>
      <w:numPr>
        <w:numId w:val="162"/>
      </w:numPr>
      <w:ind w:left="0" w:firstLine="0"/>
    </w:pPr>
    <w:rPr>
      <w:lang w:val="sl-SI"/>
    </w:rPr>
  </w:style>
  <w:style w:type="paragraph" w:customStyle="1" w:styleId="ListDash2">
    <w:name w:val="List Dash 2"/>
    <w:basedOn w:val="Text2"/>
    <w:rsid w:val="00CB7BCC"/>
    <w:pPr>
      <w:numPr>
        <w:numId w:val="163"/>
      </w:numPr>
      <w:tabs>
        <w:tab w:val="clear" w:pos="1360"/>
      </w:tabs>
      <w:ind w:left="0" w:firstLine="0"/>
    </w:pPr>
  </w:style>
  <w:style w:type="paragraph" w:customStyle="1" w:styleId="ListDash3">
    <w:name w:val="List Dash 3"/>
    <w:basedOn w:val="Text3"/>
    <w:rsid w:val="00CB7BCC"/>
    <w:pPr>
      <w:numPr>
        <w:numId w:val="164"/>
      </w:numPr>
      <w:ind w:left="0" w:firstLine="0"/>
    </w:pPr>
  </w:style>
  <w:style w:type="paragraph" w:customStyle="1" w:styleId="ListDash4">
    <w:name w:val="List Dash 4"/>
    <w:basedOn w:val="Text4"/>
    <w:rsid w:val="00CB7BCC"/>
    <w:pPr>
      <w:numPr>
        <w:numId w:val="165"/>
      </w:numPr>
      <w:ind w:left="0" w:firstLine="0"/>
    </w:pPr>
  </w:style>
  <w:style w:type="paragraph" w:customStyle="1" w:styleId="ListNumberLevel2">
    <w:name w:val="List Number (Level 2)"/>
    <w:basedOn w:val="Navaden"/>
    <w:rsid w:val="00CB7BCC"/>
    <w:pPr>
      <w:numPr>
        <w:ilvl w:val="1"/>
        <w:numId w:val="166"/>
      </w:numPr>
      <w:spacing w:before="0" w:line="240" w:lineRule="auto"/>
      <w:ind w:left="0" w:firstLine="0"/>
    </w:pPr>
    <w:rPr>
      <w:rFonts w:ascii="Times New Roman" w:hAnsi="Times New Roman" w:cs="Times New Roman"/>
      <w:sz w:val="24"/>
    </w:rPr>
  </w:style>
  <w:style w:type="paragraph" w:customStyle="1" w:styleId="ListNumberLevel3">
    <w:name w:val="List Number (Level 3)"/>
    <w:basedOn w:val="Navaden"/>
    <w:rsid w:val="00CB7BCC"/>
    <w:pPr>
      <w:numPr>
        <w:ilvl w:val="2"/>
        <w:numId w:val="166"/>
      </w:numPr>
      <w:spacing w:before="0" w:line="240" w:lineRule="auto"/>
      <w:ind w:left="0" w:firstLine="0"/>
    </w:pPr>
    <w:rPr>
      <w:rFonts w:ascii="Times New Roman" w:hAnsi="Times New Roman" w:cs="Times New Roman"/>
      <w:sz w:val="24"/>
    </w:rPr>
  </w:style>
  <w:style w:type="paragraph" w:customStyle="1" w:styleId="ListNumberLevel4">
    <w:name w:val="List Number (Level 4)"/>
    <w:basedOn w:val="Navaden"/>
    <w:rsid w:val="00CB7BCC"/>
    <w:pPr>
      <w:numPr>
        <w:ilvl w:val="3"/>
        <w:numId w:val="166"/>
      </w:numPr>
      <w:spacing w:before="0" w:line="240" w:lineRule="auto"/>
      <w:ind w:left="0" w:firstLine="0"/>
    </w:pPr>
    <w:rPr>
      <w:rFonts w:ascii="Times New Roman" w:hAnsi="Times New Roman" w:cs="Times New Roman"/>
      <w:sz w:val="24"/>
    </w:rPr>
  </w:style>
  <w:style w:type="paragraph" w:customStyle="1" w:styleId="ListNumber1">
    <w:name w:val="List Number 1"/>
    <w:basedOn w:val="Text1"/>
    <w:rsid w:val="00CB7BCC"/>
    <w:pPr>
      <w:numPr>
        <w:numId w:val="167"/>
      </w:numPr>
      <w:ind w:left="0" w:firstLine="0"/>
    </w:pPr>
    <w:rPr>
      <w:lang w:val="sl-SI"/>
    </w:rPr>
  </w:style>
  <w:style w:type="paragraph" w:customStyle="1" w:styleId="ListNumber1Level2">
    <w:name w:val="List Number 1 (Level 2)"/>
    <w:basedOn w:val="Text1"/>
    <w:rsid w:val="00CB7BCC"/>
    <w:pPr>
      <w:numPr>
        <w:ilvl w:val="1"/>
        <w:numId w:val="167"/>
      </w:numPr>
      <w:ind w:left="0" w:firstLine="0"/>
    </w:pPr>
    <w:rPr>
      <w:lang w:val="sl-SI"/>
    </w:rPr>
  </w:style>
  <w:style w:type="paragraph" w:customStyle="1" w:styleId="ListNumber1Level3">
    <w:name w:val="List Number 1 (Level 3)"/>
    <w:basedOn w:val="Text1"/>
    <w:rsid w:val="00CB7BCC"/>
    <w:pPr>
      <w:numPr>
        <w:ilvl w:val="2"/>
        <w:numId w:val="167"/>
      </w:numPr>
      <w:ind w:left="0" w:firstLine="0"/>
    </w:pPr>
    <w:rPr>
      <w:lang w:val="sl-SI"/>
    </w:rPr>
  </w:style>
  <w:style w:type="paragraph" w:customStyle="1" w:styleId="ListNumber1Level4">
    <w:name w:val="List Number 1 (Level 4)"/>
    <w:basedOn w:val="Text1"/>
    <w:rsid w:val="00CB7BCC"/>
    <w:pPr>
      <w:numPr>
        <w:ilvl w:val="3"/>
        <w:numId w:val="167"/>
      </w:numPr>
      <w:ind w:left="0" w:firstLine="0"/>
    </w:pPr>
    <w:rPr>
      <w:lang w:val="sl-SI"/>
    </w:rPr>
  </w:style>
  <w:style w:type="paragraph" w:customStyle="1" w:styleId="ListNumber2Level2">
    <w:name w:val="List Number 2 (Level 2)"/>
    <w:basedOn w:val="Text2"/>
    <w:rsid w:val="00CB7BCC"/>
    <w:pPr>
      <w:numPr>
        <w:ilvl w:val="1"/>
        <w:numId w:val="168"/>
      </w:numPr>
      <w:tabs>
        <w:tab w:val="clear" w:pos="2494"/>
        <w:tab w:val="left" w:pos="0"/>
        <w:tab w:val="num" w:pos="1440"/>
      </w:tabs>
      <w:ind w:left="0" w:firstLine="0"/>
    </w:pPr>
  </w:style>
  <w:style w:type="paragraph" w:customStyle="1" w:styleId="ListNumber2Level3">
    <w:name w:val="List Number 2 (Level 3)"/>
    <w:basedOn w:val="Text2"/>
    <w:rsid w:val="00CB7BCC"/>
    <w:pPr>
      <w:numPr>
        <w:ilvl w:val="2"/>
        <w:numId w:val="168"/>
      </w:numPr>
      <w:tabs>
        <w:tab w:val="clear" w:pos="3203"/>
        <w:tab w:val="left" w:pos="360"/>
        <w:tab w:val="num" w:pos="2160"/>
      </w:tabs>
      <w:ind w:left="0" w:firstLine="0"/>
    </w:pPr>
  </w:style>
  <w:style w:type="paragraph" w:customStyle="1" w:styleId="ListNumber2Level4">
    <w:name w:val="List Number 2 (Level 4)"/>
    <w:basedOn w:val="Text2"/>
    <w:rsid w:val="00CB7BCC"/>
    <w:pPr>
      <w:numPr>
        <w:ilvl w:val="3"/>
        <w:numId w:val="168"/>
      </w:numPr>
      <w:tabs>
        <w:tab w:val="clear" w:pos="3912"/>
        <w:tab w:val="left" w:pos="906"/>
        <w:tab w:val="num" w:pos="2880"/>
      </w:tabs>
      <w:ind w:left="4604" w:hanging="703"/>
    </w:pPr>
  </w:style>
  <w:style w:type="paragraph" w:customStyle="1" w:styleId="ListNumber3Level2">
    <w:name w:val="List Number 3 (Level 2)"/>
    <w:basedOn w:val="Text3"/>
    <w:rsid w:val="00CB7BCC"/>
    <w:pPr>
      <w:numPr>
        <w:ilvl w:val="1"/>
        <w:numId w:val="169"/>
      </w:numPr>
      <w:ind w:left="0" w:firstLine="0"/>
    </w:pPr>
  </w:style>
  <w:style w:type="paragraph" w:customStyle="1" w:styleId="ListNumber3Level3">
    <w:name w:val="List Number 3 (Level 3)"/>
    <w:basedOn w:val="Text3"/>
    <w:rsid w:val="00CB7BCC"/>
    <w:pPr>
      <w:numPr>
        <w:ilvl w:val="2"/>
        <w:numId w:val="169"/>
      </w:numPr>
      <w:ind w:left="0" w:firstLine="0"/>
    </w:pPr>
  </w:style>
  <w:style w:type="paragraph" w:customStyle="1" w:styleId="ListNumber3Level4">
    <w:name w:val="List Number 3 (Level 4)"/>
    <w:basedOn w:val="Text3"/>
    <w:rsid w:val="00CB7BCC"/>
    <w:pPr>
      <w:numPr>
        <w:ilvl w:val="3"/>
        <w:numId w:val="169"/>
      </w:numPr>
      <w:ind w:left="0" w:firstLine="0"/>
    </w:pPr>
  </w:style>
  <w:style w:type="paragraph" w:customStyle="1" w:styleId="ListNumber4Level2">
    <w:name w:val="List Number 4 (Level 2)"/>
    <w:basedOn w:val="Text4"/>
    <w:rsid w:val="00CB7BCC"/>
    <w:pPr>
      <w:numPr>
        <w:ilvl w:val="1"/>
        <w:numId w:val="170"/>
      </w:numPr>
      <w:ind w:left="0" w:firstLine="0"/>
    </w:pPr>
  </w:style>
  <w:style w:type="paragraph" w:customStyle="1" w:styleId="ListNumber4Level3">
    <w:name w:val="List Number 4 (Level 3)"/>
    <w:basedOn w:val="Text4"/>
    <w:rsid w:val="00CB7BCC"/>
    <w:pPr>
      <w:numPr>
        <w:ilvl w:val="2"/>
        <w:numId w:val="170"/>
      </w:numPr>
      <w:ind w:left="0" w:firstLine="0"/>
    </w:pPr>
  </w:style>
  <w:style w:type="paragraph" w:customStyle="1" w:styleId="ListNumber4Level4">
    <w:name w:val="List Number 4 (Level 4)"/>
    <w:basedOn w:val="Text4"/>
    <w:rsid w:val="00CB7BCC"/>
    <w:pPr>
      <w:numPr>
        <w:ilvl w:val="3"/>
        <w:numId w:val="170"/>
      </w:numPr>
      <w:ind w:left="0" w:firstLine="0"/>
    </w:pPr>
  </w:style>
  <w:style w:type="paragraph" w:customStyle="1" w:styleId="Contact">
    <w:name w:val="Contact"/>
    <w:basedOn w:val="Navaden"/>
    <w:next w:val="Navaden"/>
    <w:rsid w:val="00CB7BCC"/>
    <w:pPr>
      <w:spacing w:before="0" w:line="240" w:lineRule="auto"/>
      <w:ind w:left="1134" w:hanging="567"/>
    </w:pPr>
    <w:rPr>
      <w:rFonts w:ascii="Times New Roman" w:hAnsi="Times New Roman" w:cs="Times New Roman"/>
      <w:sz w:val="24"/>
    </w:rPr>
  </w:style>
  <w:style w:type="paragraph" w:customStyle="1" w:styleId="DisclaimerNotice">
    <w:name w:val="Disclaimer Notice"/>
    <w:basedOn w:val="Navaden"/>
    <w:next w:val="AddressTR"/>
    <w:rsid w:val="00CB7BCC"/>
    <w:pPr>
      <w:spacing w:before="0" w:line="240" w:lineRule="auto"/>
      <w:ind w:left="5103"/>
    </w:pPr>
    <w:rPr>
      <w:rFonts w:ascii="Times New Roman" w:hAnsi="Times New Roman" w:cs="Times New Roman"/>
      <w:i/>
      <w:sz w:val="20"/>
      <w:szCs w:val="20"/>
    </w:rPr>
  </w:style>
  <w:style w:type="paragraph" w:customStyle="1" w:styleId="Disclaimer">
    <w:name w:val="Disclaimer"/>
    <w:basedOn w:val="Navaden"/>
    <w:rsid w:val="00CB7BCC"/>
    <w:pPr>
      <w:keepLines/>
      <w:spacing w:before="0" w:line="240" w:lineRule="auto"/>
    </w:pPr>
    <w:rPr>
      <w:rFonts w:ascii="Times New Roman" w:hAnsi="Times New Roman" w:cs="Times New Roman"/>
      <w:i/>
      <w:sz w:val="20"/>
      <w:szCs w:val="20"/>
    </w:rPr>
  </w:style>
  <w:style w:type="paragraph" w:customStyle="1" w:styleId="DisclaimerSJ">
    <w:name w:val="Disclaimer_SJ"/>
    <w:basedOn w:val="Navaden"/>
    <w:next w:val="Navaden"/>
    <w:rsid w:val="00CB7BCC"/>
    <w:pPr>
      <w:spacing w:before="0" w:line="240" w:lineRule="auto"/>
    </w:pPr>
    <w:rPr>
      <w:rFonts w:eastAsia="Arial" w:cs="Times New Roman"/>
      <w:b/>
      <w:sz w:val="16"/>
      <w:szCs w:val="16"/>
    </w:rPr>
  </w:style>
  <w:style w:type="paragraph" w:customStyle="1" w:styleId="Designator">
    <w:name w:val="Designator"/>
    <w:basedOn w:val="Navaden"/>
    <w:rsid w:val="00CB7BCC"/>
    <w:pPr>
      <w:spacing w:before="0" w:line="240" w:lineRule="auto"/>
      <w:jc w:val="center"/>
    </w:pPr>
    <w:rPr>
      <w:rFonts w:ascii="Times New Roman" w:hAnsi="Times New Roman" w:cs="Times New Roman"/>
      <w:b/>
      <w:caps/>
      <w:sz w:val="32"/>
      <w:szCs w:val="32"/>
    </w:rPr>
  </w:style>
  <w:style w:type="paragraph" w:customStyle="1" w:styleId="Releasable">
    <w:name w:val="Releasable"/>
    <w:basedOn w:val="Navaden"/>
    <w:qFormat/>
    <w:rsid w:val="00CB7BCC"/>
    <w:pPr>
      <w:spacing w:before="0" w:line="240" w:lineRule="auto"/>
      <w:jc w:val="center"/>
    </w:pPr>
    <w:rPr>
      <w:rFonts w:ascii="Times New Roman" w:hAnsi="Times New Roman" w:cs="Times New Roman"/>
      <w:b/>
      <w:caps/>
      <w:sz w:val="32"/>
      <w:szCs w:val="32"/>
    </w:rPr>
  </w:style>
  <w:style w:type="paragraph" w:customStyle="1" w:styleId="RUE">
    <w:name w:val="RUE"/>
    <w:basedOn w:val="Navaden"/>
    <w:rsid w:val="00CB7BCC"/>
    <w:pPr>
      <w:spacing w:before="0" w:line="240" w:lineRule="auto"/>
      <w:jc w:val="center"/>
    </w:pPr>
    <w:rPr>
      <w:rFonts w:ascii="Times New Roman" w:hAnsi="Times New Roman" w:cs="Times New Roman"/>
      <w:b/>
      <w:caps/>
      <w:sz w:val="32"/>
      <w:szCs w:val="32"/>
      <w:bdr w:val="single" w:sz="18" w:space="0" w:color="000000"/>
    </w:rPr>
  </w:style>
  <w:style w:type="paragraph" w:customStyle="1" w:styleId="ConfidentialUE">
    <w:name w:val="Confidential UE"/>
    <w:basedOn w:val="Navaden"/>
    <w:rsid w:val="00CB7BCC"/>
    <w:pPr>
      <w:spacing w:before="0" w:line="240" w:lineRule="auto"/>
      <w:jc w:val="center"/>
    </w:pPr>
    <w:rPr>
      <w:rFonts w:ascii="Times New Roman" w:hAnsi="Times New Roman" w:cs="Times New Roman"/>
      <w:b/>
      <w:caps/>
      <w:sz w:val="32"/>
      <w:szCs w:val="32"/>
      <w:bdr w:val="single" w:sz="18" w:space="0" w:color="000000"/>
    </w:rPr>
  </w:style>
  <w:style w:type="paragraph" w:customStyle="1" w:styleId="TrsSecretUE">
    <w:name w:val="Très Secret UE"/>
    <w:basedOn w:val="Navaden"/>
    <w:rsid w:val="00CB7BCC"/>
    <w:pPr>
      <w:spacing w:before="0" w:line="240" w:lineRule="auto"/>
      <w:jc w:val="center"/>
    </w:pPr>
    <w:rPr>
      <w:rFonts w:ascii="Times New Roman" w:hAnsi="Times New Roman" w:cs="Times New Roman"/>
      <w:b/>
      <w:caps/>
      <w:color w:val="FF0000"/>
      <w:sz w:val="32"/>
      <w:szCs w:val="32"/>
      <w:bdr w:val="single" w:sz="18" w:space="0" w:color="FF0000"/>
    </w:rPr>
  </w:style>
  <w:style w:type="paragraph" w:customStyle="1" w:styleId="SecretUE">
    <w:name w:val="Secret UE"/>
    <w:basedOn w:val="Navaden"/>
    <w:rsid w:val="00CB7BCC"/>
    <w:pPr>
      <w:spacing w:before="0" w:line="240" w:lineRule="auto"/>
      <w:jc w:val="center"/>
    </w:pPr>
    <w:rPr>
      <w:rFonts w:ascii="Times New Roman" w:hAnsi="Times New Roman" w:cs="Times New Roman"/>
      <w:b/>
      <w:caps/>
      <w:color w:val="FF0000"/>
      <w:sz w:val="32"/>
      <w:szCs w:val="32"/>
      <w:bdr w:val="single" w:sz="18" w:space="0" w:color="FF0000"/>
    </w:rPr>
  </w:style>
  <w:style w:type="paragraph" w:customStyle="1" w:styleId="LegalNumPar">
    <w:name w:val="LegalNumPar"/>
    <w:basedOn w:val="Navaden"/>
    <w:rsid w:val="00CB7BCC"/>
    <w:pPr>
      <w:numPr>
        <w:numId w:val="171"/>
      </w:numPr>
      <w:spacing w:before="0" w:line="240" w:lineRule="auto"/>
      <w:ind w:left="0" w:firstLine="0"/>
    </w:pPr>
    <w:rPr>
      <w:rFonts w:eastAsia="Calibri" w:cs="Times New Roman"/>
      <w:sz w:val="20"/>
      <w:szCs w:val="20"/>
    </w:rPr>
  </w:style>
  <w:style w:type="paragraph" w:customStyle="1" w:styleId="LegalNumPar2">
    <w:name w:val="LegalNumPar2"/>
    <w:basedOn w:val="Navaden"/>
    <w:rsid w:val="00CB7BCC"/>
    <w:pPr>
      <w:numPr>
        <w:ilvl w:val="1"/>
        <w:numId w:val="171"/>
      </w:numPr>
      <w:spacing w:before="0" w:line="240" w:lineRule="auto"/>
      <w:ind w:left="0" w:firstLine="0"/>
    </w:pPr>
    <w:rPr>
      <w:rFonts w:eastAsia="Calibri" w:cs="Times New Roman"/>
      <w:sz w:val="20"/>
      <w:szCs w:val="20"/>
    </w:rPr>
  </w:style>
  <w:style w:type="paragraph" w:customStyle="1" w:styleId="LegalNumPar3">
    <w:name w:val="LegalNumPar3"/>
    <w:basedOn w:val="Navaden"/>
    <w:rsid w:val="00CB7BCC"/>
    <w:pPr>
      <w:numPr>
        <w:ilvl w:val="2"/>
        <w:numId w:val="171"/>
      </w:numPr>
      <w:spacing w:before="0" w:line="240" w:lineRule="auto"/>
      <w:ind w:left="0" w:firstLine="0"/>
    </w:pPr>
    <w:rPr>
      <w:rFonts w:eastAsia="Calibri" w:cs="Times New Roman"/>
      <w:sz w:val="20"/>
      <w:szCs w:val="20"/>
    </w:rPr>
  </w:style>
  <w:style w:type="paragraph" w:customStyle="1" w:styleId="ZCom">
    <w:name w:val="Z_Com"/>
    <w:basedOn w:val="Navaden"/>
    <w:rsid w:val="00CB7BCC"/>
    <w:pPr>
      <w:autoSpaceDE w:val="0"/>
      <w:autoSpaceDN w:val="0"/>
      <w:spacing w:before="0" w:line="240" w:lineRule="auto"/>
      <w:ind w:right="85"/>
    </w:pPr>
    <w:rPr>
      <w:rFonts w:eastAsia="Arial" w:cs="Times New Roman"/>
      <w:sz w:val="20"/>
      <w:szCs w:val="20"/>
    </w:rPr>
  </w:style>
  <w:style w:type="paragraph" w:customStyle="1" w:styleId="ZDGName">
    <w:name w:val="Z_DGName"/>
    <w:basedOn w:val="Navaden"/>
    <w:rsid w:val="00CB7BCC"/>
    <w:pPr>
      <w:autoSpaceDE w:val="0"/>
      <w:autoSpaceDN w:val="0"/>
      <w:spacing w:before="0" w:line="240" w:lineRule="auto"/>
      <w:ind w:right="85"/>
    </w:pPr>
    <w:rPr>
      <w:rFonts w:eastAsia="Arial" w:cs="Times New Roman"/>
      <w:sz w:val="16"/>
      <w:szCs w:val="16"/>
    </w:rPr>
  </w:style>
  <w:style w:type="character" w:customStyle="1" w:styleId="BrezrazmikovZnak">
    <w:name w:val="Brez razmikov Znak"/>
    <w:aliases w:val="navaden bold JOŽI Znak"/>
    <w:basedOn w:val="Privzetapisavaodstavka"/>
    <w:link w:val="Brezrazmikov"/>
    <w:uiPriority w:val="1"/>
    <w:rsid w:val="00CB7BCC"/>
    <w:rPr>
      <w:rFonts w:ascii="Calibri" w:eastAsia="Calibri" w:hAnsi="Calibri" w:cs="Times New Roman"/>
      <w:sz w:val="20"/>
      <w:lang w:val="en-GB" w:eastAsia="en-GB"/>
    </w:rPr>
  </w:style>
  <w:style w:type="character" w:customStyle="1" w:styleId="Text2Char">
    <w:name w:val="Text 2 Char"/>
    <w:link w:val="Text2"/>
    <w:rsid w:val="00CB7BCC"/>
    <w:rPr>
      <w:rFonts w:ascii="Times New Roman" w:eastAsia="Times New Roman" w:hAnsi="Times New Roman" w:cs="Times New Roman"/>
      <w:sz w:val="24"/>
      <w:szCs w:val="24"/>
      <w:lang w:eastAsia="en-GB"/>
    </w:rPr>
  </w:style>
  <w:style w:type="paragraph" w:customStyle="1" w:styleId="Point1">
    <w:name w:val="Point 1"/>
    <w:basedOn w:val="Navaden"/>
    <w:rsid w:val="00CB7BCC"/>
    <w:pPr>
      <w:spacing w:before="0" w:line="240" w:lineRule="auto"/>
      <w:ind w:left="1984" w:hanging="567"/>
    </w:pPr>
    <w:rPr>
      <w:rFonts w:eastAsia="Calibri" w:cs="Times New Roman"/>
      <w:sz w:val="20"/>
      <w:szCs w:val="20"/>
    </w:rPr>
  </w:style>
  <w:style w:type="paragraph" w:customStyle="1" w:styleId="Tiret2">
    <w:name w:val="Tiret 2"/>
    <w:basedOn w:val="Navaden"/>
    <w:rsid w:val="00CB7BCC"/>
    <w:pPr>
      <w:numPr>
        <w:numId w:val="173"/>
      </w:numPr>
      <w:spacing w:before="0" w:line="240" w:lineRule="auto"/>
      <w:ind w:left="0" w:firstLine="0"/>
    </w:pPr>
    <w:rPr>
      <w:rFonts w:eastAsia="Calibri" w:cs="Times New Roman"/>
      <w:sz w:val="20"/>
      <w:szCs w:val="20"/>
    </w:rPr>
  </w:style>
  <w:style w:type="paragraph" w:customStyle="1" w:styleId="Point0number">
    <w:name w:val="Point 0 (number)"/>
    <w:basedOn w:val="Navaden"/>
    <w:rsid w:val="00CB7BCC"/>
    <w:pPr>
      <w:numPr>
        <w:numId w:val="172"/>
      </w:numPr>
      <w:spacing w:before="0" w:line="240" w:lineRule="auto"/>
      <w:ind w:left="0" w:firstLine="0"/>
    </w:pPr>
    <w:rPr>
      <w:rFonts w:eastAsia="Calibri" w:cs="Times New Roman"/>
      <w:sz w:val="20"/>
      <w:szCs w:val="20"/>
    </w:rPr>
  </w:style>
  <w:style w:type="paragraph" w:customStyle="1" w:styleId="Point1number">
    <w:name w:val="Point 1 (number)"/>
    <w:basedOn w:val="Navaden"/>
    <w:rsid w:val="00CB7BCC"/>
    <w:pPr>
      <w:numPr>
        <w:ilvl w:val="2"/>
        <w:numId w:val="172"/>
      </w:numPr>
      <w:spacing w:before="0" w:line="240" w:lineRule="auto"/>
      <w:ind w:left="0" w:firstLine="0"/>
    </w:pPr>
    <w:rPr>
      <w:rFonts w:eastAsia="Calibri" w:cs="Times New Roman"/>
      <w:sz w:val="20"/>
      <w:szCs w:val="20"/>
    </w:rPr>
  </w:style>
  <w:style w:type="paragraph" w:customStyle="1" w:styleId="Point2number">
    <w:name w:val="Point 2 (number)"/>
    <w:basedOn w:val="Navaden"/>
    <w:rsid w:val="00CB7BCC"/>
    <w:pPr>
      <w:numPr>
        <w:ilvl w:val="4"/>
        <w:numId w:val="172"/>
      </w:numPr>
      <w:spacing w:before="0" w:line="240" w:lineRule="auto"/>
      <w:ind w:left="0" w:firstLine="0"/>
    </w:pPr>
    <w:rPr>
      <w:rFonts w:eastAsia="Calibri" w:cs="Times New Roman"/>
      <w:sz w:val="20"/>
      <w:szCs w:val="20"/>
    </w:rPr>
  </w:style>
  <w:style w:type="paragraph" w:customStyle="1" w:styleId="Point3number">
    <w:name w:val="Point 3 (number)"/>
    <w:basedOn w:val="Navaden"/>
    <w:rsid w:val="00CB7BCC"/>
    <w:pPr>
      <w:numPr>
        <w:ilvl w:val="6"/>
        <w:numId w:val="172"/>
      </w:numPr>
      <w:spacing w:before="0" w:line="240" w:lineRule="auto"/>
      <w:ind w:left="0" w:firstLine="0"/>
    </w:pPr>
    <w:rPr>
      <w:rFonts w:eastAsia="Calibri" w:cs="Times New Roman"/>
      <w:sz w:val="20"/>
      <w:szCs w:val="20"/>
    </w:rPr>
  </w:style>
  <w:style w:type="paragraph" w:customStyle="1" w:styleId="Point0letter">
    <w:name w:val="Point 0 (letter)"/>
    <w:basedOn w:val="Navaden"/>
    <w:rsid w:val="00CB7BCC"/>
    <w:pPr>
      <w:numPr>
        <w:ilvl w:val="1"/>
        <w:numId w:val="172"/>
      </w:numPr>
      <w:spacing w:before="0" w:line="240" w:lineRule="auto"/>
      <w:ind w:left="0" w:firstLine="0"/>
    </w:pPr>
    <w:rPr>
      <w:rFonts w:eastAsia="Calibri" w:cs="Times New Roman"/>
      <w:sz w:val="20"/>
      <w:szCs w:val="20"/>
    </w:rPr>
  </w:style>
  <w:style w:type="paragraph" w:customStyle="1" w:styleId="Point1letter">
    <w:name w:val="Point 1 (letter)"/>
    <w:basedOn w:val="Navaden"/>
    <w:rsid w:val="00CB7BCC"/>
    <w:pPr>
      <w:numPr>
        <w:ilvl w:val="3"/>
        <w:numId w:val="172"/>
      </w:numPr>
      <w:spacing w:before="0" w:line="240" w:lineRule="auto"/>
      <w:ind w:left="0" w:firstLine="0"/>
    </w:pPr>
    <w:rPr>
      <w:rFonts w:eastAsia="Calibri" w:cs="Times New Roman"/>
      <w:sz w:val="20"/>
      <w:szCs w:val="20"/>
    </w:rPr>
  </w:style>
  <w:style w:type="paragraph" w:customStyle="1" w:styleId="Point2letter">
    <w:name w:val="Point 2 (letter)"/>
    <w:basedOn w:val="Navaden"/>
    <w:rsid w:val="00CB7BCC"/>
    <w:pPr>
      <w:numPr>
        <w:ilvl w:val="5"/>
        <w:numId w:val="172"/>
      </w:numPr>
      <w:spacing w:before="0" w:line="240" w:lineRule="auto"/>
      <w:ind w:left="0" w:firstLine="0"/>
    </w:pPr>
    <w:rPr>
      <w:rFonts w:eastAsia="Calibri" w:cs="Times New Roman"/>
      <w:sz w:val="20"/>
      <w:szCs w:val="20"/>
    </w:rPr>
  </w:style>
  <w:style w:type="paragraph" w:customStyle="1" w:styleId="Point3letter">
    <w:name w:val="Point 3 (letter)"/>
    <w:basedOn w:val="Navaden"/>
    <w:rsid w:val="00CB7BCC"/>
    <w:pPr>
      <w:numPr>
        <w:ilvl w:val="7"/>
        <w:numId w:val="172"/>
      </w:numPr>
      <w:spacing w:before="0" w:line="240" w:lineRule="auto"/>
      <w:ind w:left="0" w:firstLine="0"/>
    </w:pPr>
    <w:rPr>
      <w:rFonts w:eastAsia="Calibri" w:cs="Times New Roman"/>
      <w:sz w:val="20"/>
      <w:szCs w:val="20"/>
    </w:rPr>
  </w:style>
  <w:style w:type="paragraph" w:customStyle="1" w:styleId="Point4letter">
    <w:name w:val="Point 4 (letter)"/>
    <w:basedOn w:val="Navaden"/>
    <w:rsid w:val="00CB7BCC"/>
    <w:pPr>
      <w:numPr>
        <w:ilvl w:val="8"/>
        <w:numId w:val="172"/>
      </w:numPr>
      <w:spacing w:before="0" w:line="240" w:lineRule="auto"/>
      <w:ind w:left="0" w:firstLine="0"/>
    </w:pPr>
    <w:rPr>
      <w:rFonts w:eastAsia="Calibri" w:cs="Times New Roman"/>
      <w:sz w:val="20"/>
      <w:szCs w:val="20"/>
    </w:rPr>
  </w:style>
  <w:style w:type="paragraph" w:customStyle="1" w:styleId="StyleHeading3BoldNotItalic">
    <w:name w:val="Style Heading 3 + Bold Not Italic"/>
    <w:basedOn w:val="Naslov3"/>
    <w:rsid w:val="00CB7BCC"/>
    <w:pPr>
      <w:keepNext/>
      <w:numPr>
        <w:ilvl w:val="0"/>
        <w:numId w:val="174"/>
      </w:numPr>
      <w:tabs>
        <w:tab w:val="left" w:pos="360"/>
        <w:tab w:val="left" w:pos="850"/>
        <w:tab w:val="left" w:pos="4537"/>
      </w:tabs>
      <w:spacing w:before="0" w:line="260" w:lineRule="atLeast"/>
      <w:ind w:left="1440" w:hanging="720"/>
    </w:pPr>
    <w:rPr>
      <w:rFonts w:ascii="Times New Roman Bold" w:eastAsia="Times New Roman Bold" w:hAnsi="Times New Roman Bold" w:cs="Times New Roman"/>
      <w:b/>
      <w:i w:val="0"/>
      <w:color w:val="00B050"/>
      <w:szCs w:val="20"/>
    </w:rPr>
  </w:style>
  <w:style w:type="paragraph" w:customStyle="1" w:styleId="Tim">
    <w:name w:val="Tim"/>
    <w:basedOn w:val="Navaden"/>
    <w:rsid w:val="00CB7BCC"/>
    <w:pPr>
      <w:numPr>
        <w:numId w:val="175"/>
      </w:numPr>
      <w:spacing w:before="0" w:line="240" w:lineRule="auto"/>
      <w:ind w:left="0" w:firstLine="0"/>
    </w:pPr>
    <w:rPr>
      <w:rFonts w:ascii="Calibri" w:eastAsia="Calibri" w:hAnsi="Calibri" w:cs="Times New Roman"/>
      <w:sz w:val="20"/>
      <w:szCs w:val="22"/>
    </w:rPr>
  </w:style>
  <w:style w:type="table" w:customStyle="1" w:styleId="TableGridLight1">
    <w:name w:val="Table Grid Light1"/>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CB7BCC"/>
    <w:pPr>
      <w:spacing w:before="0" w:line="240" w:lineRule="auto"/>
    </w:pPr>
    <w:rPr>
      <w:rFonts w:ascii="Times New Roman" w:eastAsia="Arial Unicode MS" w:hAnsi="Times New Roman" w:cs="Times New Roman"/>
      <w:color w:val="000000"/>
      <w:sz w:val="20"/>
      <w:szCs w:val="20"/>
      <w:lang w:eastAsia="sl-SI" w:bidi="sl-SI"/>
    </w:rPr>
  </w:style>
  <w:style w:type="paragraph" w:customStyle="1" w:styleId="BodyText31">
    <w:name w:val="Body Text 31"/>
    <w:basedOn w:val="Navaden"/>
    <w:rsid w:val="00CB7BCC"/>
    <w:pPr>
      <w:widowControl w:val="0"/>
      <w:overflowPunct w:val="0"/>
      <w:autoSpaceDE w:val="0"/>
      <w:autoSpaceDN w:val="0"/>
      <w:adjustRightInd w:val="0"/>
      <w:spacing w:before="0" w:line="240" w:lineRule="auto"/>
      <w:textAlignment w:val="baseline"/>
    </w:pPr>
    <w:rPr>
      <w:rFonts w:ascii="Times New Roman" w:hAnsi="Times New Roman" w:cs="Times New Roman"/>
      <w:sz w:val="24"/>
      <w:szCs w:val="20"/>
      <w:lang w:eastAsia="sl-SI"/>
    </w:rPr>
  </w:style>
  <w:style w:type="paragraph" w:customStyle="1" w:styleId="ZnakZnakZnakZnakZnak1">
    <w:name w:val="Znak Znak Znak Znak Znak1"/>
    <w:basedOn w:val="Navaden"/>
    <w:rsid w:val="00CB7BCC"/>
    <w:pPr>
      <w:spacing w:before="0" w:after="160" w:line="240" w:lineRule="exact"/>
      <w:jc w:val="left"/>
    </w:pPr>
    <w:rPr>
      <w:rFonts w:ascii="Tahoma" w:hAnsi="Tahoma" w:cs="Times New Roman"/>
      <w:sz w:val="20"/>
      <w:szCs w:val="20"/>
      <w:lang w:val="en-US" w:eastAsia="en-US"/>
    </w:rPr>
  </w:style>
  <w:style w:type="paragraph" w:customStyle="1" w:styleId="ZPtekstpoevni">
    <w:name w:val="ZP_tekst_poševni"/>
    <w:basedOn w:val="Navaden"/>
    <w:next w:val="Navaden"/>
    <w:qFormat/>
    <w:rsid w:val="00CB7BCC"/>
    <w:pPr>
      <w:spacing w:after="120"/>
    </w:pPr>
    <w:rPr>
      <w:i/>
      <w:sz w:val="20"/>
      <w:szCs w:val="22"/>
      <w:lang w:eastAsia="en-US"/>
    </w:rPr>
  </w:style>
  <w:style w:type="character" w:customStyle="1" w:styleId="Bodytext2Bold">
    <w:name w:val="Body text (2) + Bold"/>
    <w:basedOn w:val="Privzetapisavaodstavka"/>
    <w:rsid w:val="00CB7BCC"/>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CB7BCC"/>
    <w:rPr>
      <w:rFonts w:eastAsia="Arial" w:cs="Arial"/>
      <w:sz w:val="13"/>
      <w:szCs w:val="13"/>
      <w:shd w:val="clear" w:color="auto" w:fill="FFFFFF"/>
    </w:rPr>
  </w:style>
  <w:style w:type="character" w:customStyle="1" w:styleId="Bodytext27ptScale66">
    <w:name w:val="Body text (2) + 7 pt;Scale 66%"/>
    <w:basedOn w:val="Bodytext2"/>
    <w:rsid w:val="00CB7BCC"/>
    <w:rPr>
      <w:rFonts w:eastAsia="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CB7BCC"/>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CB7BCC"/>
    <w:pPr>
      <w:widowControl w:val="0"/>
      <w:shd w:val="clear" w:color="auto" w:fill="FFFFFF"/>
      <w:spacing w:after="300" w:line="197" w:lineRule="exact"/>
      <w:ind w:hanging="180"/>
      <w:jc w:val="left"/>
    </w:pPr>
    <w:rPr>
      <w:rFonts w:asciiTheme="minorHAnsi" w:eastAsia="Arial" w:hAnsiTheme="minorHAnsi"/>
      <w:sz w:val="13"/>
      <w:szCs w:val="13"/>
      <w:lang w:eastAsia="en-US"/>
    </w:rPr>
  </w:style>
  <w:style w:type="character" w:customStyle="1" w:styleId="Bodytext2Georgia4ptBold">
    <w:name w:val="Body text (2) + Georgia;4 pt;Bold"/>
    <w:basedOn w:val="Bodytext2"/>
    <w:rsid w:val="00CB7BCC"/>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CB7BCC"/>
    <w:rPr>
      <w:rFonts w:eastAsia="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CB7BCC"/>
    <w:rPr>
      <w:rFonts w:eastAsia="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CB7B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alineja">
    <w:name w:val="alineja"/>
    <w:basedOn w:val="Navaden"/>
    <w:rsid w:val="00CB7BCC"/>
    <w:pPr>
      <w:numPr>
        <w:numId w:val="176"/>
      </w:numPr>
      <w:autoSpaceDE w:val="0"/>
      <w:autoSpaceDN w:val="0"/>
      <w:adjustRightInd w:val="0"/>
      <w:spacing w:before="0" w:line="240" w:lineRule="auto"/>
      <w:ind w:left="714" w:hanging="357"/>
    </w:pPr>
    <w:rPr>
      <w:rFonts w:ascii="Tahoma" w:hAnsi="Tahoma" w:cs="Times New Roman"/>
      <w:sz w:val="20"/>
      <w:szCs w:val="22"/>
      <w:lang w:eastAsia="sl-SI"/>
    </w:rPr>
  </w:style>
  <w:style w:type="character" w:customStyle="1" w:styleId="ccccccc">
    <w:name w:val="ccccccc"/>
    <w:rsid w:val="00CB7BCC"/>
    <w:rPr>
      <w:rFonts w:ascii="Arial" w:hAnsi="Arial"/>
      <w:b/>
      <w:bCs/>
      <w:sz w:val="22"/>
      <w:lang w:eastAsia="en-US"/>
    </w:rPr>
  </w:style>
  <w:style w:type="paragraph" w:customStyle="1" w:styleId="ZPokvirnaslov">
    <w:name w:val="ZP_okvir_naslov"/>
    <w:basedOn w:val="ZPtekst"/>
    <w:qFormat/>
    <w:rsid w:val="00CB7BCC"/>
    <w:pPr>
      <w:keepNext/>
      <w:spacing w:before="80" w:after="80"/>
      <w:ind w:firstLine="454"/>
      <w:jc w:val="left"/>
    </w:pPr>
    <w:rPr>
      <w:b/>
      <w:sz w:val="20"/>
      <w:szCs w:val="22"/>
      <w:lang w:eastAsia="en-US"/>
    </w:rPr>
  </w:style>
  <w:style w:type="paragraph" w:customStyle="1" w:styleId="ZPokvirtekst">
    <w:name w:val="ZP_okvir_tekst"/>
    <w:basedOn w:val="ZPtekst"/>
    <w:qFormat/>
    <w:rsid w:val="00CB7BCC"/>
    <w:pPr>
      <w:keepNext/>
      <w:spacing w:before="80" w:after="80" w:line="245" w:lineRule="auto"/>
      <w:ind w:firstLine="454"/>
    </w:pPr>
    <w:rPr>
      <w:sz w:val="18"/>
      <w:szCs w:val="22"/>
      <w:lang w:eastAsia="en-US"/>
    </w:rPr>
  </w:style>
  <w:style w:type="table" w:customStyle="1" w:styleId="Tabelamrea6">
    <w:name w:val="Tabela – mreža6"/>
    <w:basedOn w:val="Navadnatabela"/>
    <w:next w:val="Tabelamrea"/>
    <w:uiPriority w:val="59"/>
    <w:rsid w:val="00CB7BCC"/>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CB7BCC"/>
    <w:rPr>
      <w:rFonts w:cs="FTERJY+MyriadPro-Regular"/>
      <w:color w:val="000000"/>
      <w:sz w:val="17"/>
      <w:szCs w:val="17"/>
    </w:rPr>
  </w:style>
  <w:style w:type="table" w:customStyle="1" w:styleId="Tabelamrea11">
    <w:name w:val="Tabela – mreža11"/>
    <w:basedOn w:val="Navadnatabela"/>
    <w:next w:val="Tabelamrea"/>
    <w:uiPriority w:val="59"/>
    <w:rsid w:val="00CB7BCC"/>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CB7BCC"/>
    <w:pPr>
      <w:spacing w:after="0" w:line="240" w:lineRule="auto"/>
    </w:pPr>
    <w:rPr>
      <w:rFonts w:ascii="Arial" w:hAnsi="Arial"/>
      <w:sz w:val="20"/>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vilnatoka111">
    <w:name w:val="Številčna točka 1.1.1"/>
    <w:basedOn w:val="Navaden"/>
    <w:qFormat/>
    <w:rsid w:val="00CB7BCC"/>
    <w:pPr>
      <w:widowControl w:val="0"/>
      <w:numPr>
        <w:ilvl w:val="2"/>
        <w:numId w:val="177"/>
      </w:numPr>
      <w:overflowPunct w:val="0"/>
      <w:autoSpaceDE w:val="0"/>
      <w:autoSpaceDN w:val="0"/>
      <w:adjustRightInd w:val="0"/>
      <w:spacing w:before="0" w:line="240" w:lineRule="auto"/>
    </w:pPr>
    <w:rPr>
      <w:rFonts w:cs="Times New Roman"/>
      <w:sz w:val="20"/>
      <w:szCs w:val="16"/>
      <w:lang w:eastAsia="sl-SI"/>
    </w:rPr>
  </w:style>
  <w:style w:type="paragraph" w:customStyle="1" w:styleId="tevilnatoka">
    <w:name w:val="Številčna točka"/>
    <w:basedOn w:val="Navaden"/>
    <w:link w:val="tevilnatokaZnak"/>
    <w:qFormat/>
    <w:rsid w:val="00CB7BCC"/>
    <w:pPr>
      <w:numPr>
        <w:numId w:val="177"/>
      </w:numPr>
      <w:spacing w:before="0" w:line="240" w:lineRule="auto"/>
    </w:pPr>
    <w:rPr>
      <w:sz w:val="20"/>
      <w:szCs w:val="22"/>
      <w:lang w:eastAsia="sl-SI"/>
    </w:rPr>
  </w:style>
  <w:style w:type="paragraph" w:customStyle="1" w:styleId="tevilnatoka11Nova">
    <w:name w:val="Številčna točka 1.1 Nova"/>
    <w:basedOn w:val="tevilnatoka"/>
    <w:qFormat/>
    <w:rsid w:val="00CB7BCC"/>
    <w:pPr>
      <w:numPr>
        <w:ilvl w:val="1"/>
      </w:numPr>
      <w:tabs>
        <w:tab w:val="clear" w:pos="425"/>
        <w:tab w:val="left" w:pos="0"/>
        <w:tab w:val="num" w:pos="360"/>
      </w:tabs>
      <w:ind w:left="1440" w:hanging="360"/>
    </w:pPr>
  </w:style>
  <w:style w:type="paragraph" w:customStyle="1" w:styleId="tevilnatoka0">
    <w:name w:val="tevilnatoka"/>
    <w:basedOn w:val="Navaden"/>
    <w:rsid w:val="00CB7BCC"/>
    <w:pPr>
      <w:spacing w:before="100" w:beforeAutospacing="1" w:after="100" w:afterAutospacing="1" w:line="240" w:lineRule="auto"/>
      <w:jc w:val="left"/>
    </w:pPr>
    <w:rPr>
      <w:rFonts w:ascii="Times New Roman" w:hAnsi="Times New Roman" w:cs="Times New Roman"/>
      <w:sz w:val="24"/>
      <w:lang w:eastAsia="sl-SI"/>
    </w:rPr>
  </w:style>
  <w:style w:type="paragraph" w:customStyle="1" w:styleId="Odstavek0">
    <w:name w:val="Odstavek"/>
    <w:basedOn w:val="Navaden"/>
    <w:link w:val="OdstavekZnak"/>
    <w:qFormat/>
    <w:rsid w:val="00CB7BCC"/>
    <w:pPr>
      <w:overflowPunct w:val="0"/>
      <w:autoSpaceDE w:val="0"/>
      <w:autoSpaceDN w:val="0"/>
      <w:adjustRightInd w:val="0"/>
      <w:spacing w:before="240" w:line="240" w:lineRule="auto"/>
      <w:ind w:firstLine="1021"/>
      <w:textAlignment w:val="baseline"/>
    </w:pPr>
    <w:rPr>
      <w:sz w:val="20"/>
      <w:szCs w:val="22"/>
      <w:lang w:eastAsia="sl-SI"/>
    </w:rPr>
  </w:style>
  <w:style w:type="character" w:customStyle="1" w:styleId="OdstavekZnak">
    <w:name w:val="Odstavek Znak"/>
    <w:link w:val="Odstavek0"/>
    <w:rsid w:val="00CB7BCC"/>
    <w:rPr>
      <w:rFonts w:ascii="Arial" w:eastAsia="Times New Roman" w:hAnsi="Arial" w:cs="Arial"/>
      <w:sz w:val="20"/>
      <w:lang w:eastAsia="sl-SI"/>
    </w:rPr>
  </w:style>
  <w:style w:type="paragraph" w:customStyle="1" w:styleId="Navaden1">
    <w:name w:val="Navaden1"/>
    <w:rsid w:val="00CB7BCC"/>
    <w:pPr>
      <w:spacing w:after="0" w:line="240" w:lineRule="auto"/>
    </w:pPr>
    <w:rPr>
      <w:rFonts w:ascii="Arial" w:eastAsia="Arial" w:hAnsi="Arial" w:cs="Arial"/>
      <w:sz w:val="20"/>
      <w:szCs w:val="20"/>
    </w:rPr>
  </w:style>
  <w:style w:type="paragraph" w:customStyle="1" w:styleId="ZPnoga">
    <w:name w:val="ZP_noga"/>
    <w:basedOn w:val="ZPtekst"/>
    <w:qFormat/>
    <w:rsid w:val="00CB7BCC"/>
    <w:pPr>
      <w:keepLines/>
      <w:spacing w:before="60" w:after="60" w:line="245" w:lineRule="auto"/>
      <w:ind w:left="170" w:hanging="170"/>
    </w:pPr>
    <w:rPr>
      <w:sz w:val="18"/>
      <w:szCs w:val="22"/>
      <w:lang w:eastAsia="en-US"/>
    </w:rPr>
  </w:style>
  <w:style w:type="character" w:customStyle="1" w:styleId="tevilnatokaZnak">
    <w:name w:val="Številčna točka Znak"/>
    <w:basedOn w:val="Privzetapisavaodstavka"/>
    <w:link w:val="tevilnatoka"/>
    <w:rsid w:val="00CB7BCC"/>
    <w:rPr>
      <w:rFonts w:ascii="Arial" w:eastAsia="Times New Roman" w:hAnsi="Arial" w:cs="Arial"/>
      <w:sz w:val="20"/>
      <w:lang w:eastAsia="sl-SI"/>
    </w:rPr>
  </w:style>
  <w:style w:type="paragraph" w:customStyle="1" w:styleId="Pa1">
    <w:name w:val="Pa1"/>
    <w:basedOn w:val="Default"/>
    <w:next w:val="Default"/>
    <w:uiPriority w:val="99"/>
    <w:rsid w:val="00CB7BCC"/>
    <w:pPr>
      <w:spacing w:line="201" w:lineRule="atLeast"/>
    </w:pPr>
    <w:rPr>
      <w:rFonts w:ascii="Arial" w:eastAsia="Arial" w:hAnsi="Arial" w:cs="Arial"/>
      <w:color w:val="auto"/>
    </w:rPr>
  </w:style>
  <w:style w:type="paragraph" w:customStyle="1" w:styleId="align-justify">
    <w:name w:val="align-justify"/>
    <w:basedOn w:val="Navaden"/>
    <w:rsid w:val="00CB7BCC"/>
    <w:pPr>
      <w:spacing w:before="100" w:beforeAutospacing="1" w:after="100" w:afterAutospacing="1" w:line="260" w:lineRule="atLeast"/>
      <w:jc w:val="left"/>
    </w:pPr>
    <w:rPr>
      <w:rFonts w:cs="Times New Roman"/>
      <w:sz w:val="20"/>
      <w:lang w:eastAsia="sl-SI"/>
    </w:rPr>
  </w:style>
  <w:style w:type="paragraph" w:customStyle="1" w:styleId="Pa34">
    <w:name w:val="Pa34"/>
    <w:basedOn w:val="Default"/>
    <w:next w:val="Default"/>
    <w:uiPriority w:val="99"/>
    <w:rsid w:val="00CB7BCC"/>
    <w:pPr>
      <w:spacing w:line="201" w:lineRule="atLeast"/>
    </w:pPr>
    <w:rPr>
      <w:rFonts w:ascii="Source Sans Pro Light" w:hAnsi="Source Sans Pro Light" w:cstheme="minorBidi"/>
      <w:color w:val="auto"/>
    </w:rPr>
  </w:style>
  <w:style w:type="paragraph" w:customStyle="1" w:styleId="Pa27">
    <w:name w:val="Pa27"/>
    <w:basedOn w:val="Default"/>
    <w:next w:val="Default"/>
    <w:uiPriority w:val="99"/>
    <w:rsid w:val="00CB7BCC"/>
    <w:pPr>
      <w:spacing w:line="181" w:lineRule="atLeast"/>
    </w:pPr>
    <w:rPr>
      <w:rFonts w:ascii="Myriad Pro Light" w:hAnsi="Myriad Pro Light" w:cstheme="minorBidi"/>
      <w:color w:val="auto"/>
    </w:rPr>
  </w:style>
  <w:style w:type="paragraph" w:customStyle="1" w:styleId="Pa29">
    <w:name w:val="Pa29"/>
    <w:basedOn w:val="Default"/>
    <w:next w:val="Default"/>
    <w:uiPriority w:val="99"/>
    <w:rsid w:val="00CB7BCC"/>
    <w:pPr>
      <w:spacing w:line="151" w:lineRule="atLeast"/>
    </w:pPr>
    <w:rPr>
      <w:rFonts w:ascii="Myriad Pro Light" w:hAnsi="Myriad Pro Light" w:cstheme="minorBidi"/>
      <w:color w:val="auto"/>
    </w:rPr>
  </w:style>
  <w:style w:type="paragraph" w:customStyle="1" w:styleId="Pa31">
    <w:name w:val="Pa31"/>
    <w:basedOn w:val="Default"/>
    <w:next w:val="Default"/>
    <w:uiPriority w:val="99"/>
    <w:rsid w:val="00CB7BCC"/>
    <w:pPr>
      <w:spacing w:line="151" w:lineRule="atLeast"/>
    </w:pPr>
    <w:rPr>
      <w:rFonts w:ascii="Myriad Pro Light" w:hAnsi="Myriad Pro Light" w:cstheme="minorBidi"/>
      <w:color w:val="auto"/>
    </w:rPr>
  </w:style>
  <w:style w:type="character" w:customStyle="1" w:styleId="Bodytext27pt">
    <w:name w:val="Body text (2) + 7 pt"/>
    <w:basedOn w:val="Bodytext2"/>
    <w:rsid w:val="00CB7BCC"/>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CB7BCC"/>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CB7BCC"/>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CB7BCC"/>
    <w:rPr>
      <w:rFonts w:ascii="Calibri" w:eastAsia="Calibri" w:hAnsi="Calibri" w:cs="Calibri"/>
      <w:sz w:val="24"/>
      <w:szCs w:val="24"/>
      <w:shd w:val="clear" w:color="auto" w:fill="FFFFFF"/>
    </w:rPr>
  </w:style>
  <w:style w:type="character" w:customStyle="1" w:styleId="Bodytext9Exact">
    <w:name w:val="Body text (9) Exact"/>
    <w:basedOn w:val="Privzetapisavaodstavka"/>
    <w:rsid w:val="00CB7BCC"/>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CB7BCC"/>
    <w:pPr>
      <w:widowControl w:val="0"/>
      <w:shd w:val="clear" w:color="auto" w:fill="FFFFFF"/>
      <w:spacing w:before="0" w:after="360" w:line="0" w:lineRule="atLeast"/>
    </w:pPr>
    <w:rPr>
      <w:rFonts w:ascii="Calibri" w:eastAsia="Calibri" w:hAnsi="Calibri" w:cs="Calibri"/>
      <w:sz w:val="24"/>
      <w:lang w:eastAsia="en-US"/>
    </w:rPr>
  </w:style>
  <w:style w:type="character" w:customStyle="1" w:styleId="Heading3">
    <w:name w:val="Heading #3_"/>
    <w:basedOn w:val="Privzetapisavaodstavka"/>
    <w:link w:val="Heading30"/>
    <w:rsid w:val="00CB7BCC"/>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CB7BCC"/>
    <w:rPr>
      <w:rFonts w:ascii="Calibri" w:eastAsia="Calibri" w:hAnsi="Calibri" w:cs="Calibri"/>
      <w:b/>
      <w:bCs/>
      <w:sz w:val="24"/>
      <w:szCs w:val="24"/>
      <w:shd w:val="clear" w:color="auto" w:fill="FFFFFF"/>
    </w:rPr>
  </w:style>
  <w:style w:type="character" w:customStyle="1" w:styleId="Bodytext9Bold">
    <w:name w:val="Body text (9) + Bold"/>
    <w:basedOn w:val="Bodytext9"/>
    <w:rsid w:val="00CB7BCC"/>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CB7BCC"/>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CB7BCC"/>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CB7BCC"/>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CB7BCC"/>
    <w:pPr>
      <w:widowControl w:val="0"/>
      <w:shd w:val="clear" w:color="auto" w:fill="FFFFFF"/>
      <w:spacing w:before="480" w:line="293" w:lineRule="exact"/>
      <w:jc w:val="left"/>
      <w:outlineLvl w:val="2"/>
    </w:pPr>
    <w:rPr>
      <w:rFonts w:ascii="Calibri" w:eastAsia="Calibri" w:hAnsi="Calibri" w:cs="Calibri"/>
      <w:b/>
      <w:bCs/>
      <w:sz w:val="24"/>
      <w:lang w:eastAsia="en-US"/>
    </w:rPr>
  </w:style>
  <w:style w:type="paragraph" w:customStyle="1" w:styleId="Bodytext60">
    <w:name w:val="Body text (6)"/>
    <w:basedOn w:val="Navaden"/>
    <w:link w:val="Bodytext6"/>
    <w:rsid w:val="00CB7BCC"/>
    <w:pPr>
      <w:widowControl w:val="0"/>
      <w:shd w:val="clear" w:color="auto" w:fill="FFFFFF"/>
      <w:spacing w:before="0" w:after="240" w:line="293" w:lineRule="exact"/>
      <w:jc w:val="left"/>
    </w:pPr>
    <w:rPr>
      <w:rFonts w:ascii="Calibri" w:eastAsia="Calibri" w:hAnsi="Calibri" w:cs="Calibri"/>
      <w:b/>
      <w:bCs/>
      <w:sz w:val="24"/>
      <w:lang w:eastAsia="en-US"/>
    </w:rPr>
  </w:style>
  <w:style w:type="character" w:customStyle="1" w:styleId="Bodytext675ptNotBold">
    <w:name w:val="Body text (6) + 7;5 pt;Not Bold"/>
    <w:basedOn w:val="Bodytext6"/>
    <w:rsid w:val="00CB7BCC"/>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CB7BCC"/>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CB7BCC"/>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paragraph" w:customStyle="1" w:styleId="RSnatevanje">
    <w:name w:val="RS naštevanje"/>
    <w:basedOn w:val="Navaden"/>
    <w:rsid w:val="00CB7BCC"/>
    <w:pPr>
      <w:numPr>
        <w:numId w:val="178"/>
      </w:numPr>
      <w:spacing w:before="0" w:line="240" w:lineRule="auto"/>
    </w:pPr>
    <w:rPr>
      <w:rFonts w:ascii="Times New Roman" w:hAnsi="Times New Roman" w:cs="Times New Roman"/>
      <w:sz w:val="24"/>
    </w:rPr>
  </w:style>
  <w:style w:type="paragraph" w:customStyle="1" w:styleId="Footnotebesedilo">
    <w:name w:val="Footnote besedilo"/>
    <w:basedOn w:val="Navaden"/>
    <w:qFormat/>
    <w:rsid w:val="00CB7BCC"/>
    <w:pPr>
      <w:spacing w:before="60" w:line="240" w:lineRule="auto"/>
      <w:ind w:left="284" w:hanging="284"/>
    </w:pPr>
    <w:rPr>
      <w:rFonts w:ascii="Tahoma" w:eastAsiaTheme="minorHAnsi" w:hAnsi="Tahoma" w:cstheme="minorBidi"/>
      <w:sz w:val="16"/>
      <w:szCs w:val="14"/>
      <w:lang w:eastAsia="en-US"/>
    </w:rPr>
  </w:style>
  <w:style w:type="numbering" w:customStyle="1" w:styleId="Brezseznama2">
    <w:name w:val="Brez seznama2"/>
    <w:next w:val="Brezseznama"/>
    <w:uiPriority w:val="99"/>
    <w:semiHidden/>
    <w:unhideWhenUsed/>
    <w:rsid w:val="00CB7BCC"/>
  </w:style>
  <w:style w:type="table" w:customStyle="1" w:styleId="Tabelamrea3">
    <w:name w:val="Tabela – mreža3"/>
    <w:basedOn w:val="Navadnatabela"/>
    <w:next w:val="Tabelamrea"/>
    <w:uiPriority w:val="59"/>
    <w:rsid w:val="00CB7BC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3">
    <w:name w:val="Brez seznama3"/>
    <w:next w:val="Brezseznama"/>
    <w:uiPriority w:val="99"/>
    <w:semiHidden/>
    <w:unhideWhenUsed/>
    <w:rsid w:val="00CB7BCC"/>
  </w:style>
  <w:style w:type="table" w:customStyle="1" w:styleId="Tabelamrea4">
    <w:name w:val="Tabela – mreža4"/>
    <w:basedOn w:val="Navadnatabela"/>
    <w:next w:val="Tabelamrea"/>
    <w:uiPriority w:val="59"/>
    <w:rsid w:val="00CB7BC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39"/>
    <w:rsid w:val="00CB7BCC"/>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Odstavekseznama"/>
    <w:link w:val="TABELAZnak"/>
    <w:qFormat/>
    <w:rsid w:val="00CB7BCC"/>
    <w:pPr>
      <w:numPr>
        <w:numId w:val="180"/>
      </w:numPr>
      <w:spacing w:before="0" w:line="288" w:lineRule="auto"/>
      <w:contextualSpacing/>
      <w:jc w:val="center"/>
    </w:pPr>
    <w:rPr>
      <w:rFonts w:eastAsia="Calibri" w:cs="Times New Roman"/>
      <w:i/>
      <w:sz w:val="24"/>
      <w:szCs w:val="24"/>
      <w:lang w:eastAsia="en-US"/>
    </w:rPr>
  </w:style>
  <w:style w:type="character" w:customStyle="1" w:styleId="TABELAZnak">
    <w:name w:val="TABELA Znak"/>
    <w:link w:val="TABELA"/>
    <w:rsid w:val="00CB7BCC"/>
    <w:rPr>
      <w:rFonts w:ascii="Times New Roman" w:eastAsia="Calibri" w:hAnsi="Times New Roman" w:cs="Times New Roman"/>
      <w:i/>
      <w:sz w:val="24"/>
      <w:szCs w:val="24"/>
    </w:rPr>
  </w:style>
  <w:style w:type="paragraph" w:customStyle="1" w:styleId="alineazaodstavkom">
    <w:name w:val="alineazaodstavkom"/>
    <w:basedOn w:val="Navaden"/>
    <w:rsid w:val="00CB7BCC"/>
    <w:pPr>
      <w:spacing w:before="100" w:beforeAutospacing="1" w:after="100" w:afterAutospacing="1" w:line="240" w:lineRule="auto"/>
      <w:jc w:val="left"/>
    </w:pPr>
    <w:rPr>
      <w:rFonts w:ascii="Times New Roman" w:hAnsi="Times New Roman" w:cs="Times New Roman"/>
      <w:sz w:val="24"/>
      <w:lang w:eastAsia="sl-SI"/>
    </w:rPr>
  </w:style>
  <w:style w:type="paragraph" w:customStyle="1" w:styleId="opomba">
    <w:name w:val="opomba"/>
    <w:basedOn w:val="Navaden"/>
    <w:link w:val="opombaZnak1"/>
    <w:rsid w:val="00CB7BCC"/>
    <w:pPr>
      <w:spacing w:before="60" w:line="240" w:lineRule="auto"/>
      <w:contextualSpacing/>
      <w:jc w:val="left"/>
    </w:pPr>
    <w:rPr>
      <w:sz w:val="18"/>
      <w:szCs w:val="20"/>
      <w:lang w:eastAsia="sl-SI"/>
    </w:rPr>
  </w:style>
  <w:style w:type="character" w:customStyle="1" w:styleId="opombaZnak1">
    <w:name w:val="opomba Znak1"/>
    <w:link w:val="opomba"/>
    <w:rsid w:val="00CB7BCC"/>
    <w:rPr>
      <w:rFonts w:ascii="Arial" w:eastAsia="Times New Roman" w:hAnsi="Arial" w:cs="Arial"/>
      <w:sz w:val="18"/>
      <w:szCs w:val="20"/>
      <w:lang w:eastAsia="sl-SI"/>
    </w:rPr>
  </w:style>
  <w:style w:type="character" w:customStyle="1" w:styleId="UnresolvedMention">
    <w:name w:val="Unresolved Mention"/>
    <w:basedOn w:val="Privzetapisavaodstavka"/>
    <w:uiPriority w:val="99"/>
    <w:semiHidden/>
    <w:unhideWhenUsed/>
    <w:rsid w:val="00CB7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49">
      <w:bodyDiv w:val="1"/>
      <w:marLeft w:val="0"/>
      <w:marRight w:val="0"/>
      <w:marTop w:val="0"/>
      <w:marBottom w:val="0"/>
      <w:divBdr>
        <w:top w:val="none" w:sz="0" w:space="0" w:color="auto"/>
        <w:left w:val="none" w:sz="0" w:space="0" w:color="auto"/>
        <w:bottom w:val="none" w:sz="0" w:space="0" w:color="auto"/>
        <w:right w:val="none" w:sz="0" w:space="0" w:color="auto"/>
      </w:divBdr>
      <w:divsChild>
        <w:div w:id="255750585">
          <w:marLeft w:val="0"/>
          <w:marRight w:val="0"/>
          <w:marTop w:val="0"/>
          <w:marBottom w:val="0"/>
          <w:divBdr>
            <w:top w:val="none" w:sz="0" w:space="0" w:color="auto"/>
            <w:left w:val="none" w:sz="0" w:space="0" w:color="auto"/>
            <w:bottom w:val="none" w:sz="0" w:space="0" w:color="auto"/>
            <w:right w:val="none" w:sz="0" w:space="0" w:color="auto"/>
          </w:divBdr>
          <w:divsChild>
            <w:div w:id="992291603">
              <w:marLeft w:val="0"/>
              <w:marRight w:val="0"/>
              <w:marTop w:val="0"/>
              <w:marBottom w:val="0"/>
              <w:divBdr>
                <w:top w:val="none" w:sz="0" w:space="0" w:color="auto"/>
                <w:left w:val="none" w:sz="0" w:space="0" w:color="auto"/>
                <w:bottom w:val="none" w:sz="0" w:space="0" w:color="auto"/>
                <w:right w:val="none" w:sz="0" w:space="0" w:color="auto"/>
              </w:divBdr>
              <w:divsChild>
                <w:div w:id="1590044920">
                  <w:marLeft w:val="0"/>
                  <w:marRight w:val="0"/>
                  <w:marTop w:val="0"/>
                  <w:marBottom w:val="0"/>
                  <w:divBdr>
                    <w:top w:val="none" w:sz="0" w:space="0" w:color="auto"/>
                    <w:left w:val="none" w:sz="0" w:space="0" w:color="auto"/>
                    <w:bottom w:val="none" w:sz="0" w:space="0" w:color="auto"/>
                    <w:right w:val="none" w:sz="0" w:space="0" w:color="auto"/>
                  </w:divBdr>
                  <w:divsChild>
                    <w:div w:id="1182473157">
                      <w:marLeft w:val="0"/>
                      <w:marRight w:val="0"/>
                      <w:marTop w:val="300"/>
                      <w:marBottom w:val="0"/>
                      <w:divBdr>
                        <w:top w:val="single" w:sz="6" w:space="0" w:color="DDDDDD"/>
                        <w:left w:val="single" w:sz="6" w:space="0" w:color="DDDDDD"/>
                        <w:bottom w:val="single" w:sz="6" w:space="0" w:color="DDDDDD"/>
                        <w:right w:val="single" w:sz="6" w:space="0" w:color="DDDDDD"/>
                      </w:divBdr>
                      <w:divsChild>
                        <w:div w:id="1989899904">
                          <w:marLeft w:val="0"/>
                          <w:marRight w:val="0"/>
                          <w:marTop w:val="0"/>
                          <w:marBottom w:val="0"/>
                          <w:divBdr>
                            <w:top w:val="none" w:sz="0" w:space="0" w:color="auto"/>
                            <w:left w:val="none" w:sz="0" w:space="0" w:color="auto"/>
                            <w:bottom w:val="none" w:sz="0" w:space="0" w:color="auto"/>
                            <w:right w:val="none" w:sz="0" w:space="0" w:color="auto"/>
                          </w:divBdr>
                          <w:divsChild>
                            <w:div w:id="1031301063">
                              <w:marLeft w:val="0"/>
                              <w:marRight w:val="0"/>
                              <w:marTop w:val="0"/>
                              <w:marBottom w:val="0"/>
                              <w:divBdr>
                                <w:top w:val="none" w:sz="0" w:space="0" w:color="auto"/>
                                <w:left w:val="none" w:sz="0" w:space="0" w:color="auto"/>
                                <w:bottom w:val="none" w:sz="0" w:space="0" w:color="auto"/>
                                <w:right w:val="none" w:sz="0" w:space="0" w:color="auto"/>
                              </w:divBdr>
                              <w:divsChild>
                                <w:div w:id="333655915">
                                  <w:marLeft w:val="0"/>
                                  <w:marRight w:val="0"/>
                                  <w:marTop w:val="0"/>
                                  <w:marBottom w:val="0"/>
                                  <w:divBdr>
                                    <w:top w:val="none" w:sz="0" w:space="0" w:color="auto"/>
                                    <w:left w:val="none" w:sz="0" w:space="0" w:color="auto"/>
                                    <w:bottom w:val="none" w:sz="0" w:space="0" w:color="auto"/>
                                    <w:right w:val="none" w:sz="0" w:space="0" w:color="auto"/>
                                  </w:divBdr>
                                  <w:divsChild>
                                    <w:div w:id="1973367198">
                                      <w:marLeft w:val="0"/>
                                      <w:marRight w:val="0"/>
                                      <w:marTop w:val="0"/>
                                      <w:marBottom w:val="0"/>
                                      <w:divBdr>
                                        <w:top w:val="none" w:sz="0" w:space="0" w:color="auto"/>
                                        <w:left w:val="none" w:sz="0" w:space="0" w:color="auto"/>
                                        <w:bottom w:val="none" w:sz="0" w:space="0" w:color="auto"/>
                                        <w:right w:val="none" w:sz="0" w:space="0" w:color="auto"/>
                                      </w:divBdr>
                                      <w:divsChild>
                                        <w:div w:id="248079577">
                                          <w:marLeft w:val="0"/>
                                          <w:marRight w:val="0"/>
                                          <w:marTop w:val="0"/>
                                          <w:marBottom w:val="0"/>
                                          <w:divBdr>
                                            <w:top w:val="none" w:sz="0" w:space="0" w:color="auto"/>
                                            <w:left w:val="none" w:sz="0" w:space="0" w:color="auto"/>
                                            <w:bottom w:val="none" w:sz="0" w:space="0" w:color="auto"/>
                                            <w:right w:val="none" w:sz="0" w:space="0" w:color="auto"/>
                                          </w:divBdr>
                                          <w:divsChild>
                                            <w:div w:id="548223457">
                                              <w:marLeft w:val="0"/>
                                              <w:marRight w:val="0"/>
                                              <w:marTop w:val="0"/>
                                              <w:marBottom w:val="0"/>
                                              <w:divBdr>
                                                <w:top w:val="none" w:sz="0" w:space="0" w:color="auto"/>
                                                <w:left w:val="none" w:sz="0" w:space="0" w:color="auto"/>
                                                <w:bottom w:val="none" w:sz="0" w:space="0" w:color="auto"/>
                                                <w:right w:val="none" w:sz="0" w:space="0" w:color="auto"/>
                                              </w:divBdr>
                                              <w:divsChild>
                                                <w:div w:id="1368946694">
                                                  <w:marLeft w:val="0"/>
                                                  <w:marRight w:val="0"/>
                                                  <w:marTop w:val="0"/>
                                                  <w:marBottom w:val="0"/>
                                                  <w:divBdr>
                                                    <w:top w:val="none" w:sz="0" w:space="0" w:color="auto"/>
                                                    <w:left w:val="none" w:sz="0" w:space="0" w:color="auto"/>
                                                    <w:bottom w:val="none" w:sz="0" w:space="0" w:color="auto"/>
                                                    <w:right w:val="none" w:sz="0" w:space="0" w:color="auto"/>
                                                  </w:divBdr>
                                                  <w:divsChild>
                                                    <w:div w:id="273559868">
                                                      <w:marLeft w:val="0"/>
                                                      <w:marRight w:val="0"/>
                                                      <w:marTop w:val="0"/>
                                                      <w:marBottom w:val="0"/>
                                                      <w:divBdr>
                                                        <w:top w:val="none" w:sz="0" w:space="0" w:color="auto"/>
                                                        <w:left w:val="none" w:sz="0" w:space="0" w:color="auto"/>
                                                        <w:bottom w:val="none" w:sz="0" w:space="0" w:color="auto"/>
                                                        <w:right w:val="none" w:sz="0" w:space="0" w:color="auto"/>
                                                      </w:divBdr>
                                                    </w:div>
                                                    <w:div w:id="1731229734">
                                                      <w:marLeft w:val="0"/>
                                                      <w:marRight w:val="0"/>
                                                      <w:marTop w:val="0"/>
                                                      <w:marBottom w:val="0"/>
                                                      <w:divBdr>
                                                        <w:top w:val="none" w:sz="0" w:space="0" w:color="auto"/>
                                                        <w:left w:val="none" w:sz="0" w:space="0" w:color="auto"/>
                                                        <w:bottom w:val="none" w:sz="0" w:space="0" w:color="auto"/>
                                                        <w:right w:val="none" w:sz="0" w:space="0" w:color="auto"/>
                                                      </w:divBdr>
                                                    </w:div>
                                                    <w:div w:id="1973443707">
                                                      <w:marLeft w:val="0"/>
                                                      <w:marRight w:val="0"/>
                                                      <w:marTop w:val="0"/>
                                                      <w:marBottom w:val="0"/>
                                                      <w:divBdr>
                                                        <w:top w:val="none" w:sz="0" w:space="0" w:color="auto"/>
                                                        <w:left w:val="none" w:sz="0" w:space="0" w:color="auto"/>
                                                        <w:bottom w:val="none" w:sz="0" w:space="0" w:color="auto"/>
                                                        <w:right w:val="none" w:sz="0" w:space="0" w:color="auto"/>
                                                      </w:divBdr>
                                                    </w:div>
                                                    <w:div w:id="21374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0395">
      <w:bodyDiv w:val="1"/>
      <w:marLeft w:val="0"/>
      <w:marRight w:val="0"/>
      <w:marTop w:val="0"/>
      <w:marBottom w:val="0"/>
      <w:divBdr>
        <w:top w:val="none" w:sz="0" w:space="0" w:color="auto"/>
        <w:left w:val="none" w:sz="0" w:space="0" w:color="auto"/>
        <w:bottom w:val="none" w:sz="0" w:space="0" w:color="auto"/>
        <w:right w:val="none" w:sz="0" w:space="0" w:color="auto"/>
      </w:divBdr>
    </w:div>
    <w:div w:id="31346949">
      <w:bodyDiv w:val="1"/>
      <w:marLeft w:val="0"/>
      <w:marRight w:val="0"/>
      <w:marTop w:val="0"/>
      <w:marBottom w:val="0"/>
      <w:divBdr>
        <w:top w:val="none" w:sz="0" w:space="0" w:color="auto"/>
        <w:left w:val="none" w:sz="0" w:space="0" w:color="auto"/>
        <w:bottom w:val="none" w:sz="0" w:space="0" w:color="auto"/>
        <w:right w:val="none" w:sz="0" w:space="0" w:color="auto"/>
      </w:divBdr>
    </w:div>
    <w:div w:id="58867519">
      <w:bodyDiv w:val="1"/>
      <w:marLeft w:val="0"/>
      <w:marRight w:val="0"/>
      <w:marTop w:val="0"/>
      <w:marBottom w:val="0"/>
      <w:divBdr>
        <w:top w:val="none" w:sz="0" w:space="0" w:color="auto"/>
        <w:left w:val="none" w:sz="0" w:space="0" w:color="auto"/>
        <w:bottom w:val="none" w:sz="0" w:space="0" w:color="auto"/>
        <w:right w:val="none" w:sz="0" w:space="0" w:color="auto"/>
      </w:divBdr>
    </w:div>
    <w:div w:id="80609355">
      <w:bodyDiv w:val="1"/>
      <w:marLeft w:val="0"/>
      <w:marRight w:val="0"/>
      <w:marTop w:val="0"/>
      <w:marBottom w:val="0"/>
      <w:divBdr>
        <w:top w:val="none" w:sz="0" w:space="0" w:color="auto"/>
        <w:left w:val="none" w:sz="0" w:space="0" w:color="auto"/>
        <w:bottom w:val="none" w:sz="0" w:space="0" w:color="auto"/>
        <w:right w:val="none" w:sz="0" w:space="0" w:color="auto"/>
      </w:divBdr>
    </w:div>
    <w:div w:id="82803618">
      <w:bodyDiv w:val="1"/>
      <w:marLeft w:val="0"/>
      <w:marRight w:val="0"/>
      <w:marTop w:val="0"/>
      <w:marBottom w:val="0"/>
      <w:divBdr>
        <w:top w:val="none" w:sz="0" w:space="0" w:color="auto"/>
        <w:left w:val="none" w:sz="0" w:space="0" w:color="auto"/>
        <w:bottom w:val="none" w:sz="0" w:space="0" w:color="auto"/>
        <w:right w:val="none" w:sz="0" w:space="0" w:color="auto"/>
      </w:divBdr>
    </w:div>
    <w:div w:id="85421108">
      <w:bodyDiv w:val="1"/>
      <w:marLeft w:val="0"/>
      <w:marRight w:val="0"/>
      <w:marTop w:val="0"/>
      <w:marBottom w:val="0"/>
      <w:divBdr>
        <w:top w:val="none" w:sz="0" w:space="0" w:color="auto"/>
        <w:left w:val="none" w:sz="0" w:space="0" w:color="auto"/>
        <w:bottom w:val="none" w:sz="0" w:space="0" w:color="auto"/>
        <w:right w:val="none" w:sz="0" w:space="0" w:color="auto"/>
      </w:divBdr>
    </w:div>
    <w:div w:id="109710600">
      <w:bodyDiv w:val="1"/>
      <w:marLeft w:val="0"/>
      <w:marRight w:val="0"/>
      <w:marTop w:val="0"/>
      <w:marBottom w:val="0"/>
      <w:divBdr>
        <w:top w:val="none" w:sz="0" w:space="0" w:color="auto"/>
        <w:left w:val="none" w:sz="0" w:space="0" w:color="auto"/>
        <w:bottom w:val="none" w:sz="0" w:space="0" w:color="auto"/>
        <w:right w:val="none" w:sz="0" w:space="0" w:color="auto"/>
      </w:divBdr>
      <w:divsChild>
        <w:div w:id="1490293788">
          <w:marLeft w:val="0"/>
          <w:marRight w:val="0"/>
          <w:marTop w:val="0"/>
          <w:marBottom w:val="0"/>
          <w:divBdr>
            <w:top w:val="none" w:sz="0" w:space="0" w:color="auto"/>
            <w:left w:val="none" w:sz="0" w:space="0" w:color="auto"/>
            <w:bottom w:val="none" w:sz="0" w:space="0" w:color="auto"/>
            <w:right w:val="none" w:sz="0" w:space="0" w:color="auto"/>
          </w:divBdr>
          <w:divsChild>
            <w:div w:id="1701590125">
              <w:marLeft w:val="0"/>
              <w:marRight w:val="0"/>
              <w:marTop w:val="0"/>
              <w:marBottom w:val="0"/>
              <w:divBdr>
                <w:top w:val="none" w:sz="0" w:space="0" w:color="auto"/>
                <w:left w:val="none" w:sz="0" w:space="0" w:color="auto"/>
                <w:bottom w:val="none" w:sz="0" w:space="0" w:color="auto"/>
                <w:right w:val="none" w:sz="0" w:space="0" w:color="auto"/>
              </w:divBdr>
            </w:div>
          </w:divsChild>
        </w:div>
        <w:div w:id="2071297394">
          <w:marLeft w:val="0"/>
          <w:marRight w:val="0"/>
          <w:marTop w:val="0"/>
          <w:marBottom w:val="0"/>
          <w:divBdr>
            <w:top w:val="none" w:sz="0" w:space="0" w:color="auto"/>
            <w:left w:val="none" w:sz="0" w:space="0" w:color="auto"/>
            <w:bottom w:val="none" w:sz="0" w:space="0" w:color="auto"/>
            <w:right w:val="none" w:sz="0" w:space="0" w:color="auto"/>
          </w:divBdr>
          <w:divsChild>
            <w:div w:id="18741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6941">
      <w:bodyDiv w:val="1"/>
      <w:marLeft w:val="0"/>
      <w:marRight w:val="0"/>
      <w:marTop w:val="0"/>
      <w:marBottom w:val="0"/>
      <w:divBdr>
        <w:top w:val="none" w:sz="0" w:space="0" w:color="auto"/>
        <w:left w:val="none" w:sz="0" w:space="0" w:color="auto"/>
        <w:bottom w:val="none" w:sz="0" w:space="0" w:color="auto"/>
        <w:right w:val="none" w:sz="0" w:space="0" w:color="auto"/>
      </w:divBdr>
    </w:div>
    <w:div w:id="130634559">
      <w:bodyDiv w:val="1"/>
      <w:marLeft w:val="0"/>
      <w:marRight w:val="0"/>
      <w:marTop w:val="0"/>
      <w:marBottom w:val="0"/>
      <w:divBdr>
        <w:top w:val="none" w:sz="0" w:space="0" w:color="auto"/>
        <w:left w:val="none" w:sz="0" w:space="0" w:color="auto"/>
        <w:bottom w:val="none" w:sz="0" w:space="0" w:color="auto"/>
        <w:right w:val="none" w:sz="0" w:space="0" w:color="auto"/>
      </w:divBdr>
    </w:div>
    <w:div w:id="168519992">
      <w:bodyDiv w:val="1"/>
      <w:marLeft w:val="0"/>
      <w:marRight w:val="0"/>
      <w:marTop w:val="0"/>
      <w:marBottom w:val="0"/>
      <w:divBdr>
        <w:top w:val="none" w:sz="0" w:space="0" w:color="auto"/>
        <w:left w:val="none" w:sz="0" w:space="0" w:color="auto"/>
        <w:bottom w:val="none" w:sz="0" w:space="0" w:color="auto"/>
        <w:right w:val="none" w:sz="0" w:space="0" w:color="auto"/>
      </w:divBdr>
      <w:divsChild>
        <w:div w:id="1640768201">
          <w:marLeft w:val="0"/>
          <w:marRight w:val="0"/>
          <w:marTop w:val="0"/>
          <w:marBottom w:val="0"/>
          <w:divBdr>
            <w:top w:val="none" w:sz="0" w:space="0" w:color="auto"/>
            <w:left w:val="none" w:sz="0" w:space="0" w:color="auto"/>
            <w:bottom w:val="none" w:sz="0" w:space="0" w:color="auto"/>
            <w:right w:val="none" w:sz="0" w:space="0" w:color="auto"/>
          </w:divBdr>
          <w:divsChild>
            <w:div w:id="1873347740">
              <w:marLeft w:val="0"/>
              <w:marRight w:val="0"/>
              <w:marTop w:val="0"/>
              <w:marBottom w:val="0"/>
              <w:divBdr>
                <w:top w:val="none" w:sz="0" w:space="0" w:color="auto"/>
                <w:left w:val="none" w:sz="0" w:space="0" w:color="auto"/>
                <w:bottom w:val="none" w:sz="0" w:space="0" w:color="auto"/>
                <w:right w:val="none" w:sz="0" w:space="0" w:color="auto"/>
              </w:divBdr>
              <w:divsChild>
                <w:div w:id="1583638468">
                  <w:marLeft w:val="0"/>
                  <w:marRight w:val="0"/>
                  <w:marTop w:val="0"/>
                  <w:marBottom w:val="0"/>
                  <w:divBdr>
                    <w:top w:val="none" w:sz="0" w:space="0" w:color="auto"/>
                    <w:left w:val="none" w:sz="0" w:space="0" w:color="auto"/>
                    <w:bottom w:val="none" w:sz="0" w:space="0" w:color="auto"/>
                    <w:right w:val="none" w:sz="0" w:space="0" w:color="auto"/>
                  </w:divBdr>
                </w:div>
                <w:div w:id="1701201794">
                  <w:marLeft w:val="0"/>
                  <w:marRight w:val="0"/>
                  <w:marTop w:val="0"/>
                  <w:marBottom w:val="0"/>
                  <w:divBdr>
                    <w:top w:val="none" w:sz="0" w:space="0" w:color="auto"/>
                    <w:left w:val="none" w:sz="0" w:space="0" w:color="auto"/>
                    <w:bottom w:val="none" w:sz="0" w:space="0" w:color="auto"/>
                    <w:right w:val="none" w:sz="0" w:space="0" w:color="auto"/>
                  </w:divBdr>
                  <w:divsChild>
                    <w:div w:id="521213626">
                      <w:marLeft w:val="0"/>
                      <w:marRight w:val="0"/>
                      <w:marTop w:val="0"/>
                      <w:marBottom w:val="0"/>
                      <w:divBdr>
                        <w:top w:val="none" w:sz="0" w:space="0" w:color="auto"/>
                        <w:left w:val="none" w:sz="0" w:space="0" w:color="auto"/>
                        <w:bottom w:val="none" w:sz="0" w:space="0" w:color="auto"/>
                        <w:right w:val="none" w:sz="0" w:space="0" w:color="auto"/>
                      </w:divBdr>
                    </w:div>
                    <w:div w:id="679353511">
                      <w:marLeft w:val="0"/>
                      <w:marRight w:val="0"/>
                      <w:marTop w:val="0"/>
                      <w:marBottom w:val="0"/>
                      <w:divBdr>
                        <w:top w:val="none" w:sz="0" w:space="0" w:color="auto"/>
                        <w:left w:val="none" w:sz="0" w:space="0" w:color="auto"/>
                        <w:bottom w:val="none" w:sz="0" w:space="0" w:color="auto"/>
                        <w:right w:val="none" w:sz="0" w:space="0" w:color="auto"/>
                      </w:divBdr>
                    </w:div>
                    <w:div w:id="955255526">
                      <w:marLeft w:val="0"/>
                      <w:marRight w:val="0"/>
                      <w:marTop w:val="0"/>
                      <w:marBottom w:val="0"/>
                      <w:divBdr>
                        <w:top w:val="none" w:sz="0" w:space="0" w:color="auto"/>
                        <w:left w:val="none" w:sz="0" w:space="0" w:color="auto"/>
                        <w:bottom w:val="none" w:sz="0" w:space="0" w:color="auto"/>
                        <w:right w:val="none" w:sz="0" w:space="0" w:color="auto"/>
                      </w:divBdr>
                    </w:div>
                  </w:divsChild>
                </w:div>
                <w:div w:id="21225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2706">
      <w:bodyDiv w:val="1"/>
      <w:marLeft w:val="0"/>
      <w:marRight w:val="0"/>
      <w:marTop w:val="0"/>
      <w:marBottom w:val="0"/>
      <w:divBdr>
        <w:top w:val="none" w:sz="0" w:space="0" w:color="auto"/>
        <w:left w:val="none" w:sz="0" w:space="0" w:color="auto"/>
        <w:bottom w:val="none" w:sz="0" w:space="0" w:color="auto"/>
        <w:right w:val="none" w:sz="0" w:space="0" w:color="auto"/>
      </w:divBdr>
      <w:divsChild>
        <w:div w:id="680163563">
          <w:marLeft w:val="0"/>
          <w:marRight w:val="0"/>
          <w:marTop w:val="0"/>
          <w:marBottom w:val="0"/>
          <w:divBdr>
            <w:top w:val="none" w:sz="0" w:space="0" w:color="auto"/>
            <w:left w:val="none" w:sz="0" w:space="0" w:color="auto"/>
            <w:bottom w:val="none" w:sz="0" w:space="0" w:color="auto"/>
            <w:right w:val="none" w:sz="0" w:space="0" w:color="auto"/>
          </w:divBdr>
          <w:divsChild>
            <w:div w:id="490144315">
              <w:marLeft w:val="0"/>
              <w:marRight w:val="0"/>
              <w:marTop w:val="0"/>
              <w:marBottom w:val="0"/>
              <w:divBdr>
                <w:top w:val="none" w:sz="0" w:space="0" w:color="auto"/>
                <w:left w:val="none" w:sz="0" w:space="0" w:color="auto"/>
                <w:bottom w:val="none" w:sz="0" w:space="0" w:color="auto"/>
                <w:right w:val="none" w:sz="0" w:space="0" w:color="auto"/>
              </w:divBdr>
              <w:divsChild>
                <w:div w:id="940258749">
                  <w:marLeft w:val="0"/>
                  <w:marRight w:val="0"/>
                  <w:marTop w:val="0"/>
                  <w:marBottom w:val="0"/>
                  <w:divBdr>
                    <w:top w:val="none" w:sz="0" w:space="0" w:color="auto"/>
                    <w:left w:val="none" w:sz="0" w:space="0" w:color="auto"/>
                    <w:bottom w:val="none" w:sz="0" w:space="0" w:color="auto"/>
                    <w:right w:val="none" w:sz="0" w:space="0" w:color="auto"/>
                  </w:divBdr>
                  <w:divsChild>
                    <w:div w:id="868178668">
                      <w:marLeft w:val="0"/>
                      <w:marRight w:val="0"/>
                      <w:marTop w:val="0"/>
                      <w:marBottom w:val="0"/>
                      <w:divBdr>
                        <w:top w:val="none" w:sz="0" w:space="0" w:color="auto"/>
                        <w:left w:val="none" w:sz="0" w:space="0" w:color="auto"/>
                        <w:bottom w:val="none" w:sz="0" w:space="0" w:color="auto"/>
                        <w:right w:val="none" w:sz="0" w:space="0" w:color="auto"/>
                      </w:divBdr>
                      <w:divsChild>
                        <w:div w:id="417606073">
                          <w:marLeft w:val="0"/>
                          <w:marRight w:val="0"/>
                          <w:marTop w:val="0"/>
                          <w:marBottom w:val="0"/>
                          <w:divBdr>
                            <w:top w:val="none" w:sz="0" w:space="0" w:color="auto"/>
                            <w:left w:val="none" w:sz="0" w:space="0" w:color="auto"/>
                            <w:bottom w:val="none" w:sz="0" w:space="0" w:color="auto"/>
                            <w:right w:val="none" w:sz="0" w:space="0" w:color="auto"/>
                          </w:divBdr>
                          <w:divsChild>
                            <w:div w:id="10939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61190">
      <w:bodyDiv w:val="1"/>
      <w:marLeft w:val="0"/>
      <w:marRight w:val="0"/>
      <w:marTop w:val="0"/>
      <w:marBottom w:val="0"/>
      <w:divBdr>
        <w:top w:val="none" w:sz="0" w:space="0" w:color="auto"/>
        <w:left w:val="none" w:sz="0" w:space="0" w:color="auto"/>
        <w:bottom w:val="none" w:sz="0" w:space="0" w:color="auto"/>
        <w:right w:val="none" w:sz="0" w:space="0" w:color="auto"/>
      </w:divBdr>
    </w:div>
    <w:div w:id="190918275">
      <w:bodyDiv w:val="1"/>
      <w:marLeft w:val="0"/>
      <w:marRight w:val="0"/>
      <w:marTop w:val="0"/>
      <w:marBottom w:val="0"/>
      <w:divBdr>
        <w:top w:val="none" w:sz="0" w:space="0" w:color="auto"/>
        <w:left w:val="none" w:sz="0" w:space="0" w:color="auto"/>
        <w:bottom w:val="none" w:sz="0" w:space="0" w:color="auto"/>
        <w:right w:val="none" w:sz="0" w:space="0" w:color="auto"/>
      </w:divBdr>
    </w:div>
    <w:div w:id="191917935">
      <w:bodyDiv w:val="1"/>
      <w:marLeft w:val="0"/>
      <w:marRight w:val="0"/>
      <w:marTop w:val="0"/>
      <w:marBottom w:val="0"/>
      <w:divBdr>
        <w:top w:val="none" w:sz="0" w:space="0" w:color="auto"/>
        <w:left w:val="none" w:sz="0" w:space="0" w:color="auto"/>
        <w:bottom w:val="none" w:sz="0" w:space="0" w:color="auto"/>
        <w:right w:val="none" w:sz="0" w:space="0" w:color="auto"/>
      </w:divBdr>
    </w:div>
    <w:div w:id="223496044">
      <w:bodyDiv w:val="1"/>
      <w:marLeft w:val="0"/>
      <w:marRight w:val="0"/>
      <w:marTop w:val="0"/>
      <w:marBottom w:val="0"/>
      <w:divBdr>
        <w:top w:val="none" w:sz="0" w:space="0" w:color="auto"/>
        <w:left w:val="none" w:sz="0" w:space="0" w:color="auto"/>
        <w:bottom w:val="none" w:sz="0" w:space="0" w:color="auto"/>
        <w:right w:val="none" w:sz="0" w:space="0" w:color="auto"/>
      </w:divBdr>
    </w:div>
    <w:div w:id="230434303">
      <w:bodyDiv w:val="1"/>
      <w:marLeft w:val="0"/>
      <w:marRight w:val="0"/>
      <w:marTop w:val="0"/>
      <w:marBottom w:val="0"/>
      <w:divBdr>
        <w:top w:val="none" w:sz="0" w:space="0" w:color="auto"/>
        <w:left w:val="none" w:sz="0" w:space="0" w:color="auto"/>
        <w:bottom w:val="none" w:sz="0" w:space="0" w:color="auto"/>
        <w:right w:val="none" w:sz="0" w:space="0" w:color="auto"/>
      </w:divBdr>
    </w:div>
    <w:div w:id="232399793">
      <w:bodyDiv w:val="1"/>
      <w:marLeft w:val="0"/>
      <w:marRight w:val="0"/>
      <w:marTop w:val="0"/>
      <w:marBottom w:val="0"/>
      <w:divBdr>
        <w:top w:val="none" w:sz="0" w:space="0" w:color="auto"/>
        <w:left w:val="none" w:sz="0" w:space="0" w:color="auto"/>
        <w:bottom w:val="none" w:sz="0" w:space="0" w:color="auto"/>
        <w:right w:val="none" w:sz="0" w:space="0" w:color="auto"/>
      </w:divBdr>
      <w:divsChild>
        <w:div w:id="613286709">
          <w:marLeft w:val="0"/>
          <w:marRight w:val="0"/>
          <w:marTop w:val="0"/>
          <w:marBottom w:val="0"/>
          <w:divBdr>
            <w:top w:val="none" w:sz="0" w:space="0" w:color="auto"/>
            <w:left w:val="none" w:sz="0" w:space="0" w:color="auto"/>
            <w:bottom w:val="none" w:sz="0" w:space="0" w:color="auto"/>
            <w:right w:val="none" w:sz="0" w:space="0" w:color="auto"/>
          </w:divBdr>
          <w:divsChild>
            <w:div w:id="1800561952">
              <w:marLeft w:val="0"/>
              <w:marRight w:val="0"/>
              <w:marTop w:val="0"/>
              <w:marBottom w:val="0"/>
              <w:divBdr>
                <w:top w:val="none" w:sz="0" w:space="0" w:color="auto"/>
                <w:left w:val="none" w:sz="0" w:space="0" w:color="auto"/>
                <w:bottom w:val="none" w:sz="0" w:space="0" w:color="auto"/>
                <w:right w:val="none" w:sz="0" w:space="0" w:color="auto"/>
              </w:divBdr>
            </w:div>
          </w:divsChild>
        </w:div>
        <w:div w:id="806045319">
          <w:marLeft w:val="0"/>
          <w:marRight w:val="0"/>
          <w:marTop w:val="0"/>
          <w:marBottom w:val="0"/>
          <w:divBdr>
            <w:top w:val="none" w:sz="0" w:space="0" w:color="auto"/>
            <w:left w:val="none" w:sz="0" w:space="0" w:color="auto"/>
            <w:bottom w:val="none" w:sz="0" w:space="0" w:color="auto"/>
            <w:right w:val="none" w:sz="0" w:space="0" w:color="auto"/>
          </w:divBdr>
          <w:divsChild>
            <w:div w:id="8911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9307">
      <w:bodyDiv w:val="1"/>
      <w:marLeft w:val="0"/>
      <w:marRight w:val="0"/>
      <w:marTop w:val="0"/>
      <w:marBottom w:val="0"/>
      <w:divBdr>
        <w:top w:val="none" w:sz="0" w:space="0" w:color="auto"/>
        <w:left w:val="none" w:sz="0" w:space="0" w:color="auto"/>
        <w:bottom w:val="none" w:sz="0" w:space="0" w:color="auto"/>
        <w:right w:val="none" w:sz="0" w:space="0" w:color="auto"/>
      </w:divBdr>
      <w:divsChild>
        <w:div w:id="886721355">
          <w:marLeft w:val="0"/>
          <w:marRight w:val="0"/>
          <w:marTop w:val="0"/>
          <w:marBottom w:val="0"/>
          <w:divBdr>
            <w:top w:val="none" w:sz="0" w:space="0" w:color="auto"/>
            <w:left w:val="none" w:sz="0" w:space="0" w:color="auto"/>
            <w:bottom w:val="none" w:sz="0" w:space="0" w:color="auto"/>
            <w:right w:val="none" w:sz="0" w:space="0" w:color="auto"/>
          </w:divBdr>
          <w:divsChild>
            <w:div w:id="1421216667">
              <w:marLeft w:val="0"/>
              <w:marRight w:val="0"/>
              <w:marTop w:val="0"/>
              <w:marBottom w:val="0"/>
              <w:divBdr>
                <w:top w:val="none" w:sz="0" w:space="0" w:color="auto"/>
                <w:left w:val="none" w:sz="0" w:space="0" w:color="auto"/>
                <w:bottom w:val="none" w:sz="0" w:space="0" w:color="auto"/>
                <w:right w:val="none" w:sz="0" w:space="0" w:color="auto"/>
              </w:divBdr>
              <w:divsChild>
                <w:div w:id="1903633589">
                  <w:marLeft w:val="0"/>
                  <w:marRight w:val="0"/>
                  <w:marTop w:val="0"/>
                  <w:marBottom w:val="0"/>
                  <w:divBdr>
                    <w:top w:val="none" w:sz="0" w:space="0" w:color="auto"/>
                    <w:left w:val="none" w:sz="0" w:space="0" w:color="auto"/>
                    <w:bottom w:val="none" w:sz="0" w:space="0" w:color="auto"/>
                    <w:right w:val="none" w:sz="0" w:space="0" w:color="auto"/>
                  </w:divBdr>
                  <w:divsChild>
                    <w:div w:id="1978946869">
                      <w:marLeft w:val="-150"/>
                      <w:marRight w:val="-150"/>
                      <w:marTop w:val="0"/>
                      <w:marBottom w:val="0"/>
                      <w:divBdr>
                        <w:top w:val="none" w:sz="0" w:space="0" w:color="auto"/>
                        <w:left w:val="none" w:sz="0" w:space="0" w:color="auto"/>
                        <w:bottom w:val="none" w:sz="0" w:space="0" w:color="auto"/>
                        <w:right w:val="none" w:sz="0" w:space="0" w:color="auto"/>
                      </w:divBdr>
                      <w:divsChild>
                        <w:div w:id="1022973634">
                          <w:marLeft w:val="0"/>
                          <w:marRight w:val="0"/>
                          <w:marTop w:val="0"/>
                          <w:marBottom w:val="0"/>
                          <w:divBdr>
                            <w:top w:val="none" w:sz="0" w:space="0" w:color="auto"/>
                            <w:left w:val="none" w:sz="0" w:space="0" w:color="auto"/>
                            <w:bottom w:val="none" w:sz="0" w:space="0" w:color="auto"/>
                            <w:right w:val="none" w:sz="0" w:space="0" w:color="auto"/>
                          </w:divBdr>
                          <w:divsChild>
                            <w:div w:id="1767572662">
                              <w:marLeft w:val="0"/>
                              <w:marRight w:val="0"/>
                              <w:marTop w:val="0"/>
                              <w:marBottom w:val="0"/>
                              <w:divBdr>
                                <w:top w:val="none" w:sz="0" w:space="0" w:color="auto"/>
                                <w:left w:val="none" w:sz="0" w:space="0" w:color="auto"/>
                                <w:bottom w:val="none" w:sz="0" w:space="0" w:color="auto"/>
                                <w:right w:val="none" w:sz="0" w:space="0" w:color="auto"/>
                              </w:divBdr>
                              <w:divsChild>
                                <w:div w:id="1988432680">
                                  <w:marLeft w:val="0"/>
                                  <w:marRight w:val="0"/>
                                  <w:marTop w:val="0"/>
                                  <w:marBottom w:val="300"/>
                                  <w:divBdr>
                                    <w:top w:val="none" w:sz="0" w:space="0" w:color="auto"/>
                                    <w:left w:val="none" w:sz="0" w:space="0" w:color="auto"/>
                                    <w:bottom w:val="none" w:sz="0" w:space="0" w:color="auto"/>
                                    <w:right w:val="none" w:sz="0" w:space="0" w:color="auto"/>
                                  </w:divBdr>
                                  <w:divsChild>
                                    <w:div w:id="803229151">
                                      <w:marLeft w:val="0"/>
                                      <w:marRight w:val="0"/>
                                      <w:marTop w:val="0"/>
                                      <w:marBottom w:val="0"/>
                                      <w:divBdr>
                                        <w:top w:val="none" w:sz="0" w:space="0" w:color="auto"/>
                                        <w:left w:val="none" w:sz="0" w:space="0" w:color="auto"/>
                                        <w:bottom w:val="none" w:sz="0" w:space="0" w:color="auto"/>
                                        <w:right w:val="none" w:sz="0" w:space="0" w:color="auto"/>
                                      </w:divBdr>
                                      <w:divsChild>
                                        <w:div w:id="39794673">
                                          <w:marLeft w:val="0"/>
                                          <w:marRight w:val="0"/>
                                          <w:marTop w:val="0"/>
                                          <w:marBottom w:val="0"/>
                                          <w:divBdr>
                                            <w:top w:val="none" w:sz="0" w:space="0" w:color="auto"/>
                                            <w:left w:val="none" w:sz="0" w:space="0" w:color="auto"/>
                                            <w:bottom w:val="none" w:sz="0" w:space="0" w:color="auto"/>
                                            <w:right w:val="none" w:sz="0" w:space="0" w:color="auto"/>
                                          </w:divBdr>
                                          <w:divsChild>
                                            <w:div w:id="14961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9119972">
      <w:bodyDiv w:val="1"/>
      <w:marLeft w:val="0"/>
      <w:marRight w:val="0"/>
      <w:marTop w:val="0"/>
      <w:marBottom w:val="0"/>
      <w:divBdr>
        <w:top w:val="none" w:sz="0" w:space="0" w:color="auto"/>
        <w:left w:val="none" w:sz="0" w:space="0" w:color="auto"/>
        <w:bottom w:val="none" w:sz="0" w:space="0" w:color="auto"/>
        <w:right w:val="none" w:sz="0" w:space="0" w:color="auto"/>
      </w:divBdr>
    </w:div>
    <w:div w:id="274874457">
      <w:bodyDiv w:val="1"/>
      <w:marLeft w:val="0"/>
      <w:marRight w:val="0"/>
      <w:marTop w:val="0"/>
      <w:marBottom w:val="0"/>
      <w:divBdr>
        <w:top w:val="none" w:sz="0" w:space="0" w:color="auto"/>
        <w:left w:val="none" w:sz="0" w:space="0" w:color="auto"/>
        <w:bottom w:val="none" w:sz="0" w:space="0" w:color="auto"/>
        <w:right w:val="none" w:sz="0" w:space="0" w:color="auto"/>
      </w:divBdr>
      <w:divsChild>
        <w:div w:id="1032996225">
          <w:marLeft w:val="0"/>
          <w:marRight w:val="0"/>
          <w:marTop w:val="0"/>
          <w:marBottom w:val="0"/>
          <w:divBdr>
            <w:top w:val="none" w:sz="0" w:space="0" w:color="auto"/>
            <w:left w:val="none" w:sz="0" w:space="0" w:color="auto"/>
            <w:bottom w:val="none" w:sz="0" w:space="0" w:color="auto"/>
            <w:right w:val="none" w:sz="0" w:space="0" w:color="auto"/>
          </w:divBdr>
          <w:divsChild>
            <w:div w:id="1787115359">
              <w:marLeft w:val="0"/>
              <w:marRight w:val="0"/>
              <w:marTop w:val="0"/>
              <w:marBottom w:val="0"/>
              <w:divBdr>
                <w:top w:val="none" w:sz="0" w:space="0" w:color="auto"/>
                <w:left w:val="none" w:sz="0" w:space="0" w:color="auto"/>
                <w:bottom w:val="none" w:sz="0" w:space="0" w:color="auto"/>
                <w:right w:val="none" w:sz="0" w:space="0" w:color="auto"/>
              </w:divBdr>
              <w:divsChild>
                <w:div w:id="1977951424">
                  <w:marLeft w:val="0"/>
                  <w:marRight w:val="0"/>
                  <w:marTop w:val="0"/>
                  <w:marBottom w:val="0"/>
                  <w:divBdr>
                    <w:top w:val="none" w:sz="0" w:space="0" w:color="auto"/>
                    <w:left w:val="none" w:sz="0" w:space="0" w:color="auto"/>
                    <w:bottom w:val="none" w:sz="0" w:space="0" w:color="auto"/>
                    <w:right w:val="none" w:sz="0" w:space="0" w:color="auto"/>
                  </w:divBdr>
                  <w:divsChild>
                    <w:div w:id="1816331067">
                      <w:marLeft w:val="0"/>
                      <w:marRight w:val="0"/>
                      <w:marTop w:val="0"/>
                      <w:marBottom w:val="0"/>
                      <w:divBdr>
                        <w:top w:val="none" w:sz="0" w:space="0" w:color="auto"/>
                        <w:left w:val="none" w:sz="0" w:space="0" w:color="auto"/>
                        <w:bottom w:val="none" w:sz="0" w:space="0" w:color="auto"/>
                        <w:right w:val="none" w:sz="0" w:space="0" w:color="auto"/>
                      </w:divBdr>
                      <w:divsChild>
                        <w:div w:id="1527139379">
                          <w:marLeft w:val="0"/>
                          <w:marRight w:val="0"/>
                          <w:marTop w:val="0"/>
                          <w:marBottom w:val="0"/>
                          <w:divBdr>
                            <w:top w:val="none" w:sz="0" w:space="0" w:color="auto"/>
                            <w:left w:val="none" w:sz="0" w:space="0" w:color="auto"/>
                            <w:bottom w:val="none" w:sz="0" w:space="0" w:color="auto"/>
                            <w:right w:val="none" w:sz="0" w:space="0" w:color="auto"/>
                          </w:divBdr>
                          <w:divsChild>
                            <w:div w:id="1880125230">
                              <w:marLeft w:val="0"/>
                              <w:marRight w:val="0"/>
                              <w:marTop w:val="0"/>
                              <w:marBottom w:val="0"/>
                              <w:divBdr>
                                <w:top w:val="none" w:sz="0" w:space="0" w:color="auto"/>
                                <w:left w:val="none" w:sz="0" w:space="0" w:color="auto"/>
                                <w:bottom w:val="none" w:sz="0" w:space="0" w:color="auto"/>
                                <w:right w:val="none" w:sz="0" w:space="0" w:color="auto"/>
                              </w:divBdr>
                              <w:divsChild>
                                <w:div w:id="2114981668">
                                  <w:marLeft w:val="0"/>
                                  <w:marRight w:val="0"/>
                                  <w:marTop w:val="0"/>
                                  <w:marBottom w:val="0"/>
                                  <w:divBdr>
                                    <w:top w:val="none" w:sz="0" w:space="0" w:color="auto"/>
                                    <w:left w:val="none" w:sz="0" w:space="0" w:color="auto"/>
                                    <w:bottom w:val="none" w:sz="0" w:space="0" w:color="auto"/>
                                    <w:right w:val="none" w:sz="0" w:space="0" w:color="auto"/>
                                  </w:divBdr>
                                  <w:divsChild>
                                    <w:div w:id="1305084341">
                                      <w:marLeft w:val="0"/>
                                      <w:marRight w:val="0"/>
                                      <w:marTop w:val="0"/>
                                      <w:marBottom w:val="0"/>
                                      <w:divBdr>
                                        <w:top w:val="none" w:sz="0" w:space="0" w:color="auto"/>
                                        <w:left w:val="none" w:sz="0" w:space="0" w:color="auto"/>
                                        <w:bottom w:val="none" w:sz="0" w:space="0" w:color="auto"/>
                                        <w:right w:val="none" w:sz="0" w:space="0" w:color="auto"/>
                                      </w:divBdr>
                                      <w:divsChild>
                                        <w:div w:id="370035656">
                                          <w:marLeft w:val="0"/>
                                          <w:marRight w:val="0"/>
                                          <w:marTop w:val="0"/>
                                          <w:marBottom w:val="0"/>
                                          <w:divBdr>
                                            <w:top w:val="none" w:sz="0" w:space="0" w:color="auto"/>
                                            <w:left w:val="none" w:sz="0" w:space="0" w:color="auto"/>
                                            <w:bottom w:val="none" w:sz="0" w:space="0" w:color="auto"/>
                                            <w:right w:val="none" w:sz="0" w:space="0" w:color="auto"/>
                                          </w:divBdr>
                                          <w:divsChild>
                                            <w:div w:id="150366443">
                                              <w:marLeft w:val="0"/>
                                              <w:marRight w:val="0"/>
                                              <w:marTop w:val="0"/>
                                              <w:marBottom w:val="495"/>
                                              <w:divBdr>
                                                <w:top w:val="none" w:sz="0" w:space="0" w:color="auto"/>
                                                <w:left w:val="none" w:sz="0" w:space="0" w:color="auto"/>
                                                <w:bottom w:val="none" w:sz="0" w:space="0" w:color="auto"/>
                                                <w:right w:val="none" w:sz="0" w:space="0" w:color="auto"/>
                                              </w:divBdr>
                                              <w:divsChild>
                                                <w:div w:id="9774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293778">
      <w:bodyDiv w:val="1"/>
      <w:marLeft w:val="0"/>
      <w:marRight w:val="0"/>
      <w:marTop w:val="0"/>
      <w:marBottom w:val="0"/>
      <w:divBdr>
        <w:top w:val="none" w:sz="0" w:space="0" w:color="auto"/>
        <w:left w:val="none" w:sz="0" w:space="0" w:color="auto"/>
        <w:bottom w:val="none" w:sz="0" w:space="0" w:color="auto"/>
        <w:right w:val="none" w:sz="0" w:space="0" w:color="auto"/>
      </w:divBdr>
    </w:div>
    <w:div w:id="280260468">
      <w:bodyDiv w:val="1"/>
      <w:marLeft w:val="0"/>
      <w:marRight w:val="0"/>
      <w:marTop w:val="0"/>
      <w:marBottom w:val="0"/>
      <w:divBdr>
        <w:top w:val="none" w:sz="0" w:space="0" w:color="auto"/>
        <w:left w:val="none" w:sz="0" w:space="0" w:color="auto"/>
        <w:bottom w:val="none" w:sz="0" w:space="0" w:color="auto"/>
        <w:right w:val="none" w:sz="0" w:space="0" w:color="auto"/>
      </w:divBdr>
    </w:div>
    <w:div w:id="284313546">
      <w:bodyDiv w:val="1"/>
      <w:marLeft w:val="0"/>
      <w:marRight w:val="0"/>
      <w:marTop w:val="0"/>
      <w:marBottom w:val="0"/>
      <w:divBdr>
        <w:top w:val="none" w:sz="0" w:space="0" w:color="auto"/>
        <w:left w:val="none" w:sz="0" w:space="0" w:color="auto"/>
        <w:bottom w:val="none" w:sz="0" w:space="0" w:color="auto"/>
        <w:right w:val="none" w:sz="0" w:space="0" w:color="auto"/>
      </w:divBdr>
    </w:div>
    <w:div w:id="314458607">
      <w:bodyDiv w:val="1"/>
      <w:marLeft w:val="0"/>
      <w:marRight w:val="0"/>
      <w:marTop w:val="0"/>
      <w:marBottom w:val="0"/>
      <w:divBdr>
        <w:top w:val="none" w:sz="0" w:space="0" w:color="auto"/>
        <w:left w:val="none" w:sz="0" w:space="0" w:color="auto"/>
        <w:bottom w:val="none" w:sz="0" w:space="0" w:color="auto"/>
        <w:right w:val="none" w:sz="0" w:space="0" w:color="auto"/>
      </w:divBdr>
    </w:div>
    <w:div w:id="319507243">
      <w:bodyDiv w:val="1"/>
      <w:marLeft w:val="0"/>
      <w:marRight w:val="0"/>
      <w:marTop w:val="0"/>
      <w:marBottom w:val="0"/>
      <w:divBdr>
        <w:top w:val="none" w:sz="0" w:space="0" w:color="auto"/>
        <w:left w:val="none" w:sz="0" w:space="0" w:color="auto"/>
        <w:bottom w:val="none" w:sz="0" w:space="0" w:color="auto"/>
        <w:right w:val="none" w:sz="0" w:space="0" w:color="auto"/>
      </w:divBdr>
      <w:divsChild>
        <w:div w:id="368652645">
          <w:marLeft w:val="0"/>
          <w:marRight w:val="0"/>
          <w:marTop w:val="0"/>
          <w:marBottom w:val="0"/>
          <w:divBdr>
            <w:top w:val="none" w:sz="0" w:space="0" w:color="auto"/>
            <w:left w:val="none" w:sz="0" w:space="0" w:color="auto"/>
            <w:bottom w:val="none" w:sz="0" w:space="0" w:color="auto"/>
            <w:right w:val="none" w:sz="0" w:space="0" w:color="auto"/>
          </w:divBdr>
        </w:div>
      </w:divsChild>
    </w:div>
    <w:div w:id="323314750">
      <w:bodyDiv w:val="1"/>
      <w:marLeft w:val="0"/>
      <w:marRight w:val="0"/>
      <w:marTop w:val="0"/>
      <w:marBottom w:val="0"/>
      <w:divBdr>
        <w:top w:val="none" w:sz="0" w:space="0" w:color="auto"/>
        <w:left w:val="none" w:sz="0" w:space="0" w:color="auto"/>
        <w:bottom w:val="none" w:sz="0" w:space="0" w:color="auto"/>
        <w:right w:val="none" w:sz="0" w:space="0" w:color="auto"/>
      </w:divBdr>
      <w:divsChild>
        <w:div w:id="724531299">
          <w:marLeft w:val="0"/>
          <w:marRight w:val="0"/>
          <w:marTop w:val="0"/>
          <w:marBottom w:val="0"/>
          <w:divBdr>
            <w:top w:val="none" w:sz="0" w:space="0" w:color="auto"/>
            <w:left w:val="none" w:sz="0" w:space="0" w:color="auto"/>
            <w:bottom w:val="none" w:sz="0" w:space="0" w:color="auto"/>
            <w:right w:val="none" w:sz="0" w:space="0" w:color="auto"/>
          </w:divBdr>
          <w:divsChild>
            <w:div w:id="951132110">
              <w:marLeft w:val="0"/>
              <w:marRight w:val="0"/>
              <w:marTop w:val="0"/>
              <w:marBottom w:val="0"/>
              <w:divBdr>
                <w:top w:val="none" w:sz="0" w:space="0" w:color="auto"/>
                <w:left w:val="none" w:sz="0" w:space="0" w:color="auto"/>
                <w:bottom w:val="none" w:sz="0" w:space="0" w:color="auto"/>
                <w:right w:val="none" w:sz="0" w:space="0" w:color="auto"/>
              </w:divBdr>
              <w:divsChild>
                <w:div w:id="2116361056">
                  <w:marLeft w:val="0"/>
                  <w:marRight w:val="0"/>
                  <w:marTop w:val="0"/>
                  <w:marBottom w:val="0"/>
                  <w:divBdr>
                    <w:top w:val="none" w:sz="0" w:space="0" w:color="auto"/>
                    <w:left w:val="none" w:sz="0" w:space="0" w:color="auto"/>
                    <w:bottom w:val="none" w:sz="0" w:space="0" w:color="auto"/>
                    <w:right w:val="none" w:sz="0" w:space="0" w:color="auto"/>
                  </w:divBdr>
                  <w:divsChild>
                    <w:div w:id="656303391">
                      <w:marLeft w:val="0"/>
                      <w:marRight w:val="0"/>
                      <w:marTop w:val="0"/>
                      <w:marBottom w:val="0"/>
                      <w:divBdr>
                        <w:top w:val="none" w:sz="0" w:space="0" w:color="auto"/>
                        <w:left w:val="none" w:sz="0" w:space="0" w:color="auto"/>
                        <w:bottom w:val="none" w:sz="0" w:space="0" w:color="auto"/>
                        <w:right w:val="none" w:sz="0" w:space="0" w:color="auto"/>
                      </w:divBdr>
                    </w:div>
                    <w:div w:id="1000886805">
                      <w:marLeft w:val="0"/>
                      <w:marRight w:val="0"/>
                      <w:marTop w:val="0"/>
                      <w:marBottom w:val="0"/>
                      <w:divBdr>
                        <w:top w:val="none" w:sz="0" w:space="0" w:color="auto"/>
                        <w:left w:val="none" w:sz="0" w:space="0" w:color="auto"/>
                        <w:bottom w:val="none" w:sz="0" w:space="0" w:color="auto"/>
                        <w:right w:val="none" w:sz="0" w:space="0" w:color="auto"/>
                      </w:divBdr>
                      <w:divsChild>
                        <w:div w:id="1550923675">
                          <w:marLeft w:val="0"/>
                          <w:marRight w:val="0"/>
                          <w:marTop w:val="0"/>
                          <w:marBottom w:val="0"/>
                          <w:divBdr>
                            <w:top w:val="none" w:sz="0" w:space="0" w:color="auto"/>
                            <w:left w:val="none" w:sz="0" w:space="0" w:color="auto"/>
                            <w:bottom w:val="none" w:sz="0" w:space="0" w:color="auto"/>
                            <w:right w:val="none" w:sz="0" w:space="0" w:color="auto"/>
                          </w:divBdr>
                          <w:divsChild>
                            <w:div w:id="5360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5183">
      <w:bodyDiv w:val="1"/>
      <w:marLeft w:val="0"/>
      <w:marRight w:val="0"/>
      <w:marTop w:val="0"/>
      <w:marBottom w:val="0"/>
      <w:divBdr>
        <w:top w:val="none" w:sz="0" w:space="0" w:color="auto"/>
        <w:left w:val="none" w:sz="0" w:space="0" w:color="auto"/>
        <w:bottom w:val="none" w:sz="0" w:space="0" w:color="auto"/>
        <w:right w:val="none" w:sz="0" w:space="0" w:color="auto"/>
      </w:divBdr>
      <w:divsChild>
        <w:div w:id="1447577225">
          <w:marLeft w:val="0"/>
          <w:marRight w:val="0"/>
          <w:marTop w:val="0"/>
          <w:marBottom w:val="0"/>
          <w:divBdr>
            <w:top w:val="none" w:sz="0" w:space="0" w:color="auto"/>
            <w:left w:val="none" w:sz="0" w:space="0" w:color="auto"/>
            <w:bottom w:val="none" w:sz="0" w:space="0" w:color="auto"/>
            <w:right w:val="none" w:sz="0" w:space="0" w:color="auto"/>
          </w:divBdr>
        </w:div>
      </w:divsChild>
    </w:div>
    <w:div w:id="367412743">
      <w:bodyDiv w:val="1"/>
      <w:marLeft w:val="0"/>
      <w:marRight w:val="0"/>
      <w:marTop w:val="0"/>
      <w:marBottom w:val="0"/>
      <w:divBdr>
        <w:top w:val="none" w:sz="0" w:space="0" w:color="auto"/>
        <w:left w:val="none" w:sz="0" w:space="0" w:color="auto"/>
        <w:bottom w:val="none" w:sz="0" w:space="0" w:color="auto"/>
        <w:right w:val="none" w:sz="0" w:space="0" w:color="auto"/>
      </w:divBdr>
      <w:divsChild>
        <w:div w:id="2024670339">
          <w:marLeft w:val="0"/>
          <w:marRight w:val="0"/>
          <w:marTop w:val="0"/>
          <w:marBottom w:val="0"/>
          <w:divBdr>
            <w:top w:val="none" w:sz="0" w:space="0" w:color="auto"/>
            <w:left w:val="none" w:sz="0" w:space="0" w:color="auto"/>
            <w:bottom w:val="none" w:sz="0" w:space="0" w:color="auto"/>
            <w:right w:val="none" w:sz="0" w:space="0" w:color="auto"/>
          </w:divBdr>
          <w:divsChild>
            <w:div w:id="1824545228">
              <w:marLeft w:val="0"/>
              <w:marRight w:val="0"/>
              <w:marTop w:val="0"/>
              <w:marBottom w:val="0"/>
              <w:divBdr>
                <w:top w:val="none" w:sz="0" w:space="0" w:color="auto"/>
                <w:left w:val="none" w:sz="0" w:space="0" w:color="auto"/>
                <w:bottom w:val="none" w:sz="0" w:space="0" w:color="auto"/>
                <w:right w:val="none" w:sz="0" w:space="0" w:color="auto"/>
              </w:divBdr>
              <w:divsChild>
                <w:div w:id="897937415">
                  <w:marLeft w:val="0"/>
                  <w:marRight w:val="0"/>
                  <w:marTop w:val="0"/>
                  <w:marBottom w:val="0"/>
                  <w:divBdr>
                    <w:top w:val="none" w:sz="0" w:space="0" w:color="auto"/>
                    <w:left w:val="none" w:sz="0" w:space="0" w:color="auto"/>
                    <w:bottom w:val="none" w:sz="0" w:space="0" w:color="auto"/>
                    <w:right w:val="none" w:sz="0" w:space="0" w:color="auto"/>
                  </w:divBdr>
                  <w:divsChild>
                    <w:div w:id="1721899241">
                      <w:marLeft w:val="0"/>
                      <w:marRight w:val="0"/>
                      <w:marTop w:val="0"/>
                      <w:marBottom w:val="0"/>
                      <w:divBdr>
                        <w:top w:val="none" w:sz="0" w:space="0" w:color="auto"/>
                        <w:left w:val="none" w:sz="0" w:space="0" w:color="auto"/>
                        <w:bottom w:val="none" w:sz="0" w:space="0" w:color="auto"/>
                        <w:right w:val="none" w:sz="0" w:space="0" w:color="auto"/>
                      </w:divBdr>
                      <w:divsChild>
                        <w:div w:id="329219207">
                          <w:marLeft w:val="0"/>
                          <w:marRight w:val="0"/>
                          <w:marTop w:val="0"/>
                          <w:marBottom w:val="0"/>
                          <w:divBdr>
                            <w:top w:val="none" w:sz="0" w:space="0" w:color="auto"/>
                            <w:left w:val="none" w:sz="0" w:space="0" w:color="auto"/>
                            <w:bottom w:val="none" w:sz="0" w:space="0" w:color="auto"/>
                            <w:right w:val="none" w:sz="0" w:space="0" w:color="auto"/>
                          </w:divBdr>
                          <w:divsChild>
                            <w:div w:id="619150238">
                              <w:marLeft w:val="0"/>
                              <w:marRight w:val="0"/>
                              <w:marTop w:val="0"/>
                              <w:marBottom w:val="0"/>
                              <w:divBdr>
                                <w:top w:val="none" w:sz="0" w:space="0" w:color="auto"/>
                                <w:left w:val="none" w:sz="0" w:space="0" w:color="auto"/>
                                <w:bottom w:val="none" w:sz="0" w:space="0" w:color="auto"/>
                                <w:right w:val="none" w:sz="0" w:space="0" w:color="auto"/>
                              </w:divBdr>
                              <w:divsChild>
                                <w:div w:id="1959488213">
                                  <w:marLeft w:val="0"/>
                                  <w:marRight w:val="0"/>
                                  <w:marTop w:val="0"/>
                                  <w:marBottom w:val="0"/>
                                  <w:divBdr>
                                    <w:top w:val="none" w:sz="0" w:space="0" w:color="auto"/>
                                    <w:left w:val="none" w:sz="0" w:space="0" w:color="auto"/>
                                    <w:bottom w:val="none" w:sz="0" w:space="0" w:color="auto"/>
                                    <w:right w:val="none" w:sz="0" w:space="0" w:color="auto"/>
                                  </w:divBdr>
                                  <w:divsChild>
                                    <w:div w:id="2069376566">
                                      <w:marLeft w:val="0"/>
                                      <w:marRight w:val="0"/>
                                      <w:marTop w:val="0"/>
                                      <w:marBottom w:val="0"/>
                                      <w:divBdr>
                                        <w:top w:val="none" w:sz="0" w:space="0" w:color="auto"/>
                                        <w:left w:val="none" w:sz="0" w:space="0" w:color="auto"/>
                                        <w:bottom w:val="none" w:sz="0" w:space="0" w:color="auto"/>
                                        <w:right w:val="none" w:sz="0" w:space="0" w:color="auto"/>
                                      </w:divBdr>
                                      <w:divsChild>
                                        <w:div w:id="1895239180">
                                          <w:marLeft w:val="0"/>
                                          <w:marRight w:val="0"/>
                                          <w:marTop w:val="0"/>
                                          <w:marBottom w:val="0"/>
                                          <w:divBdr>
                                            <w:top w:val="none" w:sz="0" w:space="0" w:color="auto"/>
                                            <w:left w:val="none" w:sz="0" w:space="0" w:color="auto"/>
                                            <w:bottom w:val="none" w:sz="0" w:space="0" w:color="auto"/>
                                            <w:right w:val="none" w:sz="0" w:space="0" w:color="auto"/>
                                          </w:divBdr>
                                          <w:divsChild>
                                            <w:div w:id="588732899">
                                              <w:marLeft w:val="0"/>
                                              <w:marRight w:val="0"/>
                                              <w:marTop w:val="0"/>
                                              <w:marBottom w:val="495"/>
                                              <w:divBdr>
                                                <w:top w:val="none" w:sz="0" w:space="0" w:color="auto"/>
                                                <w:left w:val="none" w:sz="0" w:space="0" w:color="auto"/>
                                                <w:bottom w:val="none" w:sz="0" w:space="0" w:color="auto"/>
                                                <w:right w:val="none" w:sz="0" w:space="0" w:color="auto"/>
                                              </w:divBdr>
                                              <w:divsChild>
                                                <w:div w:id="19139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0714095">
      <w:bodyDiv w:val="1"/>
      <w:marLeft w:val="0"/>
      <w:marRight w:val="0"/>
      <w:marTop w:val="0"/>
      <w:marBottom w:val="0"/>
      <w:divBdr>
        <w:top w:val="none" w:sz="0" w:space="0" w:color="auto"/>
        <w:left w:val="none" w:sz="0" w:space="0" w:color="auto"/>
        <w:bottom w:val="none" w:sz="0" w:space="0" w:color="auto"/>
        <w:right w:val="none" w:sz="0" w:space="0" w:color="auto"/>
      </w:divBdr>
    </w:div>
    <w:div w:id="408238497">
      <w:bodyDiv w:val="1"/>
      <w:marLeft w:val="0"/>
      <w:marRight w:val="0"/>
      <w:marTop w:val="0"/>
      <w:marBottom w:val="0"/>
      <w:divBdr>
        <w:top w:val="none" w:sz="0" w:space="0" w:color="auto"/>
        <w:left w:val="none" w:sz="0" w:space="0" w:color="auto"/>
        <w:bottom w:val="none" w:sz="0" w:space="0" w:color="auto"/>
        <w:right w:val="none" w:sz="0" w:space="0" w:color="auto"/>
      </w:divBdr>
      <w:divsChild>
        <w:div w:id="2002151388">
          <w:marLeft w:val="0"/>
          <w:marRight w:val="0"/>
          <w:marTop w:val="0"/>
          <w:marBottom w:val="0"/>
          <w:divBdr>
            <w:top w:val="none" w:sz="0" w:space="0" w:color="auto"/>
            <w:left w:val="none" w:sz="0" w:space="0" w:color="auto"/>
            <w:bottom w:val="none" w:sz="0" w:space="0" w:color="auto"/>
            <w:right w:val="none" w:sz="0" w:space="0" w:color="auto"/>
          </w:divBdr>
          <w:divsChild>
            <w:div w:id="1372605959">
              <w:marLeft w:val="0"/>
              <w:marRight w:val="0"/>
              <w:marTop w:val="0"/>
              <w:marBottom w:val="0"/>
              <w:divBdr>
                <w:top w:val="none" w:sz="0" w:space="0" w:color="auto"/>
                <w:left w:val="none" w:sz="0" w:space="0" w:color="auto"/>
                <w:bottom w:val="none" w:sz="0" w:space="0" w:color="auto"/>
                <w:right w:val="none" w:sz="0" w:space="0" w:color="auto"/>
              </w:divBdr>
              <w:divsChild>
                <w:div w:id="117720037">
                  <w:marLeft w:val="0"/>
                  <w:marRight w:val="0"/>
                  <w:marTop w:val="0"/>
                  <w:marBottom w:val="0"/>
                  <w:divBdr>
                    <w:top w:val="none" w:sz="0" w:space="0" w:color="auto"/>
                    <w:left w:val="none" w:sz="0" w:space="0" w:color="auto"/>
                    <w:bottom w:val="none" w:sz="0" w:space="0" w:color="auto"/>
                    <w:right w:val="none" w:sz="0" w:space="0" w:color="auto"/>
                  </w:divBdr>
                  <w:divsChild>
                    <w:div w:id="1330135819">
                      <w:marLeft w:val="0"/>
                      <w:marRight w:val="0"/>
                      <w:marTop w:val="0"/>
                      <w:marBottom w:val="0"/>
                      <w:divBdr>
                        <w:top w:val="none" w:sz="0" w:space="0" w:color="auto"/>
                        <w:left w:val="none" w:sz="0" w:space="0" w:color="auto"/>
                        <w:bottom w:val="none" w:sz="0" w:space="0" w:color="auto"/>
                        <w:right w:val="none" w:sz="0" w:space="0" w:color="auto"/>
                      </w:divBdr>
                      <w:divsChild>
                        <w:div w:id="1522740663">
                          <w:marLeft w:val="0"/>
                          <w:marRight w:val="0"/>
                          <w:marTop w:val="0"/>
                          <w:marBottom w:val="0"/>
                          <w:divBdr>
                            <w:top w:val="none" w:sz="0" w:space="0" w:color="auto"/>
                            <w:left w:val="none" w:sz="0" w:space="0" w:color="auto"/>
                            <w:bottom w:val="none" w:sz="0" w:space="0" w:color="auto"/>
                            <w:right w:val="none" w:sz="0" w:space="0" w:color="auto"/>
                          </w:divBdr>
                          <w:divsChild>
                            <w:div w:id="945424547">
                              <w:marLeft w:val="0"/>
                              <w:marRight w:val="0"/>
                              <w:marTop w:val="0"/>
                              <w:marBottom w:val="0"/>
                              <w:divBdr>
                                <w:top w:val="none" w:sz="0" w:space="0" w:color="auto"/>
                                <w:left w:val="none" w:sz="0" w:space="0" w:color="auto"/>
                                <w:bottom w:val="none" w:sz="0" w:space="0" w:color="auto"/>
                                <w:right w:val="none" w:sz="0" w:space="0" w:color="auto"/>
                              </w:divBdr>
                              <w:divsChild>
                                <w:div w:id="1296372428">
                                  <w:marLeft w:val="0"/>
                                  <w:marRight w:val="0"/>
                                  <w:marTop w:val="0"/>
                                  <w:marBottom w:val="0"/>
                                  <w:divBdr>
                                    <w:top w:val="none" w:sz="0" w:space="0" w:color="auto"/>
                                    <w:left w:val="none" w:sz="0" w:space="0" w:color="auto"/>
                                    <w:bottom w:val="none" w:sz="0" w:space="0" w:color="auto"/>
                                    <w:right w:val="none" w:sz="0" w:space="0" w:color="auto"/>
                                  </w:divBdr>
                                  <w:divsChild>
                                    <w:div w:id="1187795796">
                                      <w:marLeft w:val="0"/>
                                      <w:marRight w:val="0"/>
                                      <w:marTop w:val="0"/>
                                      <w:marBottom w:val="0"/>
                                      <w:divBdr>
                                        <w:top w:val="none" w:sz="0" w:space="0" w:color="auto"/>
                                        <w:left w:val="none" w:sz="0" w:space="0" w:color="auto"/>
                                        <w:bottom w:val="none" w:sz="0" w:space="0" w:color="auto"/>
                                        <w:right w:val="none" w:sz="0" w:space="0" w:color="auto"/>
                                      </w:divBdr>
                                      <w:divsChild>
                                        <w:div w:id="1763145768">
                                          <w:marLeft w:val="0"/>
                                          <w:marRight w:val="0"/>
                                          <w:marTop w:val="0"/>
                                          <w:marBottom w:val="0"/>
                                          <w:divBdr>
                                            <w:top w:val="none" w:sz="0" w:space="0" w:color="auto"/>
                                            <w:left w:val="none" w:sz="0" w:space="0" w:color="auto"/>
                                            <w:bottom w:val="none" w:sz="0" w:space="0" w:color="auto"/>
                                            <w:right w:val="none" w:sz="0" w:space="0" w:color="auto"/>
                                          </w:divBdr>
                                          <w:divsChild>
                                            <w:div w:id="2109276183">
                                              <w:marLeft w:val="0"/>
                                              <w:marRight w:val="0"/>
                                              <w:marTop w:val="0"/>
                                              <w:marBottom w:val="495"/>
                                              <w:divBdr>
                                                <w:top w:val="none" w:sz="0" w:space="0" w:color="auto"/>
                                                <w:left w:val="none" w:sz="0" w:space="0" w:color="auto"/>
                                                <w:bottom w:val="none" w:sz="0" w:space="0" w:color="auto"/>
                                                <w:right w:val="none" w:sz="0" w:space="0" w:color="auto"/>
                                              </w:divBdr>
                                              <w:divsChild>
                                                <w:div w:id="1242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8602765">
      <w:bodyDiv w:val="1"/>
      <w:marLeft w:val="0"/>
      <w:marRight w:val="0"/>
      <w:marTop w:val="0"/>
      <w:marBottom w:val="0"/>
      <w:divBdr>
        <w:top w:val="none" w:sz="0" w:space="0" w:color="auto"/>
        <w:left w:val="none" w:sz="0" w:space="0" w:color="auto"/>
        <w:bottom w:val="none" w:sz="0" w:space="0" w:color="auto"/>
        <w:right w:val="none" w:sz="0" w:space="0" w:color="auto"/>
      </w:divBdr>
    </w:div>
    <w:div w:id="422604438">
      <w:bodyDiv w:val="1"/>
      <w:marLeft w:val="0"/>
      <w:marRight w:val="0"/>
      <w:marTop w:val="0"/>
      <w:marBottom w:val="0"/>
      <w:divBdr>
        <w:top w:val="none" w:sz="0" w:space="0" w:color="auto"/>
        <w:left w:val="none" w:sz="0" w:space="0" w:color="auto"/>
        <w:bottom w:val="none" w:sz="0" w:space="0" w:color="auto"/>
        <w:right w:val="none" w:sz="0" w:space="0" w:color="auto"/>
      </w:divBdr>
      <w:divsChild>
        <w:div w:id="261038230">
          <w:marLeft w:val="0"/>
          <w:marRight w:val="0"/>
          <w:marTop w:val="0"/>
          <w:marBottom w:val="0"/>
          <w:divBdr>
            <w:top w:val="none" w:sz="0" w:space="0" w:color="auto"/>
            <w:left w:val="none" w:sz="0" w:space="0" w:color="auto"/>
            <w:bottom w:val="none" w:sz="0" w:space="0" w:color="auto"/>
            <w:right w:val="none" w:sz="0" w:space="0" w:color="auto"/>
          </w:divBdr>
          <w:divsChild>
            <w:div w:id="1874998169">
              <w:marLeft w:val="0"/>
              <w:marRight w:val="0"/>
              <w:marTop w:val="0"/>
              <w:marBottom w:val="0"/>
              <w:divBdr>
                <w:top w:val="none" w:sz="0" w:space="0" w:color="auto"/>
                <w:left w:val="none" w:sz="0" w:space="0" w:color="auto"/>
                <w:bottom w:val="none" w:sz="0" w:space="0" w:color="auto"/>
                <w:right w:val="none" w:sz="0" w:space="0" w:color="auto"/>
              </w:divBdr>
              <w:divsChild>
                <w:div w:id="961226254">
                  <w:marLeft w:val="0"/>
                  <w:marRight w:val="0"/>
                  <w:marTop w:val="0"/>
                  <w:marBottom w:val="0"/>
                  <w:divBdr>
                    <w:top w:val="none" w:sz="0" w:space="0" w:color="auto"/>
                    <w:left w:val="none" w:sz="0" w:space="0" w:color="auto"/>
                    <w:bottom w:val="none" w:sz="0" w:space="0" w:color="auto"/>
                    <w:right w:val="none" w:sz="0" w:space="0" w:color="auto"/>
                  </w:divBdr>
                  <w:divsChild>
                    <w:div w:id="297734794">
                      <w:marLeft w:val="0"/>
                      <w:marRight w:val="0"/>
                      <w:marTop w:val="0"/>
                      <w:marBottom w:val="0"/>
                      <w:divBdr>
                        <w:top w:val="none" w:sz="0" w:space="0" w:color="auto"/>
                        <w:left w:val="none" w:sz="0" w:space="0" w:color="auto"/>
                        <w:bottom w:val="none" w:sz="0" w:space="0" w:color="auto"/>
                        <w:right w:val="none" w:sz="0" w:space="0" w:color="auto"/>
                      </w:divBdr>
                      <w:divsChild>
                        <w:div w:id="2034527036">
                          <w:marLeft w:val="0"/>
                          <w:marRight w:val="0"/>
                          <w:marTop w:val="0"/>
                          <w:marBottom w:val="0"/>
                          <w:divBdr>
                            <w:top w:val="none" w:sz="0" w:space="0" w:color="auto"/>
                            <w:left w:val="none" w:sz="0" w:space="0" w:color="auto"/>
                            <w:bottom w:val="none" w:sz="0" w:space="0" w:color="auto"/>
                            <w:right w:val="none" w:sz="0" w:space="0" w:color="auto"/>
                          </w:divBdr>
                          <w:divsChild>
                            <w:div w:id="2089571334">
                              <w:marLeft w:val="0"/>
                              <w:marRight w:val="0"/>
                              <w:marTop w:val="0"/>
                              <w:marBottom w:val="0"/>
                              <w:divBdr>
                                <w:top w:val="none" w:sz="0" w:space="0" w:color="auto"/>
                                <w:left w:val="none" w:sz="0" w:space="0" w:color="auto"/>
                                <w:bottom w:val="none" w:sz="0" w:space="0" w:color="auto"/>
                                <w:right w:val="none" w:sz="0" w:space="0" w:color="auto"/>
                              </w:divBdr>
                              <w:divsChild>
                                <w:div w:id="77290242">
                                  <w:marLeft w:val="0"/>
                                  <w:marRight w:val="0"/>
                                  <w:marTop w:val="0"/>
                                  <w:marBottom w:val="0"/>
                                  <w:divBdr>
                                    <w:top w:val="none" w:sz="0" w:space="0" w:color="auto"/>
                                    <w:left w:val="none" w:sz="0" w:space="0" w:color="auto"/>
                                    <w:bottom w:val="none" w:sz="0" w:space="0" w:color="auto"/>
                                    <w:right w:val="none" w:sz="0" w:space="0" w:color="auto"/>
                                  </w:divBdr>
                                  <w:divsChild>
                                    <w:div w:id="356278906">
                                      <w:marLeft w:val="0"/>
                                      <w:marRight w:val="0"/>
                                      <w:marTop w:val="0"/>
                                      <w:marBottom w:val="0"/>
                                      <w:divBdr>
                                        <w:top w:val="none" w:sz="0" w:space="0" w:color="auto"/>
                                        <w:left w:val="none" w:sz="0" w:space="0" w:color="auto"/>
                                        <w:bottom w:val="none" w:sz="0" w:space="0" w:color="auto"/>
                                        <w:right w:val="none" w:sz="0" w:space="0" w:color="auto"/>
                                      </w:divBdr>
                                      <w:divsChild>
                                        <w:div w:id="1525167425">
                                          <w:marLeft w:val="0"/>
                                          <w:marRight w:val="0"/>
                                          <w:marTop w:val="0"/>
                                          <w:marBottom w:val="495"/>
                                          <w:divBdr>
                                            <w:top w:val="none" w:sz="0" w:space="0" w:color="auto"/>
                                            <w:left w:val="none" w:sz="0" w:space="0" w:color="auto"/>
                                            <w:bottom w:val="none" w:sz="0" w:space="0" w:color="auto"/>
                                            <w:right w:val="none" w:sz="0" w:space="0" w:color="auto"/>
                                          </w:divBdr>
                                          <w:divsChild>
                                            <w:div w:id="16811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137694">
      <w:bodyDiv w:val="1"/>
      <w:marLeft w:val="0"/>
      <w:marRight w:val="0"/>
      <w:marTop w:val="0"/>
      <w:marBottom w:val="0"/>
      <w:divBdr>
        <w:top w:val="none" w:sz="0" w:space="0" w:color="auto"/>
        <w:left w:val="none" w:sz="0" w:space="0" w:color="auto"/>
        <w:bottom w:val="none" w:sz="0" w:space="0" w:color="auto"/>
        <w:right w:val="none" w:sz="0" w:space="0" w:color="auto"/>
      </w:divBdr>
    </w:div>
    <w:div w:id="525868798">
      <w:bodyDiv w:val="1"/>
      <w:marLeft w:val="0"/>
      <w:marRight w:val="0"/>
      <w:marTop w:val="0"/>
      <w:marBottom w:val="0"/>
      <w:divBdr>
        <w:top w:val="none" w:sz="0" w:space="0" w:color="auto"/>
        <w:left w:val="none" w:sz="0" w:space="0" w:color="auto"/>
        <w:bottom w:val="none" w:sz="0" w:space="0" w:color="auto"/>
        <w:right w:val="none" w:sz="0" w:space="0" w:color="auto"/>
      </w:divBdr>
    </w:div>
    <w:div w:id="549341311">
      <w:bodyDiv w:val="1"/>
      <w:marLeft w:val="0"/>
      <w:marRight w:val="0"/>
      <w:marTop w:val="0"/>
      <w:marBottom w:val="0"/>
      <w:divBdr>
        <w:top w:val="none" w:sz="0" w:space="0" w:color="auto"/>
        <w:left w:val="none" w:sz="0" w:space="0" w:color="auto"/>
        <w:bottom w:val="none" w:sz="0" w:space="0" w:color="auto"/>
        <w:right w:val="none" w:sz="0" w:space="0" w:color="auto"/>
      </w:divBdr>
      <w:divsChild>
        <w:div w:id="1422602751">
          <w:marLeft w:val="0"/>
          <w:marRight w:val="0"/>
          <w:marTop w:val="0"/>
          <w:marBottom w:val="0"/>
          <w:divBdr>
            <w:top w:val="none" w:sz="0" w:space="0" w:color="auto"/>
            <w:left w:val="none" w:sz="0" w:space="0" w:color="auto"/>
            <w:bottom w:val="none" w:sz="0" w:space="0" w:color="auto"/>
            <w:right w:val="none" w:sz="0" w:space="0" w:color="auto"/>
          </w:divBdr>
          <w:divsChild>
            <w:div w:id="612589784">
              <w:marLeft w:val="0"/>
              <w:marRight w:val="0"/>
              <w:marTop w:val="0"/>
              <w:marBottom w:val="0"/>
              <w:divBdr>
                <w:top w:val="none" w:sz="0" w:space="0" w:color="auto"/>
                <w:left w:val="none" w:sz="0" w:space="0" w:color="auto"/>
                <w:bottom w:val="none" w:sz="0" w:space="0" w:color="auto"/>
                <w:right w:val="none" w:sz="0" w:space="0" w:color="auto"/>
              </w:divBdr>
              <w:divsChild>
                <w:div w:id="1512986534">
                  <w:marLeft w:val="0"/>
                  <w:marRight w:val="0"/>
                  <w:marTop w:val="0"/>
                  <w:marBottom w:val="0"/>
                  <w:divBdr>
                    <w:top w:val="none" w:sz="0" w:space="0" w:color="auto"/>
                    <w:left w:val="none" w:sz="0" w:space="0" w:color="auto"/>
                    <w:bottom w:val="none" w:sz="0" w:space="0" w:color="auto"/>
                    <w:right w:val="none" w:sz="0" w:space="0" w:color="auto"/>
                  </w:divBdr>
                  <w:divsChild>
                    <w:div w:id="1626425338">
                      <w:marLeft w:val="0"/>
                      <w:marRight w:val="0"/>
                      <w:marTop w:val="0"/>
                      <w:marBottom w:val="0"/>
                      <w:divBdr>
                        <w:top w:val="none" w:sz="0" w:space="0" w:color="auto"/>
                        <w:left w:val="none" w:sz="0" w:space="0" w:color="auto"/>
                        <w:bottom w:val="none" w:sz="0" w:space="0" w:color="auto"/>
                        <w:right w:val="none" w:sz="0" w:space="0" w:color="auto"/>
                      </w:divBdr>
                      <w:divsChild>
                        <w:div w:id="1578130905">
                          <w:marLeft w:val="0"/>
                          <w:marRight w:val="0"/>
                          <w:marTop w:val="0"/>
                          <w:marBottom w:val="0"/>
                          <w:divBdr>
                            <w:top w:val="none" w:sz="0" w:space="0" w:color="auto"/>
                            <w:left w:val="none" w:sz="0" w:space="0" w:color="auto"/>
                            <w:bottom w:val="none" w:sz="0" w:space="0" w:color="auto"/>
                            <w:right w:val="none" w:sz="0" w:space="0" w:color="auto"/>
                          </w:divBdr>
                          <w:divsChild>
                            <w:div w:id="1263027958">
                              <w:marLeft w:val="0"/>
                              <w:marRight w:val="0"/>
                              <w:marTop w:val="0"/>
                              <w:marBottom w:val="0"/>
                              <w:divBdr>
                                <w:top w:val="none" w:sz="0" w:space="0" w:color="auto"/>
                                <w:left w:val="none" w:sz="0" w:space="0" w:color="auto"/>
                                <w:bottom w:val="none" w:sz="0" w:space="0" w:color="auto"/>
                                <w:right w:val="none" w:sz="0" w:space="0" w:color="auto"/>
                              </w:divBdr>
                              <w:divsChild>
                                <w:div w:id="1389569415">
                                  <w:marLeft w:val="0"/>
                                  <w:marRight w:val="0"/>
                                  <w:marTop w:val="0"/>
                                  <w:marBottom w:val="0"/>
                                  <w:divBdr>
                                    <w:top w:val="none" w:sz="0" w:space="0" w:color="auto"/>
                                    <w:left w:val="none" w:sz="0" w:space="0" w:color="auto"/>
                                    <w:bottom w:val="none" w:sz="0" w:space="0" w:color="auto"/>
                                    <w:right w:val="none" w:sz="0" w:space="0" w:color="auto"/>
                                  </w:divBdr>
                                  <w:divsChild>
                                    <w:div w:id="1374841065">
                                      <w:marLeft w:val="0"/>
                                      <w:marRight w:val="0"/>
                                      <w:marTop w:val="0"/>
                                      <w:marBottom w:val="0"/>
                                      <w:divBdr>
                                        <w:top w:val="none" w:sz="0" w:space="0" w:color="auto"/>
                                        <w:left w:val="none" w:sz="0" w:space="0" w:color="auto"/>
                                        <w:bottom w:val="none" w:sz="0" w:space="0" w:color="auto"/>
                                        <w:right w:val="none" w:sz="0" w:space="0" w:color="auto"/>
                                      </w:divBdr>
                                      <w:divsChild>
                                        <w:div w:id="2077512678">
                                          <w:marLeft w:val="0"/>
                                          <w:marRight w:val="0"/>
                                          <w:marTop w:val="0"/>
                                          <w:marBottom w:val="495"/>
                                          <w:divBdr>
                                            <w:top w:val="none" w:sz="0" w:space="0" w:color="auto"/>
                                            <w:left w:val="none" w:sz="0" w:space="0" w:color="auto"/>
                                            <w:bottom w:val="none" w:sz="0" w:space="0" w:color="auto"/>
                                            <w:right w:val="none" w:sz="0" w:space="0" w:color="auto"/>
                                          </w:divBdr>
                                          <w:divsChild>
                                            <w:div w:id="9652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1504853">
      <w:bodyDiv w:val="1"/>
      <w:marLeft w:val="0"/>
      <w:marRight w:val="0"/>
      <w:marTop w:val="0"/>
      <w:marBottom w:val="0"/>
      <w:divBdr>
        <w:top w:val="none" w:sz="0" w:space="0" w:color="auto"/>
        <w:left w:val="none" w:sz="0" w:space="0" w:color="auto"/>
        <w:bottom w:val="none" w:sz="0" w:space="0" w:color="auto"/>
        <w:right w:val="none" w:sz="0" w:space="0" w:color="auto"/>
      </w:divBdr>
    </w:div>
    <w:div w:id="567151137">
      <w:bodyDiv w:val="1"/>
      <w:marLeft w:val="0"/>
      <w:marRight w:val="0"/>
      <w:marTop w:val="0"/>
      <w:marBottom w:val="0"/>
      <w:divBdr>
        <w:top w:val="none" w:sz="0" w:space="0" w:color="auto"/>
        <w:left w:val="none" w:sz="0" w:space="0" w:color="auto"/>
        <w:bottom w:val="none" w:sz="0" w:space="0" w:color="auto"/>
        <w:right w:val="none" w:sz="0" w:space="0" w:color="auto"/>
      </w:divBdr>
      <w:divsChild>
        <w:div w:id="1285425510">
          <w:marLeft w:val="0"/>
          <w:marRight w:val="0"/>
          <w:marTop w:val="0"/>
          <w:marBottom w:val="0"/>
          <w:divBdr>
            <w:top w:val="none" w:sz="0" w:space="0" w:color="auto"/>
            <w:left w:val="none" w:sz="0" w:space="0" w:color="auto"/>
            <w:bottom w:val="none" w:sz="0" w:space="0" w:color="auto"/>
            <w:right w:val="none" w:sz="0" w:space="0" w:color="auto"/>
          </w:divBdr>
          <w:divsChild>
            <w:div w:id="9332612">
              <w:marLeft w:val="0"/>
              <w:marRight w:val="0"/>
              <w:marTop w:val="0"/>
              <w:marBottom w:val="0"/>
              <w:divBdr>
                <w:top w:val="none" w:sz="0" w:space="0" w:color="auto"/>
                <w:left w:val="none" w:sz="0" w:space="0" w:color="auto"/>
                <w:bottom w:val="none" w:sz="0" w:space="0" w:color="auto"/>
                <w:right w:val="none" w:sz="0" w:space="0" w:color="auto"/>
              </w:divBdr>
              <w:divsChild>
                <w:div w:id="704716976">
                  <w:marLeft w:val="0"/>
                  <w:marRight w:val="0"/>
                  <w:marTop w:val="0"/>
                  <w:marBottom w:val="0"/>
                  <w:divBdr>
                    <w:top w:val="none" w:sz="0" w:space="0" w:color="auto"/>
                    <w:left w:val="none" w:sz="0" w:space="0" w:color="auto"/>
                    <w:bottom w:val="none" w:sz="0" w:space="0" w:color="auto"/>
                    <w:right w:val="none" w:sz="0" w:space="0" w:color="auto"/>
                  </w:divBdr>
                  <w:divsChild>
                    <w:div w:id="1827091791">
                      <w:marLeft w:val="0"/>
                      <w:marRight w:val="0"/>
                      <w:marTop w:val="0"/>
                      <w:marBottom w:val="0"/>
                      <w:divBdr>
                        <w:top w:val="none" w:sz="0" w:space="0" w:color="auto"/>
                        <w:left w:val="none" w:sz="0" w:space="0" w:color="auto"/>
                        <w:bottom w:val="none" w:sz="0" w:space="0" w:color="auto"/>
                        <w:right w:val="none" w:sz="0" w:space="0" w:color="auto"/>
                      </w:divBdr>
                    </w:div>
                  </w:divsChild>
                </w:div>
                <w:div w:id="1757942520">
                  <w:marLeft w:val="0"/>
                  <w:marRight w:val="0"/>
                  <w:marTop w:val="0"/>
                  <w:marBottom w:val="0"/>
                  <w:divBdr>
                    <w:top w:val="none" w:sz="0" w:space="0" w:color="auto"/>
                    <w:left w:val="none" w:sz="0" w:space="0" w:color="auto"/>
                    <w:bottom w:val="none" w:sz="0" w:space="0" w:color="auto"/>
                    <w:right w:val="none" w:sz="0" w:space="0" w:color="auto"/>
                  </w:divBdr>
                </w:div>
                <w:div w:id="2035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8063">
      <w:bodyDiv w:val="1"/>
      <w:marLeft w:val="0"/>
      <w:marRight w:val="0"/>
      <w:marTop w:val="0"/>
      <w:marBottom w:val="0"/>
      <w:divBdr>
        <w:top w:val="none" w:sz="0" w:space="0" w:color="auto"/>
        <w:left w:val="none" w:sz="0" w:space="0" w:color="auto"/>
        <w:bottom w:val="none" w:sz="0" w:space="0" w:color="auto"/>
        <w:right w:val="none" w:sz="0" w:space="0" w:color="auto"/>
      </w:divBdr>
      <w:divsChild>
        <w:div w:id="1131703439">
          <w:marLeft w:val="0"/>
          <w:marRight w:val="0"/>
          <w:marTop w:val="0"/>
          <w:marBottom w:val="0"/>
          <w:divBdr>
            <w:top w:val="none" w:sz="0" w:space="0" w:color="auto"/>
            <w:left w:val="none" w:sz="0" w:space="0" w:color="auto"/>
            <w:bottom w:val="none" w:sz="0" w:space="0" w:color="auto"/>
            <w:right w:val="none" w:sz="0" w:space="0" w:color="auto"/>
          </w:divBdr>
        </w:div>
        <w:div w:id="1628050630">
          <w:marLeft w:val="0"/>
          <w:marRight w:val="0"/>
          <w:marTop w:val="0"/>
          <w:marBottom w:val="0"/>
          <w:divBdr>
            <w:top w:val="none" w:sz="0" w:space="0" w:color="auto"/>
            <w:left w:val="none" w:sz="0" w:space="0" w:color="auto"/>
            <w:bottom w:val="none" w:sz="0" w:space="0" w:color="auto"/>
            <w:right w:val="none" w:sz="0" w:space="0" w:color="auto"/>
          </w:divBdr>
        </w:div>
        <w:div w:id="1659768067">
          <w:marLeft w:val="0"/>
          <w:marRight w:val="0"/>
          <w:marTop w:val="0"/>
          <w:marBottom w:val="0"/>
          <w:divBdr>
            <w:top w:val="none" w:sz="0" w:space="0" w:color="auto"/>
            <w:left w:val="none" w:sz="0" w:space="0" w:color="auto"/>
            <w:bottom w:val="none" w:sz="0" w:space="0" w:color="auto"/>
            <w:right w:val="none" w:sz="0" w:space="0" w:color="auto"/>
          </w:divBdr>
        </w:div>
        <w:div w:id="1878351392">
          <w:marLeft w:val="0"/>
          <w:marRight w:val="0"/>
          <w:marTop w:val="0"/>
          <w:marBottom w:val="0"/>
          <w:divBdr>
            <w:top w:val="none" w:sz="0" w:space="0" w:color="auto"/>
            <w:left w:val="none" w:sz="0" w:space="0" w:color="auto"/>
            <w:bottom w:val="none" w:sz="0" w:space="0" w:color="auto"/>
            <w:right w:val="none" w:sz="0" w:space="0" w:color="auto"/>
          </w:divBdr>
        </w:div>
      </w:divsChild>
    </w:div>
    <w:div w:id="620261626">
      <w:bodyDiv w:val="1"/>
      <w:marLeft w:val="0"/>
      <w:marRight w:val="0"/>
      <w:marTop w:val="0"/>
      <w:marBottom w:val="0"/>
      <w:divBdr>
        <w:top w:val="none" w:sz="0" w:space="0" w:color="auto"/>
        <w:left w:val="none" w:sz="0" w:space="0" w:color="auto"/>
        <w:bottom w:val="none" w:sz="0" w:space="0" w:color="auto"/>
        <w:right w:val="none" w:sz="0" w:space="0" w:color="auto"/>
      </w:divBdr>
      <w:divsChild>
        <w:div w:id="195579673">
          <w:marLeft w:val="0"/>
          <w:marRight w:val="0"/>
          <w:marTop w:val="0"/>
          <w:marBottom w:val="0"/>
          <w:divBdr>
            <w:top w:val="none" w:sz="0" w:space="0" w:color="auto"/>
            <w:left w:val="none" w:sz="0" w:space="0" w:color="auto"/>
            <w:bottom w:val="none" w:sz="0" w:space="0" w:color="auto"/>
            <w:right w:val="none" w:sz="0" w:space="0" w:color="auto"/>
          </w:divBdr>
        </w:div>
        <w:div w:id="249967422">
          <w:marLeft w:val="0"/>
          <w:marRight w:val="0"/>
          <w:marTop w:val="0"/>
          <w:marBottom w:val="0"/>
          <w:divBdr>
            <w:top w:val="none" w:sz="0" w:space="0" w:color="auto"/>
            <w:left w:val="none" w:sz="0" w:space="0" w:color="auto"/>
            <w:bottom w:val="none" w:sz="0" w:space="0" w:color="auto"/>
            <w:right w:val="none" w:sz="0" w:space="0" w:color="auto"/>
          </w:divBdr>
        </w:div>
        <w:div w:id="425931730">
          <w:marLeft w:val="0"/>
          <w:marRight w:val="0"/>
          <w:marTop w:val="0"/>
          <w:marBottom w:val="0"/>
          <w:divBdr>
            <w:top w:val="none" w:sz="0" w:space="0" w:color="auto"/>
            <w:left w:val="none" w:sz="0" w:space="0" w:color="auto"/>
            <w:bottom w:val="none" w:sz="0" w:space="0" w:color="auto"/>
            <w:right w:val="none" w:sz="0" w:space="0" w:color="auto"/>
          </w:divBdr>
        </w:div>
        <w:div w:id="509299674">
          <w:marLeft w:val="0"/>
          <w:marRight w:val="0"/>
          <w:marTop w:val="0"/>
          <w:marBottom w:val="0"/>
          <w:divBdr>
            <w:top w:val="none" w:sz="0" w:space="0" w:color="auto"/>
            <w:left w:val="none" w:sz="0" w:space="0" w:color="auto"/>
            <w:bottom w:val="none" w:sz="0" w:space="0" w:color="auto"/>
            <w:right w:val="none" w:sz="0" w:space="0" w:color="auto"/>
          </w:divBdr>
        </w:div>
        <w:div w:id="738482418">
          <w:marLeft w:val="0"/>
          <w:marRight w:val="0"/>
          <w:marTop w:val="0"/>
          <w:marBottom w:val="0"/>
          <w:divBdr>
            <w:top w:val="none" w:sz="0" w:space="0" w:color="auto"/>
            <w:left w:val="none" w:sz="0" w:space="0" w:color="auto"/>
            <w:bottom w:val="none" w:sz="0" w:space="0" w:color="auto"/>
            <w:right w:val="none" w:sz="0" w:space="0" w:color="auto"/>
          </w:divBdr>
        </w:div>
        <w:div w:id="1615331883">
          <w:marLeft w:val="0"/>
          <w:marRight w:val="0"/>
          <w:marTop w:val="0"/>
          <w:marBottom w:val="0"/>
          <w:divBdr>
            <w:top w:val="none" w:sz="0" w:space="0" w:color="auto"/>
            <w:left w:val="none" w:sz="0" w:space="0" w:color="auto"/>
            <w:bottom w:val="none" w:sz="0" w:space="0" w:color="auto"/>
            <w:right w:val="none" w:sz="0" w:space="0" w:color="auto"/>
          </w:divBdr>
        </w:div>
        <w:div w:id="1628392468">
          <w:marLeft w:val="0"/>
          <w:marRight w:val="0"/>
          <w:marTop w:val="0"/>
          <w:marBottom w:val="0"/>
          <w:divBdr>
            <w:top w:val="none" w:sz="0" w:space="0" w:color="auto"/>
            <w:left w:val="none" w:sz="0" w:space="0" w:color="auto"/>
            <w:bottom w:val="none" w:sz="0" w:space="0" w:color="auto"/>
            <w:right w:val="none" w:sz="0" w:space="0" w:color="auto"/>
          </w:divBdr>
        </w:div>
        <w:div w:id="1976253368">
          <w:marLeft w:val="0"/>
          <w:marRight w:val="0"/>
          <w:marTop w:val="0"/>
          <w:marBottom w:val="0"/>
          <w:divBdr>
            <w:top w:val="none" w:sz="0" w:space="0" w:color="auto"/>
            <w:left w:val="none" w:sz="0" w:space="0" w:color="auto"/>
            <w:bottom w:val="none" w:sz="0" w:space="0" w:color="auto"/>
            <w:right w:val="none" w:sz="0" w:space="0" w:color="auto"/>
          </w:divBdr>
        </w:div>
      </w:divsChild>
    </w:div>
    <w:div w:id="645091381">
      <w:bodyDiv w:val="1"/>
      <w:marLeft w:val="0"/>
      <w:marRight w:val="0"/>
      <w:marTop w:val="0"/>
      <w:marBottom w:val="0"/>
      <w:divBdr>
        <w:top w:val="none" w:sz="0" w:space="0" w:color="auto"/>
        <w:left w:val="none" w:sz="0" w:space="0" w:color="auto"/>
        <w:bottom w:val="none" w:sz="0" w:space="0" w:color="auto"/>
        <w:right w:val="none" w:sz="0" w:space="0" w:color="auto"/>
      </w:divBdr>
      <w:divsChild>
        <w:div w:id="23941951">
          <w:marLeft w:val="0"/>
          <w:marRight w:val="0"/>
          <w:marTop w:val="0"/>
          <w:marBottom w:val="0"/>
          <w:divBdr>
            <w:top w:val="none" w:sz="0" w:space="0" w:color="auto"/>
            <w:left w:val="none" w:sz="0" w:space="0" w:color="auto"/>
            <w:bottom w:val="none" w:sz="0" w:space="0" w:color="auto"/>
            <w:right w:val="none" w:sz="0" w:space="0" w:color="auto"/>
          </w:divBdr>
        </w:div>
        <w:div w:id="380325734">
          <w:marLeft w:val="0"/>
          <w:marRight w:val="0"/>
          <w:marTop w:val="0"/>
          <w:marBottom w:val="0"/>
          <w:divBdr>
            <w:top w:val="none" w:sz="0" w:space="0" w:color="auto"/>
            <w:left w:val="none" w:sz="0" w:space="0" w:color="auto"/>
            <w:bottom w:val="none" w:sz="0" w:space="0" w:color="auto"/>
            <w:right w:val="none" w:sz="0" w:space="0" w:color="auto"/>
          </w:divBdr>
        </w:div>
        <w:div w:id="384371695">
          <w:marLeft w:val="0"/>
          <w:marRight w:val="0"/>
          <w:marTop w:val="0"/>
          <w:marBottom w:val="0"/>
          <w:divBdr>
            <w:top w:val="none" w:sz="0" w:space="0" w:color="auto"/>
            <w:left w:val="none" w:sz="0" w:space="0" w:color="auto"/>
            <w:bottom w:val="none" w:sz="0" w:space="0" w:color="auto"/>
            <w:right w:val="none" w:sz="0" w:space="0" w:color="auto"/>
          </w:divBdr>
        </w:div>
        <w:div w:id="455106291">
          <w:marLeft w:val="0"/>
          <w:marRight w:val="0"/>
          <w:marTop w:val="0"/>
          <w:marBottom w:val="0"/>
          <w:divBdr>
            <w:top w:val="none" w:sz="0" w:space="0" w:color="auto"/>
            <w:left w:val="none" w:sz="0" w:space="0" w:color="auto"/>
            <w:bottom w:val="none" w:sz="0" w:space="0" w:color="auto"/>
            <w:right w:val="none" w:sz="0" w:space="0" w:color="auto"/>
          </w:divBdr>
        </w:div>
        <w:div w:id="511912934">
          <w:marLeft w:val="0"/>
          <w:marRight w:val="0"/>
          <w:marTop w:val="0"/>
          <w:marBottom w:val="0"/>
          <w:divBdr>
            <w:top w:val="none" w:sz="0" w:space="0" w:color="auto"/>
            <w:left w:val="none" w:sz="0" w:space="0" w:color="auto"/>
            <w:bottom w:val="none" w:sz="0" w:space="0" w:color="auto"/>
            <w:right w:val="none" w:sz="0" w:space="0" w:color="auto"/>
          </w:divBdr>
        </w:div>
        <w:div w:id="836771312">
          <w:marLeft w:val="0"/>
          <w:marRight w:val="0"/>
          <w:marTop w:val="0"/>
          <w:marBottom w:val="0"/>
          <w:divBdr>
            <w:top w:val="none" w:sz="0" w:space="0" w:color="auto"/>
            <w:left w:val="none" w:sz="0" w:space="0" w:color="auto"/>
            <w:bottom w:val="none" w:sz="0" w:space="0" w:color="auto"/>
            <w:right w:val="none" w:sz="0" w:space="0" w:color="auto"/>
          </w:divBdr>
        </w:div>
        <w:div w:id="1249076992">
          <w:marLeft w:val="0"/>
          <w:marRight w:val="0"/>
          <w:marTop w:val="0"/>
          <w:marBottom w:val="0"/>
          <w:divBdr>
            <w:top w:val="none" w:sz="0" w:space="0" w:color="auto"/>
            <w:left w:val="none" w:sz="0" w:space="0" w:color="auto"/>
            <w:bottom w:val="none" w:sz="0" w:space="0" w:color="auto"/>
            <w:right w:val="none" w:sz="0" w:space="0" w:color="auto"/>
          </w:divBdr>
        </w:div>
        <w:div w:id="1533305403">
          <w:marLeft w:val="0"/>
          <w:marRight w:val="0"/>
          <w:marTop w:val="0"/>
          <w:marBottom w:val="0"/>
          <w:divBdr>
            <w:top w:val="none" w:sz="0" w:space="0" w:color="auto"/>
            <w:left w:val="none" w:sz="0" w:space="0" w:color="auto"/>
            <w:bottom w:val="none" w:sz="0" w:space="0" w:color="auto"/>
            <w:right w:val="none" w:sz="0" w:space="0" w:color="auto"/>
          </w:divBdr>
        </w:div>
      </w:divsChild>
    </w:div>
    <w:div w:id="646596885">
      <w:bodyDiv w:val="1"/>
      <w:marLeft w:val="0"/>
      <w:marRight w:val="0"/>
      <w:marTop w:val="0"/>
      <w:marBottom w:val="0"/>
      <w:divBdr>
        <w:top w:val="none" w:sz="0" w:space="0" w:color="auto"/>
        <w:left w:val="none" w:sz="0" w:space="0" w:color="auto"/>
        <w:bottom w:val="none" w:sz="0" w:space="0" w:color="auto"/>
        <w:right w:val="none" w:sz="0" w:space="0" w:color="auto"/>
      </w:divBdr>
    </w:div>
    <w:div w:id="658734330">
      <w:bodyDiv w:val="1"/>
      <w:marLeft w:val="0"/>
      <w:marRight w:val="0"/>
      <w:marTop w:val="0"/>
      <w:marBottom w:val="0"/>
      <w:divBdr>
        <w:top w:val="none" w:sz="0" w:space="0" w:color="auto"/>
        <w:left w:val="none" w:sz="0" w:space="0" w:color="auto"/>
        <w:bottom w:val="none" w:sz="0" w:space="0" w:color="auto"/>
        <w:right w:val="none" w:sz="0" w:space="0" w:color="auto"/>
      </w:divBdr>
    </w:div>
    <w:div w:id="667095355">
      <w:bodyDiv w:val="1"/>
      <w:marLeft w:val="0"/>
      <w:marRight w:val="0"/>
      <w:marTop w:val="0"/>
      <w:marBottom w:val="0"/>
      <w:divBdr>
        <w:top w:val="none" w:sz="0" w:space="0" w:color="auto"/>
        <w:left w:val="none" w:sz="0" w:space="0" w:color="auto"/>
        <w:bottom w:val="none" w:sz="0" w:space="0" w:color="auto"/>
        <w:right w:val="none" w:sz="0" w:space="0" w:color="auto"/>
      </w:divBdr>
    </w:div>
    <w:div w:id="694426038">
      <w:bodyDiv w:val="1"/>
      <w:marLeft w:val="0"/>
      <w:marRight w:val="0"/>
      <w:marTop w:val="0"/>
      <w:marBottom w:val="0"/>
      <w:divBdr>
        <w:top w:val="none" w:sz="0" w:space="0" w:color="auto"/>
        <w:left w:val="none" w:sz="0" w:space="0" w:color="auto"/>
        <w:bottom w:val="none" w:sz="0" w:space="0" w:color="auto"/>
        <w:right w:val="none" w:sz="0" w:space="0" w:color="auto"/>
      </w:divBdr>
      <w:divsChild>
        <w:div w:id="1861581193">
          <w:marLeft w:val="0"/>
          <w:marRight w:val="0"/>
          <w:marTop w:val="0"/>
          <w:marBottom w:val="0"/>
          <w:divBdr>
            <w:top w:val="none" w:sz="0" w:space="0" w:color="auto"/>
            <w:left w:val="none" w:sz="0" w:space="0" w:color="auto"/>
            <w:bottom w:val="none" w:sz="0" w:space="0" w:color="auto"/>
            <w:right w:val="none" w:sz="0" w:space="0" w:color="auto"/>
          </w:divBdr>
          <w:divsChild>
            <w:div w:id="18362301">
              <w:marLeft w:val="0"/>
              <w:marRight w:val="0"/>
              <w:marTop w:val="0"/>
              <w:marBottom w:val="0"/>
              <w:divBdr>
                <w:top w:val="none" w:sz="0" w:space="0" w:color="auto"/>
                <w:left w:val="none" w:sz="0" w:space="0" w:color="auto"/>
                <w:bottom w:val="none" w:sz="0" w:space="0" w:color="auto"/>
                <w:right w:val="none" w:sz="0" w:space="0" w:color="auto"/>
              </w:divBdr>
            </w:div>
            <w:div w:id="330183893">
              <w:marLeft w:val="0"/>
              <w:marRight w:val="0"/>
              <w:marTop w:val="0"/>
              <w:marBottom w:val="0"/>
              <w:divBdr>
                <w:top w:val="none" w:sz="0" w:space="0" w:color="auto"/>
                <w:left w:val="none" w:sz="0" w:space="0" w:color="auto"/>
                <w:bottom w:val="none" w:sz="0" w:space="0" w:color="auto"/>
                <w:right w:val="none" w:sz="0" w:space="0" w:color="auto"/>
              </w:divBdr>
              <w:divsChild>
                <w:div w:id="1761489517">
                  <w:marLeft w:val="0"/>
                  <w:marRight w:val="0"/>
                  <w:marTop w:val="0"/>
                  <w:marBottom w:val="0"/>
                  <w:divBdr>
                    <w:top w:val="none" w:sz="0" w:space="0" w:color="auto"/>
                    <w:left w:val="none" w:sz="0" w:space="0" w:color="auto"/>
                    <w:bottom w:val="none" w:sz="0" w:space="0" w:color="auto"/>
                    <w:right w:val="none" w:sz="0" w:space="0" w:color="auto"/>
                  </w:divBdr>
                  <w:divsChild>
                    <w:div w:id="18675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3359">
      <w:bodyDiv w:val="1"/>
      <w:marLeft w:val="0"/>
      <w:marRight w:val="0"/>
      <w:marTop w:val="0"/>
      <w:marBottom w:val="0"/>
      <w:divBdr>
        <w:top w:val="none" w:sz="0" w:space="0" w:color="auto"/>
        <w:left w:val="none" w:sz="0" w:space="0" w:color="auto"/>
        <w:bottom w:val="none" w:sz="0" w:space="0" w:color="auto"/>
        <w:right w:val="none" w:sz="0" w:space="0" w:color="auto"/>
      </w:divBdr>
    </w:div>
    <w:div w:id="718437354">
      <w:bodyDiv w:val="1"/>
      <w:marLeft w:val="0"/>
      <w:marRight w:val="0"/>
      <w:marTop w:val="0"/>
      <w:marBottom w:val="0"/>
      <w:divBdr>
        <w:top w:val="none" w:sz="0" w:space="0" w:color="auto"/>
        <w:left w:val="none" w:sz="0" w:space="0" w:color="auto"/>
        <w:bottom w:val="none" w:sz="0" w:space="0" w:color="auto"/>
        <w:right w:val="none" w:sz="0" w:space="0" w:color="auto"/>
      </w:divBdr>
    </w:div>
    <w:div w:id="725370178">
      <w:bodyDiv w:val="1"/>
      <w:marLeft w:val="0"/>
      <w:marRight w:val="0"/>
      <w:marTop w:val="0"/>
      <w:marBottom w:val="0"/>
      <w:divBdr>
        <w:top w:val="none" w:sz="0" w:space="0" w:color="auto"/>
        <w:left w:val="none" w:sz="0" w:space="0" w:color="auto"/>
        <w:bottom w:val="none" w:sz="0" w:space="0" w:color="auto"/>
        <w:right w:val="none" w:sz="0" w:space="0" w:color="auto"/>
      </w:divBdr>
    </w:div>
    <w:div w:id="743915298">
      <w:bodyDiv w:val="1"/>
      <w:marLeft w:val="0"/>
      <w:marRight w:val="0"/>
      <w:marTop w:val="0"/>
      <w:marBottom w:val="0"/>
      <w:divBdr>
        <w:top w:val="none" w:sz="0" w:space="0" w:color="auto"/>
        <w:left w:val="none" w:sz="0" w:space="0" w:color="auto"/>
        <w:bottom w:val="none" w:sz="0" w:space="0" w:color="auto"/>
        <w:right w:val="none" w:sz="0" w:space="0" w:color="auto"/>
      </w:divBdr>
    </w:div>
    <w:div w:id="758138215">
      <w:bodyDiv w:val="1"/>
      <w:marLeft w:val="0"/>
      <w:marRight w:val="0"/>
      <w:marTop w:val="0"/>
      <w:marBottom w:val="0"/>
      <w:divBdr>
        <w:top w:val="none" w:sz="0" w:space="0" w:color="auto"/>
        <w:left w:val="none" w:sz="0" w:space="0" w:color="auto"/>
        <w:bottom w:val="none" w:sz="0" w:space="0" w:color="auto"/>
        <w:right w:val="none" w:sz="0" w:space="0" w:color="auto"/>
      </w:divBdr>
    </w:div>
    <w:div w:id="778598257">
      <w:bodyDiv w:val="1"/>
      <w:marLeft w:val="0"/>
      <w:marRight w:val="0"/>
      <w:marTop w:val="0"/>
      <w:marBottom w:val="0"/>
      <w:divBdr>
        <w:top w:val="none" w:sz="0" w:space="0" w:color="auto"/>
        <w:left w:val="none" w:sz="0" w:space="0" w:color="auto"/>
        <w:bottom w:val="none" w:sz="0" w:space="0" w:color="auto"/>
        <w:right w:val="none" w:sz="0" w:space="0" w:color="auto"/>
      </w:divBdr>
    </w:div>
    <w:div w:id="789402351">
      <w:bodyDiv w:val="1"/>
      <w:marLeft w:val="0"/>
      <w:marRight w:val="0"/>
      <w:marTop w:val="0"/>
      <w:marBottom w:val="0"/>
      <w:divBdr>
        <w:top w:val="none" w:sz="0" w:space="0" w:color="auto"/>
        <w:left w:val="none" w:sz="0" w:space="0" w:color="auto"/>
        <w:bottom w:val="none" w:sz="0" w:space="0" w:color="auto"/>
        <w:right w:val="none" w:sz="0" w:space="0" w:color="auto"/>
      </w:divBdr>
    </w:div>
    <w:div w:id="820998644">
      <w:bodyDiv w:val="1"/>
      <w:marLeft w:val="0"/>
      <w:marRight w:val="0"/>
      <w:marTop w:val="0"/>
      <w:marBottom w:val="0"/>
      <w:divBdr>
        <w:top w:val="none" w:sz="0" w:space="0" w:color="auto"/>
        <w:left w:val="none" w:sz="0" w:space="0" w:color="auto"/>
        <w:bottom w:val="none" w:sz="0" w:space="0" w:color="auto"/>
        <w:right w:val="none" w:sz="0" w:space="0" w:color="auto"/>
      </w:divBdr>
      <w:divsChild>
        <w:div w:id="94905672">
          <w:marLeft w:val="0"/>
          <w:marRight w:val="0"/>
          <w:marTop w:val="0"/>
          <w:marBottom w:val="0"/>
          <w:divBdr>
            <w:top w:val="none" w:sz="0" w:space="0" w:color="auto"/>
            <w:left w:val="none" w:sz="0" w:space="0" w:color="auto"/>
            <w:bottom w:val="none" w:sz="0" w:space="0" w:color="auto"/>
            <w:right w:val="none" w:sz="0" w:space="0" w:color="auto"/>
          </w:divBdr>
        </w:div>
        <w:div w:id="1045717971">
          <w:marLeft w:val="0"/>
          <w:marRight w:val="0"/>
          <w:marTop w:val="0"/>
          <w:marBottom w:val="0"/>
          <w:divBdr>
            <w:top w:val="none" w:sz="0" w:space="0" w:color="auto"/>
            <w:left w:val="none" w:sz="0" w:space="0" w:color="auto"/>
            <w:bottom w:val="none" w:sz="0" w:space="0" w:color="auto"/>
            <w:right w:val="none" w:sz="0" w:space="0" w:color="auto"/>
          </w:divBdr>
        </w:div>
        <w:div w:id="1940485228">
          <w:marLeft w:val="0"/>
          <w:marRight w:val="0"/>
          <w:marTop w:val="0"/>
          <w:marBottom w:val="0"/>
          <w:divBdr>
            <w:top w:val="none" w:sz="0" w:space="0" w:color="auto"/>
            <w:left w:val="none" w:sz="0" w:space="0" w:color="auto"/>
            <w:bottom w:val="none" w:sz="0" w:space="0" w:color="auto"/>
            <w:right w:val="none" w:sz="0" w:space="0" w:color="auto"/>
          </w:divBdr>
        </w:div>
        <w:div w:id="2006547241">
          <w:marLeft w:val="0"/>
          <w:marRight w:val="0"/>
          <w:marTop w:val="0"/>
          <w:marBottom w:val="0"/>
          <w:divBdr>
            <w:top w:val="none" w:sz="0" w:space="0" w:color="auto"/>
            <w:left w:val="none" w:sz="0" w:space="0" w:color="auto"/>
            <w:bottom w:val="none" w:sz="0" w:space="0" w:color="auto"/>
            <w:right w:val="none" w:sz="0" w:space="0" w:color="auto"/>
          </w:divBdr>
        </w:div>
      </w:divsChild>
    </w:div>
    <w:div w:id="844322533">
      <w:bodyDiv w:val="1"/>
      <w:marLeft w:val="0"/>
      <w:marRight w:val="0"/>
      <w:marTop w:val="0"/>
      <w:marBottom w:val="0"/>
      <w:divBdr>
        <w:top w:val="none" w:sz="0" w:space="0" w:color="auto"/>
        <w:left w:val="none" w:sz="0" w:space="0" w:color="auto"/>
        <w:bottom w:val="none" w:sz="0" w:space="0" w:color="auto"/>
        <w:right w:val="none" w:sz="0" w:space="0" w:color="auto"/>
      </w:divBdr>
      <w:divsChild>
        <w:div w:id="953444157">
          <w:marLeft w:val="0"/>
          <w:marRight w:val="0"/>
          <w:marTop w:val="0"/>
          <w:marBottom w:val="0"/>
          <w:divBdr>
            <w:top w:val="none" w:sz="0" w:space="0" w:color="auto"/>
            <w:left w:val="none" w:sz="0" w:space="0" w:color="auto"/>
            <w:bottom w:val="none" w:sz="0" w:space="0" w:color="auto"/>
            <w:right w:val="none" w:sz="0" w:space="0" w:color="auto"/>
          </w:divBdr>
          <w:divsChild>
            <w:div w:id="156894390">
              <w:marLeft w:val="0"/>
              <w:marRight w:val="0"/>
              <w:marTop w:val="0"/>
              <w:marBottom w:val="0"/>
              <w:divBdr>
                <w:top w:val="none" w:sz="0" w:space="0" w:color="auto"/>
                <w:left w:val="none" w:sz="0" w:space="0" w:color="auto"/>
                <w:bottom w:val="none" w:sz="0" w:space="0" w:color="auto"/>
                <w:right w:val="none" w:sz="0" w:space="0" w:color="auto"/>
              </w:divBdr>
              <w:divsChild>
                <w:div w:id="950279517">
                  <w:marLeft w:val="0"/>
                  <w:marRight w:val="0"/>
                  <w:marTop w:val="0"/>
                  <w:marBottom w:val="0"/>
                  <w:divBdr>
                    <w:top w:val="none" w:sz="0" w:space="0" w:color="auto"/>
                    <w:left w:val="none" w:sz="0" w:space="0" w:color="auto"/>
                    <w:bottom w:val="none" w:sz="0" w:space="0" w:color="auto"/>
                    <w:right w:val="none" w:sz="0" w:space="0" w:color="auto"/>
                  </w:divBdr>
                  <w:divsChild>
                    <w:div w:id="898630684">
                      <w:marLeft w:val="0"/>
                      <w:marRight w:val="0"/>
                      <w:marTop w:val="0"/>
                      <w:marBottom w:val="0"/>
                      <w:divBdr>
                        <w:top w:val="none" w:sz="0" w:space="0" w:color="auto"/>
                        <w:left w:val="none" w:sz="0" w:space="0" w:color="auto"/>
                        <w:bottom w:val="none" w:sz="0" w:space="0" w:color="auto"/>
                        <w:right w:val="none" w:sz="0" w:space="0" w:color="auto"/>
                      </w:divBdr>
                      <w:divsChild>
                        <w:div w:id="1252469387">
                          <w:marLeft w:val="0"/>
                          <w:marRight w:val="0"/>
                          <w:marTop w:val="0"/>
                          <w:marBottom w:val="0"/>
                          <w:divBdr>
                            <w:top w:val="none" w:sz="0" w:space="0" w:color="auto"/>
                            <w:left w:val="none" w:sz="0" w:space="0" w:color="auto"/>
                            <w:bottom w:val="none" w:sz="0" w:space="0" w:color="auto"/>
                            <w:right w:val="none" w:sz="0" w:space="0" w:color="auto"/>
                          </w:divBdr>
                          <w:divsChild>
                            <w:div w:id="673336307">
                              <w:marLeft w:val="0"/>
                              <w:marRight w:val="0"/>
                              <w:marTop w:val="0"/>
                              <w:marBottom w:val="0"/>
                              <w:divBdr>
                                <w:top w:val="none" w:sz="0" w:space="0" w:color="auto"/>
                                <w:left w:val="none" w:sz="0" w:space="0" w:color="auto"/>
                                <w:bottom w:val="none" w:sz="0" w:space="0" w:color="auto"/>
                                <w:right w:val="none" w:sz="0" w:space="0" w:color="auto"/>
                              </w:divBdr>
                              <w:divsChild>
                                <w:div w:id="1612474734">
                                  <w:marLeft w:val="0"/>
                                  <w:marRight w:val="0"/>
                                  <w:marTop w:val="0"/>
                                  <w:marBottom w:val="0"/>
                                  <w:divBdr>
                                    <w:top w:val="none" w:sz="0" w:space="0" w:color="auto"/>
                                    <w:left w:val="none" w:sz="0" w:space="0" w:color="auto"/>
                                    <w:bottom w:val="none" w:sz="0" w:space="0" w:color="auto"/>
                                    <w:right w:val="none" w:sz="0" w:space="0" w:color="auto"/>
                                  </w:divBdr>
                                </w:div>
                                <w:div w:id="1094667975">
                                  <w:marLeft w:val="0"/>
                                  <w:marRight w:val="0"/>
                                  <w:marTop w:val="0"/>
                                  <w:marBottom w:val="0"/>
                                  <w:divBdr>
                                    <w:top w:val="none" w:sz="0" w:space="0" w:color="auto"/>
                                    <w:left w:val="none" w:sz="0" w:space="0" w:color="auto"/>
                                    <w:bottom w:val="none" w:sz="0" w:space="0" w:color="auto"/>
                                    <w:right w:val="none" w:sz="0" w:space="0" w:color="auto"/>
                                  </w:divBdr>
                                </w:div>
                                <w:div w:id="1500923463">
                                  <w:marLeft w:val="0"/>
                                  <w:marRight w:val="0"/>
                                  <w:marTop w:val="0"/>
                                  <w:marBottom w:val="0"/>
                                  <w:divBdr>
                                    <w:top w:val="none" w:sz="0" w:space="0" w:color="auto"/>
                                    <w:left w:val="none" w:sz="0" w:space="0" w:color="auto"/>
                                    <w:bottom w:val="none" w:sz="0" w:space="0" w:color="auto"/>
                                    <w:right w:val="none" w:sz="0" w:space="0" w:color="auto"/>
                                  </w:divBdr>
                                </w:div>
                                <w:div w:id="1078291220">
                                  <w:marLeft w:val="0"/>
                                  <w:marRight w:val="0"/>
                                  <w:marTop w:val="0"/>
                                  <w:marBottom w:val="0"/>
                                  <w:divBdr>
                                    <w:top w:val="none" w:sz="0" w:space="0" w:color="auto"/>
                                    <w:left w:val="none" w:sz="0" w:space="0" w:color="auto"/>
                                    <w:bottom w:val="none" w:sz="0" w:space="0" w:color="auto"/>
                                    <w:right w:val="none" w:sz="0" w:space="0" w:color="auto"/>
                                  </w:divBdr>
                                </w:div>
                                <w:div w:id="3225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79059">
      <w:bodyDiv w:val="1"/>
      <w:marLeft w:val="0"/>
      <w:marRight w:val="0"/>
      <w:marTop w:val="0"/>
      <w:marBottom w:val="0"/>
      <w:divBdr>
        <w:top w:val="none" w:sz="0" w:space="0" w:color="auto"/>
        <w:left w:val="none" w:sz="0" w:space="0" w:color="auto"/>
        <w:bottom w:val="none" w:sz="0" w:space="0" w:color="auto"/>
        <w:right w:val="none" w:sz="0" w:space="0" w:color="auto"/>
      </w:divBdr>
    </w:div>
    <w:div w:id="857498605">
      <w:bodyDiv w:val="1"/>
      <w:marLeft w:val="0"/>
      <w:marRight w:val="0"/>
      <w:marTop w:val="0"/>
      <w:marBottom w:val="0"/>
      <w:divBdr>
        <w:top w:val="none" w:sz="0" w:space="0" w:color="auto"/>
        <w:left w:val="none" w:sz="0" w:space="0" w:color="auto"/>
        <w:bottom w:val="none" w:sz="0" w:space="0" w:color="auto"/>
        <w:right w:val="none" w:sz="0" w:space="0" w:color="auto"/>
      </w:divBdr>
    </w:div>
    <w:div w:id="863324153">
      <w:bodyDiv w:val="1"/>
      <w:marLeft w:val="0"/>
      <w:marRight w:val="0"/>
      <w:marTop w:val="0"/>
      <w:marBottom w:val="0"/>
      <w:divBdr>
        <w:top w:val="none" w:sz="0" w:space="0" w:color="auto"/>
        <w:left w:val="none" w:sz="0" w:space="0" w:color="auto"/>
        <w:bottom w:val="none" w:sz="0" w:space="0" w:color="auto"/>
        <w:right w:val="none" w:sz="0" w:space="0" w:color="auto"/>
      </w:divBdr>
      <w:divsChild>
        <w:div w:id="516578212">
          <w:marLeft w:val="547"/>
          <w:marRight w:val="0"/>
          <w:marTop w:val="125"/>
          <w:marBottom w:val="0"/>
          <w:divBdr>
            <w:top w:val="none" w:sz="0" w:space="0" w:color="auto"/>
            <w:left w:val="none" w:sz="0" w:space="0" w:color="auto"/>
            <w:bottom w:val="none" w:sz="0" w:space="0" w:color="auto"/>
            <w:right w:val="none" w:sz="0" w:space="0" w:color="auto"/>
          </w:divBdr>
        </w:div>
        <w:div w:id="1131560342">
          <w:marLeft w:val="547"/>
          <w:marRight w:val="0"/>
          <w:marTop w:val="125"/>
          <w:marBottom w:val="0"/>
          <w:divBdr>
            <w:top w:val="none" w:sz="0" w:space="0" w:color="auto"/>
            <w:left w:val="none" w:sz="0" w:space="0" w:color="auto"/>
            <w:bottom w:val="none" w:sz="0" w:space="0" w:color="auto"/>
            <w:right w:val="none" w:sz="0" w:space="0" w:color="auto"/>
          </w:divBdr>
        </w:div>
        <w:div w:id="1738164304">
          <w:marLeft w:val="547"/>
          <w:marRight w:val="0"/>
          <w:marTop w:val="125"/>
          <w:marBottom w:val="0"/>
          <w:divBdr>
            <w:top w:val="none" w:sz="0" w:space="0" w:color="auto"/>
            <w:left w:val="none" w:sz="0" w:space="0" w:color="auto"/>
            <w:bottom w:val="none" w:sz="0" w:space="0" w:color="auto"/>
            <w:right w:val="none" w:sz="0" w:space="0" w:color="auto"/>
          </w:divBdr>
        </w:div>
      </w:divsChild>
    </w:div>
    <w:div w:id="912817802">
      <w:bodyDiv w:val="1"/>
      <w:marLeft w:val="0"/>
      <w:marRight w:val="0"/>
      <w:marTop w:val="0"/>
      <w:marBottom w:val="0"/>
      <w:divBdr>
        <w:top w:val="none" w:sz="0" w:space="0" w:color="auto"/>
        <w:left w:val="none" w:sz="0" w:space="0" w:color="auto"/>
        <w:bottom w:val="none" w:sz="0" w:space="0" w:color="auto"/>
        <w:right w:val="none" w:sz="0" w:space="0" w:color="auto"/>
      </w:divBdr>
    </w:div>
    <w:div w:id="932588250">
      <w:bodyDiv w:val="1"/>
      <w:marLeft w:val="0"/>
      <w:marRight w:val="0"/>
      <w:marTop w:val="0"/>
      <w:marBottom w:val="0"/>
      <w:divBdr>
        <w:top w:val="none" w:sz="0" w:space="0" w:color="auto"/>
        <w:left w:val="none" w:sz="0" w:space="0" w:color="auto"/>
        <w:bottom w:val="none" w:sz="0" w:space="0" w:color="auto"/>
        <w:right w:val="none" w:sz="0" w:space="0" w:color="auto"/>
      </w:divBdr>
    </w:div>
    <w:div w:id="934168978">
      <w:bodyDiv w:val="1"/>
      <w:marLeft w:val="0"/>
      <w:marRight w:val="0"/>
      <w:marTop w:val="0"/>
      <w:marBottom w:val="0"/>
      <w:divBdr>
        <w:top w:val="none" w:sz="0" w:space="0" w:color="auto"/>
        <w:left w:val="none" w:sz="0" w:space="0" w:color="auto"/>
        <w:bottom w:val="none" w:sz="0" w:space="0" w:color="auto"/>
        <w:right w:val="none" w:sz="0" w:space="0" w:color="auto"/>
      </w:divBdr>
    </w:div>
    <w:div w:id="953559058">
      <w:bodyDiv w:val="1"/>
      <w:marLeft w:val="0"/>
      <w:marRight w:val="0"/>
      <w:marTop w:val="0"/>
      <w:marBottom w:val="0"/>
      <w:divBdr>
        <w:top w:val="none" w:sz="0" w:space="0" w:color="auto"/>
        <w:left w:val="none" w:sz="0" w:space="0" w:color="auto"/>
        <w:bottom w:val="none" w:sz="0" w:space="0" w:color="auto"/>
        <w:right w:val="none" w:sz="0" w:space="0" w:color="auto"/>
      </w:divBdr>
    </w:div>
    <w:div w:id="955259440">
      <w:bodyDiv w:val="1"/>
      <w:marLeft w:val="0"/>
      <w:marRight w:val="0"/>
      <w:marTop w:val="0"/>
      <w:marBottom w:val="0"/>
      <w:divBdr>
        <w:top w:val="none" w:sz="0" w:space="0" w:color="auto"/>
        <w:left w:val="none" w:sz="0" w:space="0" w:color="auto"/>
        <w:bottom w:val="none" w:sz="0" w:space="0" w:color="auto"/>
        <w:right w:val="none" w:sz="0" w:space="0" w:color="auto"/>
      </w:divBdr>
    </w:div>
    <w:div w:id="973171507">
      <w:bodyDiv w:val="1"/>
      <w:marLeft w:val="0"/>
      <w:marRight w:val="0"/>
      <w:marTop w:val="0"/>
      <w:marBottom w:val="0"/>
      <w:divBdr>
        <w:top w:val="none" w:sz="0" w:space="0" w:color="auto"/>
        <w:left w:val="none" w:sz="0" w:space="0" w:color="auto"/>
        <w:bottom w:val="none" w:sz="0" w:space="0" w:color="auto"/>
        <w:right w:val="none" w:sz="0" w:space="0" w:color="auto"/>
      </w:divBdr>
      <w:divsChild>
        <w:div w:id="77293049">
          <w:marLeft w:val="0"/>
          <w:marRight w:val="0"/>
          <w:marTop w:val="0"/>
          <w:marBottom w:val="0"/>
          <w:divBdr>
            <w:top w:val="none" w:sz="0" w:space="0" w:color="auto"/>
            <w:left w:val="none" w:sz="0" w:space="0" w:color="auto"/>
            <w:bottom w:val="none" w:sz="0" w:space="0" w:color="auto"/>
            <w:right w:val="none" w:sz="0" w:space="0" w:color="auto"/>
          </w:divBdr>
          <w:divsChild>
            <w:div w:id="1786727006">
              <w:marLeft w:val="0"/>
              <w:marRight w:val="0"/>
              <w:marTop w:val="0"/>
              <w:marBottom w:val="0"/>
              <w:divBdr>
                <w:top w:val="none" w:sz="0" w:space="0" w:color="auto"/>
                <w:left w:val="none" w:sz="0" w:space="0" w:color="auto"/>
                <w:bottom w:val="none" w:sz="0" w:space="0" w:color="auto"/>
                <w:right w:val="none" w:sz="0" w:space="0" w:color="auto"/>
              </w:divBdr>
            </w:div>
          </w:divsChild>
        </w:div>
        <w:div w:id="1091896699">
          <w:marLeft w:val="0"/>
          <w:marRight w:val="0"/>
          <w:marTop w:val="0"/>
          <w:marBottom w:val="0"/>
          <w:divBdr>
            <w:top w:val="none" w:sz="0" w:space="0" w:color="auto"/>
            <w:left w:val="none" w:sz="0" w:space="0" w:color="auto"/>
            <w:bottom w:val="none" w:sz="0" w:space="0" w:color="auto"/>
            <w:right w:val="none" w:sz="0" w:space="0" w:color="auto"/>
          </w:divBdr>
          <w:divsChild>
            <w:div w:id="5810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5985">
      <w:bodyDiv w:val="1"/>
      <w:marLeft w:val="0"/>
      <w:marRight w:val="0"/>
      <w:marTop w:val="0"/>
      <w:marBottom w:val="0"/>
      <w:divBdr>
        <w:top w:val="none" w:sz="0" w:space="0" w:color="auto"/>
        <w:left w:val="none" w:sz="0" w:space="0" w:color="auto"/>
        <w:bottom w:val="none" w:sz="0" w:space="0" w:color="auto"/>
        <w:right w:val="none" w:sz="0" w:space="0" w:color="auto"/>
      </w:divBdr>
    </w:div>
    <w:div w:id="1016731892">
      <w:bodyDiv w:val="1"/>
      <w:marLeft w:val="0"/>
      <w:marRight w:val="0"/>
      <w:marTop w:val="0"/>
      <w:marBottom w:val="0"/>
      <w:divBdr>
        <w:top w:val="none" w:sz="0" w:space="0" w:color="auto"/>
        <w:left w:val="none" w:sz="0" w:space="0" w:color="auto"/>
        <w:bottom w:val="none" w:sz="0" w:space="0" w:color="auto"/>
        <w:right w:val="none" w:sz="0" w:space="0" w:color="auto"/>
      </w:divBdr>
    </w:div>
    <w:div w:id="1024938852">
      <w:bodyDiv w:val="1"/>
      <w:marLeft w:val="0"/>
      <w:marRight w:val="0"/>
      <w:marTop w:val="0"/>
      <w:marBottom w:val="0"/>
      <w:divBdr>
        <w:top w:val="none" w:sz="0" w:space="0" w:color="auto"/>
        <w:left w:val="none" w:sz="0" w:space="0" w:color="auto"/>
        <w:bottom w:val="none" w:sz="0" w:space="0" w:color="auto"/>
        <w:right w:val="none" w:sz="0" w:space="0" w:color="auto"/>
      </w:divBdr>
    </w:div>
    <w:div w:id="1033965907">
      <w:bodyDiv w:val="1"/>
      <w:marLeft w:val="0"/>
      <w:marRight w:val="0"/>
      <w:marTop w:val="0"/>
      <w:marBottom w:val="0"/>
      <w:divBdr>
        <w:top w:val="none" w:sz="0" w:space="0" w:color="auto"/>
        <w:left w:val="none" w:sz="0" w:space="0" w:color="auto"/>
        <w:bottom w:val="none" w:sz="0" w:space="0" w:color="auto"/>
        <w:right w:val="none" w:sz="0" w:space="0" w:color="auto"/>
      </w:divBdr>
      <w:divsChild>
        <w:div w:id="1811046819">
          <w:marLeft w:val="0"/>
          <w:marRight w:val="0"/>
          <w:marTop w:val="0"/>
          <w:marBottom w:val="0"/>
          <w:divBdr>
            <w:top w:val="none" w:sz="0" w:space="0" w:color="auto"/>
            <w:left w:val="none" w:sz="0" w:space="0" w:color="auto"/>
            <w:bottom w:val="none" w:sz="0" w:space="0" w:color="auto"/>
            <w:right w:val="none" w:sz="0" w:space="0" w:color="auto"/>
          </w:divBdr>
          <w:divsChild>
            <w:div w:id="839346450">
              <w:marLeft w:val="0"/>
              <w:marRight w:val="0"/>
              <w:marTop w:val="0"/>
              <w:marBottom w:val="0"/>
              <w:divBdr>
                <w:top w:val="none" w:sz="0" w:space="0" w:color="auto"/>
                <w:left w:val="none" w:sz="0" w:space="0" w:color="auto"/>
                <w:bottom w:val="none" w:sz="0" w:space="0" w:color="auto"/>
                <w:right w:val="none" w:sz="0" w:space="0" w:color="auto"/>
              </w:divBdr>
              <w:divsChild>
                <w:div w:id="523596879">
                  <w:marLeft w:val="0"/>
                  <w:marRight w:val="0"/>
                  <w:marTop w:val="0"/>
                  <w:marBottom w:val="0"/>
                  <w:divBdr>
                    <w:top w:val="none" w:sz="0" w:space="0" w:color="auto"/>
                    <w:left w:val="none" w:sz="0" w:space="0" w:color="auto"/>
                    <w:bottom w:val="none" w:sz="0" w:space="0" w:color="auto"/>
                    <w:right w:val="none" w:sz="0" w:space="0" w:color="auto"/>
                  </w:divBdr>
                  <w:divsChild>
                    <w:div w:id="2062245658">
                      <w:marLeft w:val="0"/>
                      <w:marRight w:val="0"/>
                      <w:marTop w:val="0"/>
                      <w:marBottom w:val="0"/>
                      <w:divBdr>
                        <w:top w:val="none" w:sz="0" w:space="0" w:color="auto"/>
                        <w:left w:val="none" w:sz="0" w:space="0" w:color="auto"/>
                        <w:bottom w:val="none" w:sz="0" w:space="0" w:color="auto"/>
                        <w:right w:val="none" w:sz="0" w:space="0" w:color="auto"/>
                      </w:divBdr>
                      <w:divsChild>
                        <w:div w:id="411661927">
                          <w:marLeft w:val="0"/>
                          <w:marRight w:val="0"/>
                          <w:marTop w:val="0"/>
                          <w:marBottom w:val="0"/>
                          <w:divBdr>
                            <w:top w:val="none" w:sz="0" w:space="0" w:color="auto"/>
                            <w:left w:val="none" w:sz="0" w:space="0" w:color="auto"/>
                            <w:bottom w:val="none" w:sz="0" w:space="0" w:color="auto"/>
                            <w:right w:val="none" w:sz="0" w:space="0" w:color="auto"/>
                          </w:divBdr>
                          <w:divsChild>
                            <w:div w:id="117838303">
                              <w:marLeft w:val="0"/>
                              <w:marRight w:val="0"/>
                              <w:marTop w:val="0"/>
                              <w:marBottom w:val="0"/>
                              <w:divBdr>
                                <w:top w:val="none" w:sz="0" w:space="0" w:color="auto"/>
                                <w:left w:val="none" w:sz="0" w:space="0" w:color="auto"/>
                                <w:bottom w:val="none" w:sz="0" w:space="0" w:color="auto"/>
                                <w:right w:val="none" w:sz="0" w:space="0" w:color="auto"/>
                              </w:divBdr>
                              <w:divsChild>
                                <w:div w:id="1160000379">
                                  <w:marLeft w:val="0"/>
                                  <w:marRight w:val="0"/>
                                  <w:marTop w:val="0"/>
                                  <w:marBottom w:val="0"/>
                                  <w:divBdr>
                                    <w:top w:val="none" w:sz="0" w:space="0" w:color="auto"/>
                                    <w:left w:val="none" w:sz="0" w:space="0" w:color="auto"/>
                                    <w:bottom w:val="none" w:sz="0" w:space="0" w:color="auto"/>
                                    <w:right w:val="none" w:sz="0" w:space="0" w:color="auto"/>
                                  </w:divBdr>
                                  <w:divsChild>
                                    <w:div w:id="317925868">
                                      <w:marLeft w:val="0"/>
                                      <w:marRight w:val="0"/>
                                      <w:marTop w:val="0"/>
                                      <w:marBottom w:val="0"/>
                                      <w:divBdr>
                                        <w:top w:val="none" w:sz="0" w:space="0" w:color="auto"/>
                                        <w:left w:val="none" w:sz="0" w:space="0" w:color="auto"/>
                                        <w:bottom w:val="none" w:sz="0" w:space="0" w:color="auto"/>
                                        <w:right w:val="none" w:sz="0" w:space="0" w:color="auto"/>
                                      </w:divBdr>
                                      <w:divsChild>
                                        <w:div w:id="1695886239">
                                          <w:marLeft w:val="0"/>
                                          <w:marRight w:val="0"/>
                                          <w:marTop w:val="0"/>
                                          <w:marBottom w:val="0"/>
                                          <w:divBdr>
                                            <w:top w:val="none" w:sz="0" w:space="0" w:color="auto"/>
                                            <w:left w:val="none" w:sz="0" w:space="0" w:color="auto"/>
                                            <w:bottom w:val="none" w:sz="0" w:space="0" w:color="auto"/>
                                            <w:right w:val="none" w:sz="0" w:space="0" w:color="auto"/>
                                          </w:divBdr>
                                          <w:divsChild>
                                            <w:div w:id="1487815344">
                                              <w:marLeft w:val="0"/>
                                              <w:marRight w:val="0"/>
                                              <w:marTop w:val="0"/>
                                              <w:marBottom w:val="495"/>
                                              <w:divBdr>
                                                <w:top w:val="none" w:sz="0" w:space="0" w:color="auto"/>
                                                <w:left w:val="none" w:sz="0" w:space="0" w:color="auto"/>
                                                <w:bottom w:val="none" w:sz="0" w:space="0" w:color="auto"/>
                                                <w:right w:val="none" w:sz="0" w:space="0" w:color="auto"/>
                                              </w:divBdr>
                                              <w:divsChild>
                                                <w:div w:id="6801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658414">
      <w:bodyDiv w:val="1"/>
      <w:marLeft w:val="0"/>
      <w:marRight w:val="0"/>
      <w:marTop w:val="0"/>
      <w:marBottom w:val="0"/>
      <w:divBdr>
        <w:top w:val="none" w:sz="0" w:space="0" w:color="auto"/>
        <w:left w:val="none" w:sz="0" w:space="0" w:color="auto"/>
        <w:bottom w:val="none" w:sz="0" w:space="0" w:color="auto"/>
        <w:right w:val="none" w:sz="0" w:space="0" w:color="auto"/>
      </w:divBdr>
      <w:divsChild>
        <w:div w:id="1504319358">
          <w:marLeft w:val="0"/>
          <w:marRight w:val="0"/>
          <w:marTop w:val="0"/>
          <w:marBottom w:val="0"/>
          <w:divBdr>
            <w:top w:val="none" w:sz="0" w:space="0" w:color="auto"/>
            <w:left w:val="none" w:sz="0" w:space="0" w:color="auto"/>
            <w:bottom w:val="none" w:sz="0" w:space="0" w:color="auto"/>
            <w:right w:val="none" w:sz="0" w:space="0" w:color="auto"/>
          </w:divBdr>
        </w:div>
      </w:divsChild>
    </w:div>
    <w:div w:id="1043754897">
      <w:bodyDiv w:val="1"/>
      <w:marLeft w:val="0"/>
      <w:marRight w:val="0"/>
      <w:marTop w:val="0"/>
      <w:marBottom w:val="0"/>
      <w:divBdr>
        <w:top w:val="none" w:sz="0" w:space="0" w:color="auto"/>
        <w:left w:val="none" w:sz="0" w:space="0" w:color="auto"/>
        <w:bottom w:val="none" w:sz="0" w:space="0" w:color="auto"/>
        <w:right w:val="none" w:sz="0" w:space="0" w:color="auto"/>
      </w:divBdr>
    </w:div>
    <w:div w:id="1047022941">
      <w:bodyDiv w:val="1"/>
      <w:marLeft w:val="0"/>
      <w:marRight w:val="0"/>
      <w:marTop w:val="0"/>
      <w:marBottom w:val="0"/>
      <w:divBdr>
        <w:top w:val="none" w:sz="0" w:space="0" w:color="auto"/>
        <w:left w:val="none" w:sz="0" w:space="0" w:color="auto"/>
        <w:bottom w:val="none" w:sz="0" w:space="0" w:color="auto"/>
        <w:right w:val="none" w:sz="0" w:space="0" w:color="auto"/>
      </w:divBdr>
      <w:divsChild>
        <w:div w:id="1775980847">
          <w:marLeft w:val="0"/>
          <w:marRight w:val="0"/>
          <w:marTop w:val="0"/>
          <w:marBottom w:val="0"/>
          <w:divBdr>
            <w:top w:val="none" w:sz="0" w:space="0" w:color="auto"/>
            <w:left w:val="none" w:sz="0" w:space="0" w:color="auto"/>
            <w:bottom w:val="none" w:sz="0" w:space="0" w:color="auto"/>
            <w:right w:val="none" w:sz="0" w:space="0" w:color="auto"/>
          </w:divBdr>
          <w:divsChild>
            <w:div w:id="950745158">
              <w:marLeft w:val="0"/>
              <w:marRight w:val="0"/>
              <w:marTop w:val="0"/>
              <w:marBottom w:val="0"/>
              <w:divBdr>
                <w:top w:val="none" w:sz="0" w:space="0" w:color="auto"/>
                <w:left w:val="none" w:sz="0" w:space="0" w:color="auto"/>
                <w:bottom w:val="none" w:sz="0" w:space="0" w:color="auto"/>
                <w:right w:val="none" w:sz="0" w:space="0" w:color="auto"/>
              </w:divBdr>
            </w:div>
          </w:divsChild>
        </w:div>
        <w:div w:id="1976988371">
          <w:marLeft w:val="0"/>
          <w:marRight w:val="0"/>
          <w:marTop w:val="0"/>
          <w:marBottom w:val="0"/>
          <w:divBdr>
            <w:top w:val="none" w:sz="0" w:space="0" w:color="auto"/>
            <w:left w:val="none" w:sz="0" w:space="0" w:color="auto"/>
            <w:bottom w:val="none" w:sz="0" w:space="0" w:color="auto"/>
            <w:right w:val="none" w:sz="0" w:space="0" w:color="auto"/>
          </w:divBdr>
          <w:divsChild>
            <w:div w:id="1940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sChild>
        <w:div w:id="1767849183">
          <w:marLeft w:val="0"/>
          <w:marRight w:val="0"/>
          <w:marTop w:val="0"/>
          <w:marBottom w:val="0"/>
          <w:divBdr>
            <w:top w:val="none" w:sz="0" w:space="0" w:color="auto"/>
            <w:left w:val="none" w:sz="0" w:space="0" w:color="auto"/>
            <w:bottom w:val="none" w:sz="0" w:space="0" w:color="auto"/>
            <w:right w:val="none" w:sz="0" w:space="0" w:color="auto"/>
          </w:divBdr>
          <w:divsChild>
            <w:div w:id="788864599">
              <w:marLeft w:val="0"/>
              <w:marRight w:val="0"/>
              <w:marTop w:val="0"/>
              <w:marBottom w:val="0"/>
              <w:divBdr>
                <w:top w:val="none" w:sz="0" w:space="0" w:color="auto"/>
                <w:left w:val="none" w:sz="0" w:space="0" w:color="auto"/>
                <w:bottom w:val="none" w:sz="0" w:space="0" w:color="auto"/>
                <w:right w:val="none" w:sz="0" w:space="0" w:color="auto"/>
              </w:divBdr>
            </w:div>
            <w:div w:id="904334613">
              <w:marLeft w:val="0"/>
              <w:marRight w:val="0"/>
              <w:marTop w:val="0"/>
              <w:marBottom w:val="0"/>
              <w:divBdr>
                <w:top w:val="none" w:sz="0" w:space="0" w:color="auto"/>
                <w:left w:val="none" w:sz="0" w:space="0" w:color="auto"/>
                <w:bottom w:val="none" w:sz="0" w:space="0" w:color="auto"/>
                <w:right w:val="none" w:sz="0" w:space="0" w:color="auto"/>
              </w:divBdr>
            </w:div>
            <w:div w:id="19897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1239">
      <w:bodyDiv w:val="1"/>
      <w:marLeft w:val="0"/>
      <w:marRight w:val="0"/>
      <w:marTop w:val="0"/>
      <w:marBottom w:val="0"/>
      <w:divBdr>
        <w:top w:val="none" w:sz="0" w:space="0" w:color="auto"/>
        <w:left w:val="none" w:sz="0" w:space="0" w:color="auto"/>
        <w:bottom w:val="none" w:sz="0" w:space="0" w:color="auto"/>
        <w:right w:val="none" w:sz="0" w:space="0" w:color="auto"/>
      </w:divBdr>
      <w:divsChild>
        <w:div w:id="300118789">
          <w:marLeft w:val="0"/>
          <w:marRight w:val="0"/>
          <w:marTop w:val="0"/>
          <w:marBottom w:val="0"/>
          <w:divBdr>
            <w:top w:val="none" w:sz="0" w:space="0" w:color="auto"/>
            <w:left w:val="none" w:sz="0" w:space="0" w:color="auto"/>
            <w:bottom w:val="none" w:sz="0" w:space="0" w:color="auto"/>
            <w:right w:val="none" w:sz="0" w:space="0" w:color="auto"/>
          </w:divBdr>
          <w:divsChild>
            <w:div w:id="766968055">
              <w:marLeft w:val="0"/>
              <w:marRight w:val="0"/>
              <w:marTop w:val="0"/>
              <w:marBottom w:val="0"/>
              <w:divBdr>
                <w:top w:val="none" w:sz="0" w:space="0" w:color="auto"/>
                <w:left w:val="none" w:sz="0" w:space="0" w:color="auto"/>
                <w:bottom w:val="none" w:sz="0" w:space="0" w:color="auto"/>
                <w:right w:val="none" w:sz="0" w:space="0" w:color="auto"/>
              </w:divBdr>
              <w:divsChild>
                <w:div w:id="1558512561">
                  <w:marLeft w:val="0"/>
                  <w:marRight w:val="0"/>
                  <w:marTop w:val="0"/>
                  <w:marBottom w:val="0"/>
                  <w:divBdr>
                    <w:top w:val="none" w:sz="0" w:space="0" w:color="auto"/>
                    <w:left w:val="none" w:sz="0" w:space="0" w:color="auto"/>
                    <w:bottom w:val="none" w:sz="0" w:space="0" w:color="auto"/>
                    <w:right w:val="none" w:sz="0" w:space="0" w:color="auto"/>
                  </w:divBdr>
                  <w:divsChild>
                    <w:div w:id="526020858">
                      <w:marLeft w:val="0"/>
                      <w:marRight w:val="0"/>
                      <w:marTop w:val="0"/>
                      <w:marBottom w:val="0"/>
                      <w:divBdr>
                        <w:top w:val="none" w:sz="0" w:space="0" w:color="auto"/>
                        <w:left w:val="none" w:sz="0" w:space="0" w:color="auto"/>
                        <w:bottom w:val="none" w:sz="0" w:space="0" w:color="auto"/>
                        <w:right w:val="none" w:sz="0" w:space="0" w:color="auto"/>
                      </w:divBdr>
                      <w:divsChild>
                        <w:div w:id="1111824063">
                          <w:marLeft w:val="0"/>
                          <w:marRight w:val="0"/>
                          <w:marTop w:val="0"/>
                          <w:marBottom w:val="0"/>
                          <w:divBdr>
                            <w:top w:val="none" w:sz="0" w:space="0" w:color="auto"/>
                            <w:left w:val="none" w:sz="0" w:space="0" w:color="auto"/>
                            <w:bottom w:val="none" w:sz="0" w:space="0" w:color="auto"/>
                            <w:right w:val="none" w:sz="0" w:space="0" w:color="auto"/>
                          </w:divBdr>
                          <w:divsChild>
                            <w:div w:id="1335835537">
                              <w:marLeft w:val="0"/>
                              <w:marRight w:val="0"/>
                              <w:marTop w:val="0"/>
                              <w:marBottom w:val="0"/>
                              <w:divBdr>
                                <w:top w:val="none" w:sz="0" w:space="0" w:color="auto"/>
                                <w:left w:val="none" w:sz="0" w:space="0" w:color="auto"/>
                                <w:bottom w:val="none" w:sz="0" w:space="0" w:color="auto"/>
                                <w:right w:val="none" w:sz="0" w:space="0" w:color="auto"/>
                              </w:divBdr>
                              <w:divsChild>
                                <w:div w:id="832188061">
                                  <w:marLeft w:val="0"/>
                                  <w:marRight w:val="0"/>
                                  <w:marTop w:val="0"/>
                                  <w:marBottom w:val="0"/>
                                  <w:divBdr>
                                    <w:top w:val="none" w:sz="0" w:space="0" w:color="auto"/>
                                    <w:left w:val="none" w:sz="0" w:space="0" w:color="auto"/>
                                    <w:bottom w:val="none" w:sz="0" w:space="0" w:color="auto"/>
                                    <w:right w:val="none" w:sz="0" w:space="0" w:color="auto"/>
                                  </w:divBdr>
                                  <w:divsChild>
                                    <w:div w:id="1835217221">
                                      <w:marLeft w:val="0"/>
                                      <w:marRight w:val="0"/>
                                      <w:marTop w:val="0"/>
                                      <w:marBottom w:val="0"/>
                                      <w:divBdr>
                                        <w:top w:val="none" w:sz="0" w:space="0" w:color="auto"/>
                                        <w:left w:val="none" w:sz="0" w:space="0" w:color="auto"/>
                                        <w:bottom w:val="none" w:sz="0" w:space="0" w:color="auto"/>
                                        <w:right w:val="none" w:sz="0" w:space="0" w:color="auto"/>
                                      </w:divBdr>
                                      <w:divsChild>
                                        <w:div w:id="46414434">
                                          <w:marLeft w:val="0"/>
                                          <w:marRight w:val="0"/>
                                          <w:marTop w:val="0"/>
                                          <w:marBottom w:val="0"/>
                                          <w:divBdr>
                                            <w:top w:val="none" w:sz="0" w:space="0" w:color="auto"/>
                                            <w:left w:val="none" w:sz="0" w:space="0" w:color="auto"/>
                                            <w:bottom w:val="none" w:sz="0" w:space="0" w:color="auto"/>
                                            <w:right w:val="none" w:sz="0" w:space="0" w:color="auto"/>
                                          </w:divBdr>
                                          <w:divsChild>
                                            <w:div w:id="68116063">
                                              <w:marLeft w:val="0"/>
                                              <w:marRight w:val="0"/>
                                              <w:marTop w:val="0"/>
                                              <w:marBottom w:val="495"/>
                                              <w:divBdr>
                                                <w:top w:val="none" w:sz="0" w:space="0" w:color="auto"/>
                                                <w:left w:val="none" w:sz="0" w:space="0" w:color="auto"/>
                                                <w:bottom w:val="none" w:sz="0" w:space="0" w:color="auto"/>
                                                <w:right w:val="none" w:sz="0" w:space="0" w:color="auto"/>
                                              </w:divBdr>
                                              <w:divsChild>
                                                <w:div w:id="753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4355513">
      <w:bodyDiv w:val="1"/>
      <w:marLeft w:val="0"/>
      <w:marRight w:val="0"/>
      <w:marTop w:val="0"/>
      <w:marBottom w:val="0"/>
      <w:divBdr>
        <w:top w:val="none" w:sz="0" w:space="0" w:color="auto"/>
        <w:left w:val="none" w:sz="0" w:space="0" w:color="auto"/>
        <w:bottom w:val="none" w:sz="0" w:space="0" w:color="auto"/>
        <w:right w:val="none" w:sz="0" w:space="0" w:color="auto"/>
      </w:divBdr>
    </w:div>
    <w:div w:id="1093280675">
      <w:bodyDiv w:val="1"/>
      <w:marLeft w:val="0"/>
      <w:marRight w:val="0"/>
      <w:marTop w:val="0"/>
      <w:marBottom w:val="0"/>
      <w:divBdr>
        <w:top w:val="none" w:sz="0" w:space="0" w:color="auto"/>
        <w:left w:val="none" w:sz="0" w:space="0" w:color="auto"/>
        <w:bottom w:val="none" w:sz="0" w:space="0" w:color="auto"/>
        <w:right w:val="none" w:sz="0" w:space="0" w:color="auto"/>
      </w:divBdr>
    </w:div>
    <w:div w:id="1124928991">
      <w:bodyDiv w:val="1"/>
      <w:marLeft w:val="0"/>
      <w:marRight w:val="0"/>
      <w:marTop w:val="0"/>
      <w:marBottom w:val="0"/>
      <w:divBdr>
        <w:top w:val="none" w:sz="0" w:space="0" w:color="auto"/>
        <w:left w:val="none" w:sz="0" w:space="0" w:color="auto"/>
        <w:bottom w:val="none" w:sz="0" w:space="0" w:color="auto"/>
        <w:right w:val="none" w:sz="0" w:space="0" w:color="auto"/>
      </w:divBdr>
    </w:div>
    <w:div w:id="1126852170">
      <w:bodyDiv w:val="1"/>
      <w:marLeft w:val="0"/>
      <w:marRight w:val="0"/>
      <w:marTop w:val="0"/>
      <w:marBottom w:val="0"/>
      <w:divBdr>
        <w:top w:val="none" w:sz="0" w:space="0" w:color="auto"/>
        <w:left w:val="none" w:sz="0" w:space="0" w:color="auto"/>
        <w:bottom w:val="none" w:sz="0" w:space="0" w:color="auto"/>
        <w:right w:val="none" w:sz="0" w:space="0" w:color="auto"/>
      </w:divBdr>
    </w:div>
    <w:div w:id="1127890711">
      <w:bodyDiv w:val="1"/>
      <w:marLeft w:val="0"/>
      <w:marRight w:val="0"/>
      <w:marTop w:val="0"/>
      <w:marBottom w:val="0"/>
      <w:divBdr>
        <w:top w:val="none" w:sz="0" w:space="0" w:color="auto"/>
        <w:left w:val="none" w:sz="0" w:space="0" w:color="auto"/>
        <w:bottom w:val="none" w:sz="0" w:space="0" w:color="auto"/>
        <w:right w:val="none" w:sz="0" w:space="0" w:color="auto"/>
      </w:divBdr>
      <w:divsChild>
        <w:div w:id="714161398">
          <w:marLeft w:val="0"/>
          <w:marRight w:val="0"/>
          <w:marTop w:val="0"/>
          <w:marBottom w:val="0"/>
          <w:divBdr>
            <w:top w:val="none" w:sz="0" w:space="0" w:color="auto"/>
            <w:left w:val="none" w:sz="0" w:space="0" w:color="auto"/>
            <w:bottom w:val="none" w:sz="0" w:space="0" w:color="auto"/>
            <w:right w:val="none" w:sz="0" w:space="0" w:color="auto"/>
          </w:divBdr>
        </w:div>
      </w:divsChild>
    </w:div>
    <w:div w:id="1130440423">
      <w:bodyDiv w:val="1"/>
      <w:marLeft w:val="0"/>
      <w:marRight w:val="0"/>
      <w:marTop w:val="0"/>
      <w:marBottom w:val="0"/>
      <w:divBdr>
        <w:top w:val="none" w:sz="0" w:space="0" w:color="auto"/>
        <w:left w:val="none" w:sz="0" w:space="0" w:color="auto"/>
        <w:bottom w:val="none" w:sz="0" w:space="0" w:color="auto"/>
        <w:right w:val="none" w:sz="0" w:space="0" w:color="auto"/>
      </w:divBdr>
    </w:div>
    <w:div w:id="1168206489">
      <w:bodyDiv w:val="1"/>
      <w:marLeft w:val="0"/>
      <w:marRight w:val="0"/>
      <w:marTop w:val="0"/>
      <w:marBottom w:val="0"/>
      <w:divBdr>
        <w:top w:val="none" w:sz="0" w:space="0" w:color="auto"/>
        <w:left w:val="none" w:sz="0" w:space="0" w:color="auto"/>
        <w:bottom w:val="none" w:sz="0" w:space="0" w:color="auto"/>
        <w:right w:val="none" w:sz="0" w:space="0" w:color="auto"/>
      </w:divBdr>
    </w:div>
    <w:div w:id="1183861720">
      <w:bodyDiv w:val="1"/>
      <w:marLeft w:val="0"/>
      <w:marRight w:val="0"/>
      <w:marTop w:val="0"/>
      <w:marBottom w:val="0"/>
      <w:divBdr>
        <w:top w:val="none" w:sz="0" w:space="0" w:color="auto"/>
        <w:left w:val="none" w:sz="0" w:space="0" w:color="auto"/>
        <w:bottom w:val="none" w:sz="0" w:space="0" w:color="auto"/>
        <w:right w:val="none" w:sz="0" w:space="0" w:color="auto"/>
      </w:divBdr>
    </w:div>
    <w:div w:id="1223637617">
      <w:bodyDiv w:val="1"/>
      <w:marLeft w:val="0"/>
      <w:marRight w:val="0"/>
      <w:marTop w:val="0"/>
      <w:marBottom w:val="0"/>
      <w:divBdr>
        <w:top w:val="none" w:sz="0" w:space="0" w:color="auto"/>
        <w:left w:val="none" w:sz="0" w:space="0" w:color="auto"/>
        <w:bottom w:val="none" w:sz="0" w:space="0" w:color="auto"/>
        <w:right w:val="none" w:sz="0" w:space="0" w:color="auto"/>
      </w:divBdr>
      <w:divsChild>
        <w:div w:id="1413232869">
          <w:marLeft w:val="0"/>
          <w:marRight w:val="0"/>
          <w:marTop w:val="0"/>
          <w:marBottom w:val="0"/>
          <w:divBdr>
            <w:top w:val="none" w:sz="0" w:space="0" w:color="auto"/>
            <w:left w:val="none" w:sz="0" w:space="0" w:color="auto"/>
            <w:bottom w:val="none" w:sz="0" w:space="0" w:color="auto"/>
            <w:right w:val="none" w:sz="0" w:space="0" w:color="auto"/>
          </w:divBdr>
          <w:divsChild>
            <w:div w:id="302585529">
              <w:marLeft w:val="0"/>
              <w:marRight w:val="0"/>
              <w:marTop w:val="0"/>
              <w:marBottom w:val="0"/>
              <w:divBdr>
                <w:top w:val="none" w:sz="0" w:space="0" w:color="auto"/>
                <w:left w:val="none" w:sz="0" w:space="0" w:color="auto"/>
                <w:bottom w:val="none" w:sz="0" w:space="0" w:color="auto"/>
                <w:right w:val="none" w:sz="0" w:space="0" w:color="auto"/>
              </w:divBdr>
              <w:divsChild>
                <w:div w:id="844904459">
                  <w:marLeft w:val="0"/>
                  <w:marRight w:val="0"/>
                  <w:marTop w:val="0"/>
                  <w:marBottom w:val="0"/>
                  <w:divBdr>
                    <w:top w:val="none" w:sz="0" w:space="0" w:color="auto"/>
                    <w:left w:val="none" w:sz="0" w:space="0" w:color="auto"/>
                    <w:bottom w:val="none" w:sz="0" w:space="0" w:color="auto"/>
                    <w:right w:val="none" w:sz="0" w:space="0" w:color="auto"/>
                  </w:divBdr>
                  <w:divsChild>
                    <w:div w:id="1534997736">
                      <w:marLeft w:val="0"/>
                      <w:marRight w:val="0"/>
                      <w:marTop w:val="0"/>
                      <w:marBottom w:val="0"/>
                      <w:divBdr>
                        <w:top w:val="none" w:sz="0" w:space="0" w:color="auto"/>
                        <w:left w:val="none" w:sz="0" w:space="0" w:color="auto"/>
                        <w:bottom w:val="none" w:sz="0" w:space="0" w:color="auto"/>
                        <w:right w:val="none" w:sz="0" w:space="0" w:color="auto"/>
                      </w:divBdr>
                      <w:divsChild>
                        <w:div w:id="467475537">
                          <w:marLeft w:val="0"/>
                          <w:marRight w:val="0"/>
                          <w:marTop w:val="0"/>
                          <w:marBottom w:val="0"/>
                          <w:divBdr>
                            <w:top w:val="none" w:sz="0" w:space="0" w:color="auto"/>
                            <w:left w:val="none" w:sz="0" w:space="0" w:color="auto"/>
                            <w:bottom w:val="none" w:sz="0" w:space="0" w:color="auto"/>
                            <w:right w:val="none" w:sz="0" w:space="0" w:color="auto"/>
                          </w:divBdr>
                          <w:divsChild>
                            <w:div w:id="430783713">
                              <w:marLeft w:val="0"/>
                              <w:marRight w:val="0"/>
                              <w:marTop w:val="0"/>
                              <w:marBottom w:val="0"/>
                              <w:divBdr>
                                <w:top w:val="none" w:sz="0" w:space="0" w:color="auto"/>
                                <w:left w:val="none" w:sz="0" w:space="0" w:color="auto"/>
                                <w:bottom w:val="none" w:sz="0" w:space="0" w:color="auto"/>
                                <w:right w:val="none" w:sz="0" w:space="0" w:color="auto"/>
                              </w:divBdr>
                              <w:divsChild>
                                <w:div w:id="1377201865">
                                  <w:marLeft w:val="0"/>
                                  <w:marRight w:val="0"/>
                                  <w:marTop w:val="0"/>
                                  <w:marBottom w:val="0"/>
                                  <w:divBdr>
                                    <w:top w:val="none" w:sz="0" w:space="0" w:color="auto"/>
                                    <w:left w:val="none" w:sz="0" w:space="0" w:color="auto"/>
                                    <w:bottom w:val="none" w:sz="0" w:space="0" w:color="auto"/>
                                    <w:right w:val="none" w:sz="0" w:space="0" w:color="auto"/>
                                  </w:divBdr>
                                </w:div>
                                <w:div w:id="7266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708583">
      <w:bodyDiv w:val="1"/>
      <w:marLeft w:val="0"/>
      <w:marRight w:val="0"/>
      <w:marTop w:val="0"/>
      <w:marBottom w:val="0"/>
      <w:divBdr>
        <w:top w:val="none" w:sz="0" w:space="0" w:color="auto"/>
        <w:left w:val="none" w:sz="0" w:space="0" w:color="auto"/>
        <w:bottom w:val="none" w:sz="0" w:space="0" w:color="auto"/>
        <w:right w:val="none" w:sz="0" w:space="0" w:color="auto"/>
      </w:divBdr>
    </w:div>
    <w:div w:id="1260792545">
      <w:bodyDiv w:val="1"/>
      <w:marLeft w:val="0"/>
      <w:marRight w:val="0"/>
      <w:marTop w:val="0"/>
      <w:marBottom w:val="0"/>
      <w:divBdr>
        <w:top w:val="none" w:sz="0" w:space="0" w:color="auto"/>
        <w:left w:val="none" w:sz="0" w:space="0" w:color="auto"/>
        <w:bottom w:val="none" w:sz="0" w:space="0" w:color="auto"/>
        <w:right w:val="none" w:sz="0" w:space="0" w:color="auto"/>
      </w:divBdr>
    </w:div>
    <w:div w:id="1263298564">
      <w:bodyDiv w:val="1"/>
      <w:marLeft w:val="0"/>
      <w:marRight w:val="0"/>
      <w:marTop w:val="0"/>
      <w:marBottom w:val="0"/>
      <w:divBdr>
        <w:top w:val="none" w:sz="0" w:space="0" w:color="auto"/>
        <w:left w:val="none" w:sz="0" w:space="0" w:color="auto"/>
        <w:bottom w:val="none" w:sz="0" w:space="0" w:color="auto"/>
        <w:right w:val="none" w:sz="0" w:space="0" w:color="auto"/>
      </w:divBdr>
    </w:div>
    <w:div w:id="1282418129">
      <w:bodyDiv w:val="1"/>
      <w:marLeft w:val="0"/>
      <w:marRight w:val="0"/>
      <w:marTop w:val="0"/>
      <w:marBottom w:val="0"/>
      <w:divBdr>
        <w:top w:val="none" w:sz="0" w:space="0" w:color="auto"/>
        <w:left w:val="none" w:sz="0" w:space="0" w:color="auto"/>
        <w:bottom w:val="none" w:sz="0" w:space="0" w:color="auto"/>
        <w:right w:val="none" w:sz="0" w:space="0" w:color="auto"/>
      </w:divBdr>
    </w:div>
    <w:div w:id="1294948257">
      <w:bodyDiv w:val="1"/>
      <w:marLeft w:val="0"/>
      <w:marRight w:val="0"/>
      <w:marTop w:val="0"/>
      <w:marBottom w:val="0"/>
      <w:divBdr>
        <w:top w:val="none" w:sz="0" w:space="0" w:color="auto"/>
        <w:left w:val="none" w:sz="0" w:space="0" w:color="auto"/>
        <w:bottom w:val="none" w:sz="0" w:space="0" w:color="auto"/>
        <w:right w:val="none" w:sz="0" w:space="0" w:color="auto"/>
      </w:divBdr>
    </w:div>
    <w:div w:id="1298147546">
      <w:bodyDiv w:val="1"/>
      <w:marLeft w:val="0"/>
      <w:marRight w:val="0"/>
      <w:marTop w:val="0"/>
      <w:marBottom w:val="0"/>
      <w:divBdr>
        <w:top w:val="none" w:sz="0" w:space="0" w:color="auto"/>
        <w:left w:val="none" w:sz="0" w:space="0" w:color="auto"/>
        <w:bottom w:val="none" w:sz="0" w:space="0" w:color="auto"/>
        <w:right w:val="none" w:sz="0" w:space="0" w:color="auto"/>
      </w:divBdr>
    </w:div>
    <w:div w:id="1316952111">
      <w:bodyDiv w:val="1"/>
      <w:marLeft w:val="0"/>
      <w:marRight w:val="0"/>
      <w:marTop w:val="0"/>
      <w:marBottom w:val="0"/>
      <w:divBdr>
        <w:top w:val="none" w:sz="0" w:space="0" w:color="auto"/>
        <w:left w:val="none" w:sz="0" w:space="0" w:color="auto"/>
        <w:bottom w:val="none" w:sz="0" w:space="0" w:color="auto"/>
        <w:right w:val="none" w:sz="0" w:space="0" w:color="auto"/>
      </w:divBdr>
    </w:div>
    <w:div w:id="1317686934">
      <w:bodyDiv w:val="1"/>
      <w:marLeft w:val="0"/>
      <w:marRight w:val="0"/>
      <w:marTop w:val="0"/>
      <w:marBottom w:val="0"/>
      <w:divBdr>
        <w:top w:val="none" w:sz="0" w:space="0" w:color="auto"/>
        <w:left w:val="none" w:sz="0" w:space="0" w:color="auto"/>
        <w:bottom w:val="none" w:sz="0" w:space="0" w:color="auto"/>
        <w:right w:val="none" w:sz="0" w:space="0" w:color="auto"/>
      </w:divBdr>
      <w:divsChild>
        <w:div w:id="2145657156">
          <w:marLeft w:val="0"/>
          <w:marRight w:val="0"/>
          <w:marTop w:val="0"/>
          <w:marBottom w:val="0"/>
          <w:divBdr>
            <w:top w:val="none" w:sz="0" w:space="0" w:color="auto"/>
            <w:left w:val="none" w:sz="0" w:space="0" w:color="auto"/>
            <w:bottom w:val="none" w:sz="0" w:space="0" w:color="auto"/>
            <w:right w:val="none" w:sz="0" w:space="0" w:color="auto"/>
          </w:divBdr>
          <w:divsChild>
            <w:div w:id="1493449619">
              <w:marLeft w:val="0"/>
              <w:marRight w:val="0"/>
              <w:marTop w:val="0"/>
              <w:marBottom w:val="0"/>
              <w:divBdr>
                <w:top w:val="none" w:sz="0" w:space="0" w:color="auto"/>
                <w:left w:val="none" w:sz="0" w:space="0" w:color="auto"/>
                <w:bottom w:val="none" w:sz="0" w:space="0" w:color="auto"/>
                <w:right w:val="none" w:sz="0" w:space="0" w:color="auto"/>
              </w:divBdr>
              <w:divsChild>
                <w:div w:id="1752969201">
                  <w:marLeft w:val="0"/>
                  <w:marRight w:val="0"/>
                  <w:marTop w:val="0"/>
                  <w:marBottom w:val="0"/>
                  <w:divBdr>
                    <w:top w:val="none" w:sz="0" w:space="0" w:color="auto"/>
                    <w:left w:val="none" w:sz="0" w:space="0" w:color="auto"/>
                    <w:bottom w:val="none" w:sz="0" w:space="0" w:color="auto"/>
                    <w:right w:val="none" w:sz="0" w:space="0" w:color="auto"/>
                  </w:divBdr>
                  <w:divsChild>
                    <w:div w:id="677196553">
                      <w:marLeft w:val="0"/>
                      <w:marRight w:val="0"/>
                      <w:marTop w:val="0"/>
                      <w:marBottom w:val="0"/>
                      <w:divBdr>
                        <w:top w:val="none" w:sz="0" w:space="0" w:color="auto"/>
                        <w:left w:val="none" w:sz="0" w:space="0" w:color="auto"/>
                        <w:bottom w:val="none" w:sz="0" w:space="0" w:color="auto"/>
                        <w:right w:val="none" w:sz="0" w:space="0" w:color="auto"/>
                      </w:divBdr>
                      <w:divsChild>
                        <w:div w:id="827984861">
                          <w:marLeft w:val="0"/>
                          <w:marRight w:val="0"/>
                          <w:marTop w:val="0"/>
                          <w:marBottom w:val="0"/>
                          <w:divBdr>
                            <w:top w:val="none" w:sz="0" w:space="0" w:color="auto"/>
                            <w:left w:val="none" w:sz="0" w:space="0" w:color="auto"/>
                            <w:bottom w:val="none" w:sz="0" w:space="0" w:color="auto"/>
                            <w:right w:val="none" w:sz="0" w:space="0" w:color="auto"/>
                          </w:divBdr>
                          <w:divsChild>
                            <w:div w:id="1516574956">
                              <w:marLeft w:val="0"/>
                              <w:marRight w:val="0"/>
                              <w:marTop w:val="0"/>
                              <w:marBottom w:val="0"/>
                              <w:divBdr>
                                <w:top w:val="none" w:sz="0" w:space="0" w:color="auto"/>
                                <w:left w:val="none" w:sz="0" w:space="0" w:color="auto"/>
                                <w:bottom w:val="none" w:sz="0" w:space="0" w:color="auto"/>
                                <w:right w:val="none" w:sz="0" w:space="0" w:color="auto"/>
                              </w:divBdr>
                              <w:divsChild>
                                <w:div w:id="51076035">
                                  <w:marLeft w:val="0"/>
                                  <w:marRight w:val="0"/>
                                  <w:marTop w:val="0"/>
                                  <w:marBottom w:val="0"/>
                                  <w:divBdr>
                                    <w:top w:val="none" w:sz="0" w:space="0" w:color="auto"/>
                                    <w:left w:val="none" w:sz="0" w:space="0" w:color="auto"/>
                                    <w:bottom w:val="none" w:sz="0" w:space="0" w:color="auto"/>
                                    <w:right w:val="none" w:sz="0" w:space="0" w:color="auto"/>
                                  </w:divBdr>
                                  <w:divsChild>
                                    <w:div w:id="1432123741">
                                      <w:marLeft w:val="0"/>
                                      <w:marRight w:val="0"/>
                                      <w:marTop w:val="0"/>
                                      <w:marBottom w:val="0"/>
                                      <w:divBdr>
                                        <w:top w:val="none" w:sz="0" w:space="0" w:color="auto"/>
                                        <w:left w:val="none" w:sz="0" w:space="0" w:color="auto"/>
                                        <w:bottom w:val="none" w:sz="0" w:space="0" w:color="auto"/>
                                        <w:right w:val="none" w:sz="0" w:space="0" w:color="auto"/>
                                      </w:divBdr>
                                      <w:divsChild>
                                        <w:div w:id="1050961375">
                                          <w:marLeft w:val="0"/>
                                          <w:marRight w:val="0"/>
                                          <w:marTop w:val="0"/>
                                          <w:marBottom w:val="0"/>
                                          <w:divBdr>
                                            <w:top w:val="none" w:sz="0" w:space="0" w:color="auto"/>
                                            <w:left w:val="none" w:sz="0" w:space="0" w:color="auto"/>
                                            <w:bottom w:val="none" w:sz="0" w:space="0" w:color="auto"/>
                                            <w:right w:val="none" w:sz="0" w:space="0" w:color="auto"/>
                                          </w:divBdr>
                                          <w:divsChild>
                                            <w:div w:id="1263302209">
                                              <w:marLeft w:val="0"/>
                                              <w:marRight w:val="0"/>
                                              <w:marTop w:val="0"/>
                                              <w:marBottom w:val="495"/>
                                              <w:divBdr>
                                                <w:top w:val="none" w:sz="0" w:space="0" w:color="auto"/>
                                                <w:left w:val="none" w:sz="0" w:space="0" w:color="auto"/>
                                                <w:bottom w:val="none" w:sz="0" w:space="0" w:color="auto"/>
                                                <w:right w:val="none" w:sz="0" w:space="0" w:color="auto"/>
                                              </w:divBdr>
                                              <w:divsChild>
                                                <w:div w:id="11224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082778">
      <w:bodyDiv w:val="1"/>
      <w:marLeft w:val="0"/>
      <w:marRight w:val="0"/>
      <w:marTop w:val="0"/>
      <w:marBottom w:val="0"/>
      <w:divBdr>
        <w:top w:val="none" w:sz="0" w:space="0" w:color="auto"/>
        <w:left w:val="none" w:sz="0" w:space="0" w:color="auto"/>
        <w:bottom w:val="none" w:sz="0" w:space="0" w:color="auto"/>
        <w:right w:val="none" w:sz="0" w:space="0" w:color="auto"/>
      </w:divBdr>
    </w:div>
    <w:div w:id="1328284048">
      <w:bodyDiv w:val="1"/>
      <w:marLeft w:val="0"/>
      <w:marRight w:val="0"/>
      <w:marTop w:val="0"/>
      <w:marBottom w:val="0"/>
      <w:divBdr>
        <w:top w:val="none" w:sz="0" w:space="0" w:color="auto"/>
        <w:left w:val="none" w:sz="0" w:space="0" w:color="auto"/>
        <w:bottom w:val="none" w:sz="0" w:space="0" w:color="auto"/>
        <w:right w:val="none" w:sz="0" w:space="0" w:color="auto"/>
      </w:divBdr>
    </w:div>
    <w:div w:id="1337263653">
      <w:bodyDiv w:val="1"/>
      <w:marLeft w:val="0"/>
      <w:marRight w:val="0"/>
      <w:marTop w:val="0"/>
      <w:marBottom w:val="0"/>
      <w:divBdr>
        <w:top w:val="none" w:sz="0" w:space="0" w:color="auto"/>
        <w:left w:val="none" w:sz="0" w:space="0" w:color="auto"/>
        <w:bottom w:val="none" w:sz="0" w:space="0" w:color="auto"/>
        <w:right w:val="none" w:sz="0" w:space="0" w:color="auto"/>
      </w:divBdr>
      <w:divsChild>
        <w:div w:id="770665515">
          <w:marLeft w:val="0"/>
          <w:marRight w:val="0"/>
          <w:marTop w:val="0"/>
          <w:marBottom w:val="0"/>
          <w:divBdr>
            <w:top w:val="none" w:sz="0" w:space="0" w:color="auto"/>
            <w:left w:val="none" w:sz="0" w:space="0" w:color="auto"/>
            <w:bottom w:val="none" w:sz="0" w:space="0" w:color="auto"/>
            <w:right w:val="none" w:sz="0" w:space="0" w:color="auto"/>
          </w:divBdr>
          <w:divsChild>
            <w:div w:id="2133746940">
              <w:marLeft w:val="0"/>
              <w:marRight w:val="0"/>
              <w:marTop w:val="0"/>
              <w:marBottom w:val="0"/>
              <w:divBdr>
                <w:top w:val="none" w:sz="0" w:space="0" w:color="auto"/>
                <w:left w:val="none" w:sz="0" w:space="0" w:color="auto"/>
                <w:bottom w:val="none" w:sz="0" w:space="0" w:color="auto"/>
                <w:right w:val="none" w:sz="0" w:space="0" w:color="auto"/>
              </w:divBdr>
              <w:divsChild>
                <w:div w:id="1957789334">
                  <w:marLeft w:val="0"/>
                  <w:marRight w:val="0"/>
                  <w:marTop w:val="0"/>
                  <w:marBottom w:val="0"/>
                  <w:divBdr>
                    <w:top w:val="none" w:sz="0" w:space="0" w:color="auto"/>
                    <w:left w:val="none" w:sz="0" w:space="0" w:color="auto"/>
                    <w:bottom w:val="none" w:sz="0" w:space="0" w:color="auto"/>
                    <w:right w:val="none" w:sz="0" w:space="0" w:color="auto"/>
                  </w:divBdr>
                  <w:divsChild>
                    <w:div w:id="106316087">
                      <w:marLeft w:val="0"/>
                      <w:marRight w:val="0"/>
                      <w:marTop w:val="0"/>
                      <w:marBottom w:val="0"/>
                      <w:divBdr>
                        <w:top w:val="none" w:sz="0" w:space="0" w:color="auto"/>
                        <w:left w:val="none" w:sz="0" w:space="0" w:color="auto"/>
                        <w:bottom w:val="none" w:sz="0" w:space="0" w:color="auto"/>
                        <w:right w:val="none" w:sz="0" w:space="0" w:color="auto"/>
                      </w:divBdr>
                      <w:divsChild>
                        <w:div w:id="1531726506">
                          <w:marLeft w:val="0"/>
                          <w:marRight w:val="0"/>
                          <w:marTop w:val="0"/>
                          <w:marBottom w:val="0"/>
                          <w:divBdr>
                            <w:top w:val="none" w:sz="0" w:space="0" w:color="auto"/>
                            <w:left w:val="none" w:sz="0" w:space="0" w:color="auto"/>
                            <w:bottom w:val="none" w:sz="0" w:space="0" w:color="auto"/>
                            <w:right w:val="none" w:sz="0" w:space="0" w:color="auto"/>
                          </w:divBdr>
                          <w:divsChild>
                            <w:div w:id="686559319">
                              <w:marLeft w:val="0"/>
                              <w:marRight w:val="0"/>
                              <w:marTop w:val="0"/>
                              <w:marBottom w:val="0"/>
                              <w:divBdr>
                                <w:top w:val="none" w:sz="0" w:space="0" w:color="auto"/>
                                <w:left w:val="none" w:sz="0" w:space="0" w:color="auto"/>
                                <w:bottom w:val="none" w:sz="0" w:space="0" w:color="auto"/>
                                <w:right w:val="none" w:sz="0" w:space="0" w:color="auto"/>
                              </w:divBdr>
                              <w:divsChild>
                                <w:div w:id="922184542">
                                  <w:marLeft w:val="0"/>
                                  <w:marRight w:val="0"/>
                                  <w:marTop w:val="0"/>
                                  <w:marBottom w:val="0"/>
                                  <w:divBdr>
                                    <w:top w:val="none" w:sz="0" w:space="0" w:color="auto"/>
                                    <w:left w:val="none" w:sz="0" w:space="0" w:color="auto"/>
                                    <w:bottom w:val="none" w:sz="0" w:space="0" w:color="auto"/>
                                    <w:right w:val="none" w:sz="0" w:space="0" w:color="auto"/>
                                  </w:divBdr>
                                  <w:divsChild>
                                    <w:div w:id="1666392561">
                                      <w:marLeft w:val="0"/>
                                      <w:marRight w:val="0"/>
                                      <w:marTop w:val="0"/>
                                      <w:marBottom w:val="0"/>
                                      <w:divBdr>
                                        <w:top w:val="none" w:sz="0" w:space="0" w:color="auto"/>
                                        <w:left w:val="none" w:sz="0" w:space="0" w:color="auto"/>
                                        <w:bottom w:val="none" w:sz="0" w:space="0" w:color="auto"/>
                                        <w:right w:val="none" w:sz="0" w:space="0" w:color="auto"/>
                                      </w:divBdr>
                                      <w:divsChild>
                                        <w:div w:id="668404592">
                                          <w:marLeft w:val="0"/>
                                          <w:marRight w:val="0"/>
                                          <w:marTop w:val="0"/>
                                          <w:marBottom w:val="0"/>
                                          <w:divBdr>
                                            <w:top w:val="none" w:sz="0" w:space="0" w:color="auto"/>
                                            <w:left w:val="none" w:sz="0" w:space="0" w:color="auto"/>
                                            <w:bottom w:val="none" w:sz="0" w:space="0" w:color="auto"/>
                                            <w:right w:val="none" w:sz="0" w:space="0" w:color="auto"/>
                                          </w:divBdr>
                                          <w:divsChild>
                                            <w:div w:id="1897282342">
                                              <w:marLeft w:val="0"/>
                                              <w:marRight w:val="0"/>
                                              <w:marTop w:val="0"/>
                                              <w:marBottom w:val="495"/>
                                              <w:divBdr>
                                                <w:top w:val="none" w:sz="0" w:space="0" w:color="auto"/>
                                                <w:left w:val="none" w:sz="0" w:space="0" w:color="auto"/>
                                                <w:bottom w:val="none" w:sz="0" w:space="0" w:color="auto"/>
                                                <w:right w:val="none" w:sz="0" w:space="0" w:color="auto"/>
                                              </w:divBdr>
                                              <w:divsChild>
                                                <w:div w:id="20296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388839993">
      <w:bodyDiv w:val="1"/>
      <w:marLeft w:val="0"/>
      <w:marRight w:val="0"/>
      <w:marTop w:val="0"/>
      <w:marBottom w:val="0"/>
      <w:divBdr>
        <w:top w:val="none" w:sz="0" w:space="0" w:color="auto"/>
        <w:left w:val="none" w:sz="0" w:space="0" w:color="auto"/>
        <w:bottom w:val="none" w:sz="0" w:space="0" w:color="auto"/>
        <w:right w:val="none" w:sz="0" w:space="0" w:color="auto"/>
      </w:divBdr>
    </w:div>
    <w:div w:id="1407000284">
      <w:bodyDiv w:val="1"/>
      <w:marLeft w:val="0"/>
      <w:marRight w:val="0"/>
      <w:marTop w:val="0"/>
      <w:marBottom w:val="0"/>
      <w:divBdr>
        <w:top w:val="none" w:sz="0" w:space="0" w:color="auto"/>
        <w:left w:val="none" w:sz="0" w:space="0" w:color="auto"/>
        <w:bottom w:val="none" w:sz="0" w:space="0" w:color="auto"/>
        <w:right w:val="none" w:sz="0" w:space="0" w:color="auto"/>
      </w:divBdr>
    </w:div>
    <w:div w:id="1471362329">
      <w:bodyDiv w:val="1"/>
      <w:marLeft w:val="0"/>
      <w:marRight w:val="0"/>
      <w:marTop w:val="0"/>
      <w:marBottom w:val="0"/>
      <w:divBdr>
        <w:top w:val="none" w:sz="0" w:space="0" w:color="auto"/>
        <w:left w:val="none" w:sz="0" w:space="0" w:color="auto"/>
        <w:bottom w:val="none" w:sz="0" w:space="0" w:color="auto"/>
        <w:right w:val="none" w:sz="0" w:space="0" w:color="auto"/>
      </w:divBdr>
    </w:div>
    <w:div w:id="1519466533">
      <w:bodyDiv w:val="1"/>
      <w:marLeft w:val="0"/>
      <w:marRight w:val="0"/>
      <w:marTop w:val="0"/>
      <w:marBottom w:val="0"/>
      <w:divBdr>
        <w:top w:val="none" w:sz="0" w:space="0" w:color="auto"/>
        <w:left w:val="none" w:sz="0" w:space="0" w:color="auto"/>
        <w:bottom w:val="none" w:sz="0" w:space="0" w:color="auto"/>
        <w:right w:val="none" w:sz="0" w:space="0" w:color="auto"/>
      </w:divBdr>
      <w:divsChild>
        <w:div w:id="1376810421">
          <w:marLeft w:val="0"/>
          <w:marRight w:val="0"/>
          <w:marTop w:val="0"/>
          <w:marBottom w:val="0"/>
          <w:divBdr>
            <w:top w:val="none" w:sz="0" w:space="0" w:color="auto"/>
            <w:left w:val="none" w:sz="0" w:space="0" w:color="auto"/>
            <w:bottom w:val="none" w:sz="0" w:space="0" w:color="auto"/>
            <w:right w:val="none" w:sz="0" w:space="0" w:color="auto"/>
          </w:divBdr>
          <w:divsChild>
            <w:div w:id="334646790">
              <w:marLeft w:val="0"/>
              <w:marRight w:val="0"/>
              <w:marTop w:val="0"/>
              <w:marBottom w:val="0"/>
              <w:divBdr>
                <w:top w:val="none" w:sz="0" w:space="0" w:color="auto"/>
                <w:left w:val="none" w:sz="0" w:space="0" w:color="auto"/>
                <w:bottom w:val="none" w:sz="0" w:space="0" w:color="auto"/>
                <w:right w:val="none" w:sz="0" w:space="0" w:color="auto"/>
              </w:divBdr>
              <w:divsChild>
                <w:div w:id="1603418263">
                  <w:marLeft w:val="0"/>
                  <w:marRight w:val="0"/>
                  <w:marTop w:val="0"/>
                  <w:marBottom w:val="0"/>
                  <w:divBdr>
                    <w:top w:val="none" w:sz="0" w:space="0" w:color="auto"/>
                    <w:left w:val="none" w:sz="0" w:space="0" w:color="auto"/>
                    <w:bottom w:val="none" w:sz="0" w:space="0" w:color="auto"/>
                    <w:right w:val="none" w:sz="0" w:space="0" w:color="auto"/>
                  </w:divBdr>
                  <w:divsChild>
                    <w:div w:id="144932335">
                      <w:marLeft w:val="0"/>
                      <w:marRight w:val="0"/>
                      <w:marTop w:val="0"/>
                      <w:marBottom w:val="0"/>
                      <w:divBdr>
                        <w:top w:val="none" w:sz="0" w:space="0" w:color="auto"/>
                        <w:left w:val="none" w:sz="0" w:space="0" w:color="auto"/>
                        <w:bottom w:val="none" w:sz="0" w:space="0" w:color="auto"/>
                        <w:right w:val="none" w:sz="0" w:space="0" w:color="auto"/>
                      </w:divBdr>
                      <w:divsChild>
                        <w:div w:id="1240554809">
                          <w:marLeft w:val="0"/>
                          <w:marRight w:val="0"/>
                          <w:marTop w:val="0"/>
                          <w:marBottom w:val="0"/>
                          <w:divBdr>
                            <w:top w:val="none" w:sz="0" w:space="0" w:color="auto"/>
                            <w:left w:val="none" w:sz="0" w:space="0" w:color="auto"/>
                            <w:bottom w:val="none" w:sz="0" w:space="0" w:color="auto"/>
                            <w:right w:val="none" w:sz="0" w:space="0" w:color="auto"/>
                          </w:divBdr>
                          <w:divsChild>
                            <w:div w:id="1716126408">
                              <w:marLeft w:val="0"/>
                              <w:marRight w:val="0"/>
                              <w:marTop w:val="0"/>
                              <w:marBottom w:val="0"/>
                              <w:divBdr>
                                <w:top w:val="none" w:sz="0" w:space="0" w:color="auto"/>
                                <w:left w:val="none" w:sz="0" w:space="0" w:color="auto"/>
                                <w:bottom w:val="none" w:sz="0" w:space="0" w:color="auto"/>
                                <w:right w:val="none" w:sz="0" w:space="0" w:color="auto"/>
                              </w:divBdr>
                              <w:divsChild>
                                <w:div w:id="38749552">
                                  <w:marLeft w:val="0"/>
                                  <w:marRight w:val="0"/>
                                  <w:marTop w:val="0"/>
                                  <w:marBottom w:val="0"/>
                                  <w:divBdr>
                                    <w:top w:val="none" w:sz="0" w:space="0" w:color="auto"/>
                                    <w:left w:val="none" w:sz="0" w:space="0" w:color="auto"/>
                                    <w:bottom w:val="none" w:sz="0" w:space="0" w:color="auto"/>
                                    <w:right w:val="none" w:sz="0" w:space="0" w:color="auto"/>
                                  </w:divBdr>
                                  <w:divsChild>
                                    <w:div w:id="1018387546">
                                      <w:marLeft w:val="0"/>
                                      <w:marRight w:val="0"/>
                                      <w:marTop w:val="0"/>
                                      <w:marBottom w:val="0"/>
                                      <w:divBdr>
                                        <w:top w:val="none" w:sz="0" w:space="0" w:color="auto"/>
                                        <w:left w:val="none" w:sz="0" w:space="0" w:color="auto"/>
                                        <w:bottom w:val="none" w:sz="0" w:space="0" w:color="auto"/>
                                        <w:right w:val="none" w:sz="0" w:space="0" w:color="auto"/>
                                      </w:divBdr>
                                      <w:divsChild>
                                        <w:div w:id="862012803">
                                          <w:marLeft w:val="0"/>
                                          <w:marRight w:val="0"/>
                                          <w:marTop w:val="0"/>
                                          <w:marBottom w:val="0"/>
                                          <w:divBdr>
                                            <w:top w:val="none" w:sz="0" w:space="0" w:color="auto"/>
                                            <w:left w:val="none" w:sz="0" w:space="0" w:color="auto"/>
                                            <w:bottom w:val="none" w:sz="0" w:space="0" w:color="auto"/>
                                            <w:right w:val="none" w:sz="0" w:space="0" w:color="auto"/>
                                          </w:divBdr>
                                          <w:divsChild>
                                            <w:div w:id="1463380477">
                                              <w:marLeft w:val="0"/>
                                              <w:marRight w:val="0"/>
                                              <w:marTop w:val="0"/>
                                              <w:marBottom w:val="495"/>
                                              <w:divBdr>
                                                <w:top w:val="none" w:sz="0" w:space="0" w:color="auto"/>
                                                <w:left w:val="none" w:sz="0" w:space="0" w:color="auto"/>
                                                <w:bottom w:val="none" w:sz="0" w:space="0" w:color="auto"/>
                                                <w:right w:val="none" w:sz="0" w:space="0" w:color="auto"/>
                                              </w:divBdr>
                                              <w:divsChild>
                                                <w:div w:id="10307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4919744">
      <w:bodyDiv w:val="1"/>
      <w:marLeft w:val="0"/>
      <w:marRight w:val="0"/>
      <w:marTop w:val="0"/>
      <w:marBottom w:val="0"/>
      <w:divBdr>
        <w:top w:val="none" w:sz="0" w:space="0" w:color="auto"/>
        <w:left w:val="none" w:sz="0" w:space="0" w:color="auto"/>
        <w:bottom w:val="none" w:sz="0" w:space="0" w:color="auto"/>
        <w:right w:val="none" w:sz="0" w:space="0" w:color="auto"/>
      </w:divBdr>
    </w:div>
    <w:div w:id="1535263327">
      <w:bodyDiv w:val="1"/>
      <w:marLeft w:val="0"/>
      <w:marRight w:val="0"/>
      <w:marTop w:val="0"/>
      <w:marBottom w:val="0"/>
      <w:divBdr>
        <w:top w:val="none" w:sz="0" w:space="0" w:color="auto"/>
        <w:left w:val="none" w:sz="0" w:space="0" w:color="auto"/>
        <w:bottom w:val="none" w:sz="0" w:space="0" w:color="auto"/>
        <w:right w:val="none" w:sz="0" w:space="0" w:color="auto"/>
      </w:divBdr>
    </w:div>
    <w:div w:id="1539511394">
      <w:bodyDiv w:val="1"/>
      <w:marLeft w:val="0"/>
      <w:marRight w:val="0"/>
      <w:marTop w:val="0"/>
      <w:marBottom w:val="0"/>
      <w:divBdr>
        <w:top w:val="none" w:sz="0" w:space="0" w:color="auto"/>
        <w:left w:val="none" w:sz="0" w:space="0" w:color="auto"/>
        <w:bottom w:val="none" w:sz="0" w:space="0" w:color="auto"/>
        <w:right w:val="none" w:sz="0" w:space="0" w:color="auto"/>
      </w:divBdr>
      <w:divsChild>
        <w:div w:id="615139192">
          <w:marLeft w:val="0"/>
          <w:marRight w:val="0"/>
          <w:marTop w:val="0"/>
          <w:marBottom w:val="0"/>
          <w:divBdr>
            <w:top w:val="none" w:sz="0" w:space="0" w:color="auto"/>
            <w:left w:val="none" w:sz="0" w:space="0" w:color="auto"/>
            <w:bottom w:val="none" w:sz="0" w:space="0" w:color="auto"/>
            <w:right w:val="none" w:sz="0" w:space="0" w:color="auto"/>
          </w:divBdr>
          <w:divsChild>
            <w:div w:id="1255819477">
              <w:marLeft w:val="0"/>
              <w:marRight w:val="0"/>
              <w:marTop w:val="0"/>
              <w:marBottom w:val="0"/>
              <w:divBdr>
                <w:top w:val="none" w:sz="0" w:space="0" w:color="auto"/>
                <w:left w:val="none" w:sz="0" w:space="0" w:color="auto"/>
                <w:bottom w:val="none" w:sz="0" w:space="0" w:color="auto"/>
                <w:right w:val="none" w:sz="0" w:space="0" w:color="auto"/>
              </w:divBdr>
            </w:div>
          </w:divsChild>
        </w:div>
        <w:div w:id="1223833095">
          <w:marLeft w:val="0"/>
          <w:marRight w:val="0"/>
          <w:marTop w:val="0"/>
          <w:marBottom w:val="0"/>
          <w:divBdr>
            <w:top w:val="none" w:sz="0" w:space="0" w:color="auto"/>
            <w:left w:val="none" w:sz="0" w:space="0" w:color="auto"/>
            <w:bottom w:val="none" w:sz="0" w:space="0" w:color="auto"/>
            <w:right w:val="none" w:sz="0" w:space="0" w:color="auto"/>
          </w:divBdr>
          <w:divsChild>
            <w:div w:id="9942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529">
      <w:bodyDiv w:val="1"/>
      <w:marLeft w:val="0"/>
      <w:marRight w:val="0"/>
      <w:marTop w:val="0"/>
      <w:marBottom w:val="0"/>
      <w:divBdr>
        <w:top w:val="none" w:sz="0" w:space="0" w:color="auto"/>
        <w:left w:val="none" w:sz="0" w:space="0" w:color="auto"/>
        <w:bottom w:val="none" w:sz="0" w:space="0" w:color="auto"/>
        <w:right w:val="none" w:sz="0" w:space="0" w:color="auto"/>
      </w:divBdr>
    </w:div>
    <w:div w:id="1553811744">
      <w:bodyDiv w:val="1"/>
      <w:marLeft w:val="0"/>
      <w:marRight w:val="0"/>
      <w:marTop w:val="0"/>
      <w:marBottom w:val="0"/>
      <w:divBdr>
        <w:top w:val="none" w:sz="0" w:space="0" w:color="auto"/>
        <w:left w:val="none" w:sz="0" w:space="0" w:color="auto"/>
        <w:bottom w:val="none" w:sz="0" w:space="0" w:color="auto"/>
        <w:right w:val="none" w:sz="0" w:space="0" w:color="auto"/>
      </w:divBdr>
    </w:div>
    <w:div w:id="1558737767">
      <w:bodyDiv w:val="1"/>
      <w:marLeft w:val="0"/>
      <w:marRight w:val="0"/>
      <w:marTop w:val="0"/>
      <w:marBottom w:val="0"/>
      <w:divBdr>
        <w:top w:val="none" w:sz="0" w:space="0" w:color="auto"/>
        <w:left w:val="none" w:sz="0" w:space="0" w:color="auto"/>
        <w:bottom w:val="none" w:sz="0" w:space="0" w:color="auto"/>
        <w:right w:val="none" w:sz="0" w:space="0" w:color="auto"/>
      </w:divBdr>
      <w:divsChild>
        <w:div w:id="725495383">
          <w:marLeft w:val="0"/>
          <w:marRight w:val="0"/>
          <w:marTop w:val="0"/>
          <w:marBottom w:val="0"/>
          <w:divBdr>
            <w:top w:val="none" w:sz="0" w:space="0" w:color="auto"/>
            <w:left w:val="none" w:sz="0" w:space="0" w:color="auto"/>
            <w:bottom w:val="none" w:sz="0" w:space="0" w:color="auto"/>
            <w:right w:val="none" w:sz="0" w:space="0" w:color="auto"/>
          </w:divBdr>
          <w:divsChild>
            <w:div w:id="989482721">
              <w:marLeft w:val="0"/>
              <w:marRight w:val="0"/>
              <w:marTop w:val="0"/>
              <w:marBottom w:val="0"/>
              <w:divBdr>
                <w:top w:val="none" w:sz="0" w:space="0" w:color="auto"/>
                <w:left w:val="none" w:sz="0" w:space="0" w:color="auto"/>
                <w:bottom w:val="none" w:sz="0" w:space="0" w:color="auto"/>
                <w:right w:val="none" w:sz="0" w:space="0" w:color="auto"/>
              </w:divBdr>
              <w:divsChild>
                <w:div w:id="149487727">
                  <w:marLeft w:val="0"/>
                  <w:marRight w:val="0"/>
                  <w:marTop w:val="0"/>
                  <w:marBottom w:val="0"/>
                  <w:divBdr>
                    <w:top w:val="none" w:sz="0" w:space="0" w:color="auto"/>
                    <w:left w:val="none" w:sz="0" w:space="0" w:color="auto"/>
                    <w:bottom w:val="none" w:sz="0" w:space="0" w:color="auto"/>
                    <w:right w:val="none" w:sz="0" w:space="0" w:color="auto"/>
                  </w:divBdr>
                  <w:divsChild>
                    <w:div w:id="1907912492">
                      <w:marLeft w:val="0"/>
                      <w:marRight w:val="0"/>
                      <w:marTop w:val="300"/>
                      <w:marBottom w:val="0"/>
                      <w:divBdr>
                        <w:top w:val="single" w:sz="6" w:space="0" w:color="DDDDDD"/>
                        <w:left w:val="single" w:sz="6" w:space="0" w:color="DDDDDD"/>
                        <w:bottom w:val="single" w:sz="6" w:space="0" w:color="DDDDDD"/>
                        <w:right w:val="single" w:sz="6" w:space="0" w:color="DDDDDD"/>
                      </w:divBdr>
                      <w:divsChild>
                        <w:div w:id="830175036">
                          <w:marLeft w:val="0"/>
                          <w:marRight w:val="0"/>
                          <w:marTop w:val="0"/>
                          <w:marBottom w:val="0"/>
                          <w:divBdr>
                            <w:top w:val="none" w:sz="0" w:space="0" w:color="auto"/>
                            <w:left w:val="none" w:sz="0" w:space="0" w:color="auto"/>
                            <w:bottom w:val="none" w:sz="0" w:space="0" w:color="auto"/>
                            <w:right w:val="none" w:sz="0" w:space="0" w:color="auto"/>
                          </w:divBdr>
                          <w:divsChild>
                            <w:div w:id="1967003401">
                              <w:marLeft w:val="0"/>
                              <w:marRight w:val="0"/>
                              <w:marTop w:val="0"/>
                              <w:marBottom w:val="0"/>
                              <w:divBdr>
                                <w:top w:val="none" w:sz="0" w:space="0" w:color="auto"/>
                                <w:left w:val="none" w:sz="0" w:space="0" w:color="auto"/>
                                <w:bottom w:val="none" w:sz="0" w:space="0" w:color="auto"/>
                                <w:right w:val="none" w:sz="0" w:space="0" w:color="auto"/>
                              </w:divBdr>
                              <w:divsChild>
                                <w:div w:id="262341135">
                                  <w:marLeft w:val="0"/>
                                  <w:marRight w:val="0"/>
                                  <w:marTop w:val="0"/>
                                  <w:marBottom w:val="0"/>
                                  <w:divBdr>
                                    <w:top w:val="none" w:sz="0" w:space="0" w:color="auto"/>
                                    <w:left w:val="none" w:sz="0" w:space="0" w:color="auto"/>
                                    <w:bottom w:val="none" w:sz="0" w:space="0" w:color="auto"/>
                                    <w:right w:val="none" w:sz="0" w:space="0" w:color="auto"/>
                                  </w:divBdr>
                                  <w:divsChild>
                                    <w:div w:id="1541478439">
                                      <w:marLeft w:val="0"/>
                                      <w:marRight w:val="0"/>
                                      <w:marTop w:val="0"/>
                                      <w:marBottom w:val="0"/>
                                      <w:divBdr>
                                        <w:top w:val="none" w:sz="0" w:space="0" w:color="auto"/>
                                        <w:left w:val="none" w:sz="0" w:space="0" w:color="auto"/>
                                        <w:bottom w:val="none" w:sz="0" w:space="0" w:color="auto"/>
                                        <w:right w:val="none" w:sz="0" w:space="0" w:color="auto"/>
                                      </w:divBdr>
                                      <w:divsChild>
                                        <w:div w:id="2055306201">
                                          <w:marLeft w:val="0"/>
                                          <w:marRight w:val="0"/>
                                          <w:marTop w:val="0"/>
                                          <w:marBottom w:val="0"/>
                                          <w:divBdr>
                                            <w:top w:val="none" w:sz="0" w:space="0" w:color="auto"/>
                                            <w:left w:val="none" w:sz="0" w:space="0" w:color="auto"/>
                                            <w:bottom w:val="none" w:sz="0" w:space="0" w:color="auto"/>
                                            <w:right w:val="none" w:sz="0" w:space="0" w:color="auto"/>
                                          </w:divBdr>
                                          <w:divsChild>
                                            <w:div w:id="2036929347">
                                              <w:marLeft w:val="0"/>
                                              <w:marRight w:val="0"/>
                                              <w:marTop w:val="0"/>
                                              <w:marBottom w:val="0"/>
                                              <w:divBdr>
                                                <w:top w:val="none" w:sz="0" w:space="0" w:color="auto"/>
                                                <w:left w:val="none" w:sz="0" w:space="0" w:color="auto"/>
                                                <w:bottom w:val="none" w:sz="0" w:space="0" w:color="auto"/>
                                                <w:right w:val="none" w:sz="0" w:space="0" w:color="auto"/>
                                              </w:divBdr>
                                              <w:divsChild>
                                                <w:div w:id="263660026">
                                                  <w:marLeft w:val="0"/>
                                                  <w:marRight w:val="0"/>
                                                  <w:marTop w:val="0"/>
                                                  <w:marBottom w:val="0"/>
                                                  <w:divBdr>
                                                    <w:top w:val="none" w:sz="0" w:space="0" w:color="auto"/>
                                                    <w:left w:val="none" w:sz="0" w:space="0" w:color="auto"/>
                                                    <w:bottom w:val="none" w:sz="0" w:space="0" w:color="auto"/>
                                                    <w:right w:val="none" w:sz="0" w:space="0" w:color="auto"/>
                                                  </w:divBdr>
                                                  <w:divsChild>
                                                    <w:div w:id="1125078615">
                                                      <w:marLeft w:val="0"/>
                                                      <w:marRight w:val="0"/>
                                                      <w:marTop w:val="0"/>
                                                      <w:marBottom w:val="0"/>
                                                      <w:divBdr>
                                                        <w:top w:val="none" w:sz="0" w:space="0" w:color="auto"/>
                                                        <w:left w:val="none" w:sz="0" w:space="0" w:color="auto"/>
                                                        <w:bottom w:val="none" w:sz="0" w:space="0" w:color="auto"/>
                                                        <w:right w:val="none" w:sz="0" w:space="0" w:color="auto"/>
                                                      </w:divBdr>
                                                    </w:div>
                                                    <w:div w:id="1476872691">
                                                      <w:marLeft w:val="0"/>
                                                      <w:marRight w:val="0"/>
                                                      <w:marTop w:val="0"/>
                                                      <w:marBottom w:val="0"/>
                                                      <w:divBdr>
                                                        <w:top w:val="none" w:sz="0" w:space="0" w:color="auto"/>
                                                        <w:left w:val="none" w:sz="0" w:space="0" w:color="auto"/>
                                                        <w:bottom w:val="none" w:sz="0" w:space="0" w:color="auto"/>
                                                        <w:right w:val="none" w:sz="0" w:space="0" w:color="auto"/>
                                                      </w:divBdr>
                                                    </w:div>
                                                    <w:div w:id="1548227028">
                                                      <w:marLeft w:val="0"/>
                                                      <w:marRight w:val="0"/>
                                                      <w:marTop w:val="0"/>
                                                      <w:marBottom w:val="0"/>
                                                      <w:divBdr>
                                                        <w:top w:val="none" w:sz="0" w:space="0" w:color="auto"/>
                                                        <w:left w:val="none" w:sz="0" w:space="0" w:color="auto"/>
                                                        <w:bottom w:val="none" w:sz="0" w:space="0" w:color="auto"/>
                                                        <w:right w:val="none" w:sz="0" w:space="0" w:color="auto"/>
                                                      </w:divBdr>
                                                    </w:div>
                                                    <w:div w:id="19927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728825">
      <w:bodyDiv w:val="1"/>
      <w:marLeft w:val="0"/>
      <w:marRight w:val="0"/>
      <w:marTop w:val="0"/>
      <w:marBottom w:val="0"/>
      <w:divBdr>
        <w:top w:val="none" w:sz="0" w:space="0" w:color="auto"/>
        <w:left w:val="none" w:sz="0" w:space="0" w:color="auto"/>
        <w:bottom w:val="none" w:sz="0" w:space="0" w:color="auto"/>
        <w:right w:val="none" w:sz="0" w:space="0" w:color="auto"/>
      </w:divBdr>
    </w:div>
    <w:div w:id="1581257628">
      <w:bodyDiv w:val="1"/>
      <w:marLeft w:val="0"/>
      <w:marRight w:val="0"/>
      <w:marTop w:val="0"/>
      <w:marBottom w:val="0"/>
      <w:divBdr>
        <w:top w:val="none" w:sz="0" w:space="0" w:color="auto"/>
        <w:left w:val="none" w:sz="0" w:space="0" w:color="auto"/>
        <w:bottom w:val="none" w:sz="0" w:space="0" w:color="auto"/>
        <w:right w:val="none" w:sz="0" w:space="0" w:color="auto"/>
      </w:divBdr>
    </w:div>
    <w:div w:id="1590387987">
      <w:bodyDiv w:val="1"/>
      <w:marLeft w:val="0"/>
      <w:marRight w:val="0"/>
      <w:marTop w:val="0"/>
      <w:marBottom w:val="0"/>
      <w:divBdr>
        <w:top w:val="none" w:sz="0" w:space="0" w:color="auto"/>
        <w:left w:val="none" w:sz="0" w:space="0" w:color="auto"/>
        <w:bottom w:val="none" w:sz="0" w:space="0" w:color="auto"/>
        <w:right w:val="none" w:sz="0" w:space="0" w:color="auto"/>
      </w:divBdr>
    </w:div>
    <w:div w:id="1594825895">
      <w:bodyDiv w:val="1"/>
      <w:marLeft w:val="0"/>
      <w:marRight w:val="0"/>
      <w:marTop w:val="0"/>
      <w:marBottom w:val="0"/>
      <w:divBdr>
        <w:top w:val="none" w:sz="0" w:space="0" w:color="auto"/>
        <w:left w:val="none" w:sz="0" w:space="0" w:color="auto"/>
        <w:bottom w:val="none" w:sz="0" w:space="0" w:color="auto"/>
        <w:right w:val="none" w:sz="0" w:space="0" w:color="auto"/>
      </w:divBdr>
    </w:div>
    <w:div w:id="1609703460">
      <w:bodyDiv w:val="1"/>
      <w:marLeft w:val="0"/>
      <w:marRight w:val="0"/>
      <w:marTop w:val="0"/>
      <w:marBottom w:val="0"/>
      <w:divBdr>
        <w:top w:val="none" w:sz="0" w:space="0" w:color="auto"/>
        <w:left w:val="none" w:sz="0" w:space="0" w:color="auto"/>
        <w:bottom w:val="none" w:sz="0" w:space="0" w:color="auto"/>
        <w:right w:val="none" w:sz="0" w:space="0" w:color="auto"/>
      </w:divBdr>
    </w:div>
    <w:div w:id="1637679522">
      <w:bodyDiv w:val="1"/>
      <w:marLeft w:val="0"/>
      <w:marRight w:val="0"/>
      <w:marTop w:val="0"/>
      <w:marBottom w:val="0"/>
      <w:divBdr>
        <w:top w:val="none" w:sz="0" w:space="0" w:color="auto"/>
        <w:left w:val="none" w:sz="0" w:space="0" w:color="auto"/>
        <w:bottom w:val="none" w:sz="0" w:space="0" w:color="auto"/>
        <w:right w:val="none" w:sz="0" w:space="0" w:color="auto"/>
      </w:divBdr>
    </w:div>
    <w:div w:id="1641184875">
      <w:bodyDiv w:val="1"/>
      <w:marLeft w:val="0"/>
      <w:marRight w:val="0"/>
      <w:marTop w:val="0"/>
      <w:marBottom w:val="0"/>
      <w:divBdr>
        <w:top w:val="none" w:sz="0" w:space="0" w:color="auto"/>
        <w:left w:val="none" w:sz="0" w:space="0" w:color="auto"/>
        <w:bottom w:val="none" w:sz="0" w:space="0" w:color="auto"/>
        <w:right w:val="none" w:sz="0" w:space="0" w:color="auto"/>
      </w:divBdr>
      <w:divsChild>
        <w:div w:id="108743784">
          <w:marLeft w:val="0"/>
          <w:marRight w:val="0"/>
          <w:marTop w:val="0"/>
          <w:marBottom w:val="0"/>
          <w:divBdr>
            <w:top w:val="none" w:sz="0" w:space="0" w:color="auto"/>
            <w:left w:val="none" w:sz="0" w:space="0" w:color="auto"/>
            <w:bottom w:val="none" w:sz="0" w:space="0" w:color="auto"/>
            <w:right w:val="none" w:sz="0" w:space="0" w:color="auto"/>
          </w:divBdr>
          <w:divsChild>
            <w:div w:id="892423887">
              <w:marLeft w:val="0"/>
              <w:marRight w:val="0"/>
              <w:marTop w:val="0"/>
              <w:marBottom w:val="0"/>
              <w:divBdr>
                <w:top w:val="none" w:sz="0" w:space="0" w:color="auto"/>
                <w:left w:val="none" w:sz="0" w:space="0" w:color="auto"/>
                <w:bottom w:val="none" w:sz="0" w:space="0" w:color="auto"/>
                <w:right w:val="none" w:sz="0" w:space="0" w:color="auto"/>
              </w:divBdr>
              <w:divsChild>
                <w:div w:id="794057762">
                  <w:marLeft w:val="0"/>
                  <w:marRight w:val="0"/>
                  <w:marTop w:val="0"/>
                  <w:marBottom w:val="0"/>
                  <w:divBdr>
                    <w:top w:val="none" w:sz="0" w:space="0" w:color="auto"/>
                    <w:left w:val="none" w:sz="0" w:space="0" w:color="auto"/>
                    <w:bottom w:val="none" w:sz="0" w:space="0" w:color="auto"/>
                    <w:right w:val="none" w:sz="0" w:space="0" w:color="auto"/>
                  </w:divBdr>
                  <w:divsChild>
                    <w:div w:id="1671130101">
                      <w:marLeft w:val="0"/>
                      <w:marRight w:val="0"/>
                      <w:marTop w:val="0"/>
                      <w:marBottom w:val="0"/>
                      <w:divBdr>
                        <w:top w:val="none" w:sz="0" w:space="0" w:color="auto"/>
                        <w:left w:val="none" w:sz="0" w:space="0" w:color="auto"/>
                        <w:bottom w:val="none" w:sz="0" w:space="0" w:color="auto"/>
                        <w:right w:val="none" w:sz="0" w:space="0" w:color="auto"/>
                      </w:divBdr>
                      <w:divsChild>
                        <w:div w:id="265115957">
                          <w:marLeft w:val="0"/>
                          <w:marRight w:val="0"/>
                          <w:marTop w:val="0"/>
                          <w:marBottom w:val="0"/>
                          <w:divBdr>
                            <w:top w:val="none" w:sz="0" w:space="0" w:color="auto"/>
                            <w:left w:val="none" w:sz="0" w:space="0" w:color="auto"/>
                            <w:bottom w:val="none" w:sz="0" w:space="0" w:color="auto"/>
                            <w:right w:val="none" w:sz="0" w:space="0" w:color="auto"/>
                          </w:divBdr>
                          <w:divsChild>
                            <w:div w:id="147866772">
                              <w:marLeft w:val="0"/>
                              <w:marRight w:val="0"/>
                              <w:marTop w:val="0"/>
                              <w:marBottom w:val="0"/>
                              <w:divBdr>
                                <w:top w:val="none" w:sz="0" w:space="0" w:color="auto"/>
                                <w:left w:val="none" w:sz="0" w:space="0" w:color="auto"/>
                                <w:bottom w:val="none" w:sz="0" w:space="0" w:color="auto"/>
                                <w:right w:val="none" w:sz="0" w:space="0" w:color="auto"/>
                              </w:divBdr>
                              <w:divsChild>
                                <w:div w:id="1354726435">
                                  <w:marLeft w:val="0"/>
                                  <w:marRight w:val="0"/>
                                  <w:marTop w:val="0"/>
                                  <w:marBottom w:val="0"/>
                                  <w:divBdr>
                                    <w:top w:val="none" w:sz="0" w:space="0" w:color="auto"/>
                                    <w:left w:val="none" w:sz="0" w:space="0" w:color="auto"/>
                                    <w:bottom w:val="none" w:sz="0" w:space="0" w:color="auto"/>
                                    <w:right w:val="none" w:sz="0" w:space="0" w:color="auto"/>
                                  </w:divBdr>
                                  <w:divsChild>
                                    <w:div w:id="354697259">
                                      <w:marLeft w:val="0"/>
                                      <w:marRight w:val="0"/>
                                      <w:marTop w:val="0"/>
                                      <w:marBottom w:val="0"/>
                                      <w:divBdr>
                                        <w:top w:val="none" w:sz="0" w:space="0" w:color="auto"/>
                                        <w:left w:val="none" w:sz="0" w:space="0" w:color="auto"/>
                                        <w:bottom w:val="none" w:sz="0" w:space="0" w:color="auto"/>
                                        <w:right w:val="none" w:sz="0" w:space="0" w:color="auto"/>
                                      </w:divBdr>
                                      <w:divsChild>
                                        <w:div w:id="189146028">
                                          <w:marLeft w:val="0"/>
                                          <w:marRight w:val="0"/>
                                          <w:marTop w:val="0"/>
                                          <w:marBottom w:val="0"/>
                                          <w:divBdr>
                                            <w:top w:val="none" w:sz="0" w:space="0" w:color="auto"/>
                                            <w:left w:val="none" w:sz="0" w:space="0" w:color="auto"/>
                                            <w:bottom w:val="none" w:sz="0" w:space="0" w:color="auto"/>
                                            <w:right w:val="none" w:sz="0" w:space="0" w:color="auto"/>
                                          </w:divBdr>
                                          <w:divsChild>
                                            <w:div w:id="1324506342">
                                              <w:marLeft w:val="0"/>
                                              <w:marRight w:val="0"/>
                                              <w:marTop w:val="0"/>
                                              <w:marBottom w:val="495"/>
                                              <w:divBdr>
                                                <w:top w:val="none" w:sz="0" w:space="0" w:color="auto"/>
                                                <w:left w:val="none" w:sz="0" w:space="0" w:color="auto"/>
                                                <w:bottom w:val="none" w:sz="0" w:space="0" w:color="auto"/>
                                                <w:right w:val="none" w:sz="0" w:space="0" w:color="auto"/>
                                              </w:divBdr>
                                              <w:divsChild>
                                                <w:div w:id="7462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2415583">
      <w:bodyDiv w:val="1"/>
      <w:marLeft w:val="0"/>
      <w:marRight w:val="0"/>
      <w:marTop w:val="0"/>
      <w:marBottom w:val="0"/>
      <w:divBdr>
        <w:top w:val="none" w:sz="0" w:space="0" w:color="auto"/>
        <w:left w:val="none" w:sz="0" w:space="0" w:color="auto"/>
        <w:bottom w:val="none" w:sz="0" w:space="0" w:color="auto"/>
        <w:right w:val="none" w:sz="0" w:space="0" w:color="auto"/>
      </w:divBdr>
    </w:div>
    <w:div w:id="1672832603">
      <w:bodyDiv w:val="1"/>
      <w:marLeft w:val="0"/>
      <w:marRight w:val="0"/>
      <w:marTop w:val="0"/>
      <w:marBottom w:val="0"/>
      <w:divBdr>
        <w:top w:val="none" w:sz="0" w:space="0" w:color="auto"/>
        <w:left w:val="none" w:sz="0" w:space="0" w:color="auto"/>
        <w:bottom w:val="none" w:sz="0" w:space="0" w:color="auto"/>
        <w:right w:val="none" w:sz="0" w:space="0" w:color="auto"/>
      </w:divBdr>
    </w:div>
    <w:div w:id="1712148591">
      <w:bodyDiv w:val="1"/>
      <w:marLeft w:val="0"/>
      <w:marRight w:val="0"/>
      <w:marTop w:val="0"/>
      <w:marBottom w:val="0"/>
      <w:divBdr>
        <w:top w:val="none" w:sz="0" w:space="0" w:color="auto"/>
        <w:left w:val="none" w:sz="0" w:space="0" w:color="auto"/>
        <w:bottom w:val="none" w:sz="0" w:space="0" w:color="auto"/>
        <w:right w:val="none" w:sz="0" w:space="0" w:color="auto"/>
      </w:divBdr>
      <w:divsChild>
        <w:div w:id="822741516">
          <w:marLeft w:val="0"/>
          <w:marRight w:val="0"/>
          <w:marTop w:val="0"/>
          <w:marBottom w:val="0"/>
          <w:divBdr>
            <w:top w:val="none" w:sz="0" w:space="0" w:color="auto"/>
            <w:left w:val="none" w:sz="0" w:space="0" w:color="auto"/>
            <w:bottom w:val="none" w:sz="0" w:space="0" w:color="auto"/>
            <w:right w:val="none" w:sz="0" w:space="0" w:color="auto"/>
          </w:divBdr>
          <w:divsChild>
            <w:div w:id="74788385">
              <w:marLeft w:val="0"/>
              <w:marRight w:val="0"/>
              <w:marTop w:val="0"/>
              <w:marBottom w:val="0"/>
              <w:divBdr>
                <w:top w:val="none" w:sz="0" w:space="0" w:color="auto"/>
                <w:left w:val="none" w:sz="0" w:space="0" w:color="auto"/>
                <w:bottom w:val="none" w:sz="0" w:space="0" w:color="auto"/>
                <w:right w:val="none" w:sz="0" w:space="0" w:color="auto"/>
              </w:divBdr>
              <w:divsChild>
                <w:div w:id="417219248">
                  <w:marLeft w:val="0"/>
                  <w:marRight w:val="0"/>
                  <w:marTop w:val="0"/>
                  <w:marBottom w:val="0"/>
                  <w:divBdr>
                    <w:top w:val="none" w:sz="0" w:space="0" w:color="auto"/>
                    <w:left w:val="none" w:sz="0" w:space="0" w:color="auto"/>
                    <w:bottom w:val="none" w:sz="0" w:space="0" w:color="auto"/>
                    <w:right w:val="none" w:sz="0" w:space="0" w:color="auto"/>
                  </w:divBdr>
                  <w:divsChild>
                    <w:div w:id="154297028">
                      <w:marLeft w:val="0"/>
                      <w:marRight w:val="0"/>
                      <w:marTop w:val="0"/>
                      <w:marBottom w:val="0"/>
                      <w:divBdr>
                        <w:top w:val="none" w:sz="0" w:space="0" w:color="auto"/>
                        <w:left w:val="none" w:sz="0" w:space="0" w:color="auto"/>
                        <w:bottom w:val="none" w:sz="0" w:space="0" w:color="auto"/>
                        <w:right w:val="none" w:sz="0" w:space="0" w:color="auto"/>
                      </w:divBdr>
                      <w:divsChild>
                        <w:div w:id="134639210">
                          <w:marLeft w:val="0"/>
                          <w:marRight w:val="0"/>
                          <w:marTop w:val="0"/>
                          <w:marBottom w:val="0"/>
                          <w:divBdr>
                            <w:top w:val="none" w:sz="0" w:space="0" w:color="auto"/>
                            <w:left w:val="none" w:sz="0" w:space="0" w:color="auto"/>
                            <w:bottom w:val="none" w:sz="0" w:space="0" w:color="auto"/>
                            <w:right w:val="none" w:sz="0" w:space="0" w:color="auto"/>
                          </w:divBdr>
                          <w:divsChild>
                            <w:div w:id="1332952419">
                              <w:marLeft w:val="0"/>
                              <w:marRight w:val="0"/>
                              <w:marTop w:val="0"/>
                              <w:marBottom w:val="0"/>
                              <w:divBdr>
                                <w:top w:val="none" w:sz="0" w:space="0" w:color="auto"/>
                                <w:left w:val="none" w:sz="0" w:space="0" w:color="auto"/>
                                <w:bottom w:val="none" w:sz="0" w:space="0" w:color="auto"/>
                                <w:right w:val="none" w:sz="0" w:space="0" w:color="auto"/>
                              </w:divBdr>
                              <w:divsChild>
                                <w:div w:id="454182856">
                                  <w:marLeft w:val="0"/>
                                  <w:marRight w:val="0"/>
                                  <w:marTop w:val="0"/>
                                  <w:marBottom w:val="0"/>
                                  <w:divBdr>
                                    <w:top w:val="none" w:sz="0" w:space="0" w:color="auto"/>
                                    <w:left w:val="none" w:sz="0" w:space="0" w:color="auto"/>
                                    <w:bottom w:val="none" w:sz="0" w:space="0" w:color="auto"/>
                                    <w:right w:val="none" w:sz="0" w:space="0" w:color="auto"/>
                                  </w:divBdr>
                                  <w:divsChild>
                                    <w:div w:id="619192903">
                                      <w:marLeft w:val="0"/>
                                      <w:marRight w:val="0"/>
                                      <w:marTop w:val="0"/>
                                      <w:marBottom w:val="0"/>
                                      <w:divBdr>
                                        <w:top w:val="none" w:sz="0" w:space="0" w:color="auto"/>
                                        <w:left w:val="none" w:sz="0" w:space="0" w:color="auto"/>
                                        <w:bottom w:val="none" w:sz="0" w:space="0" w:color="auto"/>
                                        <w:right w:val="none" w:sz="0" w:space="0" w:color="auto"/>
                                      </w:divBdr>
                                      <w:divsChild>
                                        <w:div w:id="1441878897">
                                          <w:marLeft w:val="0"/>
                                          <w:marRight w:val="0"/>
                                          <w:marTop w:val="0"/>
                                          <w:marBottom w:val="495"/>
                                          <w:divBdr>
                                            <w:top w:val="none" w:sz="0" w:space="0" w:color="auto"/>
                                            <w:left w:val="none" w:sz="0" w:space="0" w:color="auto"/>
                                            <w:bottom w:val="none" w:sz="0" w:space="0" w:color="auto"/>
                                            <w:right w:val="none" w:sz="0" w:space="0" w:color="auto"/>
                                          </w:divBdr>
                                          <w:divsChild>
                                            <w:div w:id="2664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368667">
      <w:bodyDiv w:val="1"/>
      <w:marLeft w:val="0"/>
      <w:marRight w:val="0"/>
      <w:marTop w:val="0"/>
      <w:marBottom w:val="0"/>
      <w:divBdr>
        <w:top w:val="none" w:sz="0" w:space="0" w:color="auto"/>
        <w:left w:val="none" w:sz="0" w:space="0" w:color="auto"/>
        <w:bottom w:val="none" w:sz="0" w:space="0" w:color="auto"/>
        <w:right w:val="none" w:sz="0" w:space="0" w:color="auto"/>
      </w:divBdr>
    </w:div>
    <w:div w:id="1726290463">
      <w:bodyDiv w:val="1"/>
      <w:marLeft w:val="0"/>
      <w:marRight w:val="0"/>
      <w:marTop w:val="0"/>
      <w:marBottom w:val="0"/>
      <w:divBdr>
        <w:top w:val="none" w:sz="0" w:space="0" w:color="auto"/>
        <w:left w:val="none" w:sz="0" w:space="0" w:color="auto"/>
        <w:bottom w:val="none" w:sz="0" w:space="0" w:color="auto"/>
        <w:right w:val="none" w:sz="0" w:space="0" w:color="auto"/>
      </w:divBdr>
      <w:divsChild>
        <w:div w:id="684283489">
          <w:marLeft w:val="0"/>
          <w:marRight w:val="0"/>
          <w:marTop w:val="0"/>
          <w:marBottom w:val="0"/>
          <w:divBdr>
            <w:top w:val="none" w:sz="0" w:space="0" w:color="auto"/>
            <w:left w:val="none" w:sz="0" w:space="0" w:color="auto"/>
            <w:bottom w:val="none" w:sz="0" w:space="0" w:color="auto"/>
            <w:right w:val="none" w:sz="0" w:space="0" w:color="auto"/>
          </w:divBdr>
          <w:divsChild>
            <w:div w:id="692267162">
              <w:marLeft w:val="0"/>
              <w:marRight w:val="0"/>
              <w:marTop w:val="0"/>
              <w:marBottom w:val="0"/>
              <w:divBdr>
                <w:top w:val="none" w:sz="0" w:space="0" w:color="auto"/>
                <w:left w:val="none" w:sz="0" w:space="0" w:color="auto"/>
                <w:bottom w:val="none" w:sz="0" w:space="0" w:color="auto"/>
                <w:right w:val="none" w:sz="0" w:space="0" w:color="auto"/>
              </w:divBdr>
              <w:divsChild>
                <w:div w:id="31077144">
                  <w:marLeft w:val="0"/>
                  <w:marRight w:val="0"/>
                  <w:marTop w:val="0"/>
                  <w:marBottom w:val="0"/>
                  <w:divBdr>
                    <w:top w:val="none" w:sz="0" w:space="0" w:color="auto"/>
                    <w:left w:val="none" w:sz="0" w:space="0" w:color="auto"/>
                    <w:bottom w:val="none" w:sz="0" w:space="0" w:color="auto"/>
                    <w:right w:val="none" w:sz="0" w:space="0" w:color="auto"/>
                  </w:divBdr>
                  <w:divsChild>
                    <w:div w:id="260644893">
                      <w:marLeft w:val="0"/>
                      <w:marRight w:val="0"/>
                      <w:marTop w:val="0"/>
                      <w:marBottom w:val="0"/>
                      <w:divBdr>
                        <w:top w:val="none" w:sz="0" w:space="0" w:color="auto"/>
                        <w:left w:val="none" w:sz="0" w:space="0" w:color="auto"/>
                        <w:bottom w:val="none" w:sz="0" w:space="0" w:color="auto"/>
                        <w:right w:val="none" w:sz="0" w:space="0" w:color="auto"/>
                      </w:divBdr>
                      <w:divsChild>
                        <w:div w:id="934944003">
                          <w:marLeft w:val="0"/>
                          <w:marRight w:val="0"/>
                          <w:marTop w:val="0"/>
                          <w:marBottom w:val="0"/>
                          <w:divBdr>
                            <w:top w:val="none" w:sz="0" w:space="0" w:color="auto"/>
                            <w:left w:val="none" w:sz="0" w:space="0" w:color="auto"/>
                            <w:bottom w:val="none" w:sz="0" w:space="0" w:color="auto"/>
                            <w:right w:val="none" w:sz="0" w:space="0" w:color="auto"/>
                          </w:divBdr>
                          <w:divsChild>
                            <w:div w:id="338191458">
                              <w:marLeft w:val="0"/>
                              <w:marRight w:val="0"/>
                              <w:marTop w:val="0"/>
                              <w:marBottom w:val="0"/>
                              <w:divBdr>
                                <w:top w:val="none" w:sz="0" w:space="0" w:color="auto"/>
                                <w:left w:val="none" w:sz="0" w:space="0" w:color="auto"/>
                                <w:bottom w:val="none" w:sz="0" w:space="0" w:color="auto"/>
                                <w:right w:val="none" w:sz="0" w:space="0" w:color="auto"/>
                              </w:divBdr>
                              <w:divsChild>
                                <w:div w:id="1965844897">
                                  <w:marLeft w:val="0"/>
                                  <w:marRight w:val="0"/>
                                  <w:marTop w:val="0"/>
                                  <w:marBottom w:val="0"/>
                                  <w:divBdr>
                                    <w:top w:val="none" w:sz="0" w:space="0" w:color="auto"/>
                                    <w:left w:val="none" w:sz="0" w:space="0" w:color="auto"/>
                                    <w:bottom w:val="none" w:sz="0" w:space="0" w:color="auto"/>
                                    <w:right w:val="none" w:sz="0" w:space="0" w:color="auto"/>
                                  </w:divBdr>
                                </w:div>
                                <w:div w:id="1966736096">
                                  <w:marLeft w:val="0"/>
                                  <w:marRight w:val="0"/>
                                  <w:marTop w:val="0"/>
                                  <w:marBottom w:val="0"/>
                                  <w:divBdr>
                                    <w:top w:val="none" w:sz="0" w:space="0" w:color="auto"/>
                                    <w:left w:val="none" w:sz="0" w:space="0" w:color="auto"/>
                                    <w:bottom w:val="none" w:sz="0" w:space="0" w:color="auto"/>
                                    <w:right w:val="none" w:sz="0" w:space="0" w:color="auto"/>
                                  </w:divBdr>
                                </w:div>
                                <w:div w:id="16046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152065">
      <w:bodyDiv w:val="1"/>
      <w:marLeft w:val="0"/>
      <w:marRight w:val="0"/>
      <w:marTop w:val="0"/>
      <w:marBottom w:val="0"/>
      <w:divBdr>
        <w:top w:val="none" w:sz="0" w:space="0" w:color="auto"/>
        <w:left w:val="none" w:sz="0" w:space="0" w:color="auto"/>
        <w:bottom w:val="none" w:sz="0" w:space="0" w:color="auto"/>
        <w:right w:val="none" w:sz="0" w:space="0" w:color="auto"/>
      </w:divBdr>
    </w:div>
    <w:div w:id="1731684605">
      <w:bodyDiv w:val="1"/>
      <w:marLeft w:val="0"/>
      <w:marRight w:val="0"/>
      <w:marTop w:val="0"/>
      <w:marBottom w:val="0"/>
      <w:divBdr>
        <w:top w:val="none" w:sz="0" w:space="0" w:color="auto"/>
        <w:left w:val="none" w:sz="0" w:space="0" w:color="auto"/>
        <w:bottom w:val="none" w:sz="0" w:space="0" w:color="auto"/>
        <w:right w:val="none" w:sz="0" w:space="0" w:color="auto"/>
      </w:divBdr>
      <w:divsChild>
        <w:div w:id="846479003">
          <w:marLeft w:val="0"/>
          <w:marRight w:val="0"/>
          <w:marTop w:val="0"/>
          <w:marBottom w:val="0"/>
          <w:divBdr>
            <w:top w:val="none" w:sz="0" w:space="0" w:color="auto"/>
            <w:left w:val="none" w:sz="0" w:space="0" w:color="auto"/>
            <w:bottom w:val="none" w:sz="0" w:space="0" w:color="auto"/>
            <w:right w:val="none" w:sz="0" w:space="0" w:color="auto"/>
          </w:divBdr>
        </w:div>
      </w:divsChild>
    </w:div>
    <w:div w:id="1755978783">
      <w:bodyDiv w:val="1"/>
      <w:marLeft w:val="0"/>
      <w:marRight w:val="0"/>
      <w:marTop w:val="0"/>
      <w:marBottom w:val="0"/>
      <w:divBdr>
        <w:top w:val="none" w:sz="0" w:space="0" w:color="auto"/>
        <w:left w:val="none" w:sz="0" w:space="0" w:color="auto"/>
        <w:bottom w:val="none" w:sz="0" w:space="0" w:color="auto"/>
        <w:right w:val="none" w:sz="0" w:space="0" w:color="auto"/>
      </w:divBdr>
    </w:div>
    <w:div w:id="1791701836">
      <w:bodyDiv w:val="1"/>
      <w:marLeft w:val="0"/>
      <w:marRight w:val="0"/>
      <w:marTop w:val="0"/>
      <w:marBottom w:val="0"/>
      <w:divBdr>
        <w:top w:val="none" w:sz="0" w:space="0" w:color="auto"/>
        <w:left w:val="none" w:sz="0" w:space="0" w:color="auto"/>
        <w:bottom w:val="none" w:sz="0" w:space="0" w:color="auto"/>
        <w:right w:val="none" w:sz="0" w:space="0" w:color="auto"/>
      </w:divBdr>
    </w:div>
    <w:div w:id="1820030457">
      <w:bodyDiv w:val="1"/>
      <w:marLeft w:val="0"/>
      <w:marRight w:val="0"/>
      <w:marTop w:val="0"/>
      <w:marBottom w:val="0"/>
      <w:divBdr>
        <w:top w:val="none" w:sz="0" w:space="0" w:color="auto"/>
        <w:left w:val="none" w:sz="0" w:space="0" w:color="auto"/>
        <w:bottom w:val="none" w:sz="0" w:space="0" w:color="auto"/>
        <w:right w:val="none" w:sz="0" w:space="0" w:color="auto"/>
      </w:divBdr>
      <w:divsChild>
        <w:div w:id="26682754">
          <w:marLeft w:val="0"/>
          <w:marRight w:val="0"/>
          <w:marTop w:val="0"/>
          <w:marBottom w:val="0"/>
          <w:divBdr>
            <w:top w:val="none" w:sz="0" w:space="0" w:color="auto"/>
            <w:left w:val="none" w:sz="0" w:space="0" w:color="auto"/>
            <w:bottom w:val="none" w:sz="0" w:space="0" w:color="auto"/>
            <w:right w:val="none" w:sz="0" w:space="0" w:color="auto"/>
          </w:divBdr>
          <w:divsChild>
            <w:div w:id="1191802998">
              <w:marLeft w:val="0"/>
              <w:marRight w:val="0"/>
              <w:marTop w:val="0"/>
              <w:marBottom w:val="0"/>
              <w:divBdr>
                <w:top w:val="none" w:sz="0" w:space="0" w:color="auto"/>
                <w:left w:val="none" w:sz="0" w:space="0" w:color="auto"/>
                <w:bottom w:val="none" w:sz="0" w:space="0" w:color="auto"/>
                <w:right w:val="none" w:sz="0" w:space="0" w:color="auto"/>
              </w:divBdr>
            </w:div>
          </w:divsChild>
        </w:div>
        <w:div w:id="296034102">
          <w:marLeft w:val="0"/>
          <w:marRight w:val="0"/>
          <w:marTop w:val="0"/>
          <w:marBottom w:val="0"/>
          <w:divBdr>
            <w:top w:val="none" w:sz="0" w:space="0" w:color="auto"/>
            <w:left w:val="none" w:sz="0" w:space="0" w:color="auto"/>
            <w:bottom w:val="none" w:sz="0" w:space="0" w:color="auto"/>
            <w:right w:val="none" w:sz="0" w:space="0" w:color="auto"/>
          </w:divBdr>
          <w:divsChild>
            <w:div w:id="15661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6005">
      <w:bodyDiv w:val="1"/>
      <w:marLeft w:val="0"/>
      <w:marRight w:val="0"/>
      <w:marTop w:val="0"/>
      <w:marBottom w:val="0"/>
      <w:divBdr>
        <w:top w:val="none" w:sz="0" w:space="0" w:color="auto"/>
        <w:left w:val="none" w:sz="0" w:space="0" w:color="auto"/>
        <w:bottom w:val="none" w:sz="0" w:space="0" w:color="auto"/>
        <w:right w:val="none" w:sz="0" w:space="0" w:color="auto"/>
      </w:divBdr>
      <w:divsChild>
        <w:div w:id="1817913486">
          <w:marLeft w:val="0"/>
          <w:marRight w:val="0"/>
          <w:marTop w:val="0"/>
          <w:marBottom w:val="0"/>
          <w:divBdr>
            <w:top w:val="none" w:sz="0" w:space="0" w:color="auto"/>
            <w:left w:val="none" w:sz="0" w:space="0" w:color="auto"/>
            <w:bottom w:val="none" w:sz="0" w:space="0" w:color="auto"/>
            <w:right w:val="none" w:sz="0" w:space="0" w:color="auto"/>
          </w:divBdr>
          <w:divsChild>
            <w:div w:id="1916088823">
              <w:marLeft w:val="0"/>
              <w:marRight w:val="0"/>
              <w:marTop w:val="0"/>
              <w:marBottom w:val="0"/>
              <w:divBdr>
                <w:top w:val="none" w:sz="0" w:space="0" w:color="auto"/>
                <w:left w:val="none" w:sz="0" w:space="0" w:color="auto"/>
                <w:bottom w:val="none" w:sz="0" w:space="0" w:color="auto"/>
                <w:right w:val="none" w:sz="0" w:space="0" w:color="auto"/>
              </w:divBdr>
              <w:divsChild>
                <w:div w:id="2082829526">
                  <w:marLeft w:val="0"/>
                  <w:marRight w:val="0"/>
                  <w:marTop w:val="0"/>
                  <w:marBottom w:val="0"/>
                  <w:divBdr>
                    <w:top w:val="none" w:sz="0" w:space="0" w:color="auto"/>
                    <w:left w:val="none" w:sz="0" w:space="0" w:color="auto"/>
                    <w:bottom w:val="none" w:sz="0" w:space="0" w:color="auto"/>
                    <w:right w:val="none" w:sz="0" w:space="0" w:color="auto"/>
                  </w:divBdr>
                  <w:divsChild>
                    <w:div w:id="1463383004">
                      <w:marLeft w:val="-150"/>
                      <w:marRight w:val="-150"/>
                      <w:marTop w:val="0"/>
                      <w:marBottom w:val="0"/>
                      <w:divBdr>
                        <w:top w:val="none" w:sz="0" w:space="0" w:color="auto"/>
                        <w:left w:val="none" w:sz="0" w:space="0" w:color="auto"/>
                        <w:bottom w:val="none" w:sz="0" w:space="0" w:color="auto"/>
                        <w:right w:val="none" w:sz="0" w:space="0" w:color="auto"/>
                      </w:divBdr>
                      <w:divsChild>
                        <w:div w:id="441996863">
                          <w:marLeft w:val="0"/>
                          <w:marRight w:val="0"/>
                          <w:marTop w:val="0"/>
                          <w:marBottom w:val="0"/>
                          <w:divBdr>
                            <w:top w:val="none" w:sz="0" w:space="0" w:color="auto"/>
                            <w:left w:val="none" w:sz="0" w:space="0" w:color="auto"/>
                            <w:bottom w:val="none" w:sz="0" w:space="0" w:color="auto"/>
                            <w:right w:val="none" w:sz="0" w:space="0" w:color="auto"/>
                          </w:divBdr>
                          <w:divsChild>
                            <w:div w:id="572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0683">
      <w:bodyDiv w:val="1"/>
      <w:marLeft w:val="0"/>
      <w:marRight w:val="0"/>
      <w:marTop w:val="0"/>
      <w:marBottom w:val="0"/>
      <w:divBdr>
        <w:top w:val="none" w:sz="0" w:space="0" w:color="auto"/>
        <w:left w:val="none" w:sz="0" w:space="0" w:color="auto"/>
        <w:bottom w:val="none" w:sz="0" w:space="0" w:color="auto"/>
        <w:right w:val="none" w:sz="0" w:space="0" w:color="auto"/>
      </w:divBdr>
    </w:div>
    <w:div w:id="1845437580">
      <w:bodyDiv w:val="1"/>
      <w:marLeft w:val="0"/>
      <w:marRight w:val="0"/>
      <w:marTop w:val="0"/>
      <w:marBottom w:val="0"/>
      <w:divBdr>
        <w:top w:val="none" w:sz="0" w:space="0" w:color="auto"/>
        <w:left w:val="none" w:sz="0" w:space="0" w:color="auto"/>
        <w:bottom w:val="none" w:sz="0" w:space="0" w:color="auto"/>
        <w:right w:val="none" w:sz="0" w:space="0" w:color="auto"/>
      </w:divBdr>
      <w:divsChild>
        <w:div w:id="689379533">
          <w:marLeft w:val="0"/>
          <w:marRight w:val="0"/>
          <w:marTop w:val="0"/>
          <w:marBottom w:val="0"/>
          <w:divBdr>
            <w:top w:val="none" w:sz="0" w:space="0" w:color="auto"/>
            <w:left w:val="none" w:sz="0" w:space="0" w:color="auto"/>
            <w:bottom w:val="none" w:sz="0" w:space="0" w:color="auto"/>
            <w:right w:val="none" w:sz="0" w:space="0" w:color="auto"/>
          </w:divBdr>
          <w:divsChild>
            <w:div w:id="1665931320">
              <w:marLeft w:val="0"/>
              <w:marRight w:val="0"/>
              <w:marTop w:val="0"/>
              <w:marBottom w:val="0"/>
              <w:divBdr>
                <w:top w:val="none" w:sz="0" w:space="0" w:color="auto"/>
                <w:left w:val="none" w:sz="0" w:space="0" w:color="auto"/>
                <w:bottom w:val="none" w:sz="0" w:space="0" w:color="auto"/>
                <w:right w:val="none" w:sz="0" w:space="0" w:color="auto"/>
              </w:divBdr>
              <w:divsChild>
                <w:div w:id="1804225280">
                  <w:marLeft w:val="0"/>
                  <w:marRight w:val="0"/>
                  <w:marTop w:val="0"/>
                  <w:marBottom w:val="0"/>
                  <w:divBdr>
                    <w:top w:val="none" w:sz="0" w:space="0" w:color="auto"/>
                    <w:left w:val="none" w:sz="0" w:space="0" w:color="auto"/>
                    <w:bottom w:val="none" w:sz="0" w:space="0" w:color="auto"/>
                    <w:right w:val="none" w:sz="0" w:space="0" w:color="auto"/>
                  </w:divBdr>
                  <w:divsChild>
                    <w:div w:id="1916040019">
                      <w:marLeft w:val="0"/>
                      <w:marRight w:val="0"/>
                      <w:marTop w:val="0"/>
                      <w:marBottom w:val="0"/>
                      <w:divBdr>
                        <w:top w:val="none" w:sz="0" w:space="0" w:color="auto"/>
                        <w:left w:val="none" w:sz="0" w:space="0" w:color="auto"/>
                        <w:bottom w:val="none" w:sz="0" w:space="0" w:color="auto"/>
                        <w:right w:val="none" w:sz="0" w:space="0" w:color="auto"/>
                      </w:divBdr>
                      <w:divsChild>
                        <w:div w:id="98961351">
                          <w:marLeft w:val="0"/>
                          <w:marRight w:val="0"/>
                          <w:marTop w:val="0"/>
                          <w:marBottom w:val="0"/>
                          <w:divBdr>
                            <w:top w:val="none" w:sz="0" w:space="0" w:color="auto"/>
                            <w:left w:val="none" w:sz="0" w:space="0" w:color="auto"/>
                            <w:bottom w:val="none" w:sz="0" w:space="0" w:color="auto"/>
                            <w:right w:val="none" w:sz="0" w:space="0" w:color="auto"/>
                          </w:divBdr>
                          <w:divsChild>
                            <w:div w:id="4670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60519">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sChild>
        <w:div w:id="123282557">
          <w:marLeft w:val="0"/>
          <w:marRight w:val="0"/>
          <w:marTop w:val="0"/>
          <w:marBottom w:val="0"/>
          <w:divBdr>
            <w:top w:val="none" w:sz="0" w:space="0" w:color="auto"/>
            <w:left w:val="none" w:sz="0" w:space="0" w:color="auto"/>
            <w:bottom w:val="none" w:sz="0" w:space="0" w:color="auto"/>
            <w:right w:val="none" w:sz="0" w:space="0" w:color="auto"/>
          </w:divBdr>
          <w:divsChild>
            <w:div w:id="1283220427">
              <w:marLeft w:val="0"/>
              <w:marRight w:val="0"/>
              <w:marTop w:val="0"/>
              <w:marBottom w:val="0"/>
              <w:divBdr>
                <w:top w:val="none" w:sz="0" w:space="0" w:color="auto"/>
                <w:left w:val="none" w:sz="0" w:space="0" w:color="auto"/>
                <w:bottom w:val="none" w:sz="0" w:space="0" w:color="auto"/>
                <w:right w:val="none" w:sz="0" w:space="0" w:color="auto"/>
              </w:divBdr>
            </w:div>
          </w:divsChild>
        </w:div>
        <w:div w:id="187452788">
          <w:marLeft w:val="0"/>
          <w:marRight w:val="0"/>
          <w:marTop w:val="0"/>
          <w:marBottom w:val="0"/>
          <w:divBdr>
            <w:top w:val="none" w:sz="0" w:space="0" w:color="auto"/>
            <w:left w:val="none" w:sz="0" w:space="0" w:color="auto"/>
            <w:bottom w:val="none" w:sz="0" w:space="0" w:color="auto"/>
            <w:right w:val="none" w:sz="0" w:space="0" w:color="auto"/>
          </w:divBdr>
          <w:divsChild>
            <w:div w:id="6566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8115">
      <w:bodyDiv w:val="1"/>
      <w:marLeft w:val="0"/>
      <w:marRight w:val="0"/>
      <w:marTop w:val="0"/>
      <w:marBottom w:val="0"/>
      <w:divBdr>
        <w:top w:val="none" w:sz="0" w:space="0" w:color="auto"/>
        <w:left w:val="none" w:sz="0" w:space="0" w:color="auto"/>
        <w:bottom w:val="none" w:sz="0" w:space="0" w:color="auto"/>
        <w:right w:val="none" w:sz="0" w:space="0" w:color="auto"/>
      </w:divBdr>
    </w:div>
    <w:div w:id="1889608562">
      <w:bodyDiv w:val="1"/>
      <w:marLeft w:val="0"/>
      <w:marRight w:val="0"/>
      <w:marTop w:val="0"/>
      <w:marBottom w:val="0"/>
      <w:divBdr>
        <w:top w:val="none" w:sz="0" w:space="0" w:color="auto"/>
        <w:left w:val="none" w:sz="0" w:space="0" w:color="auto"/>
        <w:bottom w:val="none" w:sz="0" w:space="0" w:color="auto"/>
        <w:right w:val="none" w:sz="0" w:space="0" w:color="auto"/>
      </w:divBdr>
    </w:div>
    <w:div w:id="1915626991">
      <w:bodyDiv w:val="1"/>
      <w:marLeft w:val="0"/>
      <w:marRight w:val="0"/>
      <w:marTop w:val="0"/>
      <w:marBottom w:val="0"/>
      <w:divBdr>
        <w:top w:val="none" w:sz="0" w:space="0" w:color="auto"/>
        <w:left w:val="none" w:sz="0" w:space="0" w:color="auto"/>
        <w:bottom w:val="none" w:sz="0" w:space="0" w:color="auto"/>
        <w:right w:val="none" w:sz="0" w:space="0" w:color="auto"/>
      </w:divBdr>
      <w:divsChild>
        <w:div w:id="1968050827">
          <w:marLeft w:val="0"/>
          <w:marRight w:val="0"/>
          <w:marTop w:val="0"/>
          <w:marBottom w:val="0"/>
          <w:divBdr>
            <w:top w:val="none" w:sz="0" w:space="0" w:color="auto"/>
            <w:left w:val="none" w:sz="0" w:space="0" w:color="auto"/>
            <w:bottom w:val="none" w:sz="0" w:space="0" w:color="auto"/>
            <w:right w:val="none" w:sz="0" w:space="0" w:color="auto"/>
          </w:divBdr>
          <w:divsChild>
            <w:div w:id="701133164">
              <w:marLeft w:val="0"/>
              <w:marRight w:val="0"/>
              <w:marTop w:val="0"/>
              <w:marBottom w:val="0"/>
              <w:divBdr>
                <w:top w:val="none" w:sz="0" w:space="0" w:color="auto"/>
                <w:left w:val="none" w:sz="0" w:space="0" w:color="auto"/>
                <w:bottom w:val="none" w:sz="0" w:space="0" w:color="auto"/>
                <w:right w:val="none" w:sz="0" w:space="0" w:color="auto"/>
              </w:divBdr>
              <w:divsChild>
                <w:div w:id="608052004">
                  <w:marLeft w:val="0"/>
                  <w:marRight w:val="0"/>
                  <w:marTop w:val="0"/>
                  <w:marBottom w:val="0"/>
                  <w:divBdr>
                    <w:top w:val="none" w:sz="0" w:space="0" w:color="auto"/>
                    <w:left w:val="none" w:sz="0" w:space="0" w:color="auto"/>
                    <w:bottom w:val="none" w:sz="0" w:space="0" w:color="auto"/>
                    <w:right w:val="none" w:sz="0" w:space="0" w:color="auto"/>
                  </w:divBdr>
                  <w:divsChild>
                    <w:div w:id="1536498724">
                      <w:marLeft w:val="0"/>
                      <w:marRight w:val="0"/>
                      <w:marTop w:val="0"/>
                      <w:marBottom w:val="0"/>
                      <w:divBdr>
                        <w:top w:val="none" w:sz="0" w:space="0" w:color="auto"/>
                        <w:left w:val="none" w:sz="0" w:space="0" w:color="auto"/>
                        <w:bottom w:val="none" w:sz="0" w:space="0" w:color="auto"/>
                        <w:right w:val="none" w:sz="0" w:space="0" w:color="auto"/>
                      </w:divBdr>
                      <w:divsChild>
                        <w:div w:id="205456420">
                          <w:marLeft w:val="0"/>
                          <w:marRight w:val="0"/>
                          <w:marTop w:val="0"/>
                          <w:marBottom w:val="0"/>
                          <w:divBdr>
                            <w:top w:val="none" w:sz="0" w:space="0" w:color="auto"/>
                            <w:left w:val="none" w:sz="0" w:space="0" w:color="auto"/>
                            <w:bottom w:val="none" w:sz="0" w:space="0" w:color="auto"/>
                            <w:right w:val="none" w:sz="0" w:space="0" w:color="auto"/>
                          </w:divBdr>
                          <w:divsChild>
                            <w:div w:id="341317630">
                              <w:marLeft w:val="0"/>
                              <w:marRight w:val="0"/>
                              <w:marTop w:val="0"/>
                              <w:marBottom w:val="0"/>
                              <w:divBdr>
                                <w:top w:val="none" w:sz="0" w:space="0" w:color="auto"/>
                                <w:left w:val="none" w:sz="0" w:space="0" w:color="auto"/>
                                <w:bottom w:val="none" w:sz="0" w:space="0" w:color="auto"/>
                                <w:right w:val="none" w:sz="0" w:space="0" w:color="auto"/>
                              </w:divBdr>
                              <w:divsChild>
                                <w:div w:id="1294628766">
                                  <w:marLeft w:val="0"/>
                                  <w:marRight w:val="0"/>
                                  <w:marTop w:val="0"/>
                                  <w:marBottom w:val="0"/>
                                  <w:divBdr>
                                    <w:top w:val="none" w:sz="0" w:space="0" w:color="auto"/>
                                    <w:left w:val="none" w:sz="0" w:space="0" w:color="auto"/>
                                    <w:bottom w:val="none" w:sz="0" w:space="0" w:color="auto"/>
                                    <w:right w:val="none" w:sz="0" w:space="0" w:color="auto"/>
                                  </w:divBdr>
                                  <w:divsChild>
                                    <w:div w:id="909775168">
                                      <w:marLeft w:val="0"/>
                                      <w:marRight w:val="0"/>
                                      <w:marTop w:val="0"/>
                                      <w:marBottom w:val="0"/>
                                      <w:divBdr>
                                        <w:top w:val="none" w:sz="0" w:space="0" w:color="auto"/>
                                        <w:left w:val="none" w:sz="0" w:space="0" w:color="auto"/>
                                        <w:bottom w:val="none" w:sz="0" w:space="0" w:color="auto"/>
                                        <w:right w:val="none" w:sz="0" w:space="0" w:color="auto"/>
                                      </w:divBdr>
                                      <w:divsChild>
                                        <w:div w:id="1194659319">
                                          <w:marLeft w:val="0"/>
                                          <w:marRight w:val="0"/>
                                          <w:marTop w:val="0"/>
                                          <w:marBottom w:val="0"/>
                                          <w:divBdr>
                                            <w:top w:val="none" w:sz="0" w:space="0" w:color="auto"/>
                                            <w:left w:val="none" w:sz="0" w:space="0" w:color="auto"/>
                                            <w:bottom w:val="none" w:sz="0" w:space="0" w:color="auto"/>
                                            <w:right w:val="none" w:sz="0" w:space="0" w:color="auto"/>
                                          </w:divBdr>
                                          <w:divsChild>
                                            <w:div w:id="364060249">
                                              <w:marLeft w:val="0"/>
                                              <w:marRight w:val="0"/>
                                              <w:marTop w:val="0"/>
                                              <w:marBottom w:val="495"/>
                                              <w:divBdr>
                                                <w:top w:val="none" w:sz="0" w:space="0" w:color="auto"/>
                                                <w:left w:val="none" w:sz="0" w:space="0" w:color="auto"/>
                                                <w:bottom w:val="none" w:sz="0" w:space="0" w:color="auto"/>
                                                <w:right w:val="none" w:sz="0" w:space="0" w:color="auto"/>
                                              </w:divBdr>
                                              <w:divsChild>
                                                <w:div w:id="15578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666472">
      <w:bodyDiv w:val="1"/>
      <w:marLeft w:val="0"/>
      <w:marRight w:val="0"/>
      <w:marTop w:val="0"/>
      <w:marBottom w:val="0"/>
      <w:divBdr>
        <w:top w:val="none" w:sz="0" w:space="0" w:color="auto"/>
        <w:left w:val="none" w:sz="0" w:space="0" w:color="auto"/>
        <w:bottom w:val="none" w:sz="0" w:space="0" w:color="auto"/>
        <w:right w:val="none" w:sz="0" w:space="0" w:color="auto"/>
      </w:divBdr>
    </w:div>
    <w:div w:id="1924799097">
      <w:bodyDiv w:val="1"/>
      <w:marLeft w:val="0"/>
      <w:marRight w:val="0"/>
      <w:marTop w:val="0"/>
      <w:marBottom w:val="0"/>
      <w:divBdr>
        <w:top w:val="none" w:sz="0" w:space="0" w:color="auto"/>
        <w:left w:val="none" w:sz="0" w:space="0" w:color="auto"/>
        <w:bottom w:val="none" w:sz="0" w:space="0" w:color="auto"/>
        <w:right w:val="none" w:sz="0" w:space="0" w:color="auto"/>
      </w:divBdr>
      <w:divsChild>
        <w:div w:id="1882547570">
          <w:marLeft w:val="0"/>
          <w:marRight w:val="0"/>
          <w:marTop w:val="0"/>
          <w:marBottom w:val="0"/>
          <w:divBdr>
            <w:top w:val="none" w:sz="0" w:space="0" w:color="auto"/>
            <w:left w:val="none" w:sz="0" w:space="0" w:color="auto"/>
            <w:bottom w:val="none" w:sz="0" w:space="0" w:color="auto"/>
            <w:right w:val="none" w:sz="0" w:space="0" w:color="auto"/>
          </w:divBdr>
        </w:div>
      </w:divsChild>
    </w:div>
    <w:div w:id="1928535645">
      <w:bodyDiv w:val="1"/>
      <w:marLeft w:val="0"/>
      <w:marRight w:val="0"/>
      <w:marTop w:val="0"/>
      <w:marBottom w:val="0"/>
      <w:divBdr>
        <w:top w:val="none" w:sz="0" w:space="0" w:color="auto"/>
        <w:left w:val="none" w:sz="0" w:space="0" w:color="auto"/>
        <w:bottom w:val="none" w:sz="0" w:space="0" w:color="auto"/>
        <w:right w:val="none" w:sz="0" w:space="0" w:color="auto"/>
      </w:divBdr>
    </w:div>
    <w:div w:id="1940870570">
      <w:bodyDiv w:val="1"/>
      <w:marLeft w:val="0"/>
      <w:marRight w:val="0"/>
      <w:marTop w:val="0"/>
      <w:marBottom w:val="0"/>
      <w:divBdr>
        <w:top w:val="none" w:sz="0" w:space="0" w:color="auto"/>
        <w:left w:val="none" w:sz="0" w:space="0" w:color="auto"/>
        <w:bottom w:val="none" w:sz="0" w:space="0" w:color="auto"/>
        <w:right w:val="none" w:sz="0" w:space="0" w:color="auto"/>
      </w:divBdr>
      <w:divsChild>
        <w:div w:id="421724643">
          <w:marLeft w:val="0"/>
          <w:marRight w:val="0"/>
          <w:marTop w:val="0"/>
          <w:marBottom w:val="0"/>
          <w:divBdr>
            <w:top w:val="none" w:sz="0" w:space="0" w:color="auto"/>
            <w:left w:val="none" w:sz="0" w:space="0" w:color="auto"/>
            <w:bottom w:val="none" w:sz="0" w:space="0" w:color="auto"/>
            <w:right w:val="none" w:sz="0" w:space="0" w:color="auto"/>
          </w:divBdr>
          <w:divsChild>
            <w:div w:id="1618567052">
              <w:marLeft w:val="0"/>
              <w:marRight w:val="0"/>
              <w:marTop w:val="0"/>
              <w:marBottom w:val="0"/>
              <w:divBdr>
                <w:top w:val="none" w:sz="0" w:space="0" w:color="auto"/>
                <w:left w:val="none" w:sz="0" w:space="0" w:color="auto"/>
                <w:bottom w:val="none" w:sz="0" w:space="0" w:color="auto"/>
                <w:right w:val="none" w:sz="0" w:space="0" w:color="auto"/>
              </w:divBdr>
              <w:divsChild>
                <w:div w:id="1699770749">
                  <w:marLeft w:val="0"/>
                  <w:marRight w:val="0"/>
                  <w:marTop w:val="0"/>
                  <w:marBottom w:val="0"/>
                  <w:divBdr>
                    <w:top w:val="none" w:sz="0" w:space="0" w:color="auto"/>
                    <w:left w:val="none" w:sz="0" w:space="0" w:color="auto"/>
                    <w:bottom w:val="none" w:sz="0" w:space="0" w:color="auto"/>
                    <w:right w:val="none" w:sz="0" w:space="0" w:color="auto"/>
                  </w:divBdr>
                  <w:divsChild>
                    <w:div w:id="822157447">
                      <w:marLeft w:val="0"/>
                      <w:marRight w:val="0"/>
                      <w:marTop w:val="300"/>
                      <w:marBottom w:val="0"/>
                      <w:divBdr>
                        <w:top w:val="single" w:sz="6" w:space="0" w:color="DDDDDD"/>
                        <w:left w:val="single" w:sz="6" w:space="0" w:color="DDDDDD"/>
                        <w:bottom w:val="single" w:sz="6" w:space="0" w:color="DDDDDD"/>
                        <w:right w:val="single" w:sz="6" w:space="0" w:color="DDDDDD"/>
                      </w:divBdr>
                      <w:divsChild>
                        <w:div w:id="1348287580">
                          <w:marLeft w:val="0"/>
                          <w:marRight w:val="0"/>
                          <w:marTop w:val="0"/>
                          <w:marBottom w:val="0"/>
                          <w:divBdr>
                            <w:top w:val="none" w:sz="0" w:space="0" w:color="auto"/>
                            <w:left w:val="none" w:sz="0" w:space="0" w:color="auto"/>
                            <w:bottom w:val="none" w:sz="0" w:space="0" w:color="auto"/>
                            <w:right w:val="none" w:sz="0" w:space="0" w:color="auto"/>
                          </w:divBdr>
                          <w:divsChild>
                            <w:div w:id="2100058577">
                              <w:marLeft w:val="0"/>
                              <w:marRight w:val="0"/>
                              <w:marTop w:val="0"/>
                              <w:marBottom w:val="0"/>
                              <w:divBdr>
                                <w:top w:val="none" w:sz="0" w:space="0" w:color="auto"/>
                                <w:left w:val="none" w:sz="0" w:space="0" w:color="auto"/>
                                <w:bottom w:val="none" w:sz="0" w:space="0" w:color="auto"/>
                                <w:right w:val="none" w:sz="0" w:space="0" w:color="auto"/>
                              </w:divBdr>
                              <w:divsChild>
                                <w:div w:id="720860231">
                                  <w:marLeft w:val="0"/>
                                  <w:marRight w:val="0"/>
                                  <w:marTop w:val="0"/>
                                  <w:marBottom w:val="0"/>
                                  <w:divBdr>
                                    <w:top w:val="none" w:sz="0" w:space="0" w:color="auto"/>
                                    <w:left w:val="none" w:sz="0" w:space="0" w:color="auto"/>
                                    <w:bottom w:val="none" w:sz="0" w:space="0" w:color="auto"/>
                                    <w:right w:val="none" w:sz="0" w:space="0" w:color="auto"/>
                                  </w:divBdr>
                                  <w:divsChild>
                                    <w:div w:id="1851218818">
                                      <w:marLeft w:val="0"/>
                                      <w:marRight w:val="0"/>
                                      <w:marTop w:val="0"/>
                                      <w:marBottom w:val="0"/>
                                      <w:divBdr>
                                        <w:top w:val="none" w:sz="0" w:space="0" w:color="auto"/>
                                        <w:left w:val="none" w:sz="0" w:space="0" w:color="auto"/>
                                        <w:bottom w:val="none" w:sz="0" w:space="0" w:color="auto"/>
                                        <w:right w:val="none" w:sz="0" w:space="0" w:color="auto"/>
                                      </w:divBdr>
                                      <w:divsChild>
                                        <w:div w:id="621233296">
                                          <w:marLeft w:val="0"/>
                                          <w:marRight w:val="0"/>
                                          <w:marTop w:val="0"/>
                                          <w:marBottom w:val="0"/>
                                          <w:divBdr>
                                            <w:top w:val="none" w:sz="0" w:space="0" w:color="auto"/>
                                            <w:left w:val="none" w:sz="0" w:space="0" w:color="auto"/>
                                            <w:bottom w:val="none" w:sz="0" w:space="0" w:color="auto"/>
                                            <w:right w:val="none" w:sz="0" w:space="0" w:color="auto"/>
                                          </w:divBdr>
                                          <w:divsChild>
                                            <w:div w:id="1848592360">
                                              <w:marLeft w:val="0"/>
                                              <w:marRight w:val="0"/>
                                              <w:marTop w:val="0"/>
                                              <w:marBottom w:val="0"/>
                                              <w:divBdr>
                                                <w:top w:val="none" w:sz="0" w:space="0" w:color="auto"/>
                                                <w:left w:val="none" w:sz="0" w:space="0" w:color="auto"/>
                                                <w:bottom w:val="none" w:sz="0" w:space="0" w:color="auto"/>
                                                <w:right w:val="none" w:sz="0" w:space="0" w:color="auto"/>
                                              </w:divBdr>
                                              <w:divsChild>
                                                <w:div w:id="179125395">
                                                  <w:marLeft w:val="0"/>
                                                  <w:marRight w:val="0"/>
                                                  <w:marTop w:val="0"/>
                                                  <w:marBottom w:val="0"/>
                                                  <w:divBdr>
                                                    <w:top w:val="none" w:sz="0" w:space="0" w:color="auto"/>
                                                    <w:left w:val="none" w:sz="0" w:space="0" w:color="auto"/>
                                                    <w:bottom w:val="none" w:sz="0" w:space="0" w:color="auto"/>
                                                    <w:right w:val="none" w:sz="0" w:space="0" w:color="auto"/>
                                                  </w:divBdr>
                                                  <w:divsChild>
                                                    <w:div w:id="315651976">
                                                      <w:marLeft w:val="0"/>
                                                      <w:marRight w:val="0"/>
                                                      <w:marTop w:val="0"/>
                                                      <w:marBottom w:val="0"/>
                                                      <w:divBdr>
                                                        <w:top w:val="none" w:sz="0" w:space="0" w:color="auto"/>
                                                        <w:left w:val="none" w:sz="0" w:space="0" w:color="auto"/>
                                                        <w:bottom w:val="none" w:sz="0" w:space="0" w:color="auto"/>
                                                        <w:right w:val="none" w:sz="0" w:space="0" w:color="auto"/>
                                                      </w:divBdr>
                                                    </w:div>
                                                    <w:div w:id="564686756">
                                                      <w:marLeft w:val="0"/>
                                                      <w:marRight w:val="0"/>
                                                      <w:marTop w:val="0"/>
                                                      <w:marBottom w:val="0"/>
                                                      <w:divBdr>
                                                        <w:top w:val="none" w:sz="0" w:space="0" w:color="auto"/>
                                                        <w:left w:val="none" w:sz="0" w:space="0" w:color="auto"/>
                                                        <w:bottom w:val="none" w:sz="0" w:space="0" w:color="auto"/>
                                                        <w:right w:val="none" w:sz="0" w:space="0" w:color="auto"/>
                                                      </w:divBdr>
                                                    </w:div>
                                                    <w:div w:id="1006594723">
                                                      <w:marLeft w:val="0"/>
                                                      <w:marRight w:val="0"/>
                                                      <w:marTop w:val="0"/>
                                                      <w:marBottom w:val="0"/>
                                                      <w:divBdr>
                                                        <w:top w:val="none" w:sz="0" w:space="0" w:color="auto"/>
                                                        <w:left w:val="none" w:sz="0" w:space="0" w:color="auto"/>
                                                        <w:bottom w:val="none" w:sz="0" w:space="0" w:color="auto"/>
                                                        <w:right w:val="none" w:sz="0" w:space="0" w:color="auto"/>
                                                      </w:divBdr>
                                                    </w:div>
                                                    <w:div w:id="1097139189">
                                                      <w:marLeft w:val="0"/>
                                                      <w:marRight w:val="0"/>
                                                      <w:marTop w:val="0"/>
                                                      <w:marBottom w:val="0"/>
                                                      <w:divBdr>
                                                        <w:top w:val="none" w:sz="0" w:space="0" w:color="auto"/>
                                                        <w:left w:val="none" w:sz="0" w:space="0" w:color="auto"/>
                                                        <w:bottom w:val="none" w:sz="0" w:space="0" w:color="auto"/>
                                                        <w:right w:val="none" w:sz="0" w:space="0" w:color="auto"/>
                                                      </w:divBdr>
                                                    </w:div>
                                                    <w:div w:id="14098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053922">
      <w:bodyDiv w:val="1"/>
      <w:marLeft w:val="0"/>
      <w:marRight w:val="0"/>
      <w:marTop w:val="0"/>
      <w:marBottom w:val="0"/>
      <w:divBdr>
        <w:top w:val="none" w:sz="0" w:space="0" w:color="auto"/>
        <w:left w:val="none" w:sz="0" w:space="0" w:color="auto"/>
        <w:bottom w:val="none" w:sz="0" w:space="0" w:color="auto"/>
        <w:right w:val="none" w:sz="0" w:space="0" w:color="auto"/>
      </w:divBdr>
      <w:divsChild>
        <w:div w:id="173690174">
          <w:marLeft w:val="0"/>
          <w:marRight w:val="0"/>
          <w:marTop w:val="0"/>
          <w:marBottom w:val="0"/>
          <w:divBdr>
            <w:top w:val="none" w:sz="0" w:space="0" w:color="auto"/>
            <w:left w:val="none" w:sz="0" w:space="0" w:color="auto"/>
            <w:bottom w:val="none" w:sz="0" w:space="0" w:color="auto"/>
            <w:right w:val="none" w:sz="0" w:space="0" w:color="auto"/>
          </w:divBdr>
          <w:divsChild>
            <w:div w:id="203635222">
              <w:marLeft w:val="0"/>
              <w:marRight w:val="0"/>
              <w:marTop w:val="0"/>
              <w:marBottom w:val="0"/>
              <w:divBdr>
                <w:top w:val="none" w:sz="0" w:space="0" w:color="auto"/>
                <w:left w:val="none" w:sz="0" w:space="0" w:color="auto"/>
                <w:bottom w:val="none" w:sz="0" w:space="0" w:color="auto"/>
                <w:right w:val="none" w:sz="0" w:space="0" w:color="auto"/>
              </w:divBdr>
              <w:divsChild>
                <w:div w:id="440534053">
                  <w:marLeft w:val="0"/>
                  <w:marRight w:val="0"/>
                  <w:marTop w:val="0"/>
                  <w:marBottom w:val="0"/>
                  <w:divBdr>
                    <w:top w:val="none" w:sz="0" w:space="0" w:color="auto"/>
                    <w:left w:val="none" w:sz="0" w:space="0" w:color="auto"/>
                    <w:bottom w:val="none" w:sz="0" w:space="0" w:color="auto"/>
                    <w:right w:val="none" w:sz="0" w:space="0" w:color="auto"/>
                  </w:divBdr>
                  <w:divsChild>
                    <w:div w:id="8602042">
                      <w:marLeft w:val="0"/>
                      <w:marRight w:val="0"/>
                      <w:marTop w:val="0"/>
                      <w:marBottom w:val="0"/>
                      <w:divBdr>
                        <w:top w:val="none" w:sz="0" w:space="0" w:color="auto"/>
                        <w:left w:val="none" w:sz="0" w:space="0" w:color="auto"/>
                        <w:bottom w:val="none" w:sz="0" w:space="0" w:color="auto"/>
                        <w:right w:val="none" w:sz="0" w:space="0" w:color="auto"/>
                      </w:divBdr>
                      <w:divsChild>
                        <w:div w:id="1278634722">
                          <w:marLeft w:val="0"/>
                          <w:marRight w:val="0"/>
                          <w:marTop w:val="0"/>
                          <w:marBottom w:val="0"/>
                          <w:divBdr>
                            <w:top w:val="none" w:sz="0" w:space="0" w:color="auto"/>
                            <w:left w:val="none" w:sz="0" w:space="0" w:color="auto"/>
                            <w:bottom w:val="none" w:sz="0" w:space="0" w:color="auto"/>
                            <w:right w:val="none" w:sz="0" w:space="0" w:color="auto"/>
                          </w:divBdr>
                          <w:divsChild>
                            <w:div w:id="1934901491">
                              <w:marLeft w:val="0"/>
                              <w:marRight w:val="0"/>
                              <w:marTop w:val="0"/>
                              <w:marBottom w:val="0"/>
                              <w:divBdr>
                                <w:top w:val="none" w:sz="0" w:space="0" w:color="auto"/>
                                <w:left w:val="none" w:sz="0" w:space="0" w:color="auto"/>
                                <w:bottom w:val="none" w:sz="0" w:space="0" w:color="auto"/>
                                <w:right w:val="none" w:sz="0" w:space="0" w:color="auto"/>
                              </w:divBdr>
                              <w:divsChild>
                                <w:div w:id="882979883">
                                  <w:marLeft w:val="0"/>
                                  <w:marRight w:val="0"/>
                                  <w:marTop w:val="0"/>
                                  <w:marBottom w:val="0"/>
                                  <w:divBdr>
                                    <w:top w:val="none" w:sz="0" w:space="0" w:color="auto"/>
                                    <w:left w:val="none" w:sz="0" w:space="0" w:color="auto"/>
                                    <w:bottom w:val="none" w:sz="0" w:space="0" w:color="auto"/>
                                    <w:right w:val="none" w:sz="0" w:space="0" w:color="auto"/>
                                  </w:divBdr>
                                  <w:divsChild>
                                    <w:div w:id="1881817467">
                                      <w:marLeft w:val="0"/>
                                      <w:marRight w:val="0"/>
                                      <w:marTop w:val="0"/>
                                      <w:marBottom w:val="0"/>
                                      <w:divBdr>
                                        <w:top w:val="none" w:sz="0" w:space="0" w:color="auto"/>
                                        <w:left w:val="none" w:sz="0" w:space="0" w:color="auto"/>
                                        <w:bottom w:val="none" w:sz="0" w:space="0" w:color="auto"/>
                                        <w:right w:val="none" w:sz="0" w:space="0" w:color="auto"/>
                                      </w:divBdr>
                                      <w:divsChild>
                                        <w:div w:id="1402363853">
                                          <w:marLeft w:val="0"/>
                                          <w:marRight w:val="0"/>
                                          <w:marTop w:val="0"/>
                                          <w:marBottom w:val="0"/>
                                          <w:divBdr>
                                            <w:top w:val="none" w:sz="0" w:space="0" w:color="auto"/>
                                            <w:left w:val="none" w:sz="0" w:space="0" w:color="auto"/>
                                            <w:bottom w:val="none" w:sz="0" w:space="0" w:color="auto"/>
                                            <w:right w:val="none" w:sz="0" w:space="0" w:color="auto"/>
                                          </w:divBdr>
                                          <w:divsChild>
                                            <w:div w:id="459307265">
                                              <w:marLeft w:val="0"/>
                                              <w:marRight w:val="0"/>
                                              <w:marTop w:val="0"/>
                                              <w:marBottom w:val="495"/>
                                              <w:divBdr>
                                                <w:top w:val="none" w:sz="0" w:space="0" w:color="auto"/>
                                                <w:left w:val="none" w:sz="0" w:space="0" w:color="auto"/>
                                                <w:bottom w:val="none" w:sz="0" w:space="0" w:color="auto"/>
                                                <w:right w:val="none" w:sz="0" w:space="0" w:color="auto"/>
                                              </w:divBdr>
                                              <w:divsChild>
                                                <w:div w:id="12975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891615">
      <w:bodyDiv w:val="1"/>
      <w:marLeft w:val="0"/>
      <w:marRight w:val="0"/>
      <w:marTop w:val="0"/>
      <w:marBottom w:val="0"/>
      <w:divBdr>
        <w:top w:val="none" w:sz="0" w:space="0" w:color="auto"/>
        <w:left w:val="none" w:sz="0" w:space="0" w:color="auto"/>
        <w:bottom w:val="none" w:sz="0" w:space="0" w:color="auto"/>
        <w:right w:val="none" w:sz="0" w:space="0" w:color="auto"/>
      </w:divBdr>
      <w:divsChild>
        <w:div w:id="1856191518">
          <w:marLeft w:val="0"/>
          <w:marRight w:val="0"/>
          <w:marTop w:val="0"/>
          <w:marBottom w:val="0"/>
          <w:divBdr>
            <w:top w:val="none" w:sz="0" w:space="0" w:color="auto"/>
            <w:left w:val="none" w:sz="0" w:space="0" w:color="auto"/>
            <w:bottom w:val="none" w:sz="0" w:space="0" w:color="auto"/>
            <w:right w:val="none" w:sz="0" w:space="0" w:color="auto"/>
          </w:divBdr>
          <w:divsChild>
            <w:div w:id="855538576">
              <w:marLeft w:val="0"/>
              <w:marRight w:val="0"/>
              <w:marTop w:val="0"/>
              <w:marBottom w:val="0"/>
              <w:divBdr>
                <w:top w:val="none" w:sz="0" w:space="0" w:color="auto"/>
                <w:left w:val="none" w:sz="0" w:space="0" w:color="auto"/>
                <w:bottom w:val="none" w:sz="0" w:space="0" w:color="auto"/>
                <w:right w:val="none" w:sz="0" w:space="0" w:color="auto"/>
              </w:divBdr>
              <w:divsChild>
                <w:div w:id="1177503884">
                  <w:marLeft w:val="0"/>
                  <w:marRight w:val="0"/>
                  <w:marTop w:val="0"/>
                  <w:marBottom w:val="0"/>
                  <w:divBdr>
                    <w:top w:val="none" w:sz="0" w:space="0" w:color="auto"/>
                    <w:left w:val="none" w:sz="0" w:space="0" w:color="auto"/>
                    <w:bottom w:val="none" w:sz="0" w:space="0" w:color="auto"/>
                    <w:right w:val="none" w:sz="0" w:space="0" w:color="auto"/>
                  </w:divBdr>
                  <w:divsChild>
                    <w:div w:id="733506476">
                      <w:marLeft w:val="0"/>
                      <w:marRight w:val="0"/>
                      <w:marTop w:val="0"/>
                      <w:marBottom w:val="0"/>
                      <w:divBdr>
                        <w:top w:val="none" w:sz="0" w:space="0" w:color="auto"/>
                        <w:left w:val="none" w:sz="0" w:space="0" w:color="auto"/>
                        <w:bottom w:val="none" w:sz="0" w:space="0" w:color="auto"/>
                        <w:right w:val="none" w:sz="0" w:space="0" w:color="auto"/>
                      </w:divBdr>
                      <w:divsChild>
                        <w:div w:id="2091462400">
                          <w:marLeft w:val="0"/>
                          <w:marRight w:val="0"/>
                          <w:marTop w:val="0"/>
                          <w:marBottom w:val="0"/>
                          <w:divBdr>
                            <w:top w:val="none" w:sz="0" w:space="0" w:color="auto"/>
                            <w:left w:val="none" w:sz="0" w:space="0" w:color="auto"/>
                            <w:bottom w:val="none" w:sz="0" w:space="0" w:color="auto"/>
                            <w:right w:val="none" w:sz="0" w:space="0" w:color="auto"/>
                          </w:divBdr>
                          <w:divsChild>
                            <w:div w:id="852376416">
                              <w:marLeft w:val="0"/>
                              <w:marRight w:val="0"/>
                              <w:marTop w:val="0"/>
                              <w:marBottom w:val="0"/>
                              <w:divBdr>
                                <w:top w:val="none" w:sz="0" w:space="0" w:color="auto"/>
                                <w:left w:val="none" w:sz="0" w:space="0" w:color="auto"/>
                                <w:bottom w:val="none" w:sz="0" w:space="0" w:color="auto"/>
                                <w:right w:val="none" w:sz="0" w:space="0" w:color="auto"/>
                              </w:divBdr>
                              <w:divsChild>
                                <w:div w:id="41105372">
                                  <w:marLeft w:val="0"/>
                                  <w:marRight w:val="0"/>
                                  <w:marTop w:val="0"/>
                                  <w:marBottom w:val="0"/>
                                  <w:divBdr>
                                    <w:top w:val="none" w:sz="0" w:space="0" w:color="auto"/>
                                    <w:left w:val="none" w:sz="0" w:space="0" w:color="auto"/>
                                    <w:bottom w:val="none" w:sz="0" w:space="0" w:color="auto"/>
                                    <w:right w:val="none" w:sz="0" w:space="0" w:color="auto"/>
                                  </w:divBdr>
                                </w:div>
                                <w:div w:id="217055735">
                                  <w:marLeft w:val="0"/>
                                  <w:marRight w:val="0"/>
                                  <w:marTop w:val="0"/>
                                  <w:marBottom w:val="0"/>
                                  <w:divBdr>
                                    <w:top w:val="none" w:sz="0" w:space="0" w:color="auto"/>
                                    <w:left w:val="none" w:sz="0" w:space="0" w:color="auto"/>
                                    <w:bottom w:val="none" w:sz="0" w:space="0" w:color="auto"/>
                                    <w:right w:val="none" w:sz="0" w:space="0" w:color="auto"/>
                                  </w:divBdr>
                                </w:div>
                                <w:div w:id="1966614275">
                                  <w:marLeft w:val="0"/>
                                  <w:marRight w:val="0"/>
                                  <w:marTop w:val="0"/>
                                  <w:marBottom w:val="0"/>
                                  <w:divBdr>
                                    <w:top w:val="none" w:sz="0" w:space="0" w:color="auto"/>
                                    <w:left w:val="none" w:sz="0" w:space="0" w:color="auto"/>
                                    <w:bottom w:val="none" w:sz="0" w:space="0" w:color="auto"/>
                                    <w:right w:val="none" w:sz="0" w:space="0" w:color="auto"/>
                                  </w:divBdr>
                                </w:div>
                                <w:div w:id="989283870">
                                  <w:marLeft w:val="0"/>
                                  <w:marRight w:val="0"/>
                                  <w:marTop w:val="0"/>
                                  <w:marBottom w:val="0"/>
                                  <w:divBdr>
                                    <w:top w:val="none" w:sz="0" w:space="0" w:color="auto"/>
                                    <w:left w:val="none" w:sz="0" w:space="0" w:color="auto"/>
                                    <w:bottom w:val="none" w:sz="0" w:space="0" w:color="auto"/>
                                    <w:right w:val="none" w:sz="0" w:space="0" w:color="auto"/>
                                  </w:divBdr>
                                </w:div>
                                <w:div w:id="367030994">
                                  <w:marLeft w:val="0"/>
                                  <w:marRight w:val="0"/>
                                  <w:marTop w:val="0"/>
                                  <w:marBottom w:val="0"/>
                                  <w:divBdr>
                                    <w:top w:val="none" w:sz="0" w:space="0" w:color="auto"/>
                                    <w:left w:val="none" w:sz="0" w:space="0" w:color="auto"/>
                                    <w:bottom w:val="none" w:sz="0" w:space="0" w:color="auto"/>
                                    <w:right w:val="none" w:sz="0" w:space="0" w:color="auto"/>
                                  </w:divBdr>
                                </w:div>
                                <w:div w:id="120880645">
                                  <w:marLeft w:val="0"/>
                                  <w:marRight w:val="0"/>
                                  <w:marTop w:val="0"/>
                                  <w:marBottom w:val="0"/>
                                  <w:divBdr>
                                    <w:top w:val="none" w:sz="0" w:space="0" w:color="auto"/>
                                    <w:left w:val="none" w:sz="0" w:space="0" w:color="auto"/>
                                    <w:bottom w:val="none" w:sz="0" w:space="0" w:color="auto"/>
                                    <w:right w:val="none" w:sz="0" w:space="0" w:color="auto"/>
                                  </w:divBdr>
                                </w:div>
                                <w:div w:id="639305688">
                                  <w:marLeft w:val="0"/>
                                  <w:marRight w:val="0"/>
                                  <w:marTop w:val="0"/>
                                  <w:marBottom w:val="0"/>
                                  <w:divBdr>
                                    <w:top w:val="none" w:sz="0" w:space="0" w:color="auto"/>
                                    <w:left w:val="none" w:sz="0" w:space="0" w:color="auto"/>
                                    <w:bottom w:val="none" w:sz="0" w:space="0" w:color="auto"/>
                                    <w:right w:val="none" w:sz="0" w:space="0" w:color="auto"/>
                                  </w:divBdr>
                                </w:div>
                                <w:div w:id="1949120347">
                                  <w:marLeft w:val="0"/>
                                  <w:marRight w:val="0"/>
                                  <w:marTop w:val="0"/>
                                  <w:marBottom w:val="0"/>
                                  <w:divBdr>
                                    <w:top w:val="none" w:sz="0" w:space="0" w:color="auto"/>
                                    <w:left w:val="none" w:sz="0" w:space="0" w:color="auto"/>
                                    <w:bottom w:val="none" w:sz="0" w:space="0" w:color="auto"/>
                                    <w:right w:val="none" w:sz="0" w:space="0" w:color="auto"/>
                                  </w:divBdr>
                                </w:div>
                                <w:div w:id="761682866">
                                  <w:marLeft w:val="0"/>
                                  <w:marRight w:val="0"/>
                                  <w:marTop w:val="0"/>
                                  <w:marBottom w:val="0"/>
                                  <w:divBdr>
                                    <w:top w:val="none" w:sz="0" w:space="0" w:color="auto"/>
                                    <w:left w:val="none" w:sz="0" w:space="0" w:color="auto"/>
                                    <w:bottom w:val="none" w:sz="0" w:space="0" w:color="auto"/>
                                    <w:right w:val="none" w:sz="0" w:space="0" w:color="auto"/>
                                  </w:divBdr>
                                </w:div>
                                <w:div w:id="17897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546889">
      <w:bodyDiv w:val="1"/>
      <w:marLeft w:val="0"/>
      <w:marRight w:val="0"/>
      <w:marTop w:val="0"/>
      <w:marBottom w:val="0"/>
      <w:divBdr>
        <w:top w:val="none" w:sz="0" w:space="0" w:color="auto"/>
        <w:left w:val="none" w:sz="0" w:space="0" w:color="auto"/>
        <w:bottom w:val="none" w:sz="0" w:space="0" w:color="auto"/>
        <w:right w:val="none" w:sz="0" w:space="0" w:color="auto"/>
      </w:divBdr>
    </w:div>
    <w:div w:id="2039810807">
      <w:bodyDiv w:val="1"/>
      <w:marLeft w:val="0"/>
      <w:marRight w:val="0"/>
      <w:marTop w:val="0"/>
      <w:marBottom w:val="0"/>
      <w:divBdr>
        <w:top w:val="none" w:sz="0" w:space="0" w:color="auto"/>
        <w:left w:val="none" w:sz="0" w:space="0" w:color="auto"/>
        <w:bottom w:val="none" w:sz="0" w:space="0" w:color="auto"/>
        <w:right w:val="none" w:sz="0" w:space="0" w:color="auto"/>
      </w:divBdr>
    </w:div>
    <w:div w:id="2058703714">
      <w:bodyDiv w:val="1"/>
      <w:marLeft w:val="0"/>
      <w:marRight w:val="0"/>
      <w:marTop w:val="0"/>
      <w:marBottom w:val="0"/>
      <w:divBdr>
        <w:top w:val="none" w:sz="0" w:space="0" w:color="auto"/>
        <w:left w:val="none" w:sz="0" w:space="0" w:color="auto"/>
        <w:bottom w:val="none" w:sz="0" w:space="0" w:color="auto"/>
        <w:right w:val="none" w:sz="0" w:space="0" w:color="auto"/>
      </w:divBdr>
    </w:div>
    <w:div w:id="2063747225">
      <w:bodyDiv w:val="1"/>
      <w:marLeft w:val="0"/>
      <w:marRight w:val="0"/>
      <w:marTop w:val="0"/>
      <w:marBottom w:val="0"/>
      <w:divBdr>
        <w:top w:val="none" w:sz="0" w:space="0" w:color="auto"/>
        <w:left w:val="none" w:sz="0" w:space="0" w:color="auto"/>
        <w:bottom w:val="none" w:sz="0" w:space="0" w:color="auto"/>
        <w:right w:val="none" w:sz="0" w:space="0" w:color="auto"/>
      </w:divBdr>
      <w:divsChild>
        <w:div w:id="194539573">
          <w:marLeft w:val="0"/>
          <w:marRight w:val="0"/>
          <w:marTop w:val="0"/>
          <w:marBottom w:val="0"/>
          <w:divBdr>
            <w:top w:val="none" w:sz="0" w:space="0" w:color="auto"/>
            <w:left w:val="none" w:sz="0" w:space="0" w:color="auto"/>
            <w:bottom w:val="none" w:sz="0" w:space="0" w:color="auto"/>
            <w:right w:val="none" w:sz="0" w:space="0" w:color="auto"/>
          </w:divBdr>
          <w:divsChild>
            <w:div w:id="671570293">
              <w:marLeft w:val="0"/>
              <w:marRight w:val="0"/>
              <w:marTop w:val="0"/>
              <w:marBottom w:val="0"/>
              <w:divBdr>
                <w:top w:val="none" w:sz="0" w:space="0" w:color="auto"/>
                <w:left w:val="none" w:sz="0" w:space="0" w:color="auto"/>
                <w:bottom w:val="none" w:sz="0" w:space="0" w:color="auto"/>
                <w:right w:val="none" w:sz="0" w:space="0" w:color="auto"/>
              </w:divBdr>
              <w:divsChild>
                <w:div w:id="1532958959">
                  <w:marLeft w:val="0"/>
                  <w:marRight w:val="0"/>
                  <w:marTop w:val="0"/>
                  <w:marBottom w:val="0"/>
                  <w:divBdr>
                    <w:top w:val="none" w:sz="0" w:space="0" w:color="auto"/>
                    <w:left w:val="none" w:sz="0" w:space="0" w:color="auto"/>
                    <w:bottom w:val="none" w:sz="0" w:space="0" w:color="auto"/>
                    <w:right w:val="none" w:sz="0" w:space="0" w:color="auto"/>
                  </w:divBdr>
                  <w:divsChild>
                    <w:div w:id="787235056">
                      <w:marLeft w:val="0"/>
                      <w:marRight w:val="0"/>
                      <w:marTop w:val="0"/>
                      <w:marBottom w:val="0"/>
                      <w:divBdr>
                        <w:top w:val="none" w:sz="0" w:space="0" w:color="auto"/>
                        <w:left w:val="none" w:sz="0" w:space="0" w:color="auto"/>
                        <w:bottom w:val="none" w:sz="0" w:space="0" w:color="auto"/>
                        <w:right w:val="none" w:sz="0" w:space="0" w:color="auto"/>
                      </w:divBdr>
                      <w:divsChild>
                        <w:div w:id="1342858378">
                          <w:marLeft w:val="0"/>
                          <w:marRight w:val="0"/>
                          <w:marTop w:val="0"/>
                          <w:marBottom w:val="0"/>
                          <w:divBdr>
                            <w:top w:val="none" w:sz="0" w:space="0" w:color="auto"/>
                            <w:left w:val="none" w:sz="0" w:space="0" w:color="auto"/>
                            <w:bottom w:val="none" w:sz="0" w:space="0" w:color="auto"/>
                            <w:right w:val="none" w:sz="0" w:space="0" w:color="auto"/>
                          </w:divBdr>
                        </w:div>
                      </w:divsChild>
                    </w:div>
                    <w:div w:id="1087381952">
                      <w:marLeft w:val="0"/>
                      <w:marRight w:val="0"/>
                      <w:marTop w:val="0"/>
                      <w:marBottom w:val="0"/>
                      <w:divBdr>
                        <w:top w:val="none" w:sz="0" w:space="0" w:color="auto"/>
                        <w:left w:val="none" w:sz="0" w:space="0" w:color="auto"/>
                        <w:bottom w:val="none" w:sz="0" w:space="0" w:color="auto"/>
                        <w:right w:val="none" w:sz="0" w:space="0" w:color="auto"/>
                      </w:divBdr>
                      <w:divsChild>
                        <w:div w:id="86120700">
                          <w:marLeft w:val="0"/>
                          <w:marRight w:val="0"/>
                          <w:marTop w:val="0"/>
                          <w:marBottom w:val="0"/>
                          <w:divBdr>
                            <w:top w:val="none" w:sz="0" w:space="0" w:color="auto"/>
                            <w:left w:val="none" w:sz="0" w:space="0" w:color="auto"/>
                            <w:bottom w:val="none" w:sz="0" w:space="0" w:color="auto"/>
                            <w:right w:val="none" w:sz="0" w:space="0" w:color="auto"/>
                          </w:divBdr>
                        </w:div>
                        <w:div w:id="880676770">
                          <w:marLeft w:val="0"/>
                          <w:marRight w:val="0"/>
                          <w:marTop w:val="0"/>
                          <w:marBottom w:val="0"/>
                          <w:divBdr>
                            <w:top w:val="none" w:sz="0" w:space="0" w:color="auto"/>
                            <w:left w:val="none" w:sz="0" w:space="0" w:color="auto"/>
                            <w:bottom w:val="none" w:sz="0" w:space="0" w:color="auto"/>
                            <w:right w:val="none" w:sz="0" w:space="0" w:color="auto"/>
                          </w:divBdr>
                        </w:div>
                        <w:div w:id="1847749833">
                          <w:marLeft w:val="0"/>
                          <w:marRight w:val="0"/>
                          <w:marTop w:val="0"/>
                          <w:marBottom w:val="0"/>
                          <w:divBdr>
                            <w:top w:val="none" w:sz="0" w:space="0" w:color="auto"/>
                            <w:left w:val="none" w:sz="0" w:space="0" w:color="auto"/>
                            <w:bottom w:val="none" w:sz="0" w:space="0" w:color="auto"/>
                            <w:right w:val="none" w:sz="0" w:space="0" w:color="auto"/>
                          </w:divBdr>
                          <w:divsChild>
                            <w:div w:id="2293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3456">
                      <w:marLeft w:val="0"/>
                      <w:marRight w:val="0"/>
                      <w:marTop w:val="0"/>
                      <w:marBottom w:val="0"/>
                      <w:divBdr>
                        <w:top w:val="none" w:sz="0" w:space="0" w:color="auto"/>
                        <w:left w:val="none" w:sz="0" w:space="0" w:color="auto"/>
                        <w:bottom w:val="none" w:sz="0" w:space="0" w:color="auto"/>
                        <w:right w:val="none" w:sz="0" w:space="0" w:color="auto"/>
                      </w:divBdr>
                    </w:div>
                    <w:div w:id="1520776612">
                      <w:marLeft w:val="0"/>
                      <w:marRight w:val="0"/>
                      <w:marTop w:val="0"/>
                      <w:marBottom w:val="0"/>
                      <w:divBdr>
                        <w:top w:val="none" w:sz="0" w:space="0" w:color="auto"/>
                        <w:left w:val="none" w:sz="0" w:space="0" w:color="auto"/>
                        <w:bottom w:val="none" w:sz="0" w:space="0" w:color="auto"/>
                        <w:right w:val="none" w:sz="0" w:space="0" w:color="auto"/>
                      </w:divBdr>
                      <w:divsChild>
                        <w:div w:id="208498889">
                          <w:marLeft w:val="0"/>
                          <w:marRight w:val="0"/>
                          <w:marTop w:val="0"/>
                          <w:marBottom w:val="0"/>
                          <w:divBdr>
                            <w:top w:val="none" w:sz="0" w:space="0" w:color="auto"/>
                            <w:left w:val="none" w:sz="0" w:space="0" w:color="auto"/>
                            <w:bottom w:val="none" w:sz="0" w:space="0" w:color="auto"/>
                            <w:right w:val="none" w:sz="0" w:space="0" w:color="auto"/>
                          </w:divBdr>
                        </w:div>
                        <w:div w:id="675419595">
                          <w:marLeft w:val="0"/>
                          <w:marRight w:val="0"/>
                          <w:marTop w:val="0"/>
                          <w:marBottom w:val="0"/>
                          <w:divBdr>
                            <w:top w:val="none" w:sz="0" w:space="0" w:color="auto"/>
                            <w:left w:val="none" w:sz="0" w:space="0" w:color="auto"/>
                            <w:bottom w:val="none" w:sz="0" w:space="0" w:color="auto"/>
                            <w:right w:val="none" w:sz="0" w:space="0" w:color="auto"/>
                          </w:divBdr>
                        </w:div>
                        <w:div w:id="1026129175">
                          <w:marLeft w:val="0"/>
                          <w:marRight w:val="0"/>
                          <w:marTop w:val="0"/>
                          <w:marBottom w:val="0"/>
                          <w:divBdr>
                            <w:top w:val="none" w:sz="0" w:space="0" w:color="auto"/>
                            <w:left w:val="none" w:sz="0" w:space="0" w:color="auto"/>
                            <w:bottom w:val="none" w:sz="0" w:space="0" w:color="auto"/>
                            <w:right w:val="none" w:sz="0" w:space="0" w:color="auto"/>
                          </w:divBdr>
                          <w:divsChild>
                            <w:div w:id="153107284">
                              <w:marLeft w:val="0"/>
                              <w:marRight w:val="0"/>
                              <w:marTop w:val="0"/>
                              <w:marBottom w:val="0"/>
                              <w:divBdr>
                                <w:top w:val="none" w:sz="0" w:space="0" w:color="auto"/>
                                <w:left w:val="none" w:sz="0" w:space="0" w:color="auto"/>
                                <w:bottom w:val="none" w:sz="0" w:space="0" w:color="auto"/>
                                <w:right w:val="none" w:sz="0" w:space="0" w:color="auto"/>
                              </w:divBdr>
                            </w:div>
                            <w:div w:id="382993397">
                              <w:marLeft w:val="0"/>
                              <w:marRight w:val="0"/>
                              <w:marTop w:val="0"/>
                              <w:marBottom w:val="0"/>
                              <w:divBdr>
                                <w:top w:val="none" w:sz="0" w:space="0" w:color="auto"/>
                                <w:left w:val="none" w:sz="0" w:space="0" w:color="auto"/>
                                <w:bottom w:val="none" w:sz="0" w:space="0" w:color="auto"/>
                                <w:right w:val="none" w:sz="0" w:space="0" w:color="auto"/>
                              </w:divBdr>
                            </w:div>
                            <w:div w:id="14017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937567">
          <w:marLeft w:val="0"/>
          <w:marRight w:val="0"/>
          <w:marTop w:val="0"/>
          <w:marBottom w:val="0"/>
          <w:divBdr>
            <w:top w:val="none" w:sz="0" w:space="0" w:color="auto"/>
            <w:left w:val="none" w:sz="0" w:space="0" w:color="auto"/>
            <w:bottom w:val="none" w:sz="0" w:space="0" w:color="auto"/>
            <w:right w:val="none" w:sz="0" w:space="0" w:color="auto"/>
          </w:divBdr>
          <w:divsChild>
            <w:div w:id="345791042">
              <w:marLeft w:val="0"/>
              <w:marRight w:val="0"/>
              <w:marTop w:val="0"/>
              <w:marBottom w:val="0"/>
              <w:divBdr>
                <w:top w:val="none" w:sz="0" w:space="0" w:color="auto"/>
                <w:left w:val="none" w:sz="0" w:space="0" w:color="auto"/>
                <w:bottom w:val="none" w:sz="0" w:space="0" w:color="auto"/>
                <w:right w:val="none" w:sz="0" w:space="0" w:color="auto"/>
              </w:divBdr>
              <w:divsChild>
                <w:div w:id="14555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4248">
          <w:marLeft w:val="0"/>
          <w:marRight w:val="0"/>
          <w:marTop w:val="0"/>
          <w:marBottom w:val="0"/>
          <w:divBdr>
            <w:top w:val="none" w:sz="0" w:space="0" w:color="auto"/>
            <w:left w:val="none" w:sz="0" w:space="0" w:color="auto"/>
            <w:bottom w:val="none" w:sz="0" w:space="0" w:color="auto"/>
            <w:right w:val="none" w:sz="0" w:space="0" w:color="auto"/>
          </w:divBdr>
          <w:divsChild>
            <w:div w:id="477038638">
              <w:marLeft w:val="0"/>
              <w:marRight w:val="0"/>
              <w:marTop w:val="0"/>
              <w:marBottom w:val="0"/>
              <w:divBdr>
                <w:top w:val="none" w:sz="0" w:space="0" w:color="auto"/>
                <w:left w:val="none" w:sz="0" w:space="0" w:color="auto"/>
                <w:bottom w:val="none" w:sz="0" w:space="0" w:color="auto"/>
                <w:right w:val="none" w:sz="0" w:space="0" w:color="auto"/>
              </w:divBdr>
              <w:divsChild>
                <w:div w:id="222762025">
                  <w:marLeft w:val="0"/>
                  <w:marRight w:val="0"/>
                  <w:marTop w:val="0"/>
                  <w:marBottom w:val="0"/>
                  <w:divBdr>
                    <w:top w:val="none" w:sz="0" w:space="0" w:color="auto"/>
                    <w:left w:val="none" w:sz="0" w:space="0" w:color="auto"/>
                    <w:bottom w:val="none" w:sz="0" w:space="0" w:color="auto"/>
                    <w:right w:val="none" w:sz="0" w:space="0" w:color="auto"/>
                  </w:divBdr>
                  <w:divsChild>
                    <w:div w:id="608124275">
                      <w:marLeft w:val="0"/>
                      <w:marRight w:val="0"/>
                      <w:marTop w:val="0"/>
                      <w:marBottom w:val="0"/>
                      <w:divBdr>
                        <w:top w:val="none" w:sz="0" w:space="0" w:color="auto"/>
                        <w:left w:val="none" w:sz="0" w:space="0" w:color="auto"/>
                        <w:bottom w:val="none" w:sz="0" w:space="0" w:color="auto"/>
                        <w:right w:val="none" w:sz="0" w:space="0" w:color="auto"/>
                      </w:divBdr>
                      <w:divsChild>
                        <w:div w:id="1793741263">
                          <w:marLeft w:val="0"/>
                          <w:marRight w:val="0"/>
                          <w:marTop w:val="0"/>
                          <w:marBottom w:val="0"/>
                          <w:divBdr>
                            <w:top w:val="none" w:sz="0" w:space="0" w:color="auto"/>
                            <w:left w:val="none" w:sz="0" w:space="0" w:color="auto"/>
                            <w:bottom w:val="none" w:sz="0" w:space="0" w:color="auto"/>
                            <w:right w:val="none" w:sz="0" w:space="0" w:color="auto"/>
                          </w:divBdr>
                          <w:divsChild>
                            <w:div w:id="6520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4978">
                      <w:marLeft w:val="0"/>
                      <w:marRight w:val="0"/>
                      <w:marTop w:val="0"/>
                      <w:marBottom w:val="0"/>
                      <w:divBdr>
                        <w:top w:val="none" w:sz="0" w:space="0" w:color="auto"/>
                        <w:left w:val="none" w:sz="0" w:space="0" w:color="auto"/>
                        <w:bottom w:val="none" w:sz="0" w:space="0" w:color="auto"/>
                        <w:right w:val="none" w:sz="0" w:space="0" w:color="auto"/>
                      </w:divBdr>
                    </w:div>
                    <w:div w:id="2134474132">
                      <w:marLeft w:val="0"/>
                      <w:marRight w:val="0"/>
                      <w:marTop w:val="0"/>
                      <w:marBottom w:val="0"/>
                      <w:divBdr>
                        <w:top w:val="none" w:sz="0" w:space="0" w:color="auto"/>
                        <w:left w:val="none" w:sz="0" w:space="0" w:color="auto"/>
                        <w:bottom w:val="none" w:sz="0" w:space="0" w:color="auto"/>
                        <w:right w:val="none" w:sz="0" w:space="0" w:color="auto"/>
                      </w:divBdr>
                    </w:div>
                  </w:divsChild>
                </w:div>
                <w:div w:id="398213984">
                  <w:marLeft w:val="0"/>
                  <w:marRight w:val="0"/>
                  <w:marTop w:val="0"/>
                  <w:marBottom w:val="0"/>
                  <w:divBdr>
                    <w:top w:val="none" w:sz="0" w:space="0" w:color="auto"/>
                    <w:left w:val="none" w:sz="0" w:space="0" w:color="auto"/>
                    <w:bottom w:val="none" w:sz="0" w:space="0" w:color="auto"/>
                    <w:right w:val="none" w:sz="0" w:space="0" w:color="auto"/>
                  </w:divBdr>
                  <w:divsChild>
                    <w:div w:id="1175655796">
                      <w:marLeft w:val="0"/>
                      <w:marRight w:val="0"/>
                      <w:marTop w:val="0"/>
                      <w:marBottom w:val="0"/>
                      <w:divBdr>
                        <w:top w:val="none" w:sz="0" w:space="0" w:color="auto"/>
                        <w:left w:val="none" w:sz="0" w:space="0" w:color="auto"/>
                        <w:bottom w:val="none" w:sz="0" w:space="0" w:color="auto"/>
                        <w:right w:val="none" w:sz="0" w:space="0" w:color="auto"/>
                      </w:divBdr>
                    </w:div>
                    <w:div w:id="1239973103">
                      <w:marLeft w:val="0"/>
                      <w:marRight w:val="0"/>
                      <w:marTop w:val="0"/>
                      <w:marBottom w:val="0"/>
                      <w:divBdr>
                        <w:top w:val="none" w:sz="0" w:space="0" w:color="auto"/>
                        <w:left w:val="none" w:sz="0" w:space="0" w:color="auto"/>
                        <w:bottom w:val="none" w:sz="0" w:space="0" w:color="auto"/>
                        <w:right w:val="none" w:sz="0" w:space="0" w:color="auto"/>
                      </w:divBdr>
                      <w:divsChild>
                        <w:div w:id="1910533016">
                          <w:marLeft w:val="0"/>
                          <w:marRight w:val="0"/>
                          <w:marTop w:val="0"/>
                          <w:marBottom w:val="0"/>
                          <w:divBdr>
                            <w:top w:val="none" w:sz="0" w:space="0" w:color="auto"/>
                            <w:left w:val="none" w:sz="0" w:space="0" w:color="auto"/>
                            <w:bottom w:val="none" w:sz="0" w:space="0" w:color="auto"/>
                            <w:right w:val="none" w:sz="0" w:space="0" w:color="auto"/>
                          </w:divBdr>
                          <w:divsChild>
                            <w:div w:id="5985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4681">
                      <w:marLeft w:val="0"/>
                      <w:marRight w:val="0"/>
                      <w:marTop w:val="0"/>
                      <w:marBottom w:val="0"/>
                      <w:divBdr>
                        <w:top w:val="none" w:sz="0" w:space="0" w:color="auto"/>
                        <w:left w:val="none" w:sz="0" w:space="0" w:color="auto"/>
                        <w:bottom w:val="none" w:sz="0" w:space="0" w:color="auto"/>
                        <w:right w:val="none" w:sz="0" w:space="0" w:color="auto"/>
                      </w:divBdr>
                    </w:div>
                  </w:divsChild>
                </w:div>
                <w:div w:id="545603450">
                  <w:marLeft w:val="0"/>
                  <w:marRight w:val="0"/>
                  <w:marTop w:val="0"/>
                  <w:marBottom w:val="0"/>
                  <w:divBdr>
                    <w:top w:val="none" w:sz="0" w:space="0" w:color="auto"/>
                    <w:left w:val="none" w:sz="0" w:space="0" w:color="auto"/>
                    <w:bottom w:val="none" w:sz="0" w:space="0" w:color="auto"/>
                    <w:right w:val="none" w:sz="0" w:space="0" w:color="auto"/>
                  </w:divBdr>
                  <w:divsChild>
                    <w:div w:id="634795581">
                      <w:marLeft w:val="0"/>
                      <w:marRight w:val="0"/>
                      <w:marTop w:val="0"/>
                      <w:marBottom w:val="0"/>
                      <w:divBdr>
                        <w:top w:val="none" w:sz="0" w:space="0" w:color="auto"/>
                        <w:left w:val="none" w:sz="0" w:space="0" w:color="auto"/>
                        <w:bottom w:val="none" w:sz="0" w:space="0" w:color="auto"/>
                        <w:right w:val="none" w:sz="0" w:space="0" w:color="auto"/>
                      </w:divBdr>
                    </w:div>
                    <w:div w:id="781459229">
                      <w:marLeft w:val="0"/>
                      <w:marRight w:val="0"/>
                      <w:marTop w:val="0"/>
                      <w:marBottom w:val="0"/>
                      <w:divBdr>
                        <w:top w:val="none" w:sz="0" w:space="0" w:color="auto"/>
                        <w:left w:val="none" w:sz="0" w:space="0" w:color="auto"/>
                        <w:bottom w:val="none" w:sz="0" w:space="0" w:color="auto"/>
                        <w:right w:val="none" w:sz="0" w:space="0" w:color="auto"/>
                      </w:divBdr>
                      <w:divsChild>
                        <w:div w:id="1296984339">
                          <w:marLeft w:val="0"/>
                          <w:marRight w:val="0"/>
                          <w:marTop w:val="0"/>
                          <w:marBottom w:val="0"/>
                          <w:divBdr>
                            <w:top w:val="none" w:sz="0" w:space="0" w:color="auto"/>
                            <w:left w:val="none" w:sz="0" w:space="0" w:color="auto"/>
                            <w:bottom w:val="none" w:sz="0" w:space="0" w:color="auto"/>
                            <w:right w:val="none" w:sz="0" w:space="0" w:color="auto"/>
                          </w:divBdr>
                          <w:divsChild>
                            <w:div w:id="13730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2434">
                      <w:marLeft w:val="0"/>
                      <w:marRight w:val="0"/>
                      <w:marTop w:val="0"/>
                      <w:marBottom w:val="0"/>
                      <w:divBdr>
                        <w:top w:val="none" w:sz="0" w:space="0" w:color="auto"/>
                        <w:left w:val="none" w:sz="0" w:space="0" w:color="auto"/>
                        <w:bottom w:val="none" w:sz="0" w:space="0" w:color="auto"/>
                        <w:right w:val="none" w:sz="0" w:space="0" w:color="auto"/>
                      </w:divBdr>
                    </w:div>
                  </w:divsChild>
                </w:div>
                <w:div w:id="1801219494">
                  <w:marLeft w:val="0"/>
                  <w:marRight w:val="0"/>
                  <w:marTop w:val="0"/>
                  <w:marBottom w:val="0"/>
                  <w:divBdr>
                    <w:top w:val="none" w:sz="0" w:space="0" w:color="auto"/>
                    <w:left w:val="none" w:sz="0" w:space="0" w:color="auto"/>
                    <w:bottom w:val="none" w:sz="0" w:space="0" w:color="auto"/>
                    <w:right w:val="none" w:sz="0" w:space="0" w:color="auto"/>
                  </w:divBdr>
                  <w:divsChild>
                    <w:div w:id="44837663">
                      <w:marLeft w:val="0"/>
                      <w:marRight w:val="0"/>
                      <w:marTop w:val="0"/>
                      <w:marBottom w:val="0"/>
                      <w:divBdr>
                        <w:top w:val="none" w:sz="0" w:space="0" w:color="auto"/>
                        <w:left w:val="none" w:sz="0" w:space="0" w:color="auto"/>
                        <w:bottom w:val="none" w:sz="0" w:space="0" w:color="auto"/>
                        <w:right w:val="none" w:sz="0" w:space="0" w:color="auto"/>
                      </w:divBdr>
                      <w:divsChild>
                        <w:div w:id="262417164">
                          <w:marLeft w:val="0"/>
                          <w:marRight w:val="0"/>
                          <w:marTop w:val="0"/>
                          <w:marBottom w:val="0"/>
                          <w:divBdr>
                            <w:top w:val="none" w:sz="0" w:space="0" w:color="auto"/>
                            <w:left w:val="none" w:sz="0" w:space="0" w:color="auto"/>
                            <w:bottom w:val="none" w:sz="0" w:space="0" w:color="auto"/>
                            <w:right w:val="none" w:sz="0" w:space="0" w:color="auto"/>
                          </w:divBdr>
                          <w:divsChild>
                            <w:div w:id="145248877">
                              <w:marLeft w:val="0"/>
                              <w:marRight w:val="0"/>
                              <w:marTop w:val="0"/>
                              <w:marBottom w:val="0"/>
                              <w:divBdr>
                                <w:top w:val="none" w:sz="0" w:space="0" w:color="auto"/>
                                <w:left w:val="none" w:sz="0" w:space="0" w:color="auto"/>
                                <w:bottom w:val="none" w:sz="0" w:space="0" w:color="auto"/>
                                <w:right w:val="none" w:sz="0" w:space="0" w:color="auto"/>
                              </w:divBdr>
                            </w:div>
                            <w:div w:id="10442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5963">
                      <w:marLeft w:val="0"/>
                      <w:marRight w:val="0"/>
                      <w:marTop w:val="0"/>
                      <w:marBottom w:val="0"/>
                      <w:divBdr>
                        <w:top w:val="none" w:sz="0" w:space="0" w:color="auto"/>
                        <w:left w:val="none" w:sz="0" w:space="0" w:color="auto"/>
                        <w:bottom w:val="none" w:sz="0" w:space="0" w:color="auto"/>
                        <w:right w:val="none" w:sz="0" w:space="0" w:color="auto"/>
                      </w:divBdr>
                    </w:div>
                    <w:div w:id="11102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6692">
          <w:marLeft w:val="0"/>
          <w:marRight w:val="0"/>
          <w:marTop w:val="0"/>
          <w:marBottom w:val="0"/>
          <w:divBdr>
            <w:top w:val="none" w:sz="0" w:space="0" w:color="auto"/>
            <w:left w:val="none" w:sz="0" w:space="0" w:color="auto"/>
            <w:bottom w:val="none" w:sz="0" w:space="0" w:color="auto"/>
            <w:right w:val="none" w:sz="0" w:space="0" w:color="auto"/>
          </w:divBdr>
          <w:divsChild>
            <w:div w:id="135996698">
              <w:marLeft w:val="0"/>
              <w:marRight w:val="0"/>
              <w:marTop w:val="0"/>
              <w:marBottom w:val="0"/>
              <w:divBdr>
                <w:top w:val="none" w:sz="0" w:space="0" w:color="auto"/>
                <w:left w:val="none" w:sz="0" w:space="0" w:color="auto"/>
                <w:bottom w:val="none" w:sz="0" w:space="0" w:color="auto"/>
                <w:right w:val="none" w:sz="0" w:space="0" w:color="auto"/>
              </w:divBdr>
              <w:divsChild>
                <w:div w:id="873076254">
                  <w:marLeft w:val="0"/>
                  <w:marRight w:val="0"/>
                  <w:marTop w:val="0"/>
                  <w:marBottom w:val="0"/>
                  <w:divBdr>
                    <w:top w:val="none" w:sz="0" w:space="0" w:color="auto"/>
                    <w:left w:val="none" w:sz="0" w:space="0" w:color="auto"/>
                    <w:bottom w:val="none" w:sz="0" w:space="0" w:color="auto"/>
                    <w:right w:val="none" w:sz="0" w:space="0" w:color="auto"/>
                  </w:divBdr>
                </w:div>
                <w:div w:id="992952911">
                  <w:marLeft w:val="0"/>
                  <w:marRight w:val="0"/>
                  <w:marTop w:val="0"/>
                  <w:marBottom w:val="0"/>
                  <w:divBdr>
                    <w:top w:val="none" w:sz="0" w:space="0" w:color="auto"/>
                    <w:left w:val="none" w:sz="0" w:space="0" w:color="auto"/>
                    <w:bottom w:val="none" w:sz="0" w:space="0" w:color="auto"/>
                    <w:right w:val="none" w:sz="0" w:space="0" w:color="auto"/>
                  </w:divBdr>
                </w:div>
              </w:divsChild>
            </w:div>
            <w:div w:id="387731452">
              <w:marLeft w:val="0"/>
              <w:marRight w:val="0"/>
              <w:marTop w:val="0"/>
              <w:marBottom w:val="0"/>
              <w:divBdr>
                <w:top w:val="none" w:sz="0" w:space="0" w:color="auto"/>
                <w:left w:val="none" w:sz="0" w:space="0" w:color="auto"/>
                <w:bottom w:val="none" w:sz="0" w:space="0" w:color="auto"/>
                <w:right w:val="none" w:sz="0" w:space="0" w:color="auto"/>
              </w:divBdr>
              <w:divsChild>
                <w:div w:id="1626735960">
                  <w:marLeft w:val="0"/>
                  <w:marRight w:val="0"/>
                  <w:marTop w:val="0"/>
                  <w:marBottom w:val="0"/>
                  <w:divBdr>
                    <w:top w:val="none" w:sz="0" w:space="0" w:color="auto"/>
                    <w:left w:val="none" w:sz="0" w:space="0" w:color="auto"/>
                    <w:bottom w:val="none" w:sz="0" w:space="0" w:color="auto"/>
                    <w:right w:val="none" w:sz="0" w:space="0" w:color="auto"/>
                  </w:divBdr>
                </w:div>
                <w:div w:id="1738630625">
                  <w:marLeft w:val="0"/>
                  <w:marRight w:val="0"/>
                  <w:marTop w:val="0"/>
                  <w:marBottom w:val="0"/>
                  <w:divBdr>
                    <w:top w:val="none" w:sz="0" w:space="0" w:color="auto"/>
                    <w:left w:val="none" w:sz="0" w:space="0" w:color="auto"/>
                    <w:bottom w:val="none" w:sz="0" w:space="0" w:color="auto"/>
                    <w:right w:val="none" w:sz="0" w:space="0" w:color="auto"/>
                  </w:divBdr>
                </w:div>
              </w:divsChild>
            </w:div>
            <w:div w:id="667829317">
              <w:marLeft w:val="0"/>
              <w:marRight w:val="0"/>
              <w:marTop w:val="0"/>
              <w:marBottom w:val="0"/>
              <w:divBdr>
                <w:top w:val="none" w:sz="0" w:space="0" w:color="auto"/>
                <w:left w:val="none" w:sz="0" w:space="0" w:color="auto"/>
                <w:bottom w:val="none" w:sz="0" w:space="0" w:color="auto"/>
                <w:right w:val="none" w:sz="0" w:space="0" w:color="auto"/>
              </w:divBdr>
              <w:divsChild>
                <w:div w:id="1856384161">
                  <w:marLeft w:val="0"/>
                  <w:marRight w:val="0"/>
                  <w:marTop w:val="0"/>
                  <w:marBottom w:val="0"/>
                  <w:divBdr>
                    <w:top w:val="none" w:sz="0" w:space="0" w:color="auto"/>
                    <w:left w:val="none" w:sz="0" w:space="0" w:color="auto"/>
                    <w:bottom w:val="none" w:sz="0" w:space="0" w:color="auto"/>
                    <w:right w:val="none" w:sz="0" w:space="0" w:color="auto"/>
                  </w:divBdr>
                </w:div>
              </w:divsChild>
            </w:div>
            <w:div w:id="1018701756">
              <w:marLeft w:val="0"/>
              <w:marRight w:val="0"/>
              <w:marTop w:val="0"/>
              <w:marBottom w:val="0"/>
              <w:divBdr>
                <w:top w:val="none" w:sz="0" w:space="0" w:color="auto"/>
                <w:left w:val="none" w:sz="0" w:space="0" w:color="auto"/>
                <w:bottom w:val="none" w:sz="0" w:space="0" w:color="auto"/>
                <w:right w:val="none" w:sz="0" w:space="0" w:color="auto"/>
              </w:divBdr>
              <w:divsChild>
                <w:div w:id="1508671420">
                  <w:marLeft w:val="0"/>
                  <w:marRight w:val="0"/>
                  <w:marTop w:val="0"/>
                  <w:marBottom w:val="0"/>
                  <w:divBdr>
                    <w:top w:val="none" w:sz="0" w:space="0" w:color="auto"/>
                    <w:left w:val="none" w:sz="0" w:space="0" w:color="auto"/>
                    <w:bottom w:val="none" w:sz="0" w:space="0" w:color="auto"/>
                    <w:right w:val="none" w:sz="0" w:space="0" w:color="auto"/>
                  </w:divBdr>
                </w:div>
                <w:div w:id="1888444371">
                  <w:marLeft w:val="0"/>
                  <w:marRight w:val="0"/>
                  <w:marTop w:val="0"/>
                  <w:marBottom w:val="0"/>
                  <w:divBdr>
                    <w:top w:val="none" w:sz="0" w:space="0" w:color="auto"/>
                    <w:left w:val="none" w:sz="0" w:space="0" w:color="auto"/>
                    <w:bottom w:val="none" w:sz="0" w:space="0" w:color="auto"/>
                    <w:right w:val="none" w:sz="0" w:space="0" w:color="auto"/>
                  </w:divBdr>
                </w:div>
              </w:divsChild>
            </w:div>
            <w:div w:id="1324889291">
              <w:marLeft w:val="0"/>
              <w:marRight w:val="0"/>
              <w:marTop w:val="0"/>
              <w:marBottom w:val="0"/>
              <w:divBdr>
                <w:top w:val="none" w:sz="0" w:space="0" w:color="auto"/>
                <w:left w:val="none" w:sz="0" w:space="0" w:color="auto"/>
                <w:bottom w:val="none" w:sz="0" w:space="0" w:color="auto"/>
                <w:right w:val="none" w:sz="0" w:space="0" w:color="auto"/>
              </w:divBdr>
              <w:divsChild>
                <w:div w:id="359553096">
                  <w:marLeft w:val="0"/>
                  <w:marRight w:val="0"/>
                  <w:marTop w:val="0"/>
                  <w:marBottom w:val="0"/>
                  <w:divBdr>
                    <w:top w:val="none" w:sz="0" w:space="0" w:color="auto"/>
                    <w:left w:val="none" w:sz="0" w:space="0" w:color="auto"/>
                    <w:bottom w:val="none" w:sz="0" w:space="0" w:color="auto"/>
                    <w:right w:val="none" w:sz="0" w:space="0" w:color="auto"/>
                  </w:divBdr>
                </w:div>
                <w:div w:id="8252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50485">
          <w:marLeft w:val="0"/>
          <w:marRight w:val="0"/>
          <w:marTop w:val="0"/>
          <w:marBottom w:val="0"/>
          <w:divBdr>
            <w:top w:val="none" w:sz="0" w:space="0" w:color="auto"/>
            <w:left w:val="none" w:sz="0" w:space="0" w:color="auto"/>
            <w:bottom w:val="none" w:sz="0" w:space="0" w:color="auto"/>
            <w:right w:val="none" w:sz="0" w:space="0" w:color="auto"/>
          </w:divBdr>
          <w:divsChild>
            <w:div w:id="4939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8168">
      <w:bodyDiv w:val="1"/>
      <w:marLeft w:val="0"/>
      <w:marRight w:val="0"/>
      <w:marTop w:val="0"/>
      <w:marBottom w:val="0"/>
      <w:divBdr>
        <w:top w:val="none" w:sz="0" w:space="0" w:color="auto"/>
        <w:left w:val="none" w:sz="0" w:space="0" w:color="auto"/>
        <w:bottom w:val="none" w:sz="0" w:space="0" w:color="auto"/>
        <w:right w:val="none" w:sz="0" w:space="0" w:color="auto"/>
      </w:divBdr>
      <w:divsChild>
        <w:div w:id="297229255">
          <w:marLeft w:val="0"/>
          <w:marRight w:val="0"/>
          <w:marTop w:val="0"/>
          <w:marBottom w:val="0"/>
          <w:divBdr>
            <w:top w:val="none" w:sz="0" w:space="0" w:color="auto"/>
            <w:left w:val="none" w:sz="0" w:space="0" w:color="auto"/>
            <w:bottom w:val="none" w:sz="0" w:space="0" w:color="auto"/>
            <w:right w:val="none" w:sz="0" w:space="0" w:color="auto"/>
          </w:divBdr>
          <w:divsChild>
            <w:div w:id="1543050796">
              <w:marLeft w:val="0"/>
              <w:marRight w:val="0"/>
              <w:marTop w:val="0"/>
              <w:marBottom w:val="0"/>
              <w:divBdr>
                <w:top w:val="none" w:sz="0" w:space="0" w:color="auto"/>
                <w:left w:val="none" w:sz="0" w:space="0" w:color="auto"/>
                <w:bottom w:val="none" w:sz="0" w:space="0" w:color="auto"/>
                <w:right w:val="none" w:sz="0" w:space="0" w:color="auto"/>
              </w:divBdr>
              <w:divsChild>
                <w:div w:id="400062024">
                  <w:marLeft w:val="0"/>
                  <w:marRight w:val="0"/>
                  <w:marTop w:val="0"/>
                  <w:marBottom w:val="0"/>
                  <w:divBdr>
                    <w:top w:val="none" w:sz="0" w:space="0" w:color="auto"/>
                    <w:left w:val="none" w:sz="0" w:space="0" w:color="auto"/>
                    <w:bottom w:val="none" w:sz="0" w:space="0" w:color="auto"/>
                    <w:right w:val="none" w:sz="0" w:space="0" w:color="auto"/>
                  </w:divBdr>
                  <w:divsChild>
                    <w:div w:id="868300014">
                      <w:marLeft w:val="0"/>
                      <w:marRight w:val="0"/>
                      <w:marTop w:val="0"/>
                      <w:marBottom w:val="0"/>
                      <w:divBdr>
                        <w:top w:val="none" w:sz="0" w:space="0" w:color="auto"/>
                        <w:left w:val="none" w:sz="0" w:space="0" w:color="auto"/>
                        <w:bottom w:val="none" w:sz="0" w:space="0" w:color="auto"/>
                        <w:right w:val="none" w:sz="0" w:space="0" w:color="auto"/>
                      </w:divBdr>
                      <w:divsChild>
                        <w:div w:id="1284076557">
                          <w:marLeft w:val="0"/>
                          <w:marRight w:val="0"/>
                          <w:marTop w:val="0"/>
                          <w:marBottom w:val="0"/>
                          <w:divBdr>
                            <w:top w:val="none" w:sz="0" w:space="0" w:color="auto"/>
                            <w:left w:val="none" w:sz="0" w:space="0" w:color="auto"/>
                            <w:bottom w:val="none" w:sz="0" w:space="0" w:color="auto"/>
                            <w:right w:val="none" w:sz="0" w:space="0" w:color="auto"/>
                          </w:divBdr>
                          <w:divsChild>
                            <w:div w:id="1736126599">
                              <w:marLeft w:val="0"/>
                              <w:marRight w:val="0"/>
                              <w:marTop w:val="0"/>
                              <w:marBottom w:val="0"/>
                              <w:divBdr>
                                <w:top w:val="none" w:sz="0" w:space="0" w:color="auto"/>
                                <w:left w:val="none" w:sz="0" w:space="0" w:color="auto"/>
                                <w:bottom w:val="none" w:sz="0" w:space="0" w:color="auto"/>
                                <w:right w:val="none" w:sz="0" w:space="0" w:color="auto"/>
                              </w:divBdr>
                              <w:divsChild>
                                <w:div w:id="1454783521">
                                  <w:marLeft w:val="0"/>
                                  <w:marRight w:val="0"/>
                                  <w:marTop w:val="0"/>
                                  <w:marBottom w:val="0"/>
                                  <w:divBdr>
                                    <w:top w:val="none" w:sz="0" w:space="0" w:color="auto"/>
                                    <w:left w:val="none" w:sz="0" w:space="0" w:color="auto"/>
                                    <w:bottom w:val="none" w:sz="0" w:space="0" w:color="auto"/>
                                    <w:right w:val="none" w:sz="0" w:space="0" w:color="auto"/>
                                  </w:divBdr>
                                  <w:divsChild>
                                    <w:div w:id="348995174">
                                      <w:marLeft w:val="0"/>
                                      <w:marRight w:val="0"/>
                                      <w:marTop w:val="0"/>
                                      <w:marBottom w:val="0"/>
                                      <w:divBdr>
                                        <w:top w:val="none" w:sz="0" w:space="0" w:color="auto"/>
                                        <w:left w:val="none" w:sz="0" w:space="0" w:color="auto"/>
                                        <w:bottom w:val="none" w:sz="0" w:space="0" w:color="auto"/>
                                        <w:right w:val="none" w:sz="0" w:space="0" w:color="auto"/>
                                      </w:divBdr>
                                      <w:divsChild>
                                        <w:div w:id="1853757572">
                                          <w:marLeft w:val="0"/>
                                          <w:marRight w:val="0"/>
                                          <w:marTop w:val="0"/>
                                          <w:marBottom w:val="495"/>
                                          <w:divBdr>
                                            <w:top w:val="none" w:sz="0" w:space="0" w:color="auto"/>
                                            <w:left w:val="none" w:sz="0" w:space="0" w:color="auto"/>
                                            <w:bottom w:val="none" w:sz="0" w:space="0" w:color="auto"/>
                                            <w:right w:val="none" w:sz="0" w:space="0" w:color="auto"/>
                                          </w:divBdr>
                                          <w:divsChild>
                                            <w:div w:id="8357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316572">
      <w:bodyDiv w:val="1"/>
      <w:marLeft w:val="0"/>
      <w:marRight w:val="0"/>
      <w:marTop w:val="0"/>
      <w:marBottom w:val="0"/>
      <w:divBdr>
        <w:top w:val="none" w:sz="0" w:space="0" w:color="auto"/>
        <w:left w:val="none" w:sz="0" w:space="0" w:color="auto"/>
        <w:bottom w:val="none" w:sz="0" w:space="0" w:color="auto"/>
        <w:right w:val="none" w:sz="0" w:space="0" w:color="auto"/>
      </w:divBdr>
    </w:div>
    <w:div w:id="2118521943">
      <w:bodyDiv w:val="1"/>
      <w:marLeft w:val="0"/>
      <w:marRight w:val="0"/>
      <w:marTop w:val="0"/>
      <w:marBottom w:val="0"/>
      <w:divBdr>
        <w:top w:val="none" w:sz="0" w:space="0" w:color="auto"/>
        <w:left w:val="none" w:sz="0" w:space="0" w:color="auto"/>
        <w:bottom w:val="none" w:sz="0" w:space="0" w:color="auto"/>
        <w:right w:val="none" w:sz="0" w:space="0" w:color="auto"/>
      </w:divBdr>
    </w:div>
    <w:div w:id="2124375091">
      <w:bodyDiv w:val="1"/>
      <w:marLeft w:val="0"/>
      <w:marRight w:val="0"/>
      <w:marTop w:val="0"/>
      <w:marBottom w:val="0"/>
      <w:divBdr>
        <w:top w:val="none" w:sz="0" w:space="0" w:color="auto"/>
        <w:left w:val="none" w:sz="0" w:space="0" w:color="auto"/>
        <w:bottom w:val="none" w:sz="0" w:space="0" w:color="auto"/>
        <w:right w:val="none" w:sz="0" w:space="0" w:color="auto"/>
      </w:divBdr>
      <w:divsChild>
        <w:div w:id="1282496675">
          <w:marLeft w:val="0"/>
          <w:marRight w:val="0"/>
          <w:marTop w:val="0"/>
          <w:marBottom w:val="0"/>
          <w:divBdr>
            <w:top w:val="none" w:sz="0" w:space="0" w:color="auto"/>
            <w:left w:val="none" w:sz="0" w:space="0" w:color="auto"/>
            <w:bottom w:val="none" w:sz="0" w:space="0" w:color="auto"/>
            <w:right w:val="none" w:sz="0" w:space="0" w:color="auto"/>
          </w:divBdr>
        </w:div>
      </w:divsChild>
    </w:div>
    <w:div w:id="2126659077">
      <w:bodyDiv w:val="1"/>
      <w:marLeft w:val="0"/>
      <w:marRight w:val="0"/>
      <w:marTop w:val="0"/>
      <w:marBottom w:val="0"/>
      <w:divBdr>
        <w:top w:val="none" w:sz="0" w:space="0" w:color="auto"/>
        <w:left w:val="none" w:sz="0" w:space="0" w:color="auto"/>
        <w:bottom w:val="none" w:sz="0" w:space="0" w:color="auto"/>
        <w:right w:val="none" w:sz="0" w:space="0" w:color="auto"/>
      </w:divBdr>
      <w:divsChild>
        <w:div w:id="407115918">
          <w:marLeft w:val="0"/>
          <w:marRight w:val="0"/>
          <w:marTop w:val="0"/>
          <w:marBottom w:val="0"/>
          <w:divBdr>
            <w:top w:val="none" w:sz="0" w:space="0" w:color="auto"/>
            <w:left w:val="none" w:sz="0" w:space="0" w:color="auto"/>
            <w:bottom w:val="none" w:sz="0" w:space="0" w:color="auto"/>
            <w:right w:val="none" w:sz="0" w:space="0" w:color="auto"/>
          </w:divBdr>
          <w:divsChild>
            <w:div w:id="837843960">
              <w:marLeft w:val="0"/>
              <w:marRight w:val="0"/>
              <w:marTop w:val="0"/>
              <w:marBottom w:val="0"/>
              <w:divBdr>
                <w:top w:val="none" w:sz="0" w:space="0" w:color="auto"/>
                <w:left w:val="none" w:sz="0" w:space="0" w:color="auto"/>
                <w:bottom w:val="none" w:sz="0" w:space="0" w:color="auto"/>
                <w:right w:val="none" w:sz="0" w:space="0" w:color="auto"/>
              </w:divBdr>
              <w:divsChild>
                <w:div w:id="1279334116">
                  <w:marLeft w:val="0"/>
                  <w:marRight w:val="0"/>
                  <w:marTop w:val="0"/>
                  <w:marBottom w:val="0"/>
                  <w:divBdr>
                    <w:top w:val="none" w:sz="0" w:space="0" w:color="auto"/>
                    <w:left w:val="none" w:sz="0" w:space="0" w:color="auto"/>
                    <w:bottom w:val="none" w:sz="0" w:space="0" w:color="auto"/>
                    <w:right w:val="none" w:sz="0" w:space="0" w:color="auto"/>
                  </w:divBdr>
                  <w:divsChild>
                    <w:div w:id="1232960326">
                      <w:marLeft w:val="0"/>
                      <w:marRight w:val="0"/>
                      <w:marTop w:val="300"/>
                      <w:marBottom w:val="0"/>
                      <w:divBdr>
                        <w:top w:val="single" w:sz="6" w:space="0" w:color="DDDDDD"/>
                        <w:left w:val="single" w:sz="6" w:space="0" w:color="DDDDDD"/>
                        <w:bottom w:val="single" w:sz="6" w:space="0" w:color="DDDDDD"/>
                        <w:right w:val="single" w:sz="6" w:space="0" w:color="DDDDDD"/>
                      </w:divBdr>
                      <w:divsChild>
                        <w:div w:id="65108385">
                          <w:marLeft w:val="0"/>
                          <w:marRight w:val="0"/>
                          <w:marTop w:val="0"/>
                          <w:marBottom w:val="0"/>
                          <w:divBdr>
                            <w:top w:val="none" w:sz="0" w:space="0" w:color="auto"/>
                            <w:left w:val="none" w:sz="0" w:space="0" w:color="auto"/>
                            <w:bottom w:val="none" w:sz="0" w:space="0" w:color="auto"/>
                            <w:right w:val="none" w:sz="0" w:space="0" w:color="auto"/>
                          </w:divBdr>
                          <w:divsChild>
                            <w:div w:id="905798603">
                              <w:marLeft w:val="0"/>
                              <w:marRight w:val="0"/>
                              <w:marTop w:val="0"/>
                              <w:marBottom w:val="0"/>
                              <w:divBdr>
                                <w:top w:val="none" w:sz="0" w:space="0" w:color="auto"/>
                                <w:left w:val="none" w:sz="0" w:space="0" w:color="auto"/>
                                <w:bottom w:val="none" w:sz="0" w:space="0" w:color="auto"/>
                                <w:right w:val="none" w:sz="0" w:space="0" w:color="auto"/>
                              </w:divBdr>
                              <w:divsChild>
                                <w:div w:id="1174881710">
                                  <w:marLeft w:val="0"/>
                                  <w:marRight w:val="0"/>
                                  <w:marTop w:val="0"/>
                                  <w:marBottom w:val="0"/>
                                  <w:divBdr>
                                    <w:top w:val="none" w:sz="0" w:space="0" w:color="auto"/>
                                    <w:left w:val="none" w:sz="0" w:space="0" w:color="auto"/>
                                    <w:bottom w:val="none" w:sz="0" w:space="0" w:color="auto"/>
                                    <w:right w:val="none" w:sz="0" w:space="0" w:color="auto"/>
                                  </w:divBdr>
                                  <w:divsChild>
                                    <w:div w:id="1705321843">
                                      <w:marLeft w:val="0"/>
                                      <w:marRight w:val="0"/>
                                      <w:marTop w:val="0"/>
                                      <w:marBottom w:val="0"/>
                                      <w:divBdr>
                                        <w:top w:val="none" w:sz="0" w:space="0" w:color="auto"/>
                                        <w:left w:val="none" w:sz="0" w:space="0" w:color="auto"/>
                                        <w:bottom w:val="none" w:sz="0" w:space="0" w:color="auto"/>
                                        <w:right w:val="none" w:sz="0" w:space="0" w:color="auto"/>
                                      </w:divBdr>
                                      <w:divsChild>
                                        <w:div w:id="1158693558">
                                          <w:marLeft w:val="0"/>
                                          <w:marRight w:val="0"/>
                                          <w:marTop w:val="0"/>
                                          <w:marBottom w:val="0"/>
                                          <w:divBdr>
                                            <w:top w:val="none" w:sz="0" w:space="0" w:color="auto"/>
                                            <w:left w:val="none" w:sz="0" w:space="0" w:color="auto"/>
                                            <w:bottom w:val="none" w:sz="0" w:space="0" w:color="auto"/>
                                            <w:right w:val="none" w:sz="0" w:space="0" w:color="auto"/>
                                          </w:divBdr>
                                          <w:divsChild>
                                            <w:div w:id="358551958">
                                              <w:marLeft w:val="0"/>
                                              <w:marRight w:val="0"/>
                                              <w:marTop w:val="0"/>
                                              <w:marBottom w:val="0"/>
                                              <w:divBdr>
                                                <w:top w:val="none" w:sz="0" w:space="0" w:color="auto"/>
                                                <w:left w:val="none" w:sz="0" w:space="0" w:color="auto"/>
                                                <w:bottom w:val="none" w:sz="0" w:space="0" w:color="auto"/>
                                                <w:right w:val="none" w:sz="0" w:space="0" w:color="auto"/>
                                              </w:divBdr>
                                              <w:divsChild>
                                                <w:div w:id="375357346">
                                                  <w:marLeft w:val="0"/>
                                                  <w:marRight w:val="0"/>
                                                  <w:marTop w:val="0"/>
                                                  <w:marBottom w:val="0"/>
                                                  <w:divBdr>
                                                    <w:top w:val="none" w:sz="0" w:space="0" w:color="auto"/>
                                                    <w:left w:val="none" w:sz="0" w:space="0" w:color="auto"/>
                                                    <w:bottom w:val="none" w:sz="0" w:space="0" w:color="auto"/>
                                                    <w:right w:val="none" w:sz="0" w:space="0" w:color="auto"/>
                                                  </w:divBdr>
                                                  <w:divsChild>
                                                    <w:div w:id="142695772">
                                                      <w:marLeft w:val="0"/>
                                                      <w:marRight w:val="0"/>
                                                      <w:marTop w:val="0"/>
                                                      <w:marBottom w:val="0"/>
                                                      <w:divBdr>
                                                        <w:top w:val="none" w:sz="0" w:space="0" w:color="auto"/>
                                                        <w:left w:val="none" w:sz="0" w:space="0" w:color="auto"/>
                                                        <w:bottom w:val="none" w:sz="0" w:space="0" w:color="auto"/>
                                                        <w:right w:val="none" w:sz="0" w:space="0" w:color="auto"/>
                                                      </w:divBdr>
                                                    </w:div>
                                                    <w:div w:id="600842610">
                                                      <w:marLeft w:val="0"/>
                                                      <w:marRight w:val="0"/>
                                                      <w:marTop w:val="0"/>
                                                      <w:marBottom w:val="0"/>
                                                      <w:divBdr>
                                                        <w:top w:val="none" w:sz="0" w:space="0" w:color="auto"/>
                                                        <w:left w:val="none" w:sz="0" w:space="0" w:color="auto"/>
                                                        <w:bottom w:val="none" w:sz="0" w:space="0" w:color="auto"/>
                                                        <w:right w:val="none" w:sz="0" w:space="0" w:color="auto"/>
                                                      </w:divBdr>
                                                    </w:div>
                                                    <w:div w:id="1141077104">
                                                      <w:marLeft w:val="0"/>
                                                      <w:marRight w:val="0"/>
                                                      <w:marTop w:val="0"/>
                                                      <w:marBottom w:val="0"/>
                                                      <w:divBdr>
                                                        <w:top w:val="none" w:sz="0" w:space="0" w:color="auto"/>
                                                        <w:left w:val="none" w:sz="0" w:space="0" w:color="auto"/>
                                                        <w:bottom w:val="none" w:sz="0" w:space="0" w:color="auto"/>
                                                        <w:right w:val="none" w:sz="0" w:space="0" w:color="auto"/>
                                                      </w:divBdr>
                                                    </w:div>
                                                    <w:div w:id="11975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8576103">
      <w:bodyDiv w:val="1"/>
      <w:marLeft w:val="0"/>
      <w:marRight w:val="0"/>
      <w:marTop w:val="0"/>
      <w:marBottom w:val="0"/>
      <w:divBdr>
        <w:top w:val="none" w:sz="0" w:space="0" w:color="auto"/>
        <w:left w:val="none" w:sz="0" w:space="0" w:color="auto"/>
        <w:bottom w:val="none" w:sz="0" w:space="0" w:color="auto"/>
        <w:right w:val="none" w:sz="0" w:space="0" w:color="auto"/>
      </w:divBdr>
      <w:divsChild>
        <w:div w:id="2042121755">
          <w:marLeft w:val="0"/>
          <w:marRight w:val="0"/>
          <w:marTop w:val="0"/>
          <w:marBottom w:val="0"/>
          <w:divBdr>
            <w:top w:val="none" w:sz="0" w:space="0" w:color="auto"/>
            <w:left w:val="none" w:sz="0" w:space="0" w:color="auto"/>
            <w:bottom w:val="none" w:sz="0" w:space="0" w:color="auto"/>
            <w:right w:val="none" w:sz="0" w:space="0" w:color="auto"/>
          </w:divBdr>
          <w:divsChild>
            <w:div w:id="1789347551">
              <w:marLeft w:val="0"/>
              <w:marRight w:val="0"/>
              <w:marTop w:val="0"/>
              <w:marBottom w:val="0"/>
              <w:divBdr>
                <w:top w:val="none" w:sz="0" w:space="0" w:color="auto"/>
                <w:left w:val="none" w:sz="0" w:space="0" w:color="auto"/>
                <w:bottom w:val="none" w:sz="0" w:space="0" w:color="auto"/>
                <w:right w:val="none" w:sz="0" w:space="0" w:color="auto"/>
              </w:divBdr>
              <w:divsChild>
                <w:div w:id="957294701">
                  <w:marLeft w:val="0"/>
                  <w:marRight w:val="0"/>
                  <w:marTop w:val="0"/>
                  <w:marBottom w:val="0"/>
                  <w:divBdr>
                    <w:top w:val="none" w:sz="0" w:space="0" w:color="auto"/>
                    <w:left w:val="none" w:sz="0" w:space="0" w:color="auto"/>
                    <w:bottom w:val="none" w:sz="0" w:space="0" w:color="auto"/>
                    <w:right w:val="none" w:sz="0" w:space="0" w:color="auto"/>
                  </w:divBdr>
                  <w:divsChild>
                    <w:div w:id="680594000">
                      <w:marLeft w:val="0"/>
                      <w:marRight w:val="0"/>
                      <w:marTop w:val="0"/>
                      <w:marBottom w:val="0"/>
                      <w:divBdr>
                        <w:top w:val="none" w:sz="0" w:space="0" w:color="auto"/>
                        <w:left w:val="none" w:sz="0" w:space="0" w:color="auto"/>
                        <w:bottom w:val="none" w:sz="0" w:space="0" w:color="auto"/>
                        <w:right w:val="none" w:sz="0" w:space="0" w:color="auto"/>
                      </w:divBdr>
                      <w:divsChild>
                        <w:div w:id="1100641012">
                          <w:marLeft w:val="0"/>
                          <w:marRight w:val="0"/>
                          <w:marTop w:val="0"/>
                          <w:marBottom w:val="0"/>
                          <w:divBdr>
                            <w:top w:val="none" w:sz="0" w:space="0" w:color="auto"/>
                            <w:left w:val="none" w:sz="0" w:space="0" w:color="auto"/>
                            <w:bottom w:val="none" w:sz="0" w:space="0" w:color="auto"/>
                            <w:right w:val="none" w:sz="0" w:space="0" w:color="auto"/>
                          </w:divBdr>
                          <w:divsChild>
                            <w:div w:id="1566992863">
                              <w:marLeft w:val="0"/>
                              <w:marRight w:val="0"/>
                              <w:marTop w:val="0"/>
                              <w:marBottom w:val="0"/>
                              <w:divBdr>
                                <w:top w:val="none" w:sz="0" w:space="0" w:color="auto"/>
                                <w:left w:val="none" w:sz="0" w:space="0" w:color="auto"/>
                                <w:bottom w:val="none" w:sz="0" w:space="0" w:color="auto"/>
                                <w:right w:val="none" w:sz="0" w:space="0" w:color="auto"/>
                              </w:divBdr>
                              <w:divsChild>
                                <w:div w:id="251360560">
                                  <w:marLeft w:val="0"/>
                                  <w:marRight w:val="0"/>
                                  <w:marTop w:val="0"/>
                                  <w:marBottom w:val="0"/>
                                  <w:divBdr>
                                    <w:top w:val="none" w:sz="0" w:space="0" w:color="auto"/>
                                    <w:left w:val="none" w:sz="0" w:space="0" w:color="auto"/>
                                    <w:bottom w:val="none" w:sz="0" w:space="0" w:color="auto"/>
                                    <w:right w:val="none" w:sz="0" w:space="0" w:color="auto"/>
                                  </w:divBdr>
                                  <w:divsChild>
                                    <w:div w:id="345450552">
                                      <w:marLeft w:val="0"/>
                                      <w:marRight w:val="0"/>
                                      <w:marTop w:val="0"/>
                                      <w:marBottom w:val="0"/>
                                      <w:divBdr>
                                        <w:top w:val="none" w:sz="0" w:space="0" w:color="auto"/>
                                        <w:left w:val="none" w:sz="0" w:space="0" w:color="auto"/>
                                        <w:bottom w:val="none" w:sz="0" w:space="0" w:color="auto"/>
                                        <w:right w:val="none" w:sz="0" w:space="0" w:color="auto"/>
                                      </w:divBdr>
                                      <w:divsChild>
                                        <w:div w:id="35785072">
                                          <w:marLeft w:val="0"/>
                                          <w:marRight w:val="0"/>
                                          <w:marTop w:val="0"/>
                                          <w:marBottom w:val="495"/>
                                          <w:divBdr>
                                            <w:top w:val="none" w:sz="0" w:space="0" w:color="auto"/>
                                            <w:left w:val="none" w:sz="0" w:space="0" w:color="auto"/>
                                            <w:bottom w:val="none" w:sz="0" w:space="0" w:color="auto"/>
                                            <w:right w:val="none" w:sz="0" w:space="0" w:color="auto"/>
                                          </w:divBdr>
                                          <w:divsChild>
                                            <w:div w:id="227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image" Target="media/image37.png"/><Relationship Id="rId21" Type="http://schemas.openxmlformats.org/officeDocument/2006/relationships/image" Target="media/image7.png"/><Relationship Id="rId42" Type="http://schemas.openxmlformats.org/officeDocument/2006/relationships/chart" Target="charts/chart15.xml"/><Relationship Id="rId47" Type="http://schemas.openxmlformats.org/officeDocument/2006/relationships/chart" Target="charts/chart18.xml"/><Relationship Id="rId63" Type="http://schemas.openxmlformats.org/officeDocument/2006/relationships/chart" Target="charts/chart32.xml"/><Relationship Id="rId68" Type="http://schemas.openxmlformats.org/officeDocument/2006/relationships/image" Target="media/image16.jpeg"/><Relationship Id="rId84" Type="http://schemas.openxmlformats.org/officeDocument/2006/relationships/image" Target="media/image20.emf"/><Relationship Id="rId89" Type="http://schemas.openxmlformats.org/officeDocument/2006/relationships/hyperlink" Target="https://www.gov.si/teme/konjereja/" TargetMode="External"/><Relationship Id="rId112" Type="http://schemas.openxmlformats.org/officeDocument/2006/relationships/image" Target="media/image32.emf"/><Relationship Id="rId133" Type="http://schemas.openxmlformats.org/officeDocument/2006/relationships/image" Target="media/image49.png"/><Relationship Id="rId138" Type="http://schemas.openxmlformats.org/officeDocument/2006/relationships/chart" Target="charts/chart61.xml"/><Relationship Id="rId154" Type="http://schemas.openxmlformats.org/officeDocument/2006/relationships/hyperlink" Target="https://ec.europa.eu/programmes/horizon2020/en/news/final-paper-strategic-approach-eu-agricultural-research-and-innovation" TargetMode="External"/><Relationship Id="rId159" Type="http://schemas.openxmlformats.org/officeDocument/2006/relationships/hyperlink" Target="https://www.europarl.europa.eu/RegData/etudes/STUD/2016/581892/EPRS_STU(2016)581892_EN.pdf" TargetMode="External"/><Relationship Id="rId175" Type="http://schemas.openxmlformats.org/officeDocument/2006/relationships/hyperlink" Target="https://www.stat.si/StatWeb/News/Index/9015" TargetMode="External"/><Relationship Id="rId170" Type="http://schemas.openxmlformats.org/officeDocument/2006/relationships/hyperlink" Target="http://dx.doi.org/10.1787/5km91nkdt6d6-en" TargetMode="External"/><Relationship Id="rId16" Type="http://schemas.openxmlformats.org/officeDocument/2006/relationships/hyperlink" Target="https://ec.europa.eu/agriculture/sites/agriculture/files/statistics/facts-figures/production-yields-productivity.pdf" TargetMode="External"/><Relationship Id="rId107" Type="http://schemas.openxmlformats.org/officeDocument/2006/relationships/hyperlink" Target="https://www.gov.si/teme/hmeljarstvo/" TargetMode="External"/><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chart" Target="charts/chart10.xml"/><Relationship Id="rId53" Type="http://schemas.openxmlformats.org/officeDocument/2006/relationships/hyperlink" Target="http://www.trgnepremicnin.si/sl/vsebine-portala/periodicna-porocila" TargetMode="External"/><Relationship Id="rId58" Type="http://schemas.openxmlformats.org/officeDocument/2006/relationships/chart" Target="charts/chart27.xml"/><Relationship Id="rId74" Type="http://schemas.openxmlformats.org/officeDocument/2006/relationships/hyperlink" Target="https://www.fu.gov.si/e_storitve/seznami_davcnih_zavezancev/" TargetMode="External"/><Relationship Id="rId79" Type="http://schemas.openxmlformats.org/officeDocument/2006/relationships/chart" Target="charts/chart39.xml"/><Relationship Id="rId102" Type="http://schemas.openxmlformats.org/officeDocument/2006/relationships/image" Target="media/image29.emf"/><Relationship Id="rId123" Type="http://schemas.openxmlformats.org/officeDocument/2006/relationships/chart" Target="charts/chart54.xml"/><Relationship Id="rId128" Type="http://schemas.openxmlformats.org/officeDocument/2006/relationships/image" Target="media/image45.emf"/><Relationship Id="rId144" Type="http://schemas.openxmlformats.org/officeDocument/2006/relationships/image" Target="media/image55.png"/><Relationship Id="rId149" Type="http://schemas.openxmlformats.org/officeDocument/2006/relationships/hyperlink" Target="https://onlinelibrary.wiley.com/doi/abs/10.1111/agec.12391" TargetMode="External"/><Relationship Id="rId5" Type="http://schemas.openxmlformats.org/officeDocument/2006/relationships/numbering" Target="numbering.xml"/><Relationship Id="rId90" Type="http://schemas.openxmlformats.org/officeDocument/2006/relationships/image" Target="media/image24.emf"/><Relationship Id="rId95" Type="http://schemas.openxmlformats.org/officeDocument/2006/relationships/chart" Target="charts/chart43.xml"/><Relationship Id="rId160" Type="http://schemas.openxmlformats.org/officeDocument/2006/relationships/hyperlink" Target="https://www.fi-compass.eu/publication/brochures/survey-financial-needs-and-access-finance-eu-agricultural-enterprises" TargetMode="External"/><Relationship Id="rId165" Type="http://schemas.openxmlformats.org/officeDocument/2006/relationships/hyperlink" Target="http://www.ruralfinanceandinvestment.org/sites/default/files/1166709374977_Economic_concepts_farming.pdf" TargetMode="External"/><Relationship Id="rId22" Type="http://schemas.openxmlformats.org/officeDocument/2006/relationships/hyperlink" Target="https://agridata.ec.europa.eu/extensions/DashboardIndicators/DataExplorer.html" TargetMode="External"/><Relationship Id="rId27" Type="http://schemas.openxmlformats.org/officeDocument/2006/relationships/chart" Target="charts/chart4.xml"/><Relationship Id="rId43" Type="http://schemas.openxmlformats.org/officeDocument/2006/relationships/chart" Target="charts/chart16.xml"/><Relationship Id="rId48" Type="http://schemas.openxmlformats.org/officeDocument/2006/relationships/chart" Target="charts/chart19.xml"/><Relationship Id="rId64" Type="http://schemas.openxmlformats.org/officeDocument/2006/relationships/image" Target="media/image12.jpeg"/><Relationship Id="rId69" Type="http://schemas.openxmlformats.org/officeDocument/2006/relationships/image" Target="media/image17.jpeg"/><Relationship Id="rId113" Type="http://schemas.openxmlformats.org/officeDocument/2006/relationships/image" Target="media/image33.emf"/><Relationship Id="rId118" Type="http://schemas.openxmlformats.org/officeDocument/2006/relationships/image" Target="media/image38.png"/><Relationship Id="rId134" Type="http://schemas.openxmlformats.org/officeDocument/2006/relationships/chart" Target="charts/chart57.xml"/><Relationship Id="rId139" Type="http://schemas.openxmlformats.org/officeDocument/2006/relationships/image" Target="media/image50.jpeg"/><Relationship Id="rId80" Type="http://schemas.openxmlformats.org/officeDocument/2006/relationships/hyperlink" Target="https://www.fu.gov.si/e_storitve/seznami_davcnih_zavezancev/" TargetMode="External"/><Relationship Id="rId85" Type="http://schemas.openxmlformats.org/officeDocument/2006/relationships/image" Target="media/image21.emf"/><Relationship Id="rId150" Type="http://schemas.openxmlformats.org/officeDocument/2006/relationships/hyperlink" Target="https://cema-agri.org/images/publications/position-papers/CEMA_Digital_Farming_-_Agriculture_4.0__13_02_2017_0.pdf" TargetMode="External"/><Relationship Id="rId155" Type="http://schemas.openxmlformats.org/officeDocument/2006/relationships/hyperlink" Target="https://ec.europa.eu/agriculture/sites/agriculture/files/statistics/facts-figures/production-yields-productivity.pdf" TargetMode="External"/><Relationship Id="rId171" Type="http://schemas.openxmlformats.org/officeDocument/2006/relationships/hyperlink" Target="https://www.program-podezelja.si/images/SPLETNA_STRAN_PRP_NOVA/Novice/SPP2019/Uvodi/Uvod_2_Konkuren%C4%8Dnost_-_Lovec.pdf" TargetMode="External"/><Relationship Id="rId176" Type="http://schemas.openxmlformats.org/officeDocument/2006/relationships/hyperlink" Target="http://www.fao.org/3/ca4985en/ca4985en.pdf" TargetMode="External"/><Relationship Id="rId12" Type="http://schemas.openxmlformats.org/officeDocument/2006/relationships/image" Target="media/image2.png"/><Relationship Id="rId17" Type="http://schemas.openxmlformats.org/officeDocument/2006/relationships/image" Target="media/image5.emf"/><Relationship Id="rId33" Type="http://schemas.openxmlformats.org/officeDocument/2006/relationships/hyperlink" Target="https://agridata.ec.europa.eu/extensions/DashboardIndicators/DataExplorer.html" TargetMode="External"/><Relationship Id="rId38" Type="http://schemas.openxmlformats.org/officeDocument/2006/relationships/chart" Target="charts/chart11.xml"/><Relationship Id="rId59" Type="http://schemas.openxmlformats.org/officeDocument/2006/relationships/chart" Target="charts/chart28.xml"/><Relationship Id="rId103" Type="http://schemas.openxmlformats.org/officeDocument/2006/relationships/chart" Target="charts/chart48.xml"/><Relationship Id="rId108" Type="http://schemas.openxmlformats.org/officeDocument/2006/relationships/image" Target="media/image30.emf"/><Relationship Id="rId124" Type="http://schemas.openxmlformats.org/officeDocument/2006/relationships/chart" Target="charts/chart55.xml"/><Relationship Id="rId129" Type="http://schemas.openxmlformats.org/officeDocument/2006/relationships/image" Target="media/image46.png"/><Relationship Id="rId54" Type="http://schemas.openxmlformats.org/officeDocument/2006/relationships/chart" Target="charts/chart23.xml"/><Relationship Id="rId70" Type="http://schemas.openxmlformats.org/officeDocument/2006/relationships/chart" Target="charts/chart33.xml"/><Relationship Id="rId75" Type="http://schemas.openxmlformats.org/officeDocument/2006/relationships/chart" Target="charts/chart37.xml"/><Relationship Id="rId91" Type="http://schemas.openxmlformats.org/officeDocument/2006/relationships/chart" Target="charts/chart41.xml"/><Relationship Id="rId96" Type="http://schemas.openxmlformats.org/officeDocument/2006/relationships/image" Target="media/image27.png"/><Relationship Id="rId140" Type="http://schemas.openxmlformats.org/officeDocument/2006/relationships/image" Target="media/image51.png"/><Relationship Id="rId145" Type="http://schemas.openxmlformats.org/officeDocument/2006/relationships/image" Target="media/image56.png"/><Relationship Id="rId161" Type="http://schemas.openxmlformats.org/officeDocument/2006/relationships/hyperlink" Target="https://www.fi-compass.eu/sites/default/files/publications/financial_needs_agriculture_agrifood_sectors_Slovenia.pdf" TargetMode="External"/><Relationship Id="rId166" Type="http://schemas.openxmlformats.org/officeDocument/2006/relationships/hyperlink" Target="https://ageconsearch.umn.edu/record/25787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emf"/><Relationship Id="rId28" Type="http://schemas.openxmlformats.org/officeDocument/2006/relationships/chart" Target="charts/chart5.xml"/><Relationship Id="rId49" Type="http://schemas.openxmlformats.org/officeDocument/2006/relationships/chart" Target="charts/chart20.xml"/><Relationship Id="rId114" Type="http://schemas.openxmlformats.org/officeDocument/2006/relationships/image" Target="media/image34.emf"/><Relationship Id="rId119" Type="http://schemas.openxmlformats.org/officeDocument/2006/relationships/image" Target="media/image39.png"/><Relationship Id="rId44" Type="http://schemas.openxmlformats.org/officeDocument/2006/relationships/hyperlink" Target="https://www.fi-compass.eu/sites/default/files/Annex_III_SLOVENIA.pdf" TargetMode="External"/><Relationship Id="rId60" Type="http://schemas.openxmlformats.org/officeDocument/2006/relationships/chart" Target="charts/chart29.xml"/><Relationship Id="rId65" Type="http://schemas.openxmlformats.org/officeDocument/2006/relationships/image" Target="media/image13.jpeg"/><Relationship Id="rId81" Type="http://schemas.openxmlformats.org/officeDocument/2006/relationships/chart" Target="charts/chart40.xml"/><Relationship Id="rId86" Type="http://schemas.openxmlformats.org/officeDocument/2006/relationships/hyperlink" Target="https://www.gov.si/teme/perutninarstvo-in-jajca/" TargetMode="External"/><Relationship Id="rId130" Type="http://schemas.openxmlformats.org/officeDocument/2006/relationships/image" Target="media/image47.emf"/><Relationship Id="rId135" Type="http://schemas.openxmlformats.org/officeDocument/2006/relationships/chart" Target="charts/chart58.xml"/><Relationship Id="rId151" Type="http://schemas.openxmlformats.org/officeDocument/2006/relationships/hyperlink" Target="https://ec.europa.eu/eip/agriculture/sites/agri-eip/files/eip-agri_brochure_digital_revolution_2017_sl_infographic.pdf" TargetMode="External"/><Relationship Id="rId156" Type="http://schemas.openxmlformats.org/officeDocument/2006/relationships/hyperlink" Target="https://ec.europa.eu/info/sites/info/files/food-farming-fisheries/key_policies/documents/cap-briefs-2-productivity_en.pdf" TargetMode="External"/><Relationship Id="rId177" Type="http://schemas.openxmlformats.org/officeDocument/2006/relationships/hyperlink" Target="https://www.weforum.org/reports/how-to-end-a-decade-of-lost-productivity-growth"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e-knjige.ff.uni-lj.si/znanstvena-zalozba/catalog/view/22/62/2544-1" TargetMode="External"/><Relationship Id="rId180" Type="http://schemas.openxmlformats.org/officeDocument/2006/relationships/theme" Target="theme/theme1.xml"/><Relationship Id="rId202" Type="http://schemas.microsoft.com/office/2018/08/relationships/commentsExtensible" Target="commentsExtensible.xml"/><Relationship Id="rId13" Type="http://schemas.openxmlformats.org/officeDocument/2006/relationships/image" Target="media/image3.png"/><Relationship Id="rId18" Type="http://schemas.openxmlformats.org/officeDocument/2006/relationships/hyperlink" Target="https://ec.europa.eu/agriculture/sites/agriculture/files/mp-mb-010_en.pdf" TargetMode="External"/><Relationship Id="rId39" Type="http://schemas.openxmlformats.org/officeDocument/2006/relationships/chart" Target="charts/chart12.xml"/><Relationship Id="rId109" Type="http://schemas.openxmlformats.org/officeDocument/2006/relationships/image" Target="media/image31.png"/><Relationship Id="rId34" Type="http://schemas.openxmlformats.org/officeDocument/2006/relationships/chart" Target="charts/chart7.xml"/><Relationship Id="rId50" Type="http://schemas.openxmlformats.org/officeDocument/2006/relationships/chart" Target="charts/chart21.xml"/><Relationship Id="rId55" Type="http://schemas.openxmlformats.org/officeDocument/2006/relationships/chart" Target="charts/chart24.xml"/><Relationship Id="rId76" Type="http://schemas.openxmlformats.org/officeDocument/2006/relationships/hyperlink" Target="https://www.fu.gov.si/e_storitve/seznami_davcnih_zavezancev/" TargetMode="External"/><Relationship Id="rId97" Type="http://schemas.openxmlformats.org/officeDocument/2006/relationships/chart" Target="charts/chart44.xml"/><Relationship Id="rId104" Type="http://schemas.openxmlformats.org/officeDocument/2006/relationships/chart" Target="charts/chart49.xml"/><Relationship Id="rId120" Type="http://schemas.openxmlformats.org/officeDocument/2006/relationships/image" Target="media/image40.png"/><Relationship Id="rId125" Type="http://schemas.openxmlformats.org/officeDocument/2006/relationships/image" Target="media/image43.png"/><Relationship Id="rId141" Type="http://schemas.openxmlformats.org/officeDocument/2006/relationships/image" Target="media/image52.png"/><Relationship Id="rId146" Type="http://schemas.openxmlformats.org/officeDocument/2006/relationships/chart" Target="charts/chart62.xml"/><Relationship Id="rId167" Type="http://schemas.openxmlformats.org/officeDocument/2006/relationships/hyperlink" Target="https://nutris.org/novice/rezultati-raziskave-epidemija-covid-19-pomembno-vpliva-na-prehranjevalne-navade-prebivalcev-slovenije" TargetMode="External"/><Relationship Id="rId7" Type="http://schemas.openxmlformats.org/officeDocument/2006/relationships/settings" Target="settings.xml"/><Relationship Id="rId71" Type="http://schemas.openxmlformats.org/officeDocument/2006/relationships/chart" Target="charts/chart34.xml"/><Relationship Id="rId92" Type="http://schemas.openxmlformats.org/officeDocument/2006/relationships/image" Target="media/image25.png"/><Relationship Id="rId162" Type="http://schemas.openxmlformats.org/officeDocument/2006/relationships/hyperlink" Target="https://www.mvn.e-prostor.gov.si/fileadmin/user_upload/MVN/Dokumenti/Porocila/Letno_porocilo_za_leto_2019.pdf"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ec.europa.eu/info/sites/info/files/food-farming-fisheries/by_country/documents/analytical_factsheet_sl.pdf" TargetMode="External"/><Relationship Id="rId40" Type="http://schemas.openxmlformats.org/officeDocument/2006/relationships/chart" Target="charts/chart13.xml"/><Relationship Id="rId45" Type="http://schemas.openxmlformats.org/officeDocument/2006/relationships/chart" Target="charts/chart17.xml"/><Relationship Id="rId66" Type="http://schemas.openxmlformats.org/officeDocument/2006/relationships/image" Target="media/image14.jpeg"/><Relationship Id="rId87" Type="http://schemas.openxmlformats.org/officeDocument/2006/relationships/image" Target="media/image22.emf"/><Relationship Id="rId110" Type="http://schemas.openxmlformats.org/officeDocument/2006/relationships/chart" Target="charts/chart52.xml"/><Relationship Id="rId115" Type="http://schemas.openxmlformats.org/officeDocument/2006/relationships/image" Target="media/image35.emf"/><Relationship Id="rId131" Type="http://schemas.openxmlformats.org/officeDocument/2006/relationships/image" Target="media/image48.png"/><Relationship Id="rId136" Type="http://schemas.openxmlformats.org/officeDocument/2006/relationships/chart" Target="charts/chart59.xml"/><Relationship Id="rId157" Type="http://schemas.openxmlformats.org/officeDocument/2006/relationships/hyperlink" Target="https://ec.europa.eu/info/sites/info/files/food-farming-fisheries/by_country/documents/analytical_factsheet_sl.pdf" TargetMode="External"/><Relationship Id="rId178" Type="http://schemas.openxmlformats.org/officeDocument/2006/relationships/footer" Target="footer1.xml"/><Relationship Id="rId61" Type="http://schemas.openxmlformats.org/officeDocument/2006/relationships/chart" Target="charts/chart30.xml"/><Relationship Id="rId82" Type="http://schemas.openxmlformats.org/officeDocument/2006/relationships/image" Target="media/image18.emf"/><Relationship Id="rId152" Type="http://schemas.openxmlformats.org/officeDocument/2006/relationships/hyperlink" Target="https://ec.europa.eu/eurostat/statistics-explained/index.php?title=Performance_of_the_agricultural_sector" TargetMode="External"/><Relationship Id="rId173" Type="http://schemas.openxmlformats.org/officeDocument/2006/relationships/hyperlink" Target="http://www.oecd.org/sdd/productivity-stats/2352458.pdf" TargetMode="External"/><Relationship Id="rId203" Type="http://schemas.microsoft.com/office/2016/09/relationships/commentsIds" Target="commentsIds.xml"/><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hyperlink" Target="https://agridata.ec.europa.eu/extensions/DashboardIndicators/DataExplorer.html" TargetMode="External"/><Relationship Id="rId35" Type="http://schemas.openxmlformats.org/officeDocument/2006/relationships/chart" Target="charts/chart8.xml"/><Relationship Id="rId56" Type="http://schemas.openxmlformats.org/officeDocument/2006/relationships/chart" Target="charts/chart25.xml"/><Relationship Id="rId77" Type="http://schemas.openxmlformats.org/officeDocument/2006/relationships/chart" Target="charts/chart38.xml"/><Relationship Id="rId100" Type="http://schemas.openxmlformats.org/officeDocument/2006/relationships/chart" Target="charts/chart46.xml"/><Relationship Id="rId105" Type="http://schemas.openxmlformats.org/officeDocument/2006/relationships/chart" Target="charts/chart50.xml"/><Relationship Id="rId126" Type="http://schemas.openxmlformats.org/officeDocument/2006/relationships/chart" Target="charts/chart56.xml"/><Relationship Id="rId147" Type="http://schemas.openxmlformats.org/officeDocument/2006/relationships/hyperlink" Target="https://eanalitik.akos-rs.si/?tx_agindicator_filter%5Baction%5D=indicator&amp;tx_agindicator_filter%5Bcontroller%5D=Filter&amp;tx_agindicator_filter%5Bi%5D%5B0%5D=7&amp;cHash=c96f5feaffe16e8f02c044107d0a3860" TargetMode="External"/><Relationship Id="rId168" Type="http://schemas.openxmlformats.org/officeDocument/2006/relationships/hyperlink" Target="http://www.fao.org/3/a-i3227e.pdf"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chart" Target="charts/chart35.xml"/><Relationship Id="rId93" Type="http://schemas.openxmlformats.org/officeDocument/2006/relationships/chart" Target="charts/chart42.xml"/><Relationship Id="rId98" Type="http://schemas.openxmlformats.org/officeDocument/2006/relationships/chart" Target="charts/chart45.xml"/><Relationship Id="rId121" Type="http://schemas.openxmlformats.org/officeDocument/2006/relationships/image" Target="media/image41.png"/><Relationship Id="rId142" Type="http://schemas.openxmlformats.org/officeDocument/2006/relationships/image" Target="media/image53.png"/><Relationship Id="rId163" Type="http://schemas.openxmlformats.org/officeDocument/2006/relationships/hyperlink" Target="https://www.gzs.si/Portals/Panoga-Kmetijska-Zivilska/brosura%20zpi%202018%20v2_web.pdf" TargetMode="External"/><Relationship Id="rId3" Type="http://schemas.openxmlformats.org/officeDocument/2006/relationships/customXml" Target="../customXml/item3.xml"/><Relationship Id="rId25" Type="http://schemas.openxmlformats.org/officeDocument/2006/relationships/chart" Target="charts/chart2.xml"/><Relationship Id="rId46" Type="http://schemas.openxmlformats.org/officeDocument/2006/relationships/hyperlink" Target="https://www.fi-compass.eu/sites/default/files/publications/financial_needs_agriculture_agrifood_sectors_Slovenia.pdf" TargetMode="External"/><Relationship Id="rId67" Type="http://schemas.openxmlformats.org/officeDocument/2006/relationships/image" Target="media/image15.jpeg"/><Relationship Id="rId116" Type="http://schemas.openxmlformats.org/officeDocument/2006/relationships/image" Target="media/image36.emf"/><Relationship Id="rId137" Type="http://schemas.openxmlformats.org/officeDocument/2006/relationships/chart" Target="charts/chart60.xml"/><Relationship Id="rId158" Type="http://schemas.openxmlformats.org/officeDocument/2006/relationships/hyperlink" Target="https://ec.europa.eu/info/sites/info/files/food-farming-fisheries/key_policies/documents/building-stronger-akis_en.pdf" TargetMode="External"/><Relationship Id="rId20" Type="http://schemas.openxmlformats.org/officeDocument/2006/relationships/hyperlink" Target="https://ec.europa.eu/agriculture/sites/agriculture/files/mp-mb-010_en.pdf" TargetMode="External"/><Relationship Id="rId41" Type="http://schemas.openxmlformats.org/officeDocument/2006/relationships/chart" Target="charts/chart14.xml"/><Relationship Id="rId62" Type="http://schemas.openxmlformats.org/officeDocument/2006/relationships/chart" Target="charts/chart31.xml"/><Relationship Id="rId83" Type="http://schemas.openxmlformats.org/officeDocument/2006/relationships/image" Target="media/image19.wmf"/><Relationship Id="rId88" Type="http://schemas.openxmlformats.org/officeDocument/2006/relationships/image" Target="media/image23.emf"/><Relationship Id="rId111" Type="http://schemas.openxmlformats.org/officeDocument/2006/relationships/chart" Target="charts/chart53.xml"/><Relationship Id="rId132" Type="http://schemas.openxmlformats.org/officeDocument/2006/relationships/hyperlink" Target="https://vrh-zkzp.gzs.si/Portals/Portal-Vrhzkzp/7.%20GZS_2019.pdf" TargetMode="External"/><Relationship Id="rId153" Type="http://schemas.openxmlformats.org/officeDocument/2006/relationships/hyperlink" Target="https://ec.europa.eu/agriculture/sites/agriculture/files/mp-mb-010_en.pdf" TargetMode="External"/><Relationship Id="rId174" Type="http://schemas.openxmlformats.org/officeDocument/2006/relationships/hyperlink" Target="https://www.stat.si/StatWeb/News/Index/6208" TargetMode="External"/><Relationship Id="rId179"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chart" Target="charts/chart9.xml"/><Relationship Id="rId57" Type="http://schemas.openxmlformats.org/officeDocument/2006/relationships/chart" Target="charts/chart26.xml"/><Relationship Id="rId106" Type="http://schemas.openxmlformats.org/officeDocument/2006/relationships/chart" Target="charts/chart51.xml"/><Relationship Id="rId12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chart" Target="charts/chart6.xml"/><Relationship Id="rId52" Type="http://schemas.openxmlformats.org/officeDocument/2006/relationships/chart" Target="charts/chart22.xml"/><Relationship Id="rId73" Type="http://schemas.openxmlformats.org/officeDocument/2006/relationships/chart" Target="charts/chart36.xml"/><Relationship Id="rId78" Type="http://schemas.openxmlformats.org/officeDocument/2006/relationships/hyperlink" Target="https://www.fu.gov.si/e_storitve/seznami_davcnih_zavezancev/" TargetMode="External"/><Relationship Id="rId94" Type="http://schemas.openxmlformats.org/officeDocument/2006/relationships/image" Target="media/image26.png"/><Relationship Id="rId99" Type="http://schemas.openxmlformats.org/officeDocument/2006/relationships/image" Target="media/image28.emf"/><Relationship Id="rId101" Type="http://schemas.openxmlformats.org/officeDocument/2006/relationships/chart" Target="charts/chart47.xml"/><Relationship Id="rId122" Type="http://schemas.openxmlformats.org/officeDocument/2006/relationships/image" Target="media/image42.png"/><Relationship Id="rId143" Type="http://schemas.openxmlformats.org/officeDocument/2006/relationships/image" Target="media/image54.png"/><Relationship Id="rId148" Type="http://schemas.openxmlformats.org/officeDocument/2006/relationships/image" Target="media/image57.emf"/><Relationship Id="rId164" Type="http://schemas.openxmlformats.org/officeDocument/2006/relationships/hyperlink" Target="https://www.europarl.europa.eu/thinktank/en/document.html?reference=IPOL_STU(2015)540374" TargetMode="External"/><Relationship Id="rId169" Type="http://schemas.openxmlformats.org/officeDocument/2006/relationships/hyperlink" Target="https://vrh-zkzp.gzs.si/Portals/Portal-Vrhzkzp/7.%20GZS_2019.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gov.si/davki_in_druge_dajatve/podrocja/davek_na_dodano_vrednost_ddv/"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s1\MKGP\INTERNO\DK\SSPRP\Oddelek%20za%20konkuren&#269;nost\SKP%20po%202020_nova%20mapa\CILJ%202%20Konkuren&#269;nost\Narejeno%20Katarina\dele&#382;%20kmet%20v%20skupnem%20BDV.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podukrepa%204.1_30.4.2020.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tanja.gorisek\Desktop\CILJ%202\SEPTEMBER%202020\4.1_analiza_30.4.20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Analiza%20podukrepa%204.1_30.4.202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tanja.gorisek\AppData\Roaming\Microsoft\Excel\Amortizacija%20po%20dr&#382;avah%20(version%201).xlsb"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anja.gorisek\Desktop\CILJ%202\EUROSTAT_analize%20in%20podatki.xls"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Razdrobljenost\Razdrobljenost.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Zvezek2"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pridelek%20na%20hektar.xlsx"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pridelek%20na%20hektar.xlsx"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tanja.gorisek\Desktop\CILJ%202\GVA_ha%20UAA.xls" TargetMode="External"/><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2%20Konkuren&#269;nost\Narejeno%20Katarina\podjetni&#353;ki%20dohodek%20po%20stro&#353;kih%20in%20prihodkih.xlsx" TargetMode="External"/><Relationship Id="rId2" Type="http://schemas.microsoft.com/office/2011/relationships/chartColorStyle" Target="colors18.xml"/><Relationship Id="rId1" Type="http://schemas.microsoft.com/office/2011/relationships/chartStyle" Target="style18.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2%20Konkuren&#269;nost\Narejeno%20Katarina\vmesna%20potro&#353;nja_EU%20dr&#382;ave_teko&#269;e%20cene%20aact_eaa01.xls" TargetMode="External"/><Relationship Id="rId2" Type="http://schemas.microsoft.com/office/2011/relationships/chartColorStyle" Target="colors19.xml"/><Relationship Id="rId1" Type="http://schemas.microsoft.com/office/2011/relationships/chartStyle" Target="style19.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atarina.zagar\AppData\Local\Temp\notes3CA80E\Analiza%20podukrepa%204.1_30.4.2020.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1_30.4.2020.xlsx" TargetMode="External"/><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2_30.4.2020.xlsx" TargetMode="External"/><Relationship Id="rId2" Type="http://schemas.microsoft.com/office/2011/relationships/chartColorStyle" Target="colors21.xml"/><Relationship Id="rId1" Type="http://schemas.microsoft.com/office/2011/relationships/chartStyle" Target="style21.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katarina.zagar\AppData\Local\Temp\notes3CA80E\Analiza%20podukrepa%204.2_30.4.2020.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Zvezek4"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tanja.gorisek\AppData\Local\Temp\notesB9BEF6\~3206931.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tanja.gorisek\AppData\Local\Temp\notesB9BEF6\~3206931.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tanja.gorisek\AppData\Local\Temp\notesB9BEF6\~3206931.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C:\Users\tanja.gorisek\AppData\Local\Temp\notesB9BEF6\~3206931.xlsx" TargetMode="External"/><Relationship Id="rId2" Type="http://schemas.microsoft.com/office/2011/relationships/chartColorStyle" Target="colors26.xml"/><Relationship Id="rId1" Type="http://schemas.microsoft.com/office/2011/relationships/chartStyle" Target="style26.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anja.gorisek\Desktop\CILJ%202\EUROSTAT_analize%20in%20podatki.xls"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tanja.gorisek\Desktop\CILJ%202\Tr&#382;na%20usmerjenost_M16.4.xlsx" TargetMode="Externa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ov_delovni_list.xlsx"/><Relationship Id="rId1" Type="http://schemas.openxmlformats.org/officeDocument/2006/relationships/themeOverride" Target="../theme/themeOverride1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1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19.xml"/></Relationships>
</file>

<file path=word/charts/_rels/chart4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ov_delovni_list3.xlsx"/><Relationship Id="rId1" Type="http://schemas.openxmlformats.org/officeDocument/2006/relationships/themeOverride" Target="../theme/themeOverride21.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matic\Downloads\PINTAR_ISAD_ESAD_VRSTE_area_mreze_namakanje_leto_sajenja%20(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matic\Downloads\PINTAR_ISAD_ESAD_VRSTE_area_mreze_namakanje_leto_sajenja%20(3).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2.xml"/></Relationships>
</file>

<file path=word/charts/_rels/chart49.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4.xml"/></Relationships>
</file>

<file path=word/charts/_rels/chart51.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ov_delovni_list4.xlsx"/><Relationship Id="rId1" Type="http://schemas.openxmlformats.org/officeDocument/2006/relationships/themeOverride" Target="../theme/themeOverride2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ov_delovni_list5.xlsx"/><Relationship Id="rId1" Type="http://schemas.openxmlformats.org/officeDocument/2006/relationships/themeOverride" Target="../theme/themeOverride27.xml"/></Relationships>
</file>

<file path=word/charts/_rels/chart54.xml.rels><?xml version="1.0" encoding="UTF-8" standalone="yes"?>
<Relationships xmlns="http://schemas.openxmlformats.org/package/2006/relationships"><Relationship Id="rId3" Type="http://schemas.openxmlformats.org/officeDocument/2006/relationships/oleObject" Target="file:///\\mko.sigov.si\dfs\MKGP\INTERNO\DK\SSPRP\Oddelek%20za%20konkuren&#269;nost\SKP%20po%202020_nova%20mapa\CILJ%202%20Konkuren&#269;nost\Narejeno%20Katarina\analiza%20Katarina%20dosedaj%20PRP%20za%20nalo&#382;be.xlsx" TargetMode="External"/><Relationship Id="rId2" Type="http://schemas.microsoft.com/office/2011/relationships/chartColorStyle" Target="colors28.xml"/><Relationship Id="rId1" Type="http://schemas.microsoft.com/office/2011/relationships/chartStyle" Target="style28.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katarina.zagar\AppData\Local\Temp\notes3CA80E\Analiza%20podukrepa%204.2_30.4.2020.xlsx" TargetMode="External"/><Relationship Id="rId2" Type="http://schemas.microsoft.com/office/2011/relationships/chartColorStyle" Target="colors29.xml"/><Relationship Id="rId1" Type="http://schemas.microsoft.com/office/2011/relationships/chartStyle" Target="style29.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2%20Prip.%20Ben%20Moljk29.9.20\SC2_Trgov.bil.in%20samoosk.16.10.20.xlsx" TargetMode="External"/><Relationship Id="rId2" Type="http://schemas.microsoft.com/office/2011/relationships/chartColorStyle" Target="colors30.xml"/><Relationship Id="rId1" Type="http://schemas.microsoft.com/office/2011/relationships/chartStyle" Target="style30.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1.xml"/><Relationship Id="rId1" Type="http://schemas.microsoft.com/office/2011/relationships/chartStyle" Target="style31.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2.xml"/><Relationship Id="rId1" Type="http://schemas.microsoft.com/office/2011/relationships/chartStyle" Target="style32.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3.xml"/><Relationship Id="rId1" Type="http://schemas.microsoft.com/office/2011/relationships/chartStyle" Target="style3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anja.gorisek\AppData\Roaming\Microsoft\Excel\EUROSTAT_analize%20in%20podatki%20(version%201).xls"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4.xml"/><Relationship Id="rId1" Type="http://schemas.microsoft.com/office/2011/relationships/chartStyle" Target="style34.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darko.simoncic\Documents\1PRP\1e%202020_1\2a%20CILJ%202%20Konkuren&#269;nost\26%20Popravki%2019.10.-27.10\5%2026.10.20\SC2_Trgov.bil.in%20samoosk.16.10.20_dopolnjeno%20K&#381;.xlsx" TargetMode="External"/><Relationship Id="rId2" Type="http://schemas.microsoft.com/office/2011/relationships/chartColorStyle" Target="colors35.xml"/><Relationship Id="rId1" Type="http://schemas.microsoft.com/office/2011/relationships/chartStyle" Target="style35.xm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tanja.gorisek\Desktop\CILJ%202\SEPTEMBER%202020\penetracija-fiksnega-iro.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tanja.gorisek\AppData\Roaming\Microsoft\Excel\GFCF%20v%20GVA%20(version%201).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2%20Konkuren&#269;nost\Narejeno%20Katarina\FADN\GFCF%20PO%20INVESTICIJI%202005-2019%20aact_eaa01.xls"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tarina.zagar\Desktop\vmesna%20potro&#353;nja_EU%20dr&#382;ave_teko&#269;e%20cene%20aact_eaa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sl-SI"/>
              <a:t>Delež BDV kmetijstva, gozdarstva in ribištva v celotni BDV, Slovenija in EU-28, 1995-2018, tekoče cene </a:t>
            </a:r>
          </a:p>
        </c:rich>
      </c:tx>
      <c:layout/>
      <c:overlay val="0"/>
      <c:spPr>
        <a:noFill/>
        <a:ln>
          <a:noFill/>
        </a:ln>
        <a:effectLst/>
      </c:spPr>
    </c:title>
    <c:autoTitleDeleted val="0"/>
    <c:plotArea>
      <c:layout/>
      <c:lineChart>
        <c:grouping val="stacked"/>
        <c:varyColors val="0"/>
        <c:ser>
          <c:idx val="0"/>
          <c:order val="0"/>
          <c:tx>
            <c:strRef>
              <c:f>Data!$A$23</c:f>
              <c:strCache>
                <c:ptCount val="1"/>
                <c:pt idx="0">
                  <c:v>European Union - 28 countries (2013-2020)</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cat>
            <c:strRef>
              <c:f>Data!$B$22:$Y$22</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Data!$B$23:$Y$23</c:f>
              <c:numCache>
                <c:formatCode>##,#00</c:formatCode>
                <c:ptCount val="24"/>
                <c:pt idx="0">
                  <c:v>2.6</c:v>
                </c:pt>
                <c:pt idx="1">
                  <c:v>2.6</c:v>
                </c:pt>
                <c:pt idx="2">
                  <c:v>2.5</c:v>
                </c:pt>
                <c:pt idx="3">
                  <c:v>2.4</c:v>
                </c:pt>
                <c:pt idx="4">
                  <c:v>2.2999999999999998</c:v>
                </c:pt>
                <c:pt idx="5">
                  <c:v>2.2000000000000002</c:v>
                </c:pt>
                <c:pt idx="6">
                  <c:v>2.2000000000000002</c:v>
                </c:pt>
                <c:pt idx="7">
                  <c:v>2.1</c:v>
                </c:pt>
                <c:pt idx="8">
                  <c:v>2</c:v>
                </c:pt>
                <c:pt idx="9">
                  <c:v>2</c:v>
                </c:pt>
                <c:pt idx="10">
                  <c:v>1.7</c:v>
                </c:pt>
                <c:pt idx="11">
                  <c:v>1.7</c:v>
                </c:pt>
                <c:pt idx="12">
                  <c:v>1.7</c:v>
                </c:pt>
                <c:pt idx="13">
                  <c:v>1.7</c:v>
                </c:pt>
                <c:pt idx="14">
                  <c:v>1.6</c:v>
                </c:pt>
                <c:pt idx="15">
                  <c:v>1.7</c:v>
                </c:pt>
                <c:pt idx="16">
                  <c:v>1.7</c:v>
                </c:pt>
                <c:pt idx="17">
                  <c:v>1.7</c:v>
                </c:pt>
                <c:pt idx="18">
                  <c:v>1.8</c:v>
                </c:pt>
                <c:pt idx="19">
                  <c:v>1.7</c:v>
                </c:pt>
                <c:pt idx="20">
                  <c:v>1.6</c:v>
                </c:pt>
                <c:pt idx="21">
                  <c:v>1.6</c:v>
                </c:pt>
                <c:pt idx="22">
                  <c:v>1.7</c:v>
                </c:pt>
                <c:pt idx="23">
                  <c:v>1.6</c:v>
                </c:pt>
              </c:numCache>
            </c:numRef>
          </c:val>
          <c:smooth val="0"/>
          <c:extLst>
            <c:ext xmlns:c16="http://schemas.microsoft.com/office/drawing/2014/chart" uri="{C3380CC4-5D6E-409C-BE32-E72D297353CC}">
              <c16:uniqueId val="{00000000-E39A-46AC-AD7E-480E695CA475}"/>
            </c:ext>
          </c:extLst>
        </c:ser>
        <c:dLbls>
          <c:showLegendKey val="0"/>
          <c:showVal val="0"/>
          <c:showCatName val="0"/>
          <c:showSerName val="0"/>
          <c:showPercent val="0"/>
          <c:showBubbleSize val="0"/>
        </c:dLbls>
        <c:marker val="1"/>
        <c:smooth val="0"/>
        <c:axId val="130521728"/>
        <c:axId val="130523904"/>
      </c:lineChart>
      <c:lineChart>
        <c:grouping val="stacked"/>
        <c:varyColors val="0"/>
        <c:ser>
          <c:idx val="1"/>
          <c:order val="1"/>
          <c:tx>
            <c:strRef>
              <c:f>Data!$A$24</c:f>
              <c:strCache>
                <c:ptCount val="1"/>
                <c:pt idx="0">
                  <c:v>Slovenia</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cat>
            <c:strRef>
              <c:f>Data!$B$22:$Y$22</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Data!$B$24:$Y$24</c:f>
              <c:numCache>
                <c:formatCode>##,#00</c:formatCode>
                <c:ptCount val="24"/>
                <c:pt idx="0">
                  <c:v>4.7</c:v>
                </c:pt>
                <c:pt idx="1">
                  <c:v>4.4000000000000004</c:v>
                </c:pt>
                <c:pt idx="2">
                  <c:v>4.3</c:v>
                </c:pt>
                <c:pt idx="3">
                  <c:v>4.0999999999999996</c:v>
                </c:pt>
                <c:pt idx="4">
                  <c:v>3.5</c:v>
                </c:pt>
                <c:pt idx="5">
                  <c:v>3.5</c:v>
                </c:pt>
                <c:pt idx="6">
                  <c:v>3.2</c:v>
                </c:pt>
                <c:pt idx="7">
                  <c:v>3.4</c:v>
                </c:pt>
                <c:pt idx="8">
                  <c:v>2.6</c:v>
                </c:pt>
                <c:pt idx="9">
                  <c:v>2.8</c:v>
                </c:pt>
                <c:pt idx="10">
                  <c:v>2.8</c:v>
                </c:pt>
                <c:pt idx="11">
                  <c:v>2.4</c:v>
                </c:pt>
                <c:pt idx="12">
                  <c:v>2.2999999999999998</c:v>
                </c:pt>
                <c:pt idx="13">
                  <c:v>2.1</c:v>
                </c:pt>
                <c:pt idx="14">
                  <c:v>2.1</c:v>
                </c:pt>
                <c:pt idx="15">
                  <c:v>2.2000000000000002</c:v>
                </c:pt>
                <c:pt idx="16">
                  <c:v>2.5</c:v>
                </c:pt>
                <c:pt idx="17">
                  <c:v>2.2999999999999998</c:v>
                </c:pt>
                <c:pt idx="18">
                  <c:v>2.2999999999999998</c:v>
                </c:pt>
                <c:pt idx="19">
                  <c:v>2.2999999999999998</c:v>
                </c:pt>
                <c:pt idx="20">
                  <c:v>2.4</c:v>
                </c:pt>
                <c:pt idx="21">
                  <c:v>2.2999999999999998</c:v>
                </c:pt>
                <c:pt idx="22">
                  <c:v>2.1</c:v>
                </c:pt>
                <c:pt idx="23">
                  <c:v>2.4</c:v>
                </c:pt>
              </c:numCache>
            </c:numRef>
          </c:val>
          <c:smooth val="0"/>
          <c:extLst>
            <c:ext xmlns:c16="http://schemas.microsoft.com/office/drawing/2014/chart" uri="{C3380CC4-5D6E-409C-BE32-E72D297353CC}">
              <c16:uniqueId val="{00000001-E39A-46AC-AD7E-480E695CA475}"/>
            </c:ext>
          </c:extLst>
        </c:ser>
        <c:dLbls>
          <c:showLegendKey val="0"/>
          <c:showVal val="0"/>
          <c:showCatName val="0"/>
          <c:showSerName val="0"/>
          <c:showPercent val="0"/>
          <c:showBubbleSize val="0"/>
        </c:dLbls>
        <c:marker val="1"/>
        <c:smooth val="0"/>
        <c:axId val="130531328"/>
        <c:axId val="130525440"/>
      </c:lineChart>
      <c:catAx>
        <c:axId val="13052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30523904"/>
        <c:crosses val="autoZero"/>
        <c:auto val="1"/>
        <c:lblAlgn val="ctr"/>
        <c:lblOffset val="100"/>
        <c:noMultiLvlLbl val="0"/>
      </c:catAx>
      <c:valAx>
        <c:axId val="13052390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sl-SI"/>
          </a:p>
        </c:txPr>
        <c:crossAx val="130521728"/>
        <c:crosses val="autoZero"/>
        <c:crossBetween val="between"/>
      </c:valAx>
      <c:valAx>
        <c:axId val="130525440"/>
        <c:scaling>
          <c:orientation val="minMax"/>
        </c:scaling>
        <c:delete val="0"/>
        <c:axPos val="r"/>
        <c:numFmt formatCode="##,#00" sourceLinked="1"/>
        <c:majorTickMark val="out"/>
        <c:minorTickMark val="none"/>
        <c:tickLblPos val="nextTo"/>
        <c:spPr>
          <a:noFill/>
          <a:ln>
            <a:noFill/>
          </a:ln>
          <a:effectLst/>
        </c:spPr>
        <c:txPr>
          <a:bodyPr rot="-60000000" vert="horz"/>
          <a:lstStyle/>
          <a:p>
            <a:pPr>
              <a:defRPr/>
            </a:pPr>
            <a:endParaRPr lang="sl-SI"/>
          </a:p>
        </c:txPr>
        <c:crossAx val="130531328"/>
        <c:crosses val="max"/>
        <c:crossBetween val="between"/>
      </c:valAx>
      <c:catAx>
        <c:axId val="130531328"/>
        <c:scaling>
          <c:orientation val="minMax"/>
        </c:scaling>
        <c:delete val="1"/>
        <c:axPos val="b"/>
        <c:numFmt formatCode="General" sourceLinked="1"/>
        <c:majorTickMark val="out"/>
        <c:minorTickMark val="none"/>
        <c:tickLblPos val="none"/>
        <c:crossAx val="130525440"/>
        <c:crosses val="autoZero"/>
        <c:auto val="1"/>
        <c:lblAlgn val="ctr"/>
        <c:lblOffset val="100"/>
        <c:noMultiLvlLbl val="0"/>
      </c:catAx>
      <c:spPr>
        <a:noFill/>
        <a:ln>
          <a:noFill/>
        </a:ln>
        <a:effectLst/>
      </c:spPr>
    </c:plotArea>
    <c:legend>
      <c:legendPos val="b"/>
      <c:layout/>
      <c:overlay val="0"/>
      <c:spPr>
        <a:noFill/>
        <a:ln>
          <a:noFill/>
        </a:ln>
        <a:effectLst/>
      </c:spPr>
      <c:txPr>
        <a:bodyPr rot="0" vert="horz"/>
        <a:lstStyle/>
        <a:p>
          <a:pPr>
            <a:defRPr/>
          </a:pPr>
          <a:endParaRPr lang="sl-SI"/>
        </a:p>
      </c:txPr>
    </c:legend>
    <c:plotVisOnly val="1"/>
    <c:dispBlanksAs val="zero"/>
    <c:showDLblsOverMax val="0"/>
  </c:chart>
  <c:spPr>
    <a:solidFill>
      <a:schemeClr val="bg1"/>
    </a:solidFill>
    <a:ln w="9525" cap="flat" cmpd="sng" algn="ctr">
      <a:noFill/>
      <a:round/>
    </a:ln>
    <a:effectLst/>
  </c:spPr>
  <c:txPr>
    <a:bodyPr/>
    <a:lstStyle/>
    <a:p>
      <a:pPr>
        <a:defRPr sz="700"/>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sl-SI"/>
              <a:t>Bruto investicije v osnovna sredstva na polnovredno delovno moč (GFCF/AWU) v obdobju 2005-2018, Slovenija, EU-28 in EU-27, v tekočih cenah, v EUR</a:t>
            </a:r>
            <a:endParaRPr lang="en-US"/>
          </a:p>
        </c:rich>
      </c:tx>
      <c:overlay val="0"/>
      <c:spPr>
        <a:noFill/>
        <a:ln w="25400">
          <a:noFill/>
        </a:ln>
      </c:spPr>
    </c:title>
    <c:autoTitleDeleted val="0"/>
    <c:plotArea>
      <c:layout>
        <c:manualLayout>
          <c:layoutTarget val="inner"/>
          <c:xMode val="edge"/>
          <c:yMode val="edge"/>
          <c:x val="9.6019372323877028E-2"/>
          <c:y val="0.16650953984287317"/>
          <c:w val="0.87603701268502332"/>
          <c:h val="0.68588810237104203"/>
        </c:manualLayout>
      </c:layout>
      <c:lineChart>
        <c:grouping val="standard"/>
        <c:varyColors val="0"/>
        <c:ser>
          <c:idx val="0"/>
          <c:order val="0"/>
          <c:tx>
            <c:strRef>
              <c:f>'GFCF na pdm (AWU)'!$A$89</c:f>
              <c:strCache>
                <c:ptCount val="1"/>
                <c:pt idx="0">
                  <c:v>EU-27 (od 2020)</c:v>
                </c:pt>
              </c:strCache>
            </c:strRef>
          </c:tx>
          <c:spPr>
            <a:ln w="28575" cap="rnd">
              <a:solidFill>
                <a:schemeClr val="accent1"/>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(AWU)'!$B$89:$O$89</c:f>
              <c:numCache>
                <c:formatCode>#,##0</c:formatCode>
                <c:ptCount val="14"/>
                <c:pt idx="0">
                  <c:v>3759.7595334949801</c:v>
                </c:pt>
                <c:pt idx="1">
                  <c:v>4174.6297361096777</c:v>
                </c:pt>
                <c:pt idx="2">
                  <c:v>4798.7367167579177</c:v>
                </c:pt>
                <c:pt idx="3">
                  <c:v>5234.3322925911652</c:v>
                </c:pt>
                <c:pt idx="4">
                  <c:v>4704.5144763624003</c:v>
                </c:pt>
                <c:pt idx="5">
                  <c:v>4964.1961510390047</c:v>
                </c:pt>
                <c:pt idx="6">
                  <c:v>5756.7775665690824</c:v>
                </c:pt>
                <c:pt idx="7">
                  <c:v>5655.9512225696299</c:v>
                </c:pt>
                <c:pt idx="8">
                  <c:v>5475.2117389090381</c:v>
                </c:pt>
                <c:pt idx="9">
                  <c:v>5449.3313048963428</c:v>
                </c:pt>
                <c:pt idx="10">
                  <c:v>5502.9776878545317</c:v>
                </c:pt>
                <c:pt idx="11">
                  <c:v>5423.4010891108492</c:v>
                </c:pt>
                <c:pt idx="12">
                  <c:v>5735.3213361938224</c:v>
                </c:pt>
                <c:pt idx="13">
                  <c:v>6050.5836532439998</c:v>
                </c:pt>
              </c:numCache>
            </c:numRef>
          </c:val>
          <c:smooth val="0"/>
          <c:extLst>
            <c:ext xmlns:c16="http://schemas.microsoft.com/office/drawing/2014/chart" uri="{C3380CC4-5D6E-409C-BE32-E72D297353CC}">
              <c16:uniqueId val="{00000000-445D-4ED1-A9BB-DD85172BACDE}"/>
            </c:ext>
          </c:extLst>
        </c:ser>
        <c:ser>
          <c:idx val="1"/>
          <c:order val="1"/>
          <c:tx>
            <c:strRef>
              <c:f>'GFCF na pdm (AWU)'!$A$90</c:f>
              <c:strCache>
                <c:ptCount val="1"/>
                <c:pt idx="0">
                  <c:v>EU-28</c:v>
                </c:pt>
              </c:strCache>
            </c:strRef>
          </c:tx>
          <c:spPr>
            <a:ln w="28575" cap="rnd">
              <a:solidFill>
                <a:schemeClr val="accent2"/>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(AWU)'!$B$90:$O$90</c:f>
              <c:numCache>
                <c:formatCode>#,##0</c:formatCode>
                <c:ptCount val="14"/>
                <c:pt idx="0">
                  <c:v>3956.1232673596573</c:v>
                </c:pt>
                <c:pt idx="1">
                  <c:v>4371.71068410096</c:v>
                </c:pt>
                <c:pt idx="2">
                  <c:v>5023.1054172040458</c:v>
                </c:pt>
                <c:pt idx="3">
                  <c:v>5454.8733445548405</c:v>
                </c:pt>
                <c:pt idx="4">
                  <c:v>4944.539703923454</c:v>
                </c:pt>
                <c:pt idx="5">
                  <c:v>5267.7640410022295</c:v>
                </c:pt>
                <c:pt idx="6">
                  <c:v>6059.6178849684884</c:v>
                </c:pt>
                <c:pt idx="7">
                  <c:v>6004.712653764539</c:v>
                </c:pt>
                <c:pt idx="8">
                  <c:v>5813.5881228217377</c:v>
                </c:pt>
                <c:pt idx="9">
                  <c:v>5833.435291722657</c:v>
                </c:pt>
                <c:pt idx="10">
                  <c:v>5875.7339114984607</c:v>
                </c:pt>
                <c:pt idx="11">
                  <c:v>5730.9646917912214</c:v>
                </c:pt>
                <c:pt idx="12">
                  <c:v>6064.3471330945349</c:v>
                </c:pt>
                <c:pt idx="13">
                  <c:v>6342.062269170342</c:v>
                </c:pt>
              </c:numCache>
            </c:numRef>
          </c:val>
          <c:smooth val="0"/>
          <c:extLst>
            <c:ext xmlns:c16="http://schemas.microsoft.com/office/drawing/2014/chart" uri="{C3380CC4-5D6E-409C-BE32-E72D297353CC}">
              <c16:uniqueId val="{00000001-445D-4ED1-A9BB-DD85172BACDE}"/>
            </c:ext>
          </c:extLst>
        </c:ser>
        <c:ser>
          <c:idx val="2"/>
          <c:order val="2"/>
          <c:tx>
            <c:strRef>
              <c:f>'GFCF na pdm (AWU)'!$A$114</c:f>
              <c:strCache>
                <c:ptCount val="1"/>
                <c:pt idx="0">
                  <c:v>Slovenija</c:v>
                </c:pt>
              </c:strCache>
            </c:strRef>
          </c:tx>
          <c:spPr>
            <a:ln w="28575" cap="rnd">
              <a:solidFill>
                <a:schemeClr val="accent3"/>
              </a:solidFill>
              <a:round/>
            </a:ln>
            <a:effectLst/>
          </c:spPr>
          <c:marker>
            <c:symbol val="none"/>
          </c:marker>
          <c:cat>
            <c:strRef>
              <c:f>'GFCF na pdm (AWU)'!$B$88:$O$88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na pdm (AWU)'!$B$114:$O$114</c:f>
              <c:numCache>
                <c:formatCode>#,##0</c:formatCode>
                <c:ptCount val="14"/>
                <c:pt idx="0">
                  <c:v>2415.1488227454461</c:v>
                </c:pt>
                <c:pt idx="1">
                  <c:v>2713.9957144468253</c:v>
                </c:pt>
                <c:pt idx="2">
                  <c:v>3306.6110780226322</c:v>
                </c:pt>
                <c:pt idx="3">
                  <c:v>3759.9471090275279</c:v>
                </c:pt>
                <c:pt idx="4">
                  <c:v>3173.3383214864698</c:v>
                </c:pt>
                <c:pt idx="5">
                  <c:v>2819.8935203220358</c:v>
                </c:pt>
                <c:pt idx="6">
                  <c:v>2612.12976022567</c:v>
                </c:pt>
                <c:pt idx="7">
                  <c:v>2629.0382473078353</c:v>
                </c:pt>
                <c:pt idx="8">
                  <c:v>2707.0694864048337</c:v>
                </c:pt>
                <c:pt idx="9">
                  <c:v>2848.4107579462107</c:v>
                </c:pt>
                <c:pt idx="10">
                  <c:v>3060.4645446724835</c:v>
                </c:pt>
                <c:pt idx="11">
                  <c:v>2892.7097661623111</c:v>
                </c:pt>
                <c:pt idx="12">
                  <c:v>3249.3968253968251</c:v>
                </c:pt>
                <c:pt idx="13">
                  <c:v>3913.3555498590104</c:v>
                </c:pt>
              </c:numCache>
            </c:numRef>
          </c:val>
          <c:smooth val="0"/>
          <c:extLst>
            <c:ext xmlns:c16="http://schemas.microsoft.com/office/drawing/2014/chart" uri="{C3380CC4-5D6E-409C-BE32-E72D297353CC}">
              <c16:uniqueId val="{00000002-445D-4ED1-A9BB-DD85172BACDE}"/>
            </c:ext>
          </c:extLst>
        </c:ser>
        <c:dLbls>
          <c:showLegendKey val="0"/>
          <c:showVal val="0"/>
          <c:showCatName val="0"/>
          <c:showSerName val="0"/>
          <c:showPercent val="0"/>
          <c:showBubbleSize val="0"/>
        </c:dLbls>
        <c:smooth val="0"/>
        <c:axId val="163844480"/>
        <c:axId val="163846016"/>
      </c:lineChart>
      <c:catAx>
        <c:axId val="163844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63846016"/>
        <c:crosses val="autoZero"/>
        <c:auto val="1"/>
        <c:lblAlgn val="ctr"/>
        <c:lblOffset val="100"/>
        <c:noMultiLvlLbl val="0"/>
      </c:catAx>
      <c:valAx>
        <c:axId val="163846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63844480"/>
        <c:crosses val="autoZero"/>
        <c:crossBetween val="between"/>
      </c:valAx>
      <c:spPr>
        <a:gradFill>
          <a:gsLst>
            <a:gs pos="0">
              <a:schemeClr val="bg1">
                <a:lumMod val="95000"/>
              </a:schemeClr>
            </a:gs>
            <a:gs pos="74000">
              <a:schemeClr val="bg1">
                <a:lumMod val="85000"/>
              </a:schemeClr>
            </a:gs>
            <a:gs pos="83000">
              <a:schemeClr val="bg1">
                <a:lumMod val="85000"/>
              </a:schemeClr>
            </a:gs>
            <a:gs pos="100000">
              <a:schemeClr val="accent1">
                <a:lumMod val="20000"/>
                <a:lumOff val="80000"/>
              </a:schemeClr>
            </a:gs>
          </a:gsLst>
          <a:lin ang="5400000" scaled="1"/>
        </a:gradFill>
        <a:ln w="25400">
          <a:noFill/>
        </a:ln>
      </c:spPr>
    </c:plotArea>
    <c:legend>
      <c:legendPos val="r"/>
      <c:layout>
        <c:manualLayout>
          <c:xMode val="edge"/>
          <c:yMode val="edge"/>
          <c:x val="0.1975560511583451"/>
          <c:y val="0.92155523085387525"/>
          <c:w val="0.60488798370672103"/>
          <c:h val="7.4074427565241185E-2"/>
        </c:manualLayout>
      </c:layout>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a:latin typeface="+mn-lt"/>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sl-SI" sz="800">
                <a:solidFill>
                  <a:schemeClr val="tx1"/>
                </a:solidFill>
              </a:rPr>
              <a:t>Število odobrenih vlog in celotna vrednost podprtih naložb iz ukrepa 121 PRP 2007-2013</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sl-SI"/>
        </a:p>
      </c:txPr>
    </c:title>
    <c:autoTitleDeleted val="0"/>
    <c:plotArea>
      <c:layout/>
      <c:barChart>
        <c:barDir val="col"/>
        <c:grouping val="stacked"/>
        <c:varyColors val="0"/>
        <c:ser>
          <c:idx val="1"/>
          <c:order val="1"/>
          <c:tx>
            <c:strRef>
              <c:f>'2007-2013'!$E$1</c:f>
              <c:strCache>
                <c:ptCount val="1"/>
                <c:pt idx="0">
                  <c:v>celotna vrednost naložb</c:v>
                </c:pt>
              </c:strCache>
            </c:strRef>
          </c:tx>
          <c:spPr>
            <a:solidFill>
              <a:srgbClr val="92D050"/>
            </a:solidFill>
            <a:ln>
              <a:noFill/>
            </a:ln>
            <a:effectLst>
              <a:outerShdw blurRad="40000" dist="23000" dir="5400000" rotWithShape="0">
                <a:srgbClr val="000000">
                  <a:alpha val="35000"/>
                </a:srgbClr>
              </a:outerShdw>
            </a:effectLst>
          </c:spPr>
          <c:invertIfNegative val="0"/>
          <c:cat>
            <c:strRef>
              <c:f>'2007-2013'!$C$2:$C$5</c:f>
              <c:strCache>
                <c:ptCount val="4"/>
                <c:pt idx="0">
                  <c:v>Naložbe v zgradbe in kmetijske objekte (gospodarska poslopja, prodajni prostori za neposredno prodajo, rastlinjaki, trajni nasadi, mreže proti toči, pašniki in obore)</c:v>
                </c:pt>
                <c:pt idx="1">
                  <c:v>Naložbe v nakup kmetijske mehanizacije in opreme</c:v>
                </c:pt>
                <c:pt idx="2">
                  <c:v>Naložbe v izboljšanje kmetijskih zemljišč</c:v>
                </c:pt>
                <c:pt idx="3">
                  <c:v>Ostale vrste naložb</c:v>
                </c:pt>
              </c:strCache>
            </c:strRef>
          </c:cat>
          <c:val>
            <c:numRef>
              <c:f>'2007-2013'!$E$2:$E$5</c:f>
              <c:numCache>
                <c:formatCode>#,##0</c:formatCode>
                <c:ptCount val="4"/>
                <c:pt idx="0">
                  <c:v>198853834.19999999</c:v>
                </c:pt>
                <c:pt idx="1">
                  <c:v>117820827.40000001</c:v>
                </c:pt>
                <c:pt idx="2">
                  <c:v>7277192.0499999998</c:v>
                </c:pt>
                <c:pt idx="3">
                  <c:v>51010693.409999996</c:v>
                </c:pt>
              </c:numCache>
            </c:numRef>
          </c:val>
          <c:extLst>
            <c:ext xmlns:c16="http://schemas.microsoft.com/office/drawing/2014/chart" uri="{C3380CC4-5D6E-409C-BE32-E72D297353CC}">
              <c16:uniqueId val="{00000000-B75D-476A-A99F-2A9E77A0793D}"/>
            </c:ext>
          </c:extLst>
        </c:ser>
        <c:dLbls>
          <c:showLegendKey val="0"/>
          <c:showVal val="0"/>
          <c:showCatName val="0"/>
          <c:showSerName val="0"/>
          <c:showPercent val="0"/>
          <c:showBubbleSize val="0"/>
        </c:dLbls>
        <c:gapWidth val="247"/>
        <c:overlap val="100"/>
        <c:axId val="163920512"/>
        <c:axId val="163918976"/>
      </c:barChart>
      <c:lineChart>
        <c:grouping val="stacked"/>
        <c:varyColors val="0"/>
        <c:ser>
          <c:idx val="0"/>
          <c:order val="0"/>
          <c:tx>
            <c:strRef>
              <c:f>'2007-2013'!$D$1</c:f>
              <c:strCache>
                <c:ptCount val="1"/>
                <c:pt idx="0">
                  <c:v>število vlog</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'2007-2013'!$C$2:$C$5</c:f>
              <c:strCache>
                <c:ptCount val="4"/>
                <c:pt idx="0">
                  <c:v>Naložbe v zgradbe in kmetijske objekte (gospodarska poslopja, prodajni prostori za neposredno prodajo, rastlinjaki, trajni nasadi, mreže proti toči, pašniki in obore)</c:v>
                </c:pt>
                <c:pt idx="1">
                  <c:v>Naložbe v nakup kmetijske mehanizacije in opreme</c:v>
                </c:pt>
                <c:pt idx="2">
                  <c:v>Naložbe v izboljšanje kmetijskih zemljišč</c:v>
                </c:pt>
                <c:pt idx="3">
                  <c:v>Ostale vrste naložb</c:v>
                </c:pt>
              </c:strCache>
            </c:strRef>
          </c:cat>
          <c:val>
            <c:numRef>
              <c:f>'2007-2013'!$D$2:$D$5</c:f>
              <c:numCache>
                <c:formatCode>General</c:formatCode>
                <c:ptCount val="4"/>
                <c:pt idx="0">
                  <c:v>875</c:v>
                </c:pt>
                <c:pt idx="1">
                  <c:v>1716</c:v>
                </c:pt>
                <c:pt idx="2">
                  <c:v>82</c:v>
                </c:pt>
                <c:pt idx="3">
                  <c:v>426</c:v>
                </c:pt>
              </c:numCache>
            </c:numRef>
          </c:val>
          <c:smooth val="0"/>
          <c:extLst>
            <c:ext xmlns:c16="http://schemas.microsoft.com/office/drawing/2014/chart" uri="{C3380CC4-5D6E-409C-BE32-E72D297353CC}">
              <c16:uniqueId val="{00000001-B75D-476A-A99F-2A9E77A0793D}"/>
            </c:ext>
          </c:extLst>
        </c:ser>
        <c:dLbls>
          <c:showLegendKey val="0"/>
          <c:showVal val="0"/>
          <c:showCatName val="0"/>
          <c:showSerName val="0"/>
          <c:showPercent val="0"/>
          <c:showBubbleSize val="0"/>
        </c:dLbls>
        <c:marker val="1"/>
        <c:smooth val="0"/>
        <c:axId val="163900800"/>
        <c:axId val="163899264"/>
      </c:lineChart>
      <c:valAx>
        <c:axId val="163899264"/>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63900800"/>
        <c:crosses val="max"/>
        <c:crossBetween val="between"/>
      </c:valAx>
      <c:catAx>
        <c:axId val="163900800"/>
        <c:scaling>
          <c:orientation val="minMax"/>
        </c:scaling>
        <c:delete val="0"/>
        <c:axPos val="t"/>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sl-SI"/>
          </a:p>
        </c:txPr>
        <c:crossAx val="163899264"/>
        <c:crosses val="max"/>
        <c:auto val="1"/>
        <c:lblAlgn val="ctr"/>
        <c:lblOffset val="100"/>
        <c:tickMarkSkip val="1"/>
        <c:noMultiLvlLbl val="0"/>
      </c:catAx>
      <c:valAx>
        <c:axId val="1639189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63920512"/>
        <c:crosses val="autoZero"/>
        <c:crossBetween val="between"/>
      </c:valAx>
      <c:catAx>
        <c:axId val="163920512"/>
        <c:scaling>
          <c:orientation val="minMax"/>
        </c:scaling>
        <c:delete val="1"/>
        <c:axPos val="b"/>
        <c:numFmt formatCode="General" sourceLinked="1"/>
        <c:majorTickMark val="none"/>
        <c:minorTickMark val="none"/>
        <c:tickLblPos val="nextTo"/>
        <c:crossAx val="163918976"/>
        <c:crosses val="autoZero"/>
        <c:auto val="1"/>
        <c:lblAlgn val="ctr"/>
        <c:lblOffset val="100"/>
        <c:noMultiLvlLbl val="0"/>
      </c:catAx>
      <c:spPr>
        <a:gradFill>
          <a:gsLst>
            <a:gs pos="0">
              <a:schemeClr val="accent3">
                <a:lumMod val="5000"/>
                <a:lumOff val="95000"/>
              </a:schemeClr>
            </a:gs>
            <a:gs pos="84000">
              <a:srgbClr val="E6EBF2"/>
            </a:gs>
            <a:gs pos="48000">
              <a:schemeClr val="bg1">
                <a:lumMod val="85000"/>
              </a:schemeClr>
            </a:gs>
            <a:gs pos="97000">
              <a:schemeClr val="accent1">
                <a:lumMod val="20000"/>
                <a:lumOff val="8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solidFill>
                  <a:sysClr val="windowText" lastClr="000000"/>
                </a:solidFill>
              </a:rPr>
              <a:t>Povprečje</a:t>
            </a:r>
            <a:r>
              <a:rPr lang="sl-SI" sz="1000" baseline="0">
                <a:solidFill>
                  <a:sysClr val="windowText" lastClr="000000"/>
                </a:solidFill>
              </a:rPr>
              <a:t> KZU (ha), PDM in GVŽ na podprto KMG v okviru podukrepa M04.1 PRP 2014-2020, 30. 4. 2020</a:t>
            </a:r>
            <a:endParaRPr lang="sl-SI"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List1!$B$178</c:f>
              <c:strCache>
                <c:ptCount val="1"/>
                <c:pt idx="0">
                  <c:v>kmetija</c:v>
                </c:pt>
              </c:strCache>
            </c:strRef>
          </c:tx>
          <c:spPr>
            <a:solidFill>
              <a:schemeClr val="accent1"/>
            </a:solidFill>
            <a:ln>
              <a:noFill/>
            </a:ln>
            <a:effectLst/>
          </c:spPr>
          <c:invertIfNegative val="0"/>
          <c:cat>
            <c:strRef>
              <c:f>(List1!$A$180,List1!$A$182,List1!$A$185)</c:f>
              <c:strCache>
                <c:ptCount val="3"/>
                <c:pt idx="0">
                  <c:v>KZU (ha): POVPREČJE</c:v>
                </c:pt>
                <c:pt idx="1">
                  <c:v>PDM: POVPREČJE</c:v>
                </c:pt>
                <c:pt idx="2">
                  <c:v>GVŽ: POVPREČJE</c:v>
                </c:pt>
              </c:strCache>
            </c:strRef>
          </c:cat>
          <c:val>
            <c:numRef>
              <c:f>(List1!$B$180,List1!$B$182,List1!$B$185)</c:f>
              <c:numCache>
                <c:formatCode>##,#00</c:formatCode>
                <c:ptCount val="3"/>
                <c:pt idx="0">
                  <c:v>39.138549516728645</c:v>
                </c:pt>
                <c:pt idx="1">
                  <c:v>3.6606166419019437</c:v>
                </c:pt>
                <c:pt idx="2">
                  <c:v>46.767462178919381</c:v>
                </c:pt>
              </c:numCache>
            </c:numRef>
          </c:val>
          <c:extLst>
            <c:ext xmlns:c16="http://schemas.microsoft.com/office/drawing/2014/chart" uri="{C3380CC4-5D6E-409C-BE32-E72D297353CC}">
              <c16:uniqueId val="{00000000-1113-4F58-B888-B5CC7ED25A47}"/>
            </c:ext>
          </c:extLst>
        </c:ser>
        <c:ser>
          <c:idx val="1"/>
          <c:order val="1"/>
          <c:tx>
            <c:strRef>
              <c:f>List1!$C$178</c:f>
              <c:strCache>
                <c:ptCount val="1"/>
                <c:pt idx="0">
                  <c:v>podjetje</c:v>
                </c:pt>
              </c:strCache>
            </c:strRef>
          </c:tx>
          <c:spPr>
            <a:solidFill>
              <a:srgbClr val="92D050"/>
            </a:solidFill>
            <a:ln>
              <a:noFill/>
            </a:ln>
            <a:effectLst/>
          </c:spPr>
          <c:invertIfNegative val="0"/>
          <c:cat>
            <c:strRef>
              <c:f>(List1!$A$180,List1!$A$182,List1!$A$185)</c:f>
              <c:strCache>
                <c:ptCount val="3"/>
                <c:pt idx="0">
                  <c:v>KZU (ha): POVPREČJE</c:v>
                </c:pt>
                <c:pt idx="1">
                  <c:v>PDM: POVPREČJE</c:v>
                </c:pt>
                <c:pt idx="2">
                  <c:v>GVŽ: POVPREČJE</c:v>
                </c:pt>
              </c:strCache>
            </c:strRef>
          </c:cat>
          <c:val>
            <c:numRef>
              <c:f>(List1!$C$180,List1!$C$182,List1!$C$185)</c:f>
              <c:numCache>
                <c:formatCode>##,#00</c:formatCode>
                <c:ptCount val="3"/>
                <c:pt idx="0">
                  <c:v>372.77286376811583</c:v>
                </c:pt>
                <c:pt idx="1">
                  <c:v>46.863380281690134</c:v>
                </c:pt>
                <c:pt idx="2">
                  <c:v>312.04902903225803</c:v>
                </c:pt>
              </c:numCache>
            </c:numRef>
          </c:val>
          <c:extLst>
            <c:ext xmlns:c16="http://schemas.microsoft.com/office/drawing/2014/chart" uri="{C3380CC4-5D6E-409C-BE32-E72D297353CC}">
              <c16:uniqueId val="{00000001-1113-4F58-B888-B5CC7ED25A47}"/>
            </c:ext>
          </c:extLst>
        </c:ser>
        <c:dLbls>
          <c:showLegendKey val="0"/>
          <c:showVal val="0"/>
          <c:showCatName val="0"/>
          <c:showSerName val="0"/>
          <c:showPercent val="0"/>
          <c:showBubbleSize val="0"/>
        </c:dLbls>
        <c:gapWidth val="219"/>
        <c:overlap val="-27"/>
        <c:axId val="163950976"/>
        <c:axId val="163952512"/>
      </c:barChart>
      <c:lineChart>
        <c:grouping val="standard"/>
        <c:varyColors val="0"/>
        <c:ser>
          <c:idx val="2"/>
          <c:order val="2"/>
          <c:tx>
            <c:strRef>
              <c:f>List1!$D$178</c:f>
              <c:strCache>
                <c:ptCount val="1"/>
                <c:pt idx="0">
                  <c:v>Skupaj</c:v>
                </c:pt>
              </c:strCache>
            </c:strRef>
          </c:tx>
          <c:spPr>
            <a:ln w="12700" cap="rnd">
              <a:solidFill>
                <a:srgbClr val="FF0000"/>
              </a:solidFill>
              <a:round/>
            </a:ln>
            <a:effectLst/>
          </c:spPr>
          <c:marker>
            <c:symbol val="none"/>
          </c:marker>
          <c:dLbls>
            <c:dLbl>
              <c:idx val="0"/>
              <c:layout>
                <c:manualLayout>
                  <c:x val="-7.222222222222224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13-4F58-B888-B5CC7ED25A47}"/>
                </c:ext>
              </c:extLst>
            </c:dLbl>
            <c:dLbl>
              <c:idx val="1"/>
              <c:layout>
                <c:manualLayout>
                  <c:x val="-3.6111111111111108E-2"/>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13-4F58-B888-B5CC7ED25A47}"/>
                </c:ext>
              </c:extLst>
            </c:dLbl>
            <c:dLbl>
              <c:idx val="2"/>
              <c:layout>
                <c:manualLayout>
                  <c:x val="-2.9843706722589489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13-4F58-B888-B5CC7ED25A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(List1!$A$180,List1!$A$182,List1!$A$185)</c:f>
              <c:strCache>
                <c:ptCount val="3"/>
                <c:pt idx="0">
                  <c:v>KZU (ha): POVPREČJE</c:v>
                </c:pt>
                <c:pt idx="1">
                  <c:v>PDM: POVPREČJE</c:v>
                </c:pt>
                <c:pt idx="2">
                  <c:v>GVŽ: POVPREČJE</c:v>
                </c:pt>
              </c:strCache>
            </c:strRef>
          </c:cat>
          <c:val>
            <c:numRef>
              <c:f>(List1!$D$180,List1!$D$182,List1!$D$185)</c:f>
              <c:numCache>
                <c:formatCode>##,#00</c:formatCode>
                <c:ptCount val="3"/>
                <c:pt idx="0">
                  <c:v>55.419149009900906</c:v>
                </c:pt>
                <c:pt idx="1">
                  <c:v>5.8253281580804686</c:v>
                </c:pt>
                <c:pt idx="2">
                  <c:v>53.856883362068956</c:v>
                </c:pt>
              </c:numCache>
            </c:numRef>
          </c:val>
          <c:smooth val="0"/>
          <c:extLst>
            <c:ext xmlns:c16="http://schemas.microsoft.com/office/drawing/2014/chart" uri="{C3380CC4-5D6E-409C-BE32-E72D297353CC}">
              <c16:uniqueId val="{00000005-1113-4F58-B888-B5CC7ED25A47}"/>
            </c:ext>
          </c:extLst>
        </c:ser>
        <c:dLbls>
          <c:showLegendKey val="0"/>
          <c:showVal val="0"/>
          <c:showCatName val="0"/>
          <c:showSerName val="0"/>
          <c:showPercent val="0"/>
          <c:showBubbleSize val="0"/>
        </c:dLbls>
        <c:marker val="1"/>
        <c:smooth val="0"/>
        <c:axId val="163950976"/>
        <c:axId val="163952512"/>
      </c:lineChart>
      <c:catAx>
        <c:axId val="16395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3952512"/>
        <c:crosses val="autoZero"/>
        <c:auto val="1"/>
        <c:lblAlgn val="ctr"/>
        <c:lblOffset val="100"/>
        <c:noMultiLvlLbl val="0"/>
      </c:catAx>
      <c:valAx>
        <c:axId val="163952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3950976"/>
        <c:crosses val="autoZero"/>
        <c:crossBetween val="between"/>
      </c:valAx>
      <c:spPr>
        <a:gradFill>
          <a:gsLst>
            <a:gs pos="0">
              <a:schemeClr val="accent1">
                <a:lumMod val="5000"/>
                <a:lumOff val="95000"/>
              </a:schemeClr>
            </a:gs>
            <a:gs pos="74000">
              <a:schemeClr val="bg1">
                <a:lumMod val="95000"/>
              </a:schemeClr>
            </a:gs>
            <a:gs pos="100000">
              <a:schemeClr val="bg1">
                <a:lumMod val="8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r>
              <a:rPr lang="sl-SI" b="1"/>
              <a:t>Vlaganja v okviru podukrepa M04.1 PRP 2014-2020 - naložbe na kmetijska gospodarstva</a:t>
            </a:r>
          </a:p>
        </c:rich>
      </c:tx>
      <c:overlay val="0"/>
      <c:spPr>
        <a:noFill/>
        <a:ln>
          <a:noFill/>
        </a:ln>
        <a:effectLst/>
      </c:spPr>
      <c:txPr>
        <a:bodyPr rot="0" spcFirstLastPara="1" vertOverflow="ellipsis" vert="horz" wrap="square" anchor="ctr" anchorCtr="1"/>
        <a:lstStyle/>
        <a:p>
          <a:pPr>
            <a:defRPr sz="72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2578392978655449E-2"/>
          <c:y val="3.2370417666838874E-2"/>
          <c:w val="0.87958464787861113"/>
          <c:h val="0.47851319084872573"/>
        </c:manualLayout>
      </c:layout>
      <c:barChart>
        <c:barDir val="col"/>
        <c:grouping val="clustered"/>
        <c:varyColors val="0"/>
        <c:ser>
          <c:idx val="1"/>
          <c:order val="1"/>
          <c:tx>
            <c:strRef>
              <c:f>List2!$D$2</c:f>
              <c:strCache>
                <c:ptCount val="1"/>
                <c:pt idx="0">
                  <c:v>Celotna vrednost odobrenih naložb, €</c:v>
                </c:pt>
              </c:strCache>
            </c:strRef>
          </c:tx>
          <c:spPr>
            <a:solidFill>
              <a:srgbClr val="92D050"/>
            </a:solidFill>
            <a:ln>
              <a:noFill/>
            </a:ln>
            <a:effectLst/>
          </c:spPr>
          <c:invertIfNegative val="0"/>
          <c:dLbls>
            <c:dLbl>
              <c:idx val="0"/>
              <c:layout>
                <c:manualLayout>
                  <c:x val="0"/>
                  <c:y val="-1.404129910920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98-4491-B457-10D173335EE3}"/>
                </c:ext>
              </c:extLst>
            </c:dLbl>
            <c:dLbl>
              <c:idx val="1"/>
              <c:layout>
                <c:manualLayout>
                  <c:x val="-2.0350183682897557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98-4491-B457-10D173335EE3}"/>
                </c:ext>
              </c:extLst>
            </c:dLbl>
            <c:dLbl>
              <c:idx val="2"/>
              <c:layout>
                <c:manualLayout>
                  <c:x val="0"/>
                  <c:y val="-8.02359949097526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98-4491-B457-10D173335EE3}"/>
                </c:ext>
              </c:extLst>
            </c:dLbl>
            <c:dLbl>
              <c:idx val="3"/>
              <c:layout>
                <c:manualLayout>
                  <c:x val="-1.1100228419976006E-3"/>
                  <c:y val="-1.404129910920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98-4491-B457-10D173335EE3}"/>
                </c:ext>
              </c:extLst>
            </c:dLbl>
            <c:dLbl>
              <c:idx val="4"/>
              <c:layout>
                <c:manualLayout>
                  <c:x val="-4.0700367365795115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98-4491-B457-10D173335EE3}"/>
                </c:ext>
              </c:extLst>
            </c:dLbl>
            <c:dLbl>
              <c:idx val="5"/>
              <c:layout>
                <c:manualLayout>
                  <c:x val="0"/>
                  <c:y val="-2.4070798472925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98-4491-B457-10D173335EE3}"/>
                </c:ext>
              </c:extLst>
            </c:dLbl>
            <c:dLbl>
              <c:idx val="8"/>
              <c:layout>
                <c:manualLayout>
                  <c:x val="-8.140073473159023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98-4491-B457-10D173335EE3}"/>
                </c:ext>
              </c:extLst>
            </c:dLbl>
            <c:dLbl>
              <c:idx val="9"/>
              <c:layout>
                <c:manualLayout>
                  <c:x val="8.140073473159023E-17"/>
                  <c:y val="-2.40707984729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98-4491-B457-10D173335EE3}"/>
                </c:ext>
              </c:extLst>
            </c:dLbl>
            <c:dLbl>
              <c:idx val="10"/>
              <c:layout>
                <c:manualLayout>
                  <c:x val="-8.140073473159023E-17"/>
                  <c:y val="-1.404129910920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98-4491-B457-10D173335EE3}"/>
                </c:ext>
              </c:extLst>
            </c:dLbl>
            <c:dLbl>
              <c:idx val="12"/>
              <c:layout>
                <c:manualLayout>
                  <c:x val="-1.1100228419976006E-3"/>
                  <c:y val="-3.2094397963901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98-4491-B457-10D173335EE3}"/>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List2!$B$3:$B$17</c:f>
              <c:strCache>
                <c:ptCount val="15"/>
                <c:pt idx="0">
                  <c:v>Prispevek v naravi</c:v>
                </c:pt>
                <c:pt idx="1">
                  <c:v>Stroški ureditve nasadov trajnih rastlin</c:v>
                </c:pt>
                <c:pt idx="2">
                  <c:v>Stroški postavitve pašnikov in obor</c:v>
                </c:pt>
                <c:pt idx="3">
                  <c:v>Stroški ureditve priključkov kmetijskega gospodarstva na objekte javne infrastrukture</c:v>
                </c:pt>
                <c:pt idx="4">
                  <c:v>Stroški ureditve malih namakalnih sistemov in njihovih tehnoloških posodobitev, stroški izgradnje pripadajočih vodnih virov, ter nakupa in postavitve namakalne opreme</c:v>
                </c:pt>
                <c:pt idx="5">
                  <c:v>Stroški postavitve novih vinogradov</c:v>
                </c:pt>
                <c:pt idx="6">
                  <c:v>Stroški naložb, namenjenih učinkoviti rabi energije</c:v>
                </c:pt>
                <c:pt idx="7">
                  <c:v>Stroški pridobivanja energije iz obnovljivih virov  na kmetijskih gospodarstvih</c:v>
                </c:pt>
                <c:pt idx="8">
                  <c:v>Stroški postavitve oziroma obnove hmeljišč</c:v>
                </c:pt>
                <c:pt idx="9">
                  <c:v>Nakup in postavitev mreže proti toči</c:v>
                </c:pt>
                <c:pt idx="10">
                  <c:v>Stroški ureditve zasebnih namakalnih sistemov, ki so namenjeni enemu uporabniku, ter nakupa in postavitve namakalne opreme</c:v>
                </c:pt>
                <c:pt idx="11">
                  <c:v>Nakup in postavitev rastlinjakov ter pripadajoče opreme</c:v>
                </c:pt>
                <c:pt idx="12">
                  <c:v>Stroški postavitve oziroma obnove sadovnjakov in oljčnikov vključno s postavitvijo jagodišč</c:v>
                </c:pt>
                <c:pt idx="13">
                  <c:v>Nakup nove kmetijske mehanizacije ter strojne in transportne opreme za prevoz živali in surovin</c:v>
                </c:pt>
                <c:pt idx="14">
                  <c:v>Stroški ureditve ali vzdrževanje nepremičnin za kmet. dejavnost, nakup pripadajoče opreme za kmet. proizvodnjo, ureditev greznic in čistilnih naprav, nakup IKT in strojne opreme</c:v>
                </c:pt>
              </c:strCache>
            </c:strRef>
          </c:cat>
          <c:val>
            <c:numRef>
              <c:f>List2!$D$3:$D$17</c:f>
              <c:numCache>
                <c:formatCode>#,##0</c:formatCode>
                <c:ptCount val="15"/>
                <c:pt idx="0">
                  <c:v>16759.650000000001</c:v>
                </c:pt>
                <c:pt idx="1">
                  <c:v>150201.17000000001</c:v>
                </c:pt>
                <c:pt idx="2">
                  <c:v>167370.61000000002</c:v>
                </c:pt>
                <c:pt idx="3">
                  <c:v>195774.64</c:v>
                </c:pt>
                <c:pt idx="4">
                  <c:v>265074.11</c:v>
                </c:pt>
                <c:pt idx="5">
                  <c:v>1441864.4200000002</c:v>
                </c:pt>
                <c:pt idx="6">
                  <c:v>1803077.95</c:v>
                </c:pt>
                <c:pt idx="7">
                  <c:v>3105504.0300000003</c:v>
                </c:pt>
                <c:pt idx="8">
                  <c:v>3509459.5</c:v>
                </c:pt>
                <c:pt idx="9">
                  <c:v>3917760.9899999998</c:v>
                </c:pt>
                <c:pt idx="10">
                  <c:v>8481465.5199999996</c:v>
                </c:pt>
                <c:pt idx="11">
                  <c:v>13613323.359999998</c:v>
                </c:pt>
                <c:pt idx="12">
                  <c:v>15887648.899999997</c:v>
                </c:pt>
                <c:pt idx="13">
                  <c:v>77673013.129999995</c:v>
                </c:pt>
                <c:pt idx="14">
                  <c:v>129343689.72</c:v>
                </c:pt>
              </c:numCache>
            </c:numRef>
          </c:val>
          <c:extLst>
            <c:ext xmlns:c16="http://schemas.microsoft.com/office/drawing/2014/chart" uri="{C3380CC4-5D6E-409C-BE32-E72D297353CC}">
              <c16:uniqueId val="{0000000A-6698-4491-B457-10D173335EE3}"/>
            </c:ext>
          </c:extLst>
        </c:ser>
        <c:dLbls>
          <c:showLegendKey val="0"/>
          <c:showVal val="0"/>
          <c:showCatName val="0"/>
          <c:showSerName val="0"/>
          <c:showPercent val="0"/>
          <c:showBubbleSize val="0"/>
        </c:dLbls>
        <c:gapWidth val="182"/>
        <c:axId val="165846400"/>
        <c:axId val="166151296"/>
      </c:barChart>
      <c:lineChart>
        <c:grouping val="standard"/>
        <c:varyColors val="0"/>
        <c:ser>
          <c:idx val="0"/>
          <c:order val="0"/>
          <c:tx>
            <c:strRef>
              <c:f>List2!$C$2</c:f>
              <c:strCache>
                <c:ptCount val="1"/>
                <c:pt idx="0">
                  <c:v>Število odobrenih vlog</c:v>
                </c:pt>
              </c:strCache>
            </c:strRef>
          </c:tx>
          <c:spPr>
            <a:ln w="28575" cap="rnd">
              <a:solidFill>
                <a:schemeClr val="accent1"/>
              </a:solidFill>
              <a:round/>
            </a:ln>
            <a:effectLst/>
          </c:spPr>
          <c:marker>
            <c:symbol val="none"/>
          </c:marker>
          <c:dLbls>
            <c:spPr>
              <a:solidFill>
                <a:schemeClr val="accent2"/>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List2!$B$3:$B$17</c:f>
              <c:strCache>
                <c:ptCount val="15"/>
                <c:pt idx="0">
                  <c:v>Prispevek v naravi</c:v>
                </c:pt>
                <c:pt idx="1">
                  <c:v>Stroški ureditve nasadov trajnih rastlin</c:v>
                </c:pt>
                <c:pt idx="2">
                  <c:v>Stroški postavitve pašnikov in obor</c:v>
                </c:pt>
                <c:pt idx="3">
                  <c:v>Stroški ureditve priključkov kmetijskega gospodarstva na objekte javne infrastrukture</c:v>
                </c:pt>
                <c:pt idx="4">
                  <c:v>Stroški ureditve malih namakalnih sistemov in njihovih tehnoloških posodobitev, stroški izgradnje pripadajočih vodnih virov, ter nakupa in postavitve namakalne opreme</c:v>
                </c:pt>
                <c:pt idx="5">
                  <c:v>Stroški postavitve novih vinogradov</c:v>
                </c:pt>
                <c:pt idx="6">
                  <c:v>Stroški naložb, namenjenih učinkoviti rabi energije</c:v>
                </c:pt>
                <c:pt idx="7">
                  <c:v>Stroški pridobivanja energije iz obnovljivih virov  na kmetijskih gospodarstvih</c:v>
                </c:pt>
                <c:pt idx="8">
                  <c:v>Stroški postavitve oziroma obnove hmeljišč</c:v>
                </c:pt>
                <c:pt idx="9">
                  <c:v>Nakup in postavitev mreže proti toči</c:v>
                </c:pt>
                <c:pt idx="10">
                  <c:v>Stroški ureditve zasebnih namakalnih sistemov, ki so namenjeni enemu uporabniku, ter nakupa in postavitve namakalne opreme</c:v>
                </c:pt>
                <c:pt idx="11">
                  <c:v>Nakup in postavitev rastlinjakov ter pripadajoče opreme</c:v>
                </c:pt>
                <c:pt idx="12">
                  <c:v>Stroški postavitve oziroma obnove sadovnjakov in oljčnikov vključno s postavitvijo jagodišč</c:v>
                </c:pt>
                <c:pt idx="13">
                  <c:v>Nakup nove kmetijske mehanizacije ter strojne in transportne opreme za prevoz živali in surovin</c:v>
                </c:pt>
                <c:pt idx="14">
                  <c:v>Stroški ureditve ali vzdrževanje nepremičnin za kmet. dejavnost, nakup pripadajoče opreme za kmet. proizvodnjo, ureditev greznic in čistilnih naprav, nakup IKT in strojne opreme</c:v>
                </c:pt>
              </c:strCache>
            </c:strRef>
          </c:cat>
          <c:val>
            <c:numRef>
              <c:f>List2!$C$3:$C$17</c:f>
              <c:numCache>
                <c:formatCode>General</c:formatCode>
                <c:ptCount val="15"/>
                <c:pt idx="0">
                  <c:v>1</c:v>
                </c:pt>
                <c:pt idx="1">
                  <c:v>4</c:v>
                </c:pt>
                <c:pt idx="2">
                  <c:v>7</c:v>
                </c:pt>
                <c:pt idx="3">
                  <c:v>1</c:v>
                </c:pt>
                <c:pt idx="4">
                  <c:v>3</c:v>
                </c:pt>
                <c:pt idx="5">
                  <c:v>11</c:v>
                </c:pt>
                <c:pt idx="6">
                  <c:v>5</c:v>
                </c:pt>
                <c:pt idx="7">
                  <c:v>6</c:v>
                </c:pt>
                <c:pt idx="8">
                  <c:v>26</c:v>
                </c:pt>
                <c:pt idx="9">
                  <c:v>37</c:v>
                </c:pt>
                <c:pt idx="10">
                  <c:v>53</c:v>
                </c:pt>
                <c:pt idx="11">
                  <c:v>30</c:v>
                </c:pt>
                <c:pt idx="12">
                  <c:v>122</c:v>
                </c:pt>
                <c:pt idx="13">
                  <c:v>721</c:v>
                </c:pt>
                <c:pt idx="14">
                  <c:v>408</c:v>
                </c:pt>
              </c:numCache>
            </c:numRef>
          </c:val>
          <c:smooth val="0"/>
          <c:extLst>
            <c:ext xmlns:c16="http://schemas.microsoft.com/office/drawing/2014/chart" uri="{C3380CC4-5D6E-409C-BE32-E72D297353CC}">
              <c16:uniqueId val="{0000000B-6698-4491-B457-10D173335EE3}"/>
            </c:ext>
          </c:extLst>
        </c:ser>
        <c:dLbls>
          <c:showLegendKey val="0"/>
          <c:showVal val="0"/>
          <c:showCatName val="0"/>
          <c:showSerName val="0"/>
          <c:showPercent val="0"/>
          <c:showBubbleSize val="0"/>
        </c:dLbls>
        <c:marker val="1"/>
        <c:smooth val="0"/>
        <c:axId val="166158720"/>
        <c:axId val="166152832"/>
      </c:lineChart>
      <c:catAx>
        <c:axId val="1658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66151296"/>
        <c:crosses val="autoZero"/>
        <c:auto val="1"/>
        <c:lblAlgn val="ctr"/>
        <c:lblOffset val="100"/>
        <c:noMultiLvlLbl val="0"/>
      </c:catAx>
      <c:valAx>
        <c:axId val="16615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crossAx val="165846400"/>
        <c:crosses val="autoZero"/>
        <c:crossBetween val="between"/>
        <c:majorUnit val="20000000"/>
      </c:valAx>
      <c:valAx>
        <c:axId val="1661528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crossAx val="166158720"/>
        <c:crosses val="max"/>
        <c:crossBetween val="between"/>
      </c:valAx>
      <c:catAx>
        <c:axId val="166158720"/>
        <c:scaling>
          <c:orientation val="minMax"/>
        </c:scaling>
        <c:delete val="1"/>
        <c:axPos val="b"/>
        <c:numFmt formatCode="General" sourceLinked="1"/>
        <c:majorTickMark val="out"/>
        <c:minorTickMark val="none"/>
        <c:tickLblPos val="nextTo"/>
        <c:crossAx val="166152832"/>
        <c:crosses val="autoZero"/>
        <c:auto val="1"/>
        <c:lblAlgn val="ctr"/>
        <c:lblOffset val="100"/>
        <c:noMultiLvlLbl val="0"/>
      </c:catAx>
      <c:spPr>
        <a:gradFill>
          <a:gsLst>
            <a:gs pos="85000">
              <a:srgbClr val="DCDCDC"/>
            </a:gs>
            <a:gs pos="0">
              <a:schemeClr val="accent3">
                <a:lumMod val="5000"/>
                <a:lumOff val="95000"/>
              </a:schemeClr>
            </a:gs>
            <a:gs pos="85000">
              <a:schemeClr val="accent3">
                <a:lumMod val="45000"/>
                <a:lumOff val="55000"/>
              </a:schemeClr>
            </a:gs>
            <a:gs pos="83000">
              <a:schemeClr val="accent3">
                <a:lumMod val="45000"/>
                <a:lumOff val="55000"/>
              </a:schemeClr>
            </a:gs>
            <a:gs pos="97000">
              <a:schemeClr val="accent1">
                <a:lumMod val="20000"/>
                <a:lumOff val="80000"/>
              </a:schemeClr>
            </a:gs>
          </a:gsLst>
          <a:lin ang="5400000" scaled="1"/>
        </a:gradFill>
        <a:ln>
          <a:noFill/>
        </a:ln>
        <a:effectLst/>
      </c:spPr>
    </c:plotArea>
    <c:legend>
      <c:legendPos val="b"/>
      <c:layout>
        <c:manualLayout>
          <c:xMode val="edge"/>
          <c:yMode val="edge"/>
          <c:x val="0.32084097126748046"/>
          <c:y val="0.13046648053455467"/>
          <c:w val="0.36084725520421057"/>
          <c:h val="0.129467327540232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l-SI"/>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l-SI" sz="1000" b="0" i="0" baseline="0">
                <a:effectLst/>
              </a:rPr>
              <a:t>Ševilo odobrenih vlog in povprečna višina vrednosti naložb (EUR) v okviru podukrepa M04.1 glede na vključenost v sheme ekološke proizvodnje</a:t>
            </a:r>
            <a:endParaRPr lang="sl-SI" sz="1000"/>
          </a:p>
        </c:rich>
      </c:tx>
      <c:layout>
        <c:manualLayout>
          <c:xMode val="edge"/>
          <c:yMode val="edge"/>
          <c:x val="0.14864860696422627"/>
          <c:y val="3.6975411351451284E-2"/>
        </c:manualLayout>
      </c:layout>
      <c:overlay val="0"/>
      <c:spPr>
        <a:noFill/>
        <a:ln w="25400">
          <a:noFill/>
        </a:ln>
      </c:spPr>
    </c:title>
    <c:autoTitleDeleted val="0"/>
    <c:plotArea>
      <c:layout>
        <c:manualLayout>
          <c:layoutTarget val="inner"/>
          <c:xMode val="edge"/>
          <c:yMode val="edge"/>
          <c:x val="0.12188699116591506"/>
          <c:y val="0.25348173515981737"/>
          <c:w val="0.71192151434361994"/>
          <c:h val="0.48354231834034445"/>
        </c:manualLayout>
      </c:layout>
      <c:barChart>
        <c:barDir val="col"/>
        <c:grouping val="clustered"/>
        <c:varyColors val="0"/>
        <c:ser>
          <c:idx val="0"/>
          <c:order val="0"/>
          <c:tx>
            <c:strRef>
              <c:f>'N:\INTERNO\PROJEKTI\PREJEMNIKI_PRP\ANALIZA IZVAJANJA PRP 2014-2020\Analiza 2020\30.4.2020\4.1\Oddano_20200515\Excel\[! Select_PRPO(V)1420_M041_OsnovniPodatki.xls]analiza za SC 2'!$A$425</c:f>
              <c:strCache>
                <c:ptCount val="1"/>
                <c:pt idx="0">
                  <c:v>Št. odobrenih vlog</c:v>
                </c:pt>
              </c:strCache>
            </c:strRef>
          </c:tx>
          <c:spPr>
            <a:solidFill>
              <a:srgbClr val="5B9BD5"/>
            </a:solidFill>
            <a:ln w="25400">
              <a:noFill/>
            </a:ln>
          </c:spPr>
          <c:invertIfNegative val="0"/>
          <c:cat>
            <c:strRef>
              <c:f>'N:\INTERNO\PROJEKTI\PREJEMNIKI_PRP\ANALIZA IZVAJANJA PRP 2014-2020\Analiza 2020\30.4.2020\4.1\Oddano_20200515\Excel\[! Select_PRPO(V)1420_M041_OsnovniPodatki.xls]analiza za SC 2'!$B$422:$D$424</c:f>
              <c:strCache>
                <c:ptCount val="3"/>
                <c:pt idx="0">
                  <c:v>Ekološki</c:v>
                </c:pt>
                <c:pt idx="1">
                  <c:v>Ostali</c:v>
                </c:pt>
                <c:pt idx="2">
                  <c:v>Skupaj</c:v>
                </c:pt>
              </c:strCache>
            </c:strRef>
          </c:cat>
          <c:val>
            <c:numRef>
              <c:f>'N:\INTERNO\PROJEKTI\PREJEMNIKI_PRP\ANALIZA IZVAJANJA PRP 2014-2020\Analiza 2020\30.4.2020\4.1\Oddano_20200515\Excel\[! Select_PRPO(V)1420_M041_OsnovniPodatki.xls]analiza za SC 2'!$B$425:$D$425</c:f>
              <c:numCache>
                <c:formatCode>General</c:formatCode>
                <c:ptCount val="3"/>
                <c:pt idx="0">
                  <c:v>338</c:v>
                </c:pt>
                <c:pt idx="1">
                  <c:v>1097</c:v>
                </c:pt>
                <c:pt idx="2">
                  <c:v>1435</c:v>
                </c:pt>
              </c:numCache>
            </c:numRef>
          </c:val>
          <c:extLst>
            <c:ext xmlns:c16="http://schemas.microsoft.com/office/drawing/2014/chart" uri="{C3380CC4-5D6E-409C-BE32-E72D297353CC}">
              <c16:uniqueId val="{00000000-C073-4F0B-BDF8-686B12F5E4F1}"/>
            </c:ext>
          </c:extLst>
        </c:ser>
        <c:dLbls>
          <c:showLegendKey val="0"/>
          <c:showVal val="0"/>
          <c:showCatName val="0"/>
          <c:showSerName val="0"/>
          <c:showPercent val="0"/>
          <c:showBubbleSize val="0"/>
        </c:dLbls>
        <c:gapWidth val="219"/>
        <c:axId val="166195584"/>
        <c:axId val="166197120"/>
      </c:barChart>
      <c:lineChart>
        <c:grouping val="standard"/>
        <c:varyColors val="0"/>
        <c:ser>
          <c:idx val="2"/>
          <c:order val="1"/>
          <c:tx>
            <c:strRef>
              <c:f>'N:\INTERNO\PROJEKTI\PREJEMNIKI_PRP\ANALIZA IZVAJANJA PRP 2014-2020\Analiza 2020\30.4.2020\4.1\Oddano_20200515\Excel\[! Select_PRPO(V)1420_M041_OsnovniPodatki.xls]analiza za SC 2'!$A$427</c:f>
              <c:strCache>
                <c:ptCount val="1"/>
                <c:pt idx="0">
                  <c:v>Povprečna višina vrednosti naložb (EUR)</c:v>
                </c:pt>
              </c:strCache>
            </c:strRef>
          </c:tx>
          <c:spPr>
            <a:ln w="28575" cap="rnd">
              <a:solidFill>
                <a:schemeClr val="accent2"/>
              </a:solidFill>
              <a:round/>
            </a:ln>
            <a:effectLst/>
          </c:spPr>
          <c:marker>
            <c:symbol val="none"/>
          </c:marker>
          <c:cat>
            <c:strRef>
              <c:f>'N:\INTERNO\PROJEKTI\PREJEMNIKI_PRP\ANALIZA IZVAJANJA PRP 2014-2020\Analiza 2020\30.4.2020\4.1\Oddano_20200515\Excel\[! Select_PRPO(V)1420_M041_OsnovniPodatki.xls]analiza za SC 2'!$B$422:$D$424</c:f>
              <c:strCache>
                <c:ptCount val="3"/>
                <c:pt idx="0">
                  <c:v>Ekološki</c:v>
                </c:pt>
                <c:pt idx="1">
                  <c:v>Ostali</c:v>
                </c:pt>
                <c:pt idx="2">
                  <c:v>Skupaj</c:v>
                </c:pt>
              </c:strCache>
            </c:strRef>
          </c:cat>
          <c:val>
            <c:numRef>
              <c:f>'N:\INTERNO\PROJEKTI\PREJEMNIKI_PRP\ANALIZA IZVAJANJA PRP 2014-2020\Analiza 2020\30.4.2020\4.1\Oddano_20200515\Excel\[! Select_PRPO(V)1420_M041_OsnovniPodatki.xls]analiza za SC 2'!$B$427:$D$427</c:f>
              <c:numCache>
                <c:formatCode>General</c:formatCode>
                <c:ptCount val="3"/>
                <c:pt idx="0">
                  <c:v>120105.2625739645</c:v>
                </c:pt>
                <c:pt idx="1">
                  <c:v>199613.86412944406</c:v>
                </c:pt>
                <c:pt idx="2">
                  <c:v>180886.40257839739</c:v>
                </c:pt>
              </c:numCache>
            </c:numRef>
          </c:val>
          <c:smooth val="0"/>
          <c:extLst>
            <c:ext xmlns:c16="http://schemas.microsoft.com/office/drawing/2014/chart" uri="{C3380CC4-5D6E-409C-BE32-E72D297353CC}">
              <c16:uniqueId val="{00000001-C073-4F0B-BDF8-686B12F5E4F1}"/>
            </c:ext>
          </c:extLst>
        </c:ser>
        <c:dLbls>
          <c:showLegendKey val="0"/>
          <c:showVal val="0"/>
          <c:showCatName val="0"/>
          <c:showSerName val="0"/>
          <c:showPercent val="0"/>
          <c:showBubbleSize val="0"/>
        </c:dLbls>
        <c:marker val="1"/>
        <c:smooth val="0"/>
        <c:axId val="144113664"/>
        <c:axId val="144115200"/>
      </c:lineChart>
      <c:catAx>
        <c:axId val="1661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197120"/>
        <c:crosses val="autoZero"/>
        <c:auto val="1"/>
        <c:lblAlgn val="ctr"/>
        <c:lblOffset val="100"/>
        <c:noMultiLvlLbl val="0"/>
      </c:catAx>
      <c:valAx>
        <c:axId val="16619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b="0"/>
                </a:pPr>
                <a:r>
                  <a:rPr lang="sl-SI" sz="800" b="0"/>
                  <a:t>število</a:t>
                </a:r>
              </a:p>
            </c:rich>
          </c:tx>
          <c:layout>
            <c:manualLayout>
              <c:xMode val="edge"/>
              <c:yMode val="edge"/>
              <c:x val="2.8905531467612666E-2"/>
              <c:y val="0.78987299104735198"/>
            </c:manualLayout>
          </c:layout>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195584"/>
        <c:crosses val="autoZero"/>
        <c:crossBetween val="between"/>
      </c:valAx>
      <c:catAx>
        <c:axId val="144113664"/>
        <c:scaling>
          <c:orientation val="minMax"/>
        </c:scaling>
        <c:delete val="1"/>
        <c:axPos val="b"/>
        <c:numFmt formatCode="General" sourceLinked="1"/>
        <c:majorTickMark val="out"/>
        <c:minorTickMark val="none"/>
        <c:tickLblPos val="nextTo"/>
        <c:crossAx val="144115200"/>
        <c:crosses val="autoZero"/>
        <c:auto val="1"/>
        <c:lblAlgn val="ctr"/>
        <c:lblOffset val="100"/>
        <c:noMultiLvlLbl val="0"/>
      </c:catAx>
      <c:valAx>
        <c:axId val="144115200"/>
        <c:scaling>
          <c:orientation val="minMax"/>
        </c:scaling>
        <c:delete val="0"/>
        <c:axPos val="r"/>
        <c:title>
          <c:tx>
            <c:rich>
              <a:bodyPr rot="0" vert="horz"/>
              <a:lstStyle/>
              <a:p>
                <a:pPr>
                  <a:defRPr sz="800" b="0"/>
                </a:pPr>
                <a:r>
                  <a:rPr lang="sl-SI" sz="800" b="0"/>
                  <a:t>vrednost v EUR</a:t>
                </a:r>
              </a:p>
            </c:rich>
          </c:tx>
          <c:layout>
            <c:manualLayout>
              <c:xMode val="edge"/>
              <c:yMode val="edge"/>
              <c:x val="0.84904732789363102"/>
              <c:y val="0.77274970337611903"/>
            </c:manualLayout>
          </c:layout>
          <c:overlay val="0"/>
        </c:title>
        <c:numFmt formatCode="#,##0" sourceLinked="0"/>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4113664"/>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Amortizacija (SE360 - </a:t>
            </a:r>
            <a:r>
              <a:rPr lang="sl-SI" sz="900"/>
              <a:t>"</a:t>
            </a:r>
            <a:r>
              <a:rPr lang="en-US" sz="900"/>
              <a:t>depreciation</a:t>
            </a:r>
            <a:r>
              <a:rPr lang="sl-SI" sz="900"/>
              <a:t>"</a:t>
            </a:r>
            <a:r>
              <a:rPr lang="en-US" sz="900"/>
              <a:t>) kot % bruto dohodka na kmetiji (SE410 - </a:t>
            </a:r>
            <a:r>
              <a:rPr lang="sl-SI" sz="900"/>
              <a:t>"g</a:t>
            </a:r>
            <a:r>
              <a:rPr lang="en-US" sz="900"/>
              <a:t>ross farm income</a:t>
            </a:r>
            <a:r>
              <a:rPr lang="sl-SI" sz="900"/>
              <a:t>"</a:t>
            </a:r>
            <a:r>
              <a:rPr lang="en-US" sz="900"/>
              <a:t>)</a:t>
            </a:r>
            <a:r>
              <a:rPr lang="sl-SI" sz="900"/>
              <a:t> - leto 2018</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'Amortizacija po državah'!$B$39</c:f>
              <c:strCache>
                <c:ptCount val="1"/>
                <c:pt idx="0">
                  <c:v>Amortizacija (SE360 - depreciation) kot % bruto dohodka na kmetiji (SE410 - gross farm income)</c:v>
                </c:pt>
              </c:strCache>
            </c:strRef>
          </c:tx>
          <c:spPr>
            <a:solidFill>
              <a:srgbClr val="92D050"/>
            </a:solidFill>
            <a:ln>
              <a:noFill/>
            </a:ln>
            <a:effectLst/>
          </c:spPr>
          <c:invertIfNegative val="0"/>
          <c:dPt>
            <c:idx val="10"/>
            <c:invertIfNegative val="0"/>
            <c:bubble3D val="0"/>
            <c:spPr>
              <a:solidFill>
                <a:srgbClr val="FFC000"/>
              </a:solidFill>
              <a:ln>
                <a:noFill/>
              </a:ln>
              <a:effectLst/>
            </c:spPr>
            <c:extLst>
              <c:ext xmlns:c16="http://schemas.microsoft.com/office/drawing/2014/chart" uri="{C3380CC4-5D6E-409C-BE32-E72D297353CC}">
                <c16:uniqueId val="{00000001-F99D-4571-B18E-EE5FDC4DFD11}"/>
              </c:ext>
            </c:extLst>
          </c:dPt>
          <c:dPt>
            <c:idx val="28"/>
            <c:invertIfNegative val="0"/>
            <c:bubble3D val="0"/>
            <c:spPr>
              <a:solidFill>
                <a:srgbClr val="FFC000"/>
              </a:solidFill>
              <a:ln>
                <a:noFill/>
              </a:ln>
              <a:effectLst/>
            </c:spPr>
            <c:extLst>
              <c:ext xmlns:c16="http://schemas.microsoft.com/office/drawing/2014/chart" uri="{C3380CC4-5D6E-409C-BE32-E72D297353CC}">
                <c16:uniqueId val="{00000003-F99D-4571-B18E-EE5FDC4DFD11}"/>
              </c:ext>
            </c:extLst>
          </c:dPt>
          <c:cat>
            <c:strRef>
              <c:f>'Amortizacija po državah'!$A$40:$A$68</c:f>
              <c:strCache>
                <c:ptCount val="29"/>
                <c:pt idx="0">
                  <c:v>ES</c:v>
                </c:pt>
                <c:pt idx="1">
                  <c:v>IT</c:v>
                </c:pt>
                <c:pt idx="2">
                  <c:v>RO</c:v>
                </c:pt>
                <c:pt idx="3">
                  <c:v>PT</c:v>
                </c:pt>
                <c:pt idx="4">
                  <c:v>HU</c:v>
                </c:pt>
                <c:pt idx="5">
                  <c:v>CY</c:v>
                </c:pt>
                <c:pt idx="6">
                  <c:v>MT</c:v>
                </c:pt>
                <c:pt idx="7">
                  <c:v>IE</c:v>
                </c:pt>
                <c:pt idx="8">
                  <c:v>BG</c:v>
                </c:pt>
                <c:pt idx="9">
                  <c:v>EL</c:v>
                </c:pt>
                <c:pt idx="10">
                  <c:v>Skupaj EU-28</c:v>
                </c:pt>
                <c:pt idx="11">
                  <c:v>NL</c:v>
                </c:pt>
                <c:pt idx="12">
                  <c:v>CZ</c:v>
                </c:pt>
                <c:pt idx="13">
                  <c:v>BE</c:v>
                </c:pt>
                <c:pt idx="14">
                  <c:v>CR</c:v>
                </c:pt>
                <c:pt idx="15">
                  <c:v>DE</c:v>
                </c:pt>
                <c:pt idx="16">
                  <c:v>UK</c:v>
                </c:pt>
                <c:pt idx="17">
                  <c:v>SK</c:v>
                </c:pt>
                <c:pt idx="18">
                  <c:v>DK</c:v>
                </c:pt>
                <c:pt idx="19">
                  <c:v>PL</c:v>
                </c:pt>
                <c:pt idx="20">
                  <c:v>FR</c:v>
                </c:pt>
                <c:pt idx="21">
                  <c:v>AT</c:v>
                </c:pt>
                <c:pt idx="22">
                  <c:v>EE</c:v>
                </c:pt>
                <c:pt idx="23">
                  <c:v>LV</c:v>
                </c:pt>
                <c:pt idx="24">
                  <c:v>FI</c:v>
                </c:pt>
                <c:pt idx="25">
                  <c:v>SE</c:v>
                </c:pt>
                <c:pt idx="26">
                  <c:v>LU</c:v>
                </c:pt>
                <c:pt idx="27">
                  <c:v>LT</c:v>
                </c:pt>
                <c:pt idx="28">
                  <c:v>SI</c:v>
                </c:pt>
              </c:strCache>
            </c:strRef>
          </c:cat>
          <c:val>
            <c:numRef>
              <c:f>'Amortizacija po državah'!$B$40:$B$68</c:f>
              <c:numCache>
                <c:formatCode>0%</c:formatCode>
                <c:ptCount val="29"/>
                <c:pt idx="0">
                  <c:v>9.2984305017125221E-2</c:v>
                </c:pt>
                <c:pt idx="1">
                  <c:v>0.11824655010268123</c:v>
                </c:pt>
                <c:pt idx="2">
                  <c:v>0.13872832369942195</c:v>
                </c:pt>
                <c:pt idx="3">
                  <c:v>0.14158305462653289</c:v>
                </c:pt>
                <c:pt idx="4">
                  <c:v>0.15814734821214302</c:v>
                </c:pt>
                <c:pt idx="5">
                  <c:v>0.16736354390326591</c:v>
                </c:pt>
                <c:pt idx="6">
                  <c:v>0.17204301075268819</c:v>
                </c:pt>
                <c:pt idx="7">
                  <c:v>0.17878548004071015</c:v>
                </c:pt>
                <c:pt idx="8">
                  <c:v>0.18001735943678271</c:v>
                </c:pt>
                <c:pt idx="9">
                  <c:v>0.20214589549869849</c:v>
                </c:pt>
                <c:pt idx="10">
                  <c:v>0.2241469816272966</c:v>
                </c:pt>
                <c:pt idx="11">
                  <c:v>0.23802574368246587</c:v>
                </c:pt>
                <c:pt idx="12">
                  <c:v>0.23966458075582889</c:v>
                </c:pt>
                <c:pt idx="13">
                  <c:v>0.24014369933677229</c:v>
                </c:pt>
                <c:pt idx="14">
                  <c:v>0.24306172291296627</c:v>
                </c:pt>
                <c:pt idx="15">
                  <c:v>0.26367717272337926</c:v>
                </c:pt>
                <c:pt idx="16">
                  <c:v>0.26578295278189817</c:v>
                </c:pt>
                <c:pt idx="17">
                  <c:v>0.26766632195794554</c:v>
                </c:pt>
                <c:pt idx="18">
                  <c:v>0.29064362188759491</c:v>
                </c:pt>
                <c:pt idx="19">
                  <c:v>0.30717842827644842</c:v>
                </c:pt>
                <c:pt idx="20">
                  <c:v>0.31072575593361901</c:v>
                </c:pt>
                <c:pt idx="21">
                  <c:v>0.33261692286128114</c:v>
                </c:pt>
                <c:pt idx="22">
                  <c:v>0.37690873062128455</c:v>
                </c:pt>
                <c:pt idx="23">
                  <c:v>0.38024780860739471</c:v>
                </c:pt>
                <c:pt idx="24">
                  <c:v>0.41116247844860471</c:v>
                </c:pt>
                <c:pt idx="25">
                  <c:v>0.41505532944098411</c:v>
                </c:pt>
                <c:pt idx="26">
                  <c:v>0.43918534777445933</c:v>
                </c:pt>
                <c:pt idx="27">
                  <c:v>0.44160650644247462</c:v>
                </c:pt>
                <c:pt idx="28">
                  <c:v>0.52480158730158732</c:v>
                </c:pt>
              </c:numCache>
            </c:numRef>
          </c:val>
          <c:extLst>
            <c:ext xmlns:c16="http://schemas.microsoft.com/office/drawing/2014/chart" uri="{C3380CC4-5D6E-409C-BE32-E72D297353CC}">
              <c16:uniqueId val="{00000004-F99D-4571-B18E-EE5FDC4DFD11}"/>
            </c:ext>
          </c:extLst>
        </c:ser>
        <c:dLbls>
          <c:showLegendKey val="0"/>
          <c:showVal val="0"/>
          <c:showCatName val="0"/>
          <c:showSerName val="0"/>
          <c:showPercent val="0"/>
          <c:showBubbleSize val="0"/>
        </c:dLbls>
        <c:gapWidth val="219"/>
        <c:overlap val="-27"/>
        <c:axId val="144149888"/>
        <c:axId val="144172160"/>
      </c:barChart>
      <c:catAx>
        <c:axId val="14414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4172160"/>
        <c:crosses val="autoZero"/>
        <c:auto val="1"/>
        <c:lblAlgn val="ctr"/>
        <c:lblOffset val="100"/>
        <c:noMultiLvlLbl val="0"/>
      </c:catAx>
      <c:valAx>
        <c:axId val="14417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4149888"/>
        <c:crosses val="autoZero"/>
        <c:crossBetween val="between"/>
      </c:valAx>
      <c:spPr>
        <a:noFill/>
        <a:ln>
          <a:noFill/>
        </a:ln>
        <a:effectLst/>
      </c:spPr>
    </c:plotArea>
    <c:plotVisOnly val="1"/>
    <c:dispBlanksAs val="gap"/>
    <c:showDLblsOverMax val="0"/>
  </c:chart>
  <c:spPr>
    <a:gradFill>
      <a:gsLst>
        <a:gs pos="24000">
          <a:schemeClr val="accent3">
            <a:lumMod val="5000"/>
            <a:lumOff val="95000"/>
          </a:schemeClr>
        </a:gs>
        <a:gs pos="80000">
          <a:schemeClr val="accent3">
            <a:lumMod val="45000"/>
            <a:lumOff val="55000"/>
          </a:schemeClr>
        </a:gs>
        <a:gs pos="100000">
          <a:schemeClr val="accent1">
            <a:lumMod val="20000"/>
            <a:lumOff val="80000"/>
          </a:schemeClr>
        </a:gs>
        <a:gs pos="95000">
          <a:schemeClr val="accent1">
            <a:lumMod val="20000"/>
            <a:lumOff val="80000"/>
          </a:schemeClr>
        </a:gs>
      </a:gsLst>
      <a:lin ang="5400000" scaled="1"/>
    </a:gra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List1!$L$6</c:f>
              <c:strCache>
                <c:ptCount val="1"/>
                <c:pt idx="0">
                  <c:v>Slovenija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List1!$M$5:$R$5</c:f>
              <c:strCache>
                <c:ptCount val="6"/>
                <c:pt idx="0">
                  <c:v>dostop do trga</c:v>
                </c:pt>
                <c:pt idx="1">
                  <c:v>odkupne cene proizvodov</c:v>
                </c:pt>
                <c:pt idx="2">
                  <c:v>proizvodni stroški</c:v>
                </c:pt>
                <c:pt idx="3">
                  <c:v>dostop do financ (bančna posojila) za investicije</c:v>
                </c:pt>
                <c:pt idx="4">
                  <c:v>dostop do financ (bančna posojila) za obratni kapital</c:v>
                </c:pt>
                <c:pt idx="5">
                  <c:v>dostop do zemlje</c:v>
                </c:pt>
              </c:strCache>
            </c:strRef>
          </c:cat>
          <c:val>
            <c:numRef>
              <c:f>List1!$M$6:$R$6</c:f>
              <c:numCache>
                <c:formatCode>0%</c:formatCode>
                <c:ptCount val="6"/>
                <c:pt idx="0">
                  <c:v>0.14000000000000001</c:v>
                </c:pt>
                <c:pt idx="1">
                  <c:v>0.3</c:v>
                </c:pt>
                <c:pt idx="2">
                  <c:v>0.45</c:v>
                </c:pt>
                <c:pt idx="3">
                  <c:v>0.15</c:v>
                </c:pt>
                <c:pt idx="4">
                  <c:v>0.13</c:v>
                </c:pt>
                <c:pt idx="5">
                  <c:v>0.2</c:v>
                </c:pt>
              </c:numCache>
            </c:numRef>
          </c:val>
          <c:extLst>
            <c:ext xmlns:c16="http://schemas.microsoft.com/office/drawing/2014/chart" uri="{C3380CC4-5D6E-409C-BE32-E72D297353CC}">
              <c16:uniqueId val="{00000000-1DE7-4F85-9F9B-20E937627FCC}"/>
            </c:ext>
          </c:extLst>
        </c:ser>
        <c:ser>
          <c:idx val="1"/>
          <c:order val="1"/>
          <c:tx>
            <c:strRef>
              <c:f>List1!$L$7</c:f>
              <c:strCache>
                <c:ptCount val="1"/>
                <c:pt idx="0">
                  <c:v>EU-24</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List1!$M$5:$R$5</c:f>
              <c:strCache>
                <c:ptCount val="6"/>
                <c:pt idx="0">
                  <c:v>dostop do trga</c:v>
                </c:pt>
                <c:pt idx="1">
                  <c:v>odkupne cene proizvodov</c:v>
                </c:pt>
                <c:pt idx="2">
                  <c:v>proizvodni stroški</c:v>
                </c:pt>
                <c:pt idx="3">
                  <c:v>dostop do financ (bančna posojila) za investicije</c:v>
                </c:pt>
                <c:pt idx="4">
                  <c:v>dostop do financ (bančna posojila) za obratni kapital</c:v>
                </c:pt>
                <c:pt idx="5">
                  <c:v>dostop do zemlje</c:v>
                </c:pt>
              </c:strCache>
            </c:strRef>
          </c:cat>
          <c:val>
            <c:numRef>
              <c:f>List1!$M$7:$R$7</c:f>
              <c:numCache>
                <c:formatCode>0%</c:formatCode>
                <c:ptCount val="6"/>
                <c:pt idx="0">
                  <c:v>0.18</c:v>
                </c:pt>
                <c:pt idx="1">
                  <c:v>0.38</c:v>
                </c:pt>
                <c:pt idx="2">
                  <c:v>0.47</c:v>
                </c:pt>
                <c:pt idx="3">
                  <c:v>0.12</c:v>
                </c:pt>
                <c:pt idx="4">
                  <c:v>0.1</c:v>
                </c:pt>
                <c:pt idx="5">
                  <c:v>0.11</c:v>
                </c:pt>
              </c:numCache>
            </c:numRef>
          </c:val>
          <c:extLst>
            <c:ext xmlns:c16="http://schemas.microsoft.com/office/drawing/2014/chart" uri="{C3380CC4-5D6E-409C-BE32-E72D297353CC}">
              <c16:uniqueId val="{00000001-1DE7-4F85-9F9B-20E937627FCC}"/>
            </c:ext>
          </c:extLst>
        </c:ser>
        <c:dLbls>
          <c:showLegendKey val="0"/>
          <c:showVal val="0"/>
          <c:showCatName val="0"/>
          <c:showSerName val="0"/>
          <c:showPercent val="0"/>
          <c:showBubbleSize val="0"/>
        </c:dLbls>
        <c:gapWidth val="219"/>
        <c:overlap val="-27"/>
        <c:axId val="167479936"/>
        <c:axId val="167485824"/>
      </c:barChart>
      <c:catAx>
        <c:axId val="16747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67485824"/>
        <c:crosses val="autoZero"/>
        <c:auto val="1"/>
        <c:lblAlgn val="ctr"/>
        <c:lblOffset val="100"/>
        <c:noMultiLvlLbl val="0"/>
      </c:catAx>
      <c:valAx>
        <c:axId val="167485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479936"/>
        <c:crosses val="autoZero"/>
        <c:crossBetween val="between"/>
      </c:valAx>
      <c:spPr>
        <a:gradFill>
          <a:gsLst>
            <a:gs pos="0">
              <a:schemeClr val="bg1">
                <a:lumMod val="95000"/>
              </a:schemeClr>
            </a:gs>
            <a:gs pos="50000">
              <a:schemeClr val="bg1">
                <a:lumMod val="85000"/>
              </a:schemeClr>
            </a:gs>
            <a:gs pos="93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doughnutChart>
        <c:varyColors val="1"/>
        <c:ser>
          <c:idx val="0"/>
          <c:order val="0"/>
          <c:dPt>
            <c:idx val="0"/>
            <c:bubble3D val="0"/>
            <c:spPr>
              <a:solidFill>
                <a:schemeClr val="accent1"/>
              </a:solidFill>
              <a:ln>
                <a:solidFill>
                  <a:schemeClr val="accent1"/>
                </a:solidFill>
              </a:ln>
              <a:effectLst/>
            </c:spPr>
            <c:extLst>
              <c:ext xmlns:c16="http://schemas.microsoft.com/office/drawing/2014/chart" uri="{C3380CC4-5D6E-409C-BE32-E72D297353CC}">
                <c16:uniqueId val="{00000001-A554-4FB7-9511-F5A3FD0FB730}"/>
              </c:ext>
            </c:extLst>
          </c:dPt>
          <c:dPt>
            <c:idx val="1"/>
            <c:bubble3D val="0"/>
            <c:spPr>
              <a:solidFill>
                <a:schemeClr val="accent2"/>
              </a:solidFill>
              <a:ln>
                <a:solidFill>
                  <a:schemeClr val="accent2"/>
                </a:solidFill>
              </a:ln>
              <a:effectLst/>
            </c:spPr>
            <c:extLst>
              <c:ext xmlns:c16="http://schemas.microsoft.com/office/drawing/2014/chart" uri="{C3380CC4-5D6E-409C-BE32-E72D297353CC}">
                <c16:uniqueId val="{00000003-A554-4FB7-9511-F5A3FD0FB730}"/>
              </c:ext>
            </c:extLst>
          </c:dPt>
          <c:dPt>
            <c:idx val="2"/>
            <c:bubble3D val="0"/>
            <c:spPr>
              <a:solidFill>
                <a:schemeClr val="accent3"/>
              </a:solidFill>
              <a:ln>
                <a:solidFill>
                  <a:schemeClr val="accent3"/>
                </a:solidFill>
              </a:ln>
              <a:effectLst/>
            </c:spPr>
            <c:extLst>
              <c:ext xmlns:c16="http://schemas.microsoft.com/office/drawing/2014/chart" uri="{C3380CC4-5D6E-409C-BE32-E72D297353CC}">
                <c16:uniqueId val="{00000005-A554-4FB7-9511-F5A3FD0FB730}"/>
              </c:ext>
            </c:extLst>
          </c:dPt>
          <c:dPt>
            <c:idx val="3"/>
            <c:bubble3D val="0"/>
            <c:spPr>
              <a:solidFill>
                <a:schemeClr val="accent4"/>
              </a:solidFill>
              <a:ln>
                <a:solidFill>
                  <a:schemeClr val="accent4"/>
                </a:solidFill>
              </a:ln>
              <a:effectLst/>
            </c:spPr>
            <c:extLst>
              <c:ext xmlns:c16="http://schemas.microsoft.com/office/drawing/2014/chart" uri="{C3380CC4-5D6E-409C-BE32-E72D297353CC}">
                <c16:uniqueId val="{00000007-A554-4FB7-9511-F5A3FD0FB730}"/>
              </c:ext>
            </c:extLst>
          </c:dPt>
          <c:dLbls>
            <c:dLbl>
              <c:idx val="0"/>
              <c:layout>
                <c:manualLayout>
                  <c:x val="0.10277777777777777"/>
                  <c:y val="-0.1759259259259259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554-4FB7-9511-F5A3FD0FB730}"/>
                </c:ext>
              </c:extLst>
            </c:dLbl>
            <c:dLbl>
              <c:idx val="1"/>
              <c:layout>
                <c:manualLayout>
                  <c:x val="0.14444444444444443"/>
                  <c:y val="-5.555555555555560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554-4FB7-9511-F5A3FD0FB730}"/>
                </c:ext>
              </c:extLst>
            </c:dLbl>
            <c:dLbl>
              <c:idx val="2"/>
              <c:layout>
                <c:manualLayout>
                  <c:x val="-0.17500000000000004"/>
                  <c:y val="-3.240740740740740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554-4FB7-9511-F5A3FD0FB730}"/>
                </c:ext>
              </c:extLst>
            </c:dLbl>
            <c:dLbl>
              <c:idx val="3"/>
              <c:layout>
                <c:manualLayout>
                  <c:x val="-8.8888888888888837E-2"/>
                  <c:y val="-0.185185185185185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554-4FB7-9511-F5A3FD0FB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0"/>
            <c:showBubbleSize val="0"/>
            <c:separator>
</c:separator>
            <c:showLeaderLines val="1"/>
            <c:leaderLines>
              <c:spPr>
                <a:ln>
                  <a:noFill/>
                </a:ln>
                <a:effectLst/>
              </c:spPr>
            </c:leaderLines>
            <c:extLst>
              <c:ext xmlns:c15="http://schemas.microsoft.com/office/drawing/2012/chart" uri="{CE6537A1-D6FC-4f65-9D91-7224C49458BB}"/>
            </c:extLst>
          </c:dLbls>
          <c:cat>
            <c:strRef>
              <c:f>List1!$D$3:$G$3</c:f>
              <c:strCache>
                <c:ptCount val="4"/>
                <c:pt idx="0">
                  <c:v>kratkoročna posojila</c:v>
                </c:pt>
                <c:pt idx="1">
                  <c:v>srednjeročna posojila</c:v>
                </c:pt>
                <c:pt idx="2">
                  <c:v>dolgoročna posojila</c:v>
                </c:pt>
                <c:pt idx="3">
                  <c:v>kreditna linija / limit</c:v>
                </c:pt>
              </c:strCache>
            </c:strRef>
          </c:cat>
          <c:val>
            <c:numRef>
              <c:f>List1!$D$4:$G$4</c:f>
              <c:numCache>
                <c:formatCode>General</c:formatCode>
                <c:ptCount val="4"/>
                <c:pt idx="0">
                  <c:v>84</c:v>
                </c:pt>
                <c:pt idx="1">
                  <c:v>196.4</c:v>
                </c:pt>
                <c:pt idx="2">
                  <c:v>594.6</c:v>
                </c:pt>
                <c:pt idx="3">
                  <c:v>76.900000000000006</c:v>
                </c:pt>
              </c:numCache>
            </c:numRef>
          </c:val>
          <c:extLst>
            <c:ext xmlns:c16="http://schemas.microsoft.com/office/drawing/2014/chart" uri="{C3380CC4-5D6E-409C-BE32-E72D297353CC}">
              <c16:uniqueId val="{00000008-A554-4FB7-9511-F5A3FD0FB73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Velikost!$F$2</c:f>
              <c:strCache>
                <c:ptCount val="1"/>
                <c:pt idx="0">
                  <c:v>Št. GERK na KMG</c:v>
                </c:pt>
              </c:strCache>
            </c:strRef>
          </c:tx>
          <c:spPr>
            <a:ln w="28575" cap="rnd">
              <a:solidFill>
                <a:schemeClr val="accent1"/>
              </a:solidFill>
              <a:round/>
            </a:ln>
            <a:effectLst/>
          </c:spPr>
          <c:marker>
            <c:symbol val="none"/>
          </c:marker>
          <c:cat>
            <c:strRef>
              <c:f>Velikost!$B$3:$B$9</c:f>
              <c:strCache>
                <c:ptCount val="7"/>
                <c:pt idx="0">
                  <c:v>do 2 ha</c:v>
                </c:pt>
                <c:pt idx="1">
                  <c:v>2 - 5 ha</c:v>
                </c:pt>
                <c:pt idx="2">
                  <c:v>5 - 10 ha</c:v>
                </c:pt>
                <c:pt idx="3">
                  <c:v>10 - 20 ha</c:v>
                </c:pt>
                <c:pt idx="4">
                  <c:v>20 - 30 ha</c:v>
                </c:pt>
                <c:pt idx="5">
                  <c:v>30 - 50 ha</c:v>
                </c:pt>
                <c:pt idx="6">
                  <c:v>nad 50 ha</c:v>
                </c:pt>
              </c:strCache>
            </c:strRef>
          </c:cat>
          <c:val>
            <c:numRef>
              <c:f>Velikost!$F$3:$F$9</c:f>
              <c:numCache>
                <c:formatCode>General</c:formatCode>
                <c:ptCount val="7"/>
                <c:pt idx="0">
                  <c:v>3.19</c:v>
                </c:pt>
                <c:pt idx="1">
                  <c:v>9.0500000000000007</c:v>
                </c:pt>
                <c:pt idx="2">
                  <c:v>13.62</c:v>
                </c:pt>
                <c:pt idx="3">
                  <c:v>20.079999999999998</c:v>
                </c:pt>
                <c:pt idx="4">
                  <c:v>30.63</c:v>
                </c:pt>
                <c:pt idx="5">
                  <c:v>42.71</c:v>
                </c:pt>
                <c:pt idx="6">
                  <c:v>68.28</c:v>
                </c:pt>
              </c:numCache>
            </c:numRef>
          </c:val>
          <c:smooth val="0"/>
          <c:extLst>
            <c:ext xmlns:c16="http://schemas.microsoft.com/office/drawing/2014/chart" uri="{C3380CC4-5D6E-409C-BE32-E72D297353CC}">
              <c16:uniqueId val="{00000000-1E94-488F-AA33-47CF1C2ECC05}"/>
            </c:ext>
          </c:extLst>
        </c:ser>
        <c:dLbls>
          <c:showLegendKey val="0"/>
          <c:showVal val="0"/>
          <c:showCatName val="0"/>
          <c:showSerName val="0"/>
          <c:showPercent val="0"/>
          <c:showBubbleSize val="0"/>
        </c:dLbls>
        <c:marker val="1"/>
        <c:smooth val="0"/>
        <c:axId val="167820288"/>
        <c:axId val="167826176"/>
      </c:lineChart>
      <c:lineChart>
        <c:grouping val="standard"/>
        <c:varyColors val="0"/>
        <c:ser>
          <c:idx val="1"/>
          <c:order val="1"/>
          <c:tx>
            <c:strRef>
              <c:f>Velikost!$G$2</c:f>
              <c:strCache>
                <c:ptCount val="1"/>
                <c:pt idx="0">
                  <c:v>Povprečna velikost GERK</c:v>
                </c:pt>
              </c:strCache>
            </c:strRef>
          </c:tx>
          <c:spPr>
            <a:ln w="28575" cap="rnd">
              <a:solidFill>
                <a:srgbClr val="92D050"/>
              </a:solidFill>
              <a:round/>
            </a:ln>
            <a:effectLst/>
          </c:spPr>
          <c:marker>
            <c:symbol val="none"/>
          </c:marker>
          <c:cat>
            <c:strRef>
              <c:f>Velikost!$B$3:$B$9</c:f>
              <c:strCache>
                <c:ptCount val="7"/>
                <c:pt idx="0">
                  <c:v>do 2 ha</c:v>
                </c:pt>
                <c:pt idx="1">
                  <c:v>2 - 5 ha</c:v>
                </c:pt>
                <c:pt idx="2">
                  <c:v>5 - 10 ha</c:v>
                </c:pt>
                <c:pt idx="3">
                  <c:v>10 - 20 ha</c:v>
                </c:pt>
                <c:pt idx="4">
                  <c:v>20 - 30 ha</c:v>
                </c:pt>
                <c:pt idx="5">
                  <c:v>30 - 50 ha</c:v>
                </c:pt>
                <c:pt idx="6">
                  <c:v>nad 50 ha</c:v>
                </c:pt>
              </c:strCache>
            </c:strRef>
          </c:cat>
          <c:val>
            <c:numRef>
              <c:f>Velikost!$G$3:$G$9</c:f>
              <c:numCache>
                <c:formatCode>General</c:formatCode>
                <c:ptCount val="7"/>
                <c:pt idx="0">
                  <c:v>0.21</c:v>
                </c:pt>
                <c:pt idx="1">
                  <c:v>0.37</c:v>
                </c:pt>
                <c:pt idx="2">
                  <c:v>0.52</c:v>
                </c:pt>
                <c:pt idx="3">
                  <c:v>0.68</c:v>
                </c:pt>
                <c:pt idx="4">
                  <c:v>0.79</c:v>
                </c:pt>
                <c:pt idx="5">
                  <c:v>0.88</c:v>
                </c:pt>
                <c:pt idx="6">
                  <c:v>1.6</c:v>
                </c:pt>
              </c:numCache>
            </c:numRef>
          </c:val>
          <c:smooth val="0"/>
          <c:extLst>
            <c:ext xmlns:c16="http://schemas.microsoft.com/office/drawing/2014/chart" uri="{C3380CC4-5D6E-409C-BE32-E72D297353CC}">
              <c16:uniqueId val="{00000001-1E94-488F-AA33-47CF1C2ECC05}"/>
            </c:ext>
          </c:extLst>
        </c:ser>
        <c:dLbls>
          <c:showLegendKey val="0"/>
          <c:showVal val="0"/>
          <c:showCatName val="0"/>
          <c:showSerName val="0"/>
          <c:showPercent val="0"/>
          <c:showBubbleSize val="0"/>
        </c:dLbls>
        <c:marker val="1"/>
        <c:smooth val="0"/>
        <c:axId val="167834368"/>
        <c:axId val="167828096"/>
      </c:lineChart>
      <c:catAx>
        <c:axId val="1678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826176"/>
        <c:crosses val="autoZero"/>
        <c:auto val="1"/>
        <c:lblAlgn val="ctr"/>
        <c:lblOffset val="100"/>
        <c:noMultiLvlLbl val="0"/>
      </c:catAx>
      <c:valAx>
        <c:axId val="167826176"/>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820288"/>
        <c:crosses val="autoZero"/>
        <c:crossBetween val="between"/>
      </c:valAx>
      <c:valAx>
        <c:axId val="16782809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834368"/>
        <c:crosses val="max"/>
        <c:crossBetween val="between"/>
      </c:valAx>
      <c:catAx>
        <c:axId val="167834368"/>
        <c:scaling>
          <c:orientation val="minMax"/>
        </c:scaling>
        <c:delete val="1"/>
        <c:axPos val="b"/>
        <c:numFmt formatCode="General" sourceLinked="1"/>
        <c:majorTickMark val="out"/>
        <c:minorTickMark val="none"/>
        <c:tickLblPos val="nextTo"/>
        <c:crossAx val="167828096"/>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layout>
        <c:manualLayout>
          <c:xMode val="edge"/>
          <c:yMode val="edge"/>
          <c:x val="0.25481155133386102"/>
          <c:y val="0.86737998475996958"/>
          <c:w val="0.48596772625644019"/>
          <c:h val="8.423291846583692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noFill/>
    <a:ln w="9525" cap="flat" cmpd="sng" algn="ctr">
      <a:solidFill>
        <a:schemeClr val="bg1">
          <a:lumMod val="85000"/>
        </a:schemeClr>
      </a:solid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NMV!$F$2</c:f>
              <c:strCache>
                <c:ptCount val="1"/>
                <c:pt idx="0">
                  <c:v>Št. GERK na KMG</c:v>
                </c:pt>
              </c:strCache>
            </c:strRef>
          </c:tx>
          <c:spPr>
            <a:ln w="28575" cap="rnd">
              <a:solidFill>
                <a:schemeClr val="accent1"/>
              </a:solidFill>
              <a:round/>
            </a:ln>
            <a:effectLst/>
          </c:spPr>
          <c:marker>
            <c:symbol val="none"/>
          </c:marker>
          <c:cat>
            <c:strRef>
              <c:f>NMV!$B$3:$B$8</c:f>
              <c:strCache>
                <c:ptCount val="6"/>
                <c:pt idx="0">
                  <c:v>do 150 m NMV</c:v>
                </c:pt>
                <c:pt idx="1">
                  <c:v>151-300 m NMV</c:v>
                </c:pt>
                <c:pt idx="2">
                  <c:v>301-450 m NMV</c:v>
                </c:pt>
                <c:pt idx="3">
                  <c:v>451-600 m NMV</c:v>
                </c:pt>
                <c:pt idx="4">
                  <c:v>601-750 m NMV</c:v>
                </c:pt>
                <c:pt idx="5">
                  <c:v>nad 750 m MNV</c:v>
                </c:pt>
              </c:strCache>
            </c:strRef>
          </c:cat>
          <c:val>
            <c:numRef>
              <c:f>NMV!$F$3:$F$8</c:f>
              <c:numCache>
                <c:formatCode>General</c:formatCode>
                <c:ptCount val="6"/>
                <c:pt idx="0">
                  <c:v>12.95</c:v>
                </c:pt>
                <c:pt idx="1">
                  <c:v>13.89</c:v>
                </c:pt>
                <c:pt idx="2">
                  <c:v>13.18</c:v>
                </c:pt>
                <c:pt idx="3">
                  <c:v>14.52</c:v>
                </c:pt>
                <c:pt idx="4">
                  <c:v>12.66</c:v>
                </c:pt>
                <c:pt idx="5">
                  <c:v>10.99</c:v>
                </c:pt>
              </c:numCache>
            </c:numRef>
          </c:val>
          <c:smooth val="0"/>
          <c:extLst>
            <c:ext xmlns:c16="http://schemas.microsoft.com/office/drawing/2014/chart" uri="{C3380CC4-5D6E-409C-BE32-E72D297353CC}">
              <c16:uniqueId val="{00000000-DA28-4CA4-8166-EF69AB859342}"/>
            </c:ext>
          </c:extLst>
        </c:ser>
        <c:dLbls>
          <c:showLegendKey val="0"/>
          <c:showVal val="0"/>
          <c:showCatName val="0"/>
          <c:showSerName val="0"/>
          <c:showPercent val="0"/>
          <c:showBubbleSize val="0"/>
        </c:dLbls>
        <c:marker val="1"/>
        <c:smooth val="0"/>
        <c:axId val="167275904"/>
        <c:axId val="167289984"/>
      </c:lineChart>
      <c:lineChart>
        <c:grouping val="standard"/>
        <c:varyColors val="0"/>
        <c:ser>
          <c:idx val="1"/>
          <c:order val="1"/>
          <c:tx>
            <c:strRef>
              <c:f>NMV!$G$2</c:f>
              <c:strCache>
                <c:ptCount val="1"/>
                <c:pt idx="0">
                  <c:v>Povprečna velikost GERK</c:v>
                </c:pt>
              </c:strCache>
            </c:strRef>
          </c:tx>
          <c:spPr>
            <a:ln w="28575" cap="rnd">
              <a:solidFill>
                <a:srgbClr val="92D050"/>
              </a:solidFill>
              <a:round/>
            </a:ln>
            <a:effectLst/>
          </c:spPr>
          <c:marker>
            <c:symbol val="none"/>
          </c:marker>
          <c:cat>
            <c:strRef>
              <c:f>NMV!$B$3:$B$8</c:f>
              <c:strCache>
                <c:ptCount val="6"/>
                <c:pt idx="0">
                  <c:v>do 150 m NMV</c:v>
                </c:pt>
                <c:pt idx="1">
                  <c:v>151-300 m NMV</c:v>
                </c:pt>
                <c:pt idx="2">
                  <c:v>301-450 m NMV</c:v>
                </c:pt>
                <c:pt idx="3">
                  <c:v>451-600 m NMV</c:v>
                </c:pt>
                <c:pt idx="4">
                  <c:v>601-750 m NMV</c:v>
                </c:pt>
                <c:pt idx="5">
                  <c:v>nad 750 m MNV</c:v>
                </c:pt>
              </c:strCache>
            </c:strRef>
          </c:cat>
          <c:val>
            <c:numRef>
              <c:f>NMV!$G$3:$G$8</c:f>
              <c:numCache>
                <c:formatCode>General</c:formatCode>
                <c:ptCount val="6"/>
                <c:pt idx="0">
                  <c:v>0.52</c:v>
                </c:pt>
                <c:pt idx="1">
                  <c:v>0.64</c:v>
                </c:pt>
                <c:pt idx="2">
                  <c:v>0.54</c:v>
                </c:pt>
                <c:pt idx="3">
                  <c:v>0.52</c:v>
                </c:pt>
                <c:pt idx="4">
                  <c:v>0.65</c:v>
                </c:pt>
                <c:pt idx="5">
                  <c:v>0.95</c:v>
                </c:pt>
              </c:numCache>
            </c:numRef>
          </c:val>
          <c:smooth val="0"/>
          <c:extLst>
            <c:ext xmlns:c16="http://schemas.microsoft.com/office/drawing/2014/chart" uri="{C3380CC4-5D6E-409C-BE32-E72D297353CC}">
              <c16:uniqueId val="{00000001-DA28-4CA4-8166-EF69AB859342}"/>
            </c:ext>
          </c:extLst>
        </c:ser>
        <c:dLbls>
          <c:showLegendKey val="0"/>
          <c:showVal val="0"/>
          <c:showCatName val="0"/>
          <c:showSerName val="0"/>
          <c:showPercent val="0"/>
          <c:showBubbleSize val="0"/>
        </c:dLbls>
        <c:marker val="1"/>
        <c:smooth val="0"/>
        <c:axId val="167302272"/>
        <c:axId val="167291904"/>
      </c:lineChart>
      <c:catAx>
        <c:axId val="16727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289984"/>
        <c:crosses val="autoZero"/>
        <c:auto val="1"/>
        <c:lblAlgn val="ctr"/>
        <c:lblOffset val="100"/>
        <c:noMultiLvlLbl val="0"/>
      </c:catAx>
      <c:valAx>
        <c:axId val="16728998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275904"/>
        <c:crosses val="autoZero"/>
        <c:crossBetween val="between"/>
      </c:valAx>
      <c:valAx>
        <c:axId val="167291904"/>
        <c:scaling>
          <c:orientation val="minMax"/>
          <c:min val="0.5"/>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302272"/>
        <c:crosses val="max"/>
        <c:crossBetween val="between"/>
      </c:valAx>
      <c:catAx>
        <c:axId val="167302272"/>
        <c:scaling>
          <c:orientation val="minMax"/>
        </c:scaling>
        <c:delete val="1"/>
        <c:axPos val="b"/>
        <c:numFmt formatCode="General" sourceLinked="1"/>
        <c:majorTickMark val="out"/>
        <c:minorTickMark val="none"/>
        <c:tickLblPos val="nextTo"/>
        <c:crossAx val="167291904"/>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Gibanje obsega delovne sile v kmetijstvu EU-27 in SI, 2005-2019, 2005=100</a:t>
            </a: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22406740693463473"/>
          <c:y val="0.20957061562338333"/>
          <c:w val="0.69668924613263461"/>
          <c:h val="0.66035536944327899"/>
        </c:manualLayout>
      </c:layout>
      <c:lineChart>
        <c:grouping val="standard"/>
        <c:varyColors val="0"/>
        <c:ser>
          <c:idx val="0"/>
          <c:order val="0"/>
          <c:tx>
            <c:strRef>
              <c:f>'SI in EU_27'!$A$5</c:f>
              <c:strCache>
                <c:ptCount val="1"/>
                <c:pt idx="0">
                  <c:v>EU27_2020</c:v>
                </c:pt>
              </c:strCache>
            </c:strRef>
          </c:tx>
          <c:spPr>
            <a:ln w="28575" cap="rnd">
              <a:solidFill>
                <a:schemeClr val="accent1"/>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EU_27'!$B$5:$P$5</c:f>
              <c:numCache>
                <c:formatCode>###,000</c:formatCode>
                <c:ptCount val="15"/>
                <c:pt idx="0">
                  <c:v>100</c:v>
                </c:pt>
                <c:pt idx="1">
                  <c:v>97.86</c:v>
                </c:pt>
                <c:pt idx="2">
                  <c:v>92.89</c:v>
                </c:pt>
                <c:pt idx="3">
                  <c:v>90.68</c:v>
                </c:pt>
                <c:pt idx="4">
                  <c:v>87.74</c:v>
                </c:pt>
                <c:pt idx="5">
                  <c:v>80.61</c:v>
                </c:pt>
                <c:pt idx="6">
                  <c:v>78.39</c:v>
                </c:pt>
                <c:pt idx="7">
                  <c:v>78.010000000000005</c:v>
                </c:pt>
                <c:pt idx="8">
                  <c:v>77.13</c:v>
                </c:pt>
                <c:pt idx="9">
                  <c:v>75.61</c:v>
                </c:pt>
                <c:pt idx="10">
                  <c:v>74.239999999999995</c:v>
                </c:pt>
                <c:pt idx="11">
                  <c:v>73.69</c:v>
                </c:pt>
                <c:pt idx="12">
                  <c:v>72.67</c:v>
                </c:pt>
                <c:pt idx="13">
                  <c:v>71.81</c:v>
                </c:pt>
                <c:pt idx="14">
                  <c:v>70.540000000000006</c:v>
                </c:pt>
              </c:numCache>
            </c:numRef>
          </c:val>
          <c:smooth val="0"/>
          <c:extLst>
            <c:ext xmlns:c16="http://schemas.microsoft.com/office/drawing/2014/chart" uri="{C3380CC4-5D6E-409C-BE32-E72D297353CC}">
              <c16:uniqueId val="{00000000-7A4E-475B-9842-B57EE346BC72}"/>
            </c:ext>
          </c:extLst>
        </c:ser>
        <c:ser>
          <c:idx val="1"/>
          <c:order val="1"/>
          <c:tx>
            <c:strRef>
              <c:f>'SI in EU_27'!$A$6</c:f>
              <c:strCache>
                <c:ptCount val="1"/>
                <c:pt idx="0">
                  <c:v>SI</c:v>
                </c:pt>
              </c:strCache>
            </c:strRef>
          </c:tx>
          <c:spPr>
            <a:ln w="28575" cap="rnd">
              <a:solidFill>
                <a:srgbClr val="FF0000"/>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EU_27'!$B$6:$P$6</c:f>
              <c:numCache>
                <c:formatCode>###,000</c:formatCode>
                <c:ptCount val="15"/>
                <c:pt idx="0">
                  <c:v>100</c:v>
                </c:pt>
                <c:pt idx="1">
                  <c:v>98.48</c:v>
                </c:pt>
                <c:pt idx="2">
                  <c:v>93.24</c:v>
                </c:pt>
                <c:pt idx="3">
                  <c:v>92.38</c:v>
                </c:pt>
                <c:pt idx="4">
                  <c:v>89.05</c:v>
                </c:pt>
                <c:pt idx="5">
                  <c:v>85.53</c:v>
                </c:pt>
                <c:pt idx="6">
                  <c:v>86.61</c:v>
                </c:pt>
                <c:pt idx="7">
                  <c:v>89.73</c:v>
                </c:pt>
                <c:pt idx="8">
                  <c:v>91.9</c:v>
                </c:pt>
                <c:pt idx="9">
                  <c:v>90.85</c:v>
                </c:pt>
                <c:pt idx="10">
                  <c:v>90.37</c:v>
                </c:pt>
                <c:pt idx="11">
                  <c:v>88.81</c:v>
                </c:pt>
                <c:pt idx="12">
                  <c:v>87.46</c:v>
                </c:pt>
                <c:pt idx="13">
                  <c:v>86.64</c:v>
                </c:pt>
                <c:pt idx="14">
                  <c:v>86.18</c:v>
                </c:pt>
              </c:numCache>
            </c:numRef>
          </c:val>
          <c:smooth val="0"/>
          <c:extLst>
            <c:ext xmlns:c16="http://schemas.microsoft.com/office/drawing/2014/chart" uri="{C3380CC4-5D6E-409C-BE32-E72D297353CC}">
              <c16:uniqueId val="{00000001-7A4E-475B-9842-B57EE346BC7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44583680"/>
        <c:axId val="144597760"/>
      </c:lineChart>
      <c:catAx>
        <c:axId val="1445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44597760"/>
        <c:crosses val="autoZero"/>
        <c:auto val="1"/>
        <c:lblAlgn val="ctr"/>
        <c:lblOffset val="100"/>
        <c:noMultiLvlLbl val="0"/>
      </c:catAx>
      <c:valAx>
        <c:axId val="14459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Obseg delovne sile v PDM, 2005 = 100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44583680"/>
        <c:crosses val="autoZero"/>
        <c:crossBetween val="between"/>
      </c:valAx>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c:spPr>
    </c:plotArea>
    <c:legend>
      <c:legendPos val="r"/>
      <c:layout>
        <c:manualLayout>
          <c:xMode val="edge"/>
          <c:yMode val="edge"/>
          <c:x val="0.29244722152677621"/>
          <c:y val="0.59464827631155526"/>
          <c:w val="0.29104696552429377"/>
          <c:h val="0.19099274515155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OMD!$E$2</c:f>
              <c:strCache>
                <c:ptCount val="1"/>
                <c:pt idx="0">
                  <c:v>Št. GERK na KMG</c:v>
                </c:pt>
              </c:strCache>
            </c:strRef>
          </c:tx>
          <c:spPr>
            <a:ln w="28575" cap="rnd">
              <a:solidFill>
                <a:schemeClr val="accent1"/>
              </a:solidFill>
              <a:round/>
            </a:ln>
            <a:effectLst/>
          </c:spPr>
          <c:marker>
            <c:symbol val="none"/>
          </c:marker>
          <c:cat>
            <c:strRef>
              <c:f>OMD!$A$3:$A$6</c:f>
              <c:strCache>
                <c:ptCount val="4"/>
                <c:pt idx="0">
                  <c:v>niOMD</c:v>
                </c:pt>
                <c:pt idx="1">
                  <c:v>PO</c:v>
                </c:pt>
                <c:pt idx="2">
                  <c:v>HGO</c:v>
                </c:pt>
                <c:pt idx="3">
                  <c:v>DO</c:v>
                </c:pt>
              </c:strCache>
            </c:strRef>
          </c:cat>
          <c:val>
            <c:numRef>
              <c:f>OMD!$E$3:$E$6</c:f>
              <c:numCache>
                <c:formatCode>General</c:formatCode>
                <c:ptCount val="4"/>
                <c:pt idx="0">
                  <c:v>14.36</c:v>
                </c:pt>
                <c:pt idx="1">
                  <c:v>12.43</c:v>
                </c:pt>
                <c:pt idx="2">
                  <c:v>12.95</c:v>
                </c:pt>
                <c:pt idx="3">
                  <c:v>17.079999999999998</c:v>
                </c:pt>
              </c:numCache>
            </c:numRef>
          </c:val>
          <c:smooth val="0"/>
          <c:extLst>
            <c:ext xmlns:c16="http://schemas.microsoft.com/office/drawing/2014/chart" uri="{C3380CC4-5D6E-409C-BE32-E72D297353CC}">
              <c16:uniqueId val="{00000000-FBC9-4843-9630-38325B37DB9B}"/>
            </c:ext>
          </c:extLst>
        </c:ser>
        <c:dLbls>
          <c:showLegendKey val="0"/>
          <c:showVal val="0"/>
          <c:showCatName val="0"/>
          <c:showSerName val="0"/>
          <c:showPercent val="0"/>
          <c:showBubbleSize val="0"/>
        </c:dLbls>
        <c:marker val="1"/>
        <c:smooth val="0"/>
        <c:axId val="167992704"/>
        <c:axId val="167998592"/>
      </c:lineChart>
      <c:lineChart>
        <c:grouping val="standard"/>
        <c:varyColors val="0"/>
        <c:ser>
          <c:idx val="1"/>
          <c:order val="1"/>
          <c:tx>
            <c:strRef>
              <c:f>OMD!$F$2</c:f>
              <c:strCache>
                <c:ptCount val="1"/>
                <c:pt idx="0">
                  <c:v>Povprečna velikost GERK</c:v>
                </c:pt>
              </c:strCache>
            </c:strRef>
          </c:tx>
          <c:spPr>
            <a:ln w="28575" cap="rnd">
              <a:solidFill>
                <a:srgbClr val="92D050"/>
              </a:solidFill>
              <a:round/>
            </a:ln>
            <a:effectLst/>
          </c:spPr>
          <c:marker>
            <c:symbol val="none"/>
          </c:marker>
          <c:cat>
            <c:strRef>
              <c:f>OMD!$A$3:$A$6</c:f>
              <c:strCache>
                <c:ptCount val="4"/>
                <c:pt idx="0">
                  <c:v>niOMD</c:v>
                </c:pt>
                <c:pt idx="1">
                  <c:v>PO</c:v>
                </c:pt>
                <c:pt idx="2">
                  <c:v>HGO</c:v>
                </c:pt>
                <c:pt idx="3">
                  <c:v>DO</c:v>
                </c:pt>
              </c:strCache>
            </c:strRef>
          </c:cat>
          <c:val>
            <c:numRef>
              <c:f>OMD!$F$3:$F$6</c:f>
              <c:numCache>
                <c:formatCode>General</c:formatCode>
                <c:ptCount val="4"/>
                <c:pt idx="0">
                  <c:v>0.77</c:v>
                </c:pt>
                <c:pt idx="1">
                  <c:v>0.61</c:v>
                </c:pt>
                <c:pt idx="2">
                  <c:v>0.56999999999999995</c:v>
                </c:pt>
                <c:pt idx="3">
                  <c:v>0.46</c:v>
                </c:pt>
              </c:numCache>
            </c:numRef>
          </c:val>
          <c:smooth val="0"/>
          <c:extLst>
            <c:ext xmlns:c16="http://schemas.microsoft.com/office/drawing/2014/chart" uri="{C3380CC4-5D6E-409C-BE32-E72D297353CC}">
              <c16:uniqueId val="{00000001-FBC9-4843-9630-38325B37DB9B}"/>
            </c:ext>
          </c:extLst>
        </c:ser>
        <c:dLbls>
          <c:showLegendKey val="0"/>
          <c:showVal val="0"/>
          <c:showCatName val="0"/>
          <c:showSerName val="0"/>
          <c:showPercent val="0"/>
          <c:showBubbleSize val="0"/>
        </c:dLbls>
        <c:marker val="1"/>
        <c:smooth val="0"/>
        <c:axId val="168006784"/>
        <c:axId val="168000512"/>
      </c:lineChart>
      <c:catAx>
        <c:axId val="16799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998592"/>
        <c:crosses val="autoZero"/>
        <c:auto val="1"/>
        <c:lblAlgn val="ctr"/>
        <c:lblOffset val="100"/>
        <c:noMultiLvlLbl val="0"/>
      </c:catAx>
      <c:valAx>
        <c:axId val="167998592"/>
        <c:scaling>
          <c:orientation val="minMax"/>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992704"/>
        <c:crosses val="autoZero"/>
        <c:crossBetween val="between"/>
      </c:valAx>
      <c:valAx>
        <c:axId val="168000512"/>
        <c:scaling>
          <c:orientation val="minMax"/>
          <c:min val="0.4"/>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8006784"/>
        <c:crosses val="max"/>
        <c:crossBetween val="between"/>
      </c:valAx>
      <c:catAx>
        <c:axId val="168006784"/>
        <c:scaling>
          <c:orientation val="minMax"/>
        </c:scaling>
        <c:delete val="1"/>
        <c:axPos val="b"/>
        <c:numFmt formatCode="General" sourceLinked="1"/>
        <c:majorTickMark val="out"/>
        <c:minorTickMark val="none"/>
        <c:tickLblPos val="nextTo"/>
        <c:crossAx val="168000512"/>
        <c:crosses val="autoZero"/>
        <c:auto val="1"/>
        <c:lblAlgn val="ctr"/>
        <c:lblOffset val="100"/>
        <c:noMultiLvlLbl val="0"/>
      </c:catAx>
      <c:spPr>
        <a:gradFill>
          <a:gsLst>
            <a:gs pos="0">
              <a:schemeClr val="bg1"/>
            </a:gs>
            <a:gs pos="93785">
              <a:schemeClr val="bg1">
                <a:lumMod val="75000"/>
              </a:schemeClr>
            </a:gs>
            <a:gs pos="72000">
              <a:schemeClr val="bg1">
                <a:lumMod val="8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71550277526782E-2"/>
          <c:y val="5.0925925925925923E-2"/>
          <c:w val="0.79325244180543009"/>
          <c:h val="0.49477325750947798"/>
        </c:manualLayout>
      </c:layout>
      <c:lineChart>
        <c:grouping val="standard"/>
        <c:varyColors val="0"/>
        <c:ser>
          <c:idx val="0"/>
          <c:order val="0"/>
          <c:tx>
            <c:strRef>
              <c:f>SO_2014_TIPI!$E$2</c:f>
              <c:strCache>
                <c:ptCount val="1"/>
                <c:pt idx="0">
                  <c:v>Št. GERK na KMG</c:v>
                </c:pt>
              </c:strCache>
            </c:strRef>
          </c:tx>
          <c:spPr>
            <a:ln w="28575" cap="rnd">
              <a:solidFill>
                <a:schemeClr val="accent1"/>
              </a:solidFill>
              <a:round/>
            </a:ln>
            <a:effectLst/>
          </c:spPr>
          <c:marker>
            <c:symbol val="none"/>
          </c:marker>
          <c:cat>
            <c:strRef>
              <c:f>SO_2014_TIPI!$A$3:$A$13</c:f>
              <c:strCache>
                <c:ptCount val="11"/>
                <c:pt idx="0">
                  <c:v>Perutnina</c:v>
                </c:pt>
                <c:pt idx="1">
                  <c:v>Prašičereja</c:v>
                </c:pt>
                <c:pt idx="2">
                  <c:v>Mleko</c:v>
                </c:pt>
                <c:pt idx="3">
                  <c:v>Pašna živina</c:v>
                </c:pt>
                <c:pt idx="4">
                  <c:v>Govedoreja</c:v>
                </c:pt>
                <c:pt idx="5">
                  <c:v>Poljedeljstvo</c:v>
                </c:pt>
                <c:pt idx="6">
                  <c:v>Mešana živina</c:v>
                </c:pt>
                <c:pt idx="7">
                  <c:v>Kmetijstvo - mešano</c:v>
                </c:pt>
                <c:pt idx="8">
                  <c:v>Vrtnarstvo</c:v>
                </c:pt>
                <c:pt idx="9">
                  <c:v>Trajni nasadi</c:v>
                </c:pt>
                <c:pt idx="10">
                  <c:v>Mešana rastlinska pridelava</c:v>
                </c:pt>
              </c:strCache>
            </c:strRef>
          </c:cat>
          <c:val>
            <c:numRef>
              <c:f>SO_2014_TIPI!$E$3:$E$13</c:f>
              <c:numCache>
                <c:formatCode>General</c:formatCode>
                <c:ptCount val="11"/>
                <c:pt idx="0">
                  <c:v>17.170000000000002</c:v>
                </c:pt>
                <c:pt idx="1">
                  <c:v>13.6</c:v>
                </c:pt>
                <c:pt idx="2">
                  <c:v>22.02</c:v>
                </c:pt>
                <c:pt idx="3">
                  <c:v>11.96</c:v>
                </c:pt>
                <c:pt idx="4">
                  <c:v>13.13</c:v>
                </c:pt>
                <c:pt idx="5">
                  <c:v>7.69</c:v>
                </c:pt>
                <c:pt idx="6">
                  <c:v>12.29</c:v>
                </c:pt>
                <c:pt idx="7">
                  <c:v>11.51</c:v>
                </c:pt>
                <c:pt idx="8">
                  <c:v>7.84</c:v>
                </c:pt>
                <c:pt idx="9">
                  <c:v>3.73</c:v>
                </c:pt>
                <c:pt idx="10">
                  <c:v>9.7100000000000009</c:v>
                </c:pt>
              </c:numCache>
            </c:numRef>
          </c:val>
          <c:smooth val="0"/>
          <c:extLst>
            <c:ext xmlns:c16="http://schemas.microsoft.com/office/drawing/2014/chart" uri="{C3380CC4-5D6E-409C-BE32-E72D297353CC}">
              <c16:uniqueId val="{00000000-9E3C-4DE5-AA23-CB85AFEA1C39}"/>
            </c:ext>
          </c:extLst>
        </c:ser>
        <c:dLbls>
          <c:showLegendKey val="0"/>
          <c:showVal val="0"/>
          <c:showCatName val="0"/>
          <c:showSerName val="0"/>
          <c:showPercent val="0"/>
          <c:showBubbleSize val="0"/>
        </c:dLbls>
        <c:marker val="1"/>
        <c:smooth val="0"/>
        <c:axId val="167717888"/>
        <c:axId val="167719680"/>
      </c:lineChart>
      <c:lineChart>
        <c:grouping val="standard"/>
        <c:varyColors val="0"/>
        <c:ser>
          <c:idx val="1"/>
          <c:order val="1"/>
          <c:tx>
            <c:strRef>
              <c:f>SO_2014_TIPI!$F$2</c:f>
              <c:strCache>
                <c:ptCount val="1"/>
                <c:pt idx="0">
                  <c:v>Povprečna velikost GERK</c:v>
                </c:pt>
              </c:strCache>
            </c:strRef>
          </c:tx>
          <c:spPr>
            <a:ln w="28575" cap="rnd">
              <a:solidFill>
                <a:srgbClr val="92D050"/>
              </a:solidFill>
              <a:round/>
            </a:ln>
            <a:effectLst/>
          </c:spPr>
          <c:marker>
            <c:symbol val="none"/>
          </c:marker>
          <c:cat>
            <c:strRef>
              <c:f>SO_2014_TIPI!$A$3:$A$13</c:f>
              <c:strCache>
                <c:ptCount val="11"/>
                <c:pt idx="0">
                  <c:v>Perutnina</c:v>
                </c:pt>
                <c:pt idx="1">
                  <c:v>Prašičereja</c:v>
                </c:pt>
                <c:pt idx="2">
                  <c:v>Mleko</c:v>
                </c:pt>
                <c:pt idx="3">
                  <c:v>Pašna živina</c:v>
                </c:pt>
                <c:pt idx="4">
                  <c:v>Govedoreja</c:v>
                </c:pt>
                <c:pt idx="5">
                  <c:v>Poljedeljstvo</c:v>
                </c:pt>
                <c:pt idx="6">
                  <c:v>Mešana živina</c:v>
                </c:pt>
                <c:pt idx="7">
                  <c:v>Kmetijstvo - mešano</c:v>
                </c:pt>
                <c:pt idx="8">
                  <c:v>Vrtnarstvo</c:v>
                </c:pt>
                <c:pt idx="9">
                  <c:v>Trajni nasadi</c:v>
                </c:pt>
                <c:pt idx="10">
                  <c:v>Mešana rastlinska pridelava</c:v>
                </c:pt>
              </c:strCache>
            </c:strRef>
          </c:cat>
          <c:val>
            <c:numRef>
              <c:f>SO_2014_TIPI!$F$3:$F$13</c:f>
              <c:numCache>
                <c:formatCode>General</c:formatCode>
                <c:ptCount val="11"/>
                <c:pt idx="0">
                  <c:v>1.67</c:v>
                </c:pt>
                <c:pt idx="1">
                  <c:v>0.94</c:v>
                </c:pt>
                <c:pt idx="2">
                  <c:v>0.79</c:v>
                </c:pt>
                <c:pt idx="3">
                  <c:v>0.67</c:v>
                </c:pt>
                <c:pt idx="4">
                  <c:v>0.61</c:v>
                </c:pt>
                <c:pt idx="5">
                  <c:v>0.59</c:v>
                </c:pt>
                <c:pt idx="6">
                  <c:v>0.55000000000000004</c:v>
                </c:pt>
                <c:pt idx="7">
                  <c:v>0.49</c:v>
                </c:pt>
                <c:pt idx="8">
                  <c:v>0.43</c:v>
                </c:pt>
                <c:pt idx="9">
                  <c:v>0.35</c:v>
                </c:pt>
                <c:pt idx="10">
                  <c:v>0.32</c:v>
                </c:pt>
              </c:numCache>
            </c:numRef>
          </c:val>
          <c:smooth val="0"/>
          <c:extLst>
            <c:ext xmlns:c16="http://schemas.microsoft.com/office/drawing/2014/chart" uri="{C3380CC4-5D6E-409C-BE32-E72D297353CC}">
              <c16:uniqueId val="{00000001-9E3C-4DE5-AA23-CB85AFEA1C39}"/>
            </c:ext>
          </c:extLst>
        </c:ser>
        <c:dLbls>
          <c:showLegendKey val="0"/>
          <c:showVal val="0"/>
          <c:showCatName val="0"/>
          <c:showSerName val="0"/>
          <c:showPercent val="0"/>
          <c:showBubbleSize val="0"/>
        </c:dLbls>
        <c:marker val="1"/>
        <c:smooth val="0"/>
        <c:axId val="167727872"/>
        <c:axId val="167721600"/>
      </c:lineChart>
      <c:catAx>
        <c:axId val="1677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719680"/>
        <c:crosses val="autoZero"/>
        <c:auto val="1"/>
        <c:lblAlgn val="ctr"/>
        <c:lblOffset val="100"/>
        <c:noMultiLvlLbl val="0"/>
      </c:catAx>
      <c:valAx>
        <c:axId val="16771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Gerk na KMG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717888"/>
        <c:crosses val="autoZero"/>
        <c:crossBetween val="between"/>
      </c:valAx>
      <c:valAx>
        <c:axId val="167721600"/>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GERK v ha</a:t>
                </a:r>
              </a:p>
            </c:rich>
          </c:tx>
          <c:layout>
            <c:manualLayout>
              <c:xMode val="edge"/>
              <c:yMode val="edge"/>
              <c:x val="0.9480545587539263"/>
              <c:y val="6.304607757363663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67727872"/>
        <c:crosses val="max"/>
        <c:crossBetween val="between"/>
      </c:valAx>
      <c:catAx>
        <c:axId val="167727872"/>
        <c:scaling>
          <c:orientation val="minMax"/>
        </c:scaling>
        <c:delete val="1"/>
        <c:axPos val="b"/>
        <c:numFmt formatCode="General" sourceLinked="1"/>
        <c:majorTickMark val="out"/>
        <c:minorTickMark val="none"/>
        <c:tickLblPos val="nextTo"/>
        <c:crossAx val="167721600"/>
        <c:crosses val="autoZero"/>
        <c:auto val="1"/>
        <c:lblAlgn val="ctr"/>
        <c:lblOffset val="100"/>
        <c:noMultiLvlLbl val="0"/>
      </c:catAx>
      <c:spPr>
        <a:gradFill>
          <a:gsLst>
            <a:gs pos="0">
              <a:schemeClr val="bg1"/>
            </a:gs>
            <a:gs pos="74000">
              <a:schemeClr val="bg1">
                <a:lumMod val="95000"/>
              </a:schemeClr>
            </a:gs>
            <a:gs pos="100000">
              <a:schemeClr val="bg1">
                <a:lumMod val="85000"/>
              </a:schemeClr>
            </a:gs>
          </a:gsLst>
          <a:lin ang="5400000" scaled="1"/>
        </a:gradFill>
        <a:ln>
          <a:noFill/>
        </a:ln>
        <a:effectLst/>
      </c:spPr>
    </c:plotArea>
    <c:legend>
      <c:legendPos val="b"/>
      <c:layout>
        <c:manualLayout>
          <c:xMode val="edge"/>
          <c:yMode val="edge"/>
          <c:x val="0.25908747472139759"/>
          <c:y val="0.86728091280256636"/>
          <c:w val="0.48182505055720493"/>
          <c:h val="7.25339020122484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sl-SI" sz="900">
                <a:solidFill>
                  <a:schemeClr val="tx1"/>
                </a:solidFill>
              </a:rPr>
              <a:t>Promet s kmetijskimi in gozdnimi zemljišči, 2011-2019</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l-SI"/>
        </a:p>
      </c:txPr>
    </c:title>
    <c:autoTitleDeleted val="0"/>
    <c:plotArea>
      <c:layout/>
      <c:barChart>
        <c:barDir val="col"/>
        <c:grouping val="clustered"/>
        <c:varyColors val="0"/>
        <c:ser>
          <c:idx val="0"/>
          <c:order val="0"/>
          <c:tx>
            <c:strRef>
              <c:f>List1!$A$57</c:f>
              <c:strCache>
                <c:ptCount val="1"/>
                <c:pt idx="0">
                  <c:v>Št. kupoprodaj  kmetijskih zemljišč</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List1!$B$57:$J$57</c:f>
              <c:numCache>
                <c:formatCode>#,##0</c:formatCode>
                <c:ptCount val="6"/>
                <c:pt idx="0">
                  <c:v>5700</c:v>
                </c:pt>
                <c:pt idx="1">
                  <c:v>7452</c:v>
                </c:pt>
                <c:pt idx="2">
                  <c:v>8131</c:v>
                </c:pt>
                <c:pt idx="3">
                  <c:v>8493</c:v>
                </c:pt>
                <c:pt idx="4">
                  <c:v>8422</c:v>
                </c:pt>
                <c:pt idx="5">
                  <c:v>8783</c:v>
                </c:pt>
              </c:numCache>
              <c:extLst/>
            </c:numRef>
          </c:val>
          <c:extLst>
            <c:ext xmlns:c16="http://schemas.microsoft.com/office/drawing/2014/chart" uri="{C3380CC4-5D6E-409C-BE32-E72D297353CC}">
              <c16:uniqueId val="{00000000-8621-4A67-B520-1A1134271A3B}"/>
            </c:ext>
          </c:extLst>
        </c:ser>
        <c:ser>
          <c:idx val="1"/>
          <c:order val="1"/>
          <c:tx>
            <c:strRef>
              <c:f>List1!$A$58</c:f>
              <c:strCache>
                <c:ptCount val="1"/>
                <c:pt idx="0">
                  <c:v>Prodana površina kmetijskih zemljišč v ha</c:v>
                </c:pt>
              </c:strCache>
            </c:strRef>
          </c:tx>
          <c:spPr>
            <a:solidFill>
              <a:srgbClr val="92D050"/>
            </a:soli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List1!$B$58:$J$58</c:f>
              <c:numCache>
                <c:formatCode>#,##0</c:formatCode>
                <c:ptCount val="6"/>
                <c:pt idx="0" formatCode="General">
                  <c:v>0</c:v>
                </c:pt>
                <c:pt idx="1">
                  <c:v>5796</c:v>
                </c:pt>
                <c:pt idx="2">
                  <c:v>5060</c:v>
                </c:pt>
                <c:pt idx="3">
                  <c:v>6578</c:v>
                </c:pt>
                <c:pt idx="4">
                  <c:v>7713</c:v>
                </c:pt>
                <c:pt idx="5">
                  <c:v>5466</c:v>
                </c:pt>
              </c:numCache>
              <c:extLst/>
            </c:numRef>
          </c:val>
          <c:extLst>
            <c:ext xmlns:c16="http://schemas.microsoft.com/office/drawing/2014/chart" uri="{C3380CC4-5D6E-409C-BE32-E72D297353CC}">
              <c16:uniqueId val="{00000001-8621-4A67-B520-1A1134271A3B}"/>
            </c:ext>
          </c:extLst>
        </c:ser>
        <c:ser>
          <c:idx val="2"/>
          <c:order val="2"/>
          <c:tx>
            <c:strRef>
              <c:f>List1!$A$59</c:f>
              <c:strCache>
                <c:ptCount val="1"/>
                <c:pt idx="0">
                  <c:v>Št. kupoprodaj gozdnih zemljišč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List1!$B$59:$J$59</c:f>
              <c:numCache>
                <c:formatCode>#,##0</c:formatCode>
                <c:ptCount val="6"/>
                <c:pt idx="0">
                  <c:v>1750</c:v>
                </c:pt>
                <c:pt idx="1">
                  <c:v>2282</c:v>
                </c:pt>
                <c:pt idx="2">
                  <c:v>2542</c:v>
                </c:pt>
                <c:pt idx="3">
                  <c:v>2786</c:v>
                </c:pt>
                <c:pt idx="4">
                  <c:v>2980</c:v>
                </c:pt>
                <c:pt idx="5">
                  <c:v>3275</c:v>
                </c:pt>
              </c:numCache>
              <c:extLst/>
            </c:numRef>
          </c:val>
          <c:extLst>
            <c:ext xmlns:c16="http://schemas.microsoft.com/office/drawing/2014/chart" uri="{C3380CC4-5D6E-409C-BE32-E72D297353CC}">
              <c16:uniqueId val="{00000002-8621-4A67-B520-1A1134271A3B}"/>
            </c:ext>
          </c:extLst>
        </c:ser>
        <c:ser>
          <c:idx val="3"/>
          <c:order val="3"/>
          <c:tx>
            <c:strRef>
              <c:f>List1!$A$60</c:f>
              <c:strCache>
                <c:ptCount val="1"/>
                <c:pt idx="0">
                  <c:v>Prodana površina gozdnih zemljišč v ha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List1!$B$56:$J$56</c:f>
              <c:strCache>
                <c:ptCount val="6"/>
                <c:pt idx="0">
                  <c:v>2011</c:v>
                </c:pt>
                <c:pt idx="1">
                  <c:v>2015</c:v>
                </c:pt>
                <c:pt idx="2">
                  <c:v>2016</c:v>
                </c:pt>
                <c:pt idx="3">
                  <c:v>2017</c:v>
                </c:pt>
                <c:pt idx="4">
                  <c:v>2018</c:v>
                </c:pt>
                <c:pt idx="5">
                  <c:v>2019</c:v>
                </c:pt>
              </c:strCache>
              <c:extLst/>
            </c:strRef>
          </c:cat>
          <c:val>
            <c:numRef>
              <c:f>List1!$B$60:$J$60</c:f>
              <c:numCache>
                <c:formatCode>#,##0</c:formatCode>
                <c:ptCount val="6"/>
                <c:pt idx="0" formatCode="General">
                  <c:v>0</c:v>
                </c:pt>
                <c:pt idx="1">
                  <c:v>3182</c:v>
                </c:pt>
                <c:pt idx="2">
                  <c:v>4258</c:v>
                </c:pt>
                <c:pt idx="3">
                  <c:v>5846</c:v>
                </c:pt>
                <c:pt idx="4">
                  <c:v>4437</c:v>
                </c:pt>
                <c:pt idx="5">
                  <c:v>4984</c:v>
                </c:pt>
              </c:numCache>
              <c:extLst/>
            </c:numRef>
          </c:val>
          <c:extLst>
            <c:ext xmlns:c16="http://schemas.microsoft.com/office/drawing/2014/chart" uri="{C3380CC4-5D6E-409C-BE32-E72D297353CC}">
              <c16:uniqueId val="{00000003-8621-4A67-B520-1A1134271A3B}"/>
            </c:ext>
          </c:extLst>
        </c:ser>
        <c:dLbls>
          <c:showLegendKey val="0"/>
          <c:showVal val="0"/>
          <c:showCatName val="0"/>
          <c:showSerName val="0"/>
          <c:showPercent val="0"/>
          <c:showBubbleSize val="0"/>
        </c:dLbls>
        <c:gapWidth val="100"/>
        <c:overlap val="-24"/>
        <c:axId val="154227456"/>
        <c:axId val="154228992"/>
      </c:barChart>
      <c:catAx>
        <c:axId val="154227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154228992"/>
        <c:crosses val="autoZero"/>
        <c:auto val="1"/>
        <c:lblAlgn val="ctr"/>
        <c:lblOffset val="100"/>
        <c:noMultiLvlLbl val="0"/>
      </c:catAx>
      <c:valAx>
        <c:axId val="15422899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154227456"/>
        <c:crosses val="autoZero"/>
        <c:crossBetween val="between"/>
      </c:valAx>
      <c:spPr>
        <a:gradFill>
          <a:gsLst>
            <a:gs pos="0">
              <a:schemeClr val="accent1">
                <a:lumMod val="5000"/>
                <a:lumOff val="95000"/>
              </a:schemeClr>
            </a:gs>
            <a:gs pos="64000">
              <a:schemeClr val="bg1">
                <a:lumMod val="95000"/>
              </a:schemeClr>
            </a:gs>
            <a:gs pos="82000">
              <a:schemeClr val="bg1">
                <a:lumMod val="85000"/>
              </a:schemeClr>
            </a:gs>
            <a:gs pos="100000">
              <a:schemeClr val="bg1">
                <a:lumMod val="75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pPr>
      <a:endParaRPr lang="sl-SI"/>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sl-SI" sz="800"/>
              <a:t>Hektarski donos pšenice in pire, oljne ogrščice in repice, sončnic ter koruze za zrnje, Slovenija, 2005-2018</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'zrnje in sadje'!$C$3</c:f>
              <c:strCache>
                <c:ptCount val="1"/>
                <c:pt idx="0">
                  <c:v>Pšenica in pira</c:v>
                </c:pt>
              </c:strCache>
            </c:strRef>
          </c:tx>
          <c:spPr>
            <a:ln w="28575" cap="rnd">
              <a:solidFill>
                <a:schemeClr val="accent1"/>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sadje'!$D$3:$Q$3</c:f>
              <c:numCache>
                <c:formatCode>General</c:formatCode>
                <c:ptCount val="14"/>
                <c:pt idx="0">
                  <c:v>4.7</c:v>
                </c:pt>
                <c:pt idx="1">
                  <c:v>4.2</c:v>
                </c:pt>
                <c:pt idx="2">
                  <c:v>4.2</c:v>
                </c:pt>
                <c:pt idx="3">
                  <c:v>4.5</c:v>
                </c:pt>
                <c:pt idx="4">
                  <c:v>4</c:v>
                </c:pt>
                <c:pt idx="5">
                  <c:v>4.8</c:v>
                </c:pt>
                <c:pt idx="6">
                  <c:v>5.2</c:v>
                </c:pt>
                <c:pt idx="7">
                  <c:v>5.4</c:v>
                </c:pt>
                <c:pt idx="8">
                  <c:v>4.4000000000000004</c:v>
                </c:pt>
                <c:pt idx="9">
                  <c:v>5.2</c:v>
                </c:pt>
                <c:pt idx="10">
                  <c:v>5.0999999999999996</c:v>
                </c:pt>
                <c:pt idx="11">
                  <c:v>5.2</c:v>
                </c:pt>
                <c:pt idx="12">
                  <c:v>5</c:v>
                </c:pt>
                <c:pt idx="13">
                  <c:v>4.4000000000000004</c:v>
                </c:pt>
              </c:numCache>
            </c:numRef>
          </c:val>
          <c:smooth val="0"/>
          <c:extLst>
            <c:ext xmlns:c16="http://schemas.microsoft.com/office/drawing/2014/chart" uri="{C3380CC4-5D6E-409C-BE32-E72D297353CC}">
              <c16:uniqueId val="{00000000-44D6-463F-9C41-2A54766BAFF9}"/>
            </c:ext>
          </c:extLst>
        </c:ser>
        <c:ser>
          <c:idx val="1"/>
          <c:order val="1"/>
          <c:tx>
            <c:strRef>
              <c:f>'zrnje in sadje'!$C$4</c:f>
              <c:strCache>
                <c:ptCount val="1"/>
                <c:pt idx="0">
                  <c:v>Oljna ogrščica in repica</c:v>
                </c:pt>
              </c:strCache>
            </c:strRef>
          </c:tx>
          <c:spPr>
            <a:ln w="28575" cap="rnd">
              <a:solidFill>
                <a:schemeClr val="accent2"/>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sadje'!$D$4:$Q$4</c:f>
              <c:numCache>
                <c:formatCode>General</c:formatCode>
                <c:ptCount val="14"/>
                <c:pt idx="0">
                  <c:v>2.4</c:v>
                </c:pt>
                <c:pt idx="1">
                  <c:v>1.8</c:v>
                </c:pt>
                <c:pt idx="2">
                  <c:v>2.8</c:v>
                </c:pt>
                <c:pt idx="3">
                  <c:v>2.5</c:v>
                </c:pt>
                <c:pt idx="4">
                  <c:v>2.2000000000000002</c:v>
                </c:pt>
                <c:pt idx="5">
                  <c:v>2.9</c:v>
                </c:pt>
                <c:pt idx="6">
                  <c:v>2.9</c:v>
                </c:pt>
                <c:pt idx="7">
                  <c:v>3.2</c:v>
                </c:pt>
                <c:pt idx="8">
                  <c:v>2.5</c:v>
                </c:pt>
                <c:pt idx="9">
                  <c:v>3.6</c:v>
                </c:pt>
                <c:pt idx="10">
                  <c:v>2.2000000000000002</c:v>
                </c:pt>
                <c:pt idx="11">
                  <c:v>2.7</c:v>
                </c:pt>
                <c:pt idx="12">
                  <c:v>2.6</c:v>
                </c:pt>
                <c:pt idx="13">
                  <c:v>2.2999999999999998</c:v>
                </c:pt>
              </c:numCache>
            </c:numRef>
          </c:val>
          <c:smooth val="0"/>
          <c:extLst>
            <c:ext xmlns:c16="http://schemas.microsoft.com/office/drawing/2014/chart" uri="{C3380CC4-5D6E-409C-BE32-E72D297353CC}">
              <c16:uniqueId val="{00000001-44D6-463F-9C41-2A54766BAFF9}"/>
            </c:ext>
          </c:extLst>
        </c:ser>
        <c:ser>
          <c:idx val="2"/>
          <c:order val="2"/>
          <c:tx>
            <c:strRef>
              <c:f>'zrnje in sadje'!$C$5</c:f>
              <c:strCache>
                <c:ptCount val="1"/>
                <c:pt idx="0">
                  <c:v>Sončnice</c:v>
                </c:pt>
              </c:strCache>
            </c:strRef>
          </c:tx>
          <c:spPr>
            <a:ln w="28575" cap="rnd">
              <a:solidFill>
                <a:schemeClr val="accent3"/>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sadje'!$D$5:$Q$5</c:f>
              <c:numCache>
                <c:formatCode>General</c:formatCode>
                <c:ptCount val="14"/>
                <c:pt idx="0">
                  <c:v>2.2000000000000002</c:v>
                </c:pt>
                <c:pt idx="1">
                  <c:v>1.2</c:v>
                </c:pt>
                <c:pt idx="2">
                  <c:v>1.7</c:v>
                </c:pt>
                <c:pt idx="3">
                  <c:v>1.6</c:v>
                </c:pt>
                <c:pt idx="4">
                  <c:v>1.5</c:v>
                </c:pt>
                <c:pt idx="5">
                  <c:v>2.2999999999999998</c:v>
                </c:pt>
                <c:pt idx="6">
                  <c:v>2.6</c:v>
                </c:pt>
                <c:pt idx="7">
                  <c:v>2.4</c:v>
                </c:pt>
                <c:pt idx="8">
                  <c:v>1.9</c:v>
                </c:pt>
                <c:pt idx="9">
                  <c:v>2.1</c:v>
                </c:pt>
                <c:pt idx="10">
                  <c:v>2.5</c:v>
                </c:pt>
                <c:pt idx="11">
                  <c:v>2.5</c:v>
                </c:pt>
                <c:pt idx="12">
                  <c:v>1.8</c:v>
                </c:pt>
                <c:pt idx="13">
                  <c:v>2.8</c:v>
                </c:pt>
              </c:numCache>
            </c:numRef>
          </c:val>
          <c:smooth val="0"/>
          <c:extLst>
            <c:ext xmlns:c16="http://schemas.microsoft.com/office/drawing/2014/chart" uri="{C3380CC4-5D6E-409C-BE32-E72D297353CC}">
              <c16:uniqueId val="{00000002-44D6-463F-9C41-2A54766BAFF9}"/>
            </c:ext>
          </c:extLst>
        </c:ser>
        <c:ser>
          <c:idx val="3"/>
          <c:order val="3"/>
          <c:tx>
            <c:strRef>
              <c:f>'zrnje in sadje'!$C$6</c:f>
              <c:strCache>
                <c:ptCount val="1"/>
                <c:pt idx="0">
                  <c:v>Koruza za zrnje</c:v>
                </c:pt>
              </c:strCache>
            </c:strRef>
          </c:tx>
          <c:spPr>
            <a:ln w="28575" cap="rnd">
              <a:solidFill>
                <a:schemeClr val="accent4"/>
              </a:solidFill>
              <a:round/>
            </a:ln>
            <a:effectLst/>
          </c:spPr>
          <c:marker>
            <c:symbol val="none"/>
          </c:marker>
          <c:cat>
            <c:numRef>
              <c:f>'zrnje in sadje'!$D$2:$Q$2</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sadje'!$D$6:$Q$6</c:f>
              <c:numCache>
                <c:formatCode>General</c:formatCode>
                <c:ptCount val="14"/>
                <c:pt idx="0">
                  <c:v>8.3000000000000007</c:v>
                </c:pt>
                <c:pt idx="1">
                  <c:v>6.9</c:v>
                </c:pt>
                <c:pt idx="2">
                  <c:v>7.5</c:v>
                </c:pt>
                <c:pt idx="3">
                  <c:v>7.3</c:v>
                </c:pt>
                <c:pt idx="4">
                  <c:v>7.8</c:v>
                </c:pt>
                <c:pt idx="5">
                  <c:v>8.5</c:v>
                </c:pt>
                <c:pt idx="6">
                  <c:v>8.6999999999999993</c:v>
                </c:pt>
                <c:pt idx="7">
                  <c:v>7.1</c:v>
                </c:pt>
                <c:pt idx="8">
                  <c:v>5.4</c:v>
                </c:pt>
                <c:pt idx="9">
                  <c:v>9.1</c:v>
                </c:pt>
                <c:pt idx="10">
                  <c:v>9</c:v>
                </c:pt>
                <c:pt idx="11">
                  <c:v>9.5</c:v>
                </c:pt>
                <c:pt idx="12">
                  <c:v>7.1</c:v>
                </c:pt>
                <c:pt idx="13">
                  <c:v>9.5</c:v>
                </c:pt>
              </c:numCache>
            </c:numRef>
          </c:val>
          <c:smooth val="0"/>
          <c:extLst>
            <c:ext xmlns:c16="http://schemas.microsoft.com/office/drawing/2014/chart" uri="{C3380CC4-5D6E-409C-BE32-E72D297353CC}">
              <c16:uniqueId val="{00000003-44D6-463F-9C41-2A54766BAFF9}"/>
            </c:ext>
          </c:extLst>
        </c:ser>
        <c:dLbls>
          <c:showLegendKey val="0"/>
          <c:showVal val="0"/>
          <c:showCatName val="0"/>
          <c:showSerName val="0"/>
          <c:showPercent val="0"/>
          <c:showBubbleSize val="0"/>
        </c:dLbls>
        <c:smooth val="0"/>
        <c:axId val="180038272"/>
        <c:axId val="180040064"/>
      </c:lineChart>
      <c:catAx>
        <c:axId val="180038272"/>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80040064"/>
        <c:crosses val="autoZero"/>
        <c:auto val="1"/>
        <c:lblAlgn val="ctr"/>
        <c:lblOffset val="100"/>
        <c:noMultiLvlLbl val="0"/>
      </c:catAx>
      <c:valAx>
        <c:axId val="18004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sl-SI"/>
                  <a:t>t/ha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003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Hektarski donos jabolk, breskev in nektarin, oljk in grozdja, Slovenija, 2005-2018</a:t>
            </a:r>
          </a:p>
          <a:p>
            <a:pPr>
              <a:defRPr/>
            </a:pPr>
            <a:endParaRPr lang="sl-SI"/>
          </a:p>
        </c:rich>
      </c:tx>
      <c:layout>
        <c:manualLayout>
          <c:xMode val="edge"/>
          <c:yMode val="edge"/>
          <c:x val="0.18199899404526565"/>
          <c:y val="4.6846860139564489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0754873793642036"/>
          <c:y val="0.23043826470331691"/>
          <c:w val="0.87312728015438124"/>
          <c:h val="0.47568332659323931"/>
        </c:manualLayout>
      </c:layout>
      <c:lineChart>
        <c:grouping val="standard"/>
        <c:varyColors val="0"/>
        <c:ser>
          <c:idx val="0"/>
          <c:order val="0"/>
          <c:tx>
            <c:strRef>
              <c:f>'zrnje in sadje'!$C$30</c:f>
              <c:strCache>
                <c:ptCount val="1"/>
                <c:pt idx="0">
                  <c:v>Jabolka v intenzivnih sadovnjakih</c:v>
                </c:pt>
              </c:strCache>
            </c:strRef>
          </c:tx>
          <c:spPr>
            <a:ln w="28575" cap="rnd">
              <a:solidFill>
                <a:schemeClr val="accent1"/>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sadje'!$D$30:$Q$30</c:f>
              <c:numCache>
                <c:formatCode>General</c:formatCode>
                <c:ptCount val="14"/>
                <c:pt idx="0">
                  <c:v>27.3</c:v>
                </c:pt>
                <c:pt idx="1">
                  <c:v>25.8</c:v>
                </c:pt>
                <c:pt idx="2">
                  <c:v>30.3</c:v>
                </c:pt>
                <c:pt idx="3">
                  <c:v>24.9</c:v>
                </c:pt>
                <c:pt idx="4">
                  <c:v>26.7</c:v>
                </c:pt>
                <c:pt idx="5">
                  <c:v>28</c:v>
                </c:pt>
                <c:pt idx="6">
                  <c:v>29.7</c:v>
                </c:pt>
                <c:pt idx="7">
                  <c:v>20.5</c:v>
                </c:pt>
                <c:pt idx="8">
                  <c:v>26.3</c:v>
                </c:pt>
                <c:pt idx="9">
                  <c:v>27.9</c:v>
                </c:pt>
                <c:pt idx="10">
                  <c:v>34</c:v>
                </c:pt>
                <c:pt idx="11">
                  <c:v>17.7</c:v>
                </c:pt>
                <c:pt idx="12">
                  <c:v>5.8</c:v>
                </c:pt>
                <c:pt idx="13">
                  <c:v>37.200000000000003</c:v>
                </c:pt>
              </c:numCache>
            </c:numRef>
          </c:val>
          <c:smooth val="0"/>
          <c:extLst>
            <c:ext xmlns:c16="http://schemas.microsoft.com/office/drawing/2014/chart" uri="{C3380CC4-5D6E-409C-BE32-E72D297353CC}">
              <c16:uniqueId val="{00000000-669E-4FB7-9897-6E74A7D3CFC7}"/>
            </c:ext>
          </c:extLst>
        </c:ser>
        <c:ser>
          <c:idx val="1"/>
          <c:order val="1"/>
          <c:tx>
            <c:strRef>
              <c:f>'zrnje in sadje'!$C$31</c:f>
              <c:strCache>
                <c:ptCount val="1"/>
                <c:pt idx="0">
                  <c:v>Breskve in nektarine</c:v>
                </c:pt>
              </c:strCache>
            </c:strRef>
          </c:tx>
          <c:spPr>
            <a:ln w="28575" cap="rnd">
              <a:solidFill>
                <a:schemeClr val="accent2"/>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sadje'!$D$31:$Q$31</c:f>
              <c:numCache>
                <c:formatCode>General</c:formatCode>
                <c:ptCount val="14"/>
                <c:pt idx="0">
                  <c:v>19.399999999999999</c:v>
                </c:pt>
                <c:pt idx="1">
                  <c:v>15.8</c:v>
                </c:pt>
                <c:pt idx="2">
                  <c:v>15.8</c:v>
                </c:pt>
                <c:pt idx="3">
                  <c:v>11.3</c:v>
                </c:pt>
                <c:pt idx="4">
                  <c:v>17.399999999999999</c:v>
                </c:pt>
                <c:pt idx="5">
                  <c:v>15.7</c:v>
                </c:pt>
                <c:pt idx="6">
                  <c:v>16.3</c:v>
                </c:pt>
                <c:pt idx="7">
                  <c:v>13.6</c:v>
                </c:pt>
                <c:pt idx="8">
                  <c:v>14.2</c:v>
                </c:pt>
                <c:pt idx="9">
                  <c:v>11.7</c:v>
                </c:pt>
                <c:pt idx="10">
                  <c:v>17.5</c:v>
                </c:pt>
                <c:pt idx="11">
                  <c:v>15.7</c:v>
                </c:pt>
                <c:pt idx="12">
                  <c:v>8.6999999999999993</c:v>
                </c:pt>
                <c:pt idx="13">
                  <c:v>16.899999999999999</c:v>
                </c:pt>
              </c:numCache>
            </c:numRef>
          </c:val>
          <c:smooth val="0"/>
          <c:extLst>
            <c:ext xmlns:c16="http://schemas.microsoft.com/office/drawing/2014/chart" uri="{C3380CC4-5D6E-409C-BE32-E72D297353CC}">
              <c16:uniqueId val="{00000001-669E-4FB7-9897-6E74A7D3CFC7}"/>
            </c:ext>
          </c:extLst>
        </c:ser>
        <c:ser>
          <c:idx val="2"/>
          <c:order val="2"/>
          <c:tx>
            <c:strRef>
              <c:f>'zrnje in sadje'!$C$32</c:f>
              <c:strCache>
                <c:ptCount val="1"/>
                <c:pt idx="0">
                  <c:v>Oljke</c:v>
                </c:pt>
              </c:strCache>
            </c:strRef>
          </c:tx>
          <c:spPr>
            <a:ln w="28575" cap="rnd">
              <a:solidFill>
                <a:schemeClr val="accent3"/>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sadje'!$D$32:$Q$32</c:f>
              <c:numCache>
                <c:formatCode>General</c:formatCode>
                <c:ptCount val="14"/>
                <c:pt idx="0">
                  <c:v>3.4</c:v>
                </c:pt>
                <c:pt idx="1">
                  <c:v>2.2999999999999998</c:v>
                </c:pt>
                <c:pt idx="2">
                  <c:v>1.8</c:v>
                </c:pt>
                <c:pt idx="3">
                  <c:v>2.7</c:v>
                </c:pt>
                <c:pt idx="4">
                  <c:v>2</c:v>
                </c:pt>
                <c:pt idx="5">
                  <c:v>2.1</c:v>
                </c:pt>
                <c:pt idx="6">
                  <c:v>1.9</c:v>
                </c:pt>
                <c:pt idx="7">
                  <c:v>0.8</c:v>
                </c:pt>
                <c:pt idx="8">
                  <c:v>1.6</c:v>
                </c:pt>
                <c:pt idx="9">
                  <c:v>0.8</c:v>
                </c:pt>
                <c:pt idx="10">
                  <c:v>1.5</c:v>
                </c:pt>
                <c:pt idx="11">
                  <c:v>1.4</c:v>
                </c:pt>
                <c:pt idx="12">
                  <c:v>1.4</c:v>
                </c:pt>
                <c:pt idx="13">
                  <c:v>3</c:v>
                </c:pt>
              </c:numCache>
            </c:numRef>
          </c:val>
          <c:smooth val="0"/>
          <c:extLst>
            <c:ext xmlns:c16="http://schemas.microsoft.com/office/drawing/2014/chart" uri="{C3380CC4-5D6E-409C-BE32-E72D297353CC}">
              <c16:uniqueId val="{00000002-669E-4FB7-9897-6E74A7D3CFC7}"/>
            </c:ext>
          </c:extLst>
        </c:ser>
        <c:ser>
          <c:idx val="3"/>
          <c:order val="3"/>
          <c:tx>
            <c:strRef>
              <c:f>'zrnje in sadje'!$C$33</c:f>
              <c:strCache>
                <c:ptCount val="1"/>
                <c:pt idx="0">
                  <c:v>Grozdje v vinogradih</c:v>
                </c:pt>
              </c:strCache>
            </c:strRef>
          </c:tx>
          <c:spPr>
            <a:ln w="28575" cap="rnd">
              <a:solidFill>
                <a:schemeClr val="accent4"/>
              </a:solidFill>
              <a:round/>
            </a:ln>
            <a:effectLst/>
          </c:spPr>
          <c:marker>
            <c:symbol val="none"/>
          </c:marker>
          <c:cat>
            <c:numRef>
              <c:f>'zrnje in sadje'!$D$29:$Q$29</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'zrnje in sadje'!$D$33:$Q$33</c:f>
              <c:numCache>
                <c:formatCode>General</c:formatCode>
                <c:ptCount val="14"/>
                <c:pt idx="0">
                  <c:v>7.4</c:v>
                </c:pt>
                <c:pt idx="1">
                  <c:v>6.4</c:v>
                </c:pt>
                <c:pt idx="2">
                  <c:v>7.6</c:v>
                </c:pt>
                <c:pt idx="3">
                  <c:v>6.6</c:v>
                </c:pt>
                <c:pt idx="4">
                  <c:v>7</c:v>
                </c:pt>
                <c:pt idx="5">
                  <c:v>6.6</c:v>
                </c:pt>
                <c:pt idx="6">
                  <c:v>7.4</c:v>
                </c:pt>
                <c:pt idx="7">
                  <c:v>5.6</c:v>
                </c:pt>
                <c:pt idx="8">
                  <c:v>6.2</c:v>
                </c:pt>
                <c:pt idx="9">
                  <c:v>5.9</c:v>
                </c:pt>
                <c:pt idx="10">
                  <c:v>7.5</c:v>
                </c:pt>
                <c:pt idx="11">
                  <c:v>6</c:v>
                </c:pt>
                <c:pt idx="12">
                  <c:v>5.6</c:v>
                </c:pt>
                <c:pt idx="13">
                  <c:v>8.1</c:v>
                </c:pt>
              </c:numCache>
            </c:numRef>
          </c:val>
          <c:smooth val="0"/>
          <c:extLst>
            <c:ext xmlns:c16="http://schemas.microsoft.com/office/drawing/2014/chart" uri="{C3380CC4-5D6E-409C-BE32-E72D297353CC}">
              <c16:uniqueId val="{00000003-669E-4FB7-9897-6E74A7D3CFC7}"/>
            </c:ext>
          </c:extLst>
        </c:ser>
        <c:dLbls>
          <c:showLegendKey val="0"/>
          <c:showVal val="0"/>
          <c:showCatName val="0"/>
          <c:showSerName val="0"/>
          <c:showPercent val="0"/>
          <c:showBubbleSize val="0"/>
        </c:dLbls>
        <c:smooth val="0"/>
        <c:axId val="180085504"/>
        <c:axId val="180087040"/>
      </c:lineChart>
      <c:catAx>
        <c:axId val="18008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80087040"/>
        <c:crosses val="autoZero"/>
        <c:auto val="1"/>
        <c:lblAlgn val="ctr"/>
        <c:lblOffset val="100"/>
        <c:noMultiLvlLbl val="0"/>
      </c:catAx>
      <c:valAx>
        <c:axId val="18008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sl-SI"/>
                  <a:t>t/ha</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80085504"/>
        <c:crosses val="autoZero"/>
        <c:crossBetween val="between"/>
      </c:valAx>
      <c:spPr>
        <a:noFill/>
        <a:ln>
          <a:noFill/>
        </a:ln>
        <a:effectLst/>
      </c:spPr>
    </c:plotArea>
    <c:legend>
      <c:legendPos val="b"/>
      <c:layout>
        <c:manualLayout>
          <c:xMode val="edge"/>
          <c:yMode val="edge"/>
          <c:x val="0.10850630136201128"/>
          <c:y val="0.80192449508766084"/>
          <c:w val="0.84213207425504921"/>
          <c:h val="0.1980755049123391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800" b="0"/>
            </a:pPr>
            <a:r>
              <a:rPr lang="sl-SI" sz="800" b="0"/>
              <a:t>Bruto dodana vrednost</a:t>
            </a:r>
            <a:r>
              <a:rPr lang="en-US" sz="800" b="0"/>
              <a:t> / hektar </a:t>
            </a:r>
            <a:r>
              <a:rPr lang="sl-SI" sz="800" b="0"/>
              <a:t>KZU, v EUR, 2016</a:t>
            </a:r>
            <a:endParaRPr lang="en-US" sz="800" b="0"/>
          </a:p>
        </c:rich>
      </c:tx>
      <c:overlay val="0"/>
      <c:spPr>
        <a:noFill/>
        <a:ln w="25400">
          <a:noFill/>
        </a:ln>
      </c:spPr>
    </c:title>
    <c:autoTitleDeleted val="0"/>
    <c:plotArea>
      <c:layout>
        <c:manualLayout>
          <c:layoutTarget val="inner"/>
          <c:xMode val="edge"/>
          <c:yMode val="edge"/>
          <c:x val="8.1685969809329392E-2"/>
          <c:y val="0.14579242636746143"/>
          <c:w val="0.90067734588731951"/>
          <c:h val="0.76560336164150589"/>
        </c:manualLayout>
      </c:layout>
      <c:barChart>
        <c:barDir val="col"/>
        <c:grouping val="clustered"/>
        <c:varyColors val="0"/>
        <c:ser>
          <c:idx val="3"/>
          <c:order val="0"/>
          <c:tx>
            <c:strRef>
              <c:f>'2016'!$E$13</c:f>
              <c:strCache>
                <c:ptCount val="1"/>
                <c:pt idx="0">
                  <c:v>GVA / hektar UAA</c:v>
                </c:pt>
              </c:strCache>
            </c:strRef>
          </c:tx>
          <c:spPr>
            <a:solidFill>
              <a:srgbClr val="92D050"/>
            </a:solidFill>
            <a:ln w="25400">
              <a:noFill/>
            </a:ln>
          </c:spPr>
          <c:invertIfNegative val="0"/>
          <c:dPt>
            <c:idx val="18"/>
            <c:invertIfNegative val="0"/>
            <c:bubble3D val="0"/>
            <c:spPr>
              <a:solidFill>
                <a:srgbClr val="FFC000"/>
              </a:solidFill>
              <a:ln w="25400">
                <a:noFill/>
              </a:ln>
            </c:spPr>
            <c:extLst>
              <c:ext xmlns:c16="http://schemas.microsoft.com/office/drawing/2014/chart" uri="{C3380CC4-5D6E-409C-BE32-E72D297353CC}">
                <c16:uniqueId val="{00000001-825A-41B1-9982-03F57D84670A}"/>
              </c:ext>
            </c:extLst>
          </c:dPt>
          <c:dLbls>
            <c:dLbl>
              <c:idx val="0"/>
              <c:layout>
                <c:manualLayout>
                  <c:x val="0"/>
                  <c:y val="1.3046314416177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5A-41B1-9982-03F57D84670A}"/>
                </c:ext>
              </c:extLst>
            </c:dLbl>
            <c:dLbl>
              <c:idx val="1"/>
              <c:layout>
                <c:manualLayout>
                  <c:x val="0"/>
                  <c:y val="-1.9569471624266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5A-41B1-9982-03F57D84670A}"/>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5A-41B1-9982-03F57D84670A}"/>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5A-41B1-9982-03F57D84670A}"/>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5A-41B1-9982-03F57D84670A}"/>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5A-41B1-9982-03F57D84670A}"/>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5A-41B1-9982-03F57D84670A}"/>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5A-41B1-9982-03F57D84670A}"/>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5A-41B1-9982-03F57D84670A}"/>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5A-41B1-9982-03F57D84670A}"/>
                </c:ext>
              </c:extLst>
            </c:dLbl>
            <c:dLbl>
              <c:idx val="17"/>
              <c:layout>
                <c:manualLayout>
                  <c:x val="0"/>
                  <c:y val="1.3046314416177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5A-41B1-9982-03F57D84670A}"/>
                </c:ext>
              </c:extLst>
            </c:dLbl>
            <c:dLbl>
              <c:idx val="18"/>
              <c:layout>
                <c:manualLayout>
                  <c:x val="-8.9342697600140304E-17"/>
                  <c:y val="-1.937984496124031E-2"/>
                </c:manualLayout>
              </c:layout>
              <c:numFmt formatCode="###,000" sourceLinked="0"/>
              <c:spPr>
                <a:noFill/>
                <a:ln w="25400">
                  <a:noFill/>
                </a:ln>
              </c:spPr>
              <c:txPr>
                <a:bodyPr rot="0" vert="horz"/>
                <a:lstStyle/>
                <a:p>
                  <a:pPr>
                    <a:defRPr>
                      <a:solidFill>
                        <a:srgbClr val="FF0000"/>
                      </a:solidFill>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5A-41B1-9982-03F57D84670A}"/>
                </c:ext>
              </c:extLst>
            </c:dLbl>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5A-41B1-9982-03F57D84670A}"/>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25A-41B1-9982-03F57D84670A}"/>
                </c:ext>
              </c:extLst>
            </c:dLbl>
            <c:dLbl>
              <c:idx val="24"/>
              <c:layout>
                <c:manualLayout>
                  <c:x val="0"/>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5A-41B1-9982-03F57D84670A}"/>
                </c:ext>
              </c:extLst>
            </c:dLbl>
            <c:dLbl>
              <c:idx val="25"/>
              <c:layout>
                <c:manualLayout>
                  <c:x val="-8.52826510721247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25A-41B1-9982-03F57D84670A}"/>
                </c:ext>
              </c:extLst>
            </c:dLbl>
            <c:numFmt formatCode="###,000" sourceLinked="0"/>
            <c:spPr>
              <a:noFill/>
              <a:ln w="25400">
                <a:noFill/>
              </a:ln>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'2016'!$A$14:$A$40</c:f>
              <c:strCache>
                <c:ptCount val="27"/>
                <c:pt idx="0">
                  <c:v>EE</c:v>
                </c:pt>
                <c:pt idx="1">
                  <c:v>LV</c:v>
                </c:pt>
                <c:pt idx="2">
                  <c:v>SK</c:v>
                </c:pt>
                <c:pt idx="3">
                  <c:v>LT</c:v>
                </c:pt>
                <c:pt idx="4">
                  <c:v>BG</c:v>
                </c:pt>
                <c:pt idx="5">
                  <c:v>IE</c:v>
                </c:pt>
                <c:pt idx="6">
                  <c:v>CZ</c:v>
                </c:pt>
                <c:pt idx="7">
                  <c:v>RO</c:v>
                </c:pt>
                <c:pt idx="8">
                  <c:v>FI</c:v>
                </c:pt>
                <c:pt idx="9">
                  <c:v>SE</c:v>
                </c:pt>
                <c:pt idx="10">
                  <c:v>PL</c:v>
                </c:pt>
                <c:pt idx="11">
                  <c:v>HR</c:v>
                </c:pt>
                <c:pt idx="12">
                  <c:v>PT</c:v>
                </c:pt>
                <c:pt idx="13">
                  <c:v>HU</c:v>
                </c:pt>
                <c:pt idx="14">
                  <c:v>LU</c:v>
                </c:pt>
                <c:pt idx="15">
                  <c:v>DK</c:v>
                </c:pt>
                <c:pt idx="16">
                  <c:v>FR</c:v>
                </c:pt>
                <c:pt idx="17">
                  <c:v>DE</c:v>
                </c:pt>
                <c:pt idx="18">
                  <c:v>SI</c:v>
                </c:pt>
                <c:pt idx="19">
                  <c:v>AT</c:v>
                </c:pt>
                <c:pt idx="20">
                  <c:v>ES</c:v>
                </c:pt>
                <c:pt idx="21">
                  <c:v>EL</c:v>
                </c:pt>
                <c:pt idx="22">
                  <c:v>BE</c:v>
                </c:pt>
                <c:pt idx="23">
                  <c:v>IT</c:v>
                </c:pt>
                <c:pt idx="24">
                  <c:v>CY</c:v>
                </c:pt>
                <c:pt idx="25">
                  <c:v>MT</c:v>
                </c:pt>
                <c:pt idx="26">
                  <c:v>NL</c:v>
                </c:pt>
              </c:strCache>
            </c:strRef>
          </c:cat>
          <c:val>
            <c:numRef>
              <c:f>'2016'!$E$14:$E$40</c:f>
              <c:numCache>
                <c:formatCode>_-* ##,#00\ _z_ł_-;\-* ##,#00\ _z_ł_-;_-* "-"??\ _z_ł_-;_-@_-</c:formatCode>
                <c:ptCount val="27"/>
                <c:pt idx="0">
                  <c:v>151.84403577529898</c:v>
                </c:pt>
                <c:pt idx="1">
                  <c:v>172.62077394763008</c:v>
                </c:pt>
                <c:pt idx="2">
                  <c:v>331.17439756167255</c:v>
                </c:pt>
                <c:pt idx="3">
                  <c:v>341.07228338918145</c:v>
                </c:pt>
                <c:pt idx="4">
                  <c:v>395.50876474333575</c:v>
                </c:pt>
                <c:pt idx="5">
                  <c:v>483.22972209253754</c:v>
                </c:pt>
                <c:pt idx="6">
                  <c:v>489.17205194173772</c:v>
                </c:pt>
                <c:pt idx="7">
                  <c:v>522.92974067669445</c:v>
                </c:pt>
                <c:pt idx="8">
                  <c:v>524.59883055860655</c:v>
                </c:pt>
                <c:pt idx="9">
                  <c:v>543.40609330266273</c:v>
                </c:pt>
                <c:pt idx="10">
                  <c:v>596.25355329332592</c:v>
                </c:pt>
                <c:pt idx="11">
                  <c:v>619.31054779971589</c:v>
                </c:pt>
                <c:pt idx="12">
                  <c:v>733.68134025685879</c:v>
                </c:pt>
                <c:pt idx="13">
                  <c:v>736.02094823747041</c:v>
                </c:pt>
                <c:pt idx="14">
                  <c:v>769.15422885572139</c:v>
                </c:pt>
                <c:pt idx="15">
                  <c:v>804.31806012391939</c:v>
                </c:pt>
                <c:pt idx="16">
                  <c:v>944.99132815803171</c:v>
                </c:pt>
                <c:pt idx="17">
                  <c:v>948.16431872079022</c:v>
                </c:pt>
                <c:pt idx="18">
                  <c:v>986.93693693693695</c:v>
                </c:pt>
                <c:pt idx="19">
                  <c:v>1080.4045322595748</c:v>
                </c:pt>
                <c:pt idx="20">
                  <c:v>1176.4246279017209</c:v>
                </c:pt>
                <c:pt idx="21">
                  <c:v>1201.3667616050666</c:v>
                </c:pt>
                <c:pt idx="22">
                  <c:v>1591.4860623961602</c:v>
                </c:pt>
                <c:pt idx="23">
                  <c:v>2463.4438679934215</c:v>
                </c:pt>
                <c:pt idx="24">
                  <c:v>2848.4767265255068</c:v>
                </c:pt>
                <c:pt idx="25">
                  <c:v>5689.6243291592127</c:v>
                </c:pt>
                <c:pt idx="26">
                  <c:v>5930.7282910046433</c:v>
                </c:pt>
              </c:numCache>
            </c:numRef>
          </c:val>
          <c:extLst>
            <c:ext xmlns:c16="http://schemas.microsoft.com/office/drawing/2014/chart" uri="{C3380CC4-5D6E-409C-BE32-E72D297353CC}">
              <c16:uniqueId val="{00000011-825A-41B1-9982-03F57D84670A}"/>
            </c:ext>
          </c:extLst>
        </c:ser>
        <c:dLbls>
          <c:showLegendKey val="0"/>
          <c:showVal val="0"/>
          <c:showCatName val="0"/>
          <c:showSerName val="0"/>
          <c:showPercent val="0"/>
          <c:showBubbleSize val="0"/>
        </c:dLbls>
        <c:gapWidth val="75"/>
        <c:axId val="179936256"/>
        <c:axId val="179950336"/>
      </c:barChart>
      <c:catAx>
        <c:axId val="1799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79950336"/>
        <c:crosses val="autoZero"/>
        <c:auto val="1"/>
        <c:lblAlgn val="ctr"/>
        <c:lblOffset val="100"/>
        <c:noMultiLvlLbl val="0"/>
      </c:catAx>
      <c:valAx>
        <c:axId val="179950336"/>
        <c:scaling>
          <c:orientation val="minMax"/>
        </c:scaling>
        <c:delete val="0"/>
        <c:axPos val="l"/>
        <c:numFmt formatCode="#,##0" sourceLinked="0"/>
        <c:majorTickMark val="none"/>
        <c:minorTickMark val="none"/>
        <c:tickLblPos val="nextTo"/>
        <c:spPr>
          <a:ln w="6350">
            <a:noFill/>
          </a:ln>
        </c:spPr>
        <c:txPr>
          <a:bodyPr rot="-60000000" vert="horz"/>
          <a:lstStyle/>
          <a:p>
            <a:pPr>
              <a:defRPr/>
            </a:pPr>
            <a:endParaRPr lang="sl-SI"/>
          </a:p>
        </c:txPr>
        <c:crossAx val="179936256"/>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sl-SI"/>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60" b="1">
                <a:solidFill>
                  <a:sysClr val="windowText" lastClr="000000"/>
                </a:solidFill>
              </a:rPr>
              <a:t>Prihodkovno-stroškovna s</a:t>
            </a:r>
            <a:r>
              <a:rPr lang="en-US" sz="960" b="1">
                <a:solidFill>
                  <a:sysClr val="windowText" lastClr="000000"/>
                </a:solidFill>
              </a:rPr>
              <a:t>truktura </a:t>
            </a:r>
            <a:r>
              <a:rPr lang="sl-SI" sz="960" b="1">
                <a:solidFill>
                  <a:sysClr val="windowText" lastClr="000000"/>
                </a:solidFill>
              </a:rPr>
              <a:t>podjetniškega dohodka,</a:t>
            </a:r>
            <a:r>
              <a:rPr lang="sl-SI" sz="960" b="1" baseline="0">
                <a:solidFill>
                  <a:sysClr val="windowText" lastClr="000000"/>
                </a:solidFill>
              </a:rPr>
              <a:t> 2005-2018, Slovenija, (realne cene), v mio EUR</a:t>
            </a:r>
            <a:endParaRPr lang="en-US" sz="96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7.6732357607841389E-2"/>
          <c:y val="5.2772402820158167E-2"/>
          <c:w val="0.92272247125639706"/>
          <c:h val="0.61288033440264411"/>
        </c:manualLayout>
      </c:layout>
      <c:barChart>
        <c:barDir val="col"/>
        <c:grouping val="stacked"/>
        <c:varyColors val="0"/>
        <c:ser>
          <c:idx val="0"/>
          <c:order val="0"/>
          <c:tx>
            <c:strRef>
              <c:f>'[podjetniški dohodek po stroških in prihodkih.xlsx]List1'!$B$4</c:f>
              <c:strCache>
                <c:ptCount val="1"/>
                <c:pt idx="0">
                  <c:v>Rastlinska pridelava</c:v>
                </c:pt>
              </c:strCache>
            </c:strRef>
          </c:tx>
          <c:spPr>
            <a:solidFill>
              <a:srgbClr val="006600"/>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prihodkih.xlsx]List1'!$C$4:$P$4</c:f>
              <c:numCache>
                <c:formatCode>#.#00</c:formatCode>
                <c:ptCount val="14"/>
                <c:pt idx="0">
                  <c:v>489.7</c:v>
                </c:pt>
                <c:pt idx="1">
                  <c:v>470.1</c:v>
                </c:pt>
                <c:pt idx="2">
                  <c:v>588.1</c:v>
                </c:pt>
                <c:pt idx="3">
                  <c:v>589.5</c:v>
                </c:pt>
                <c:pt idx="4">
                  <c:v>536.1</c:v>
                </c:pt>
                <c:pt idx="5">
                  <c:v>586.20000000000005</c:v>
                </c:pt>
                <c:pt idx="6">
                  <c:v>669</c:v>
                </c:pt>
                <c:pt idx="7">
                  <c:v>595.4</c:v>
                </c:pt>
                <c:pt idx="8">
                  <c:v>598.6</c:v>
                </c:pt>
                <c:pt idx="9">
                  <c:v>655.1</c:v>
                </c:pt>
                <c:pt idx="10">
                  <c:v>727.4</c:v>
                </c:pt>
                <c:pt idx="11">
                  <c:v>676.8</c:v>
                </c:pt>
                <c:pt idx="12">
                  <c:v>585.70000000000005</c:v>
                </c:pt>
                <c:pt idx="13">
                  <c:v>793.6</c:v>
                </c:pt>
              </c:numCache>
            </c:numRef>
          </c:val>
          <c:extLst>
            <c:ext xmlns:c16="http://schemas.microsoft.com/office/drawing/2014/chart" uri="{C3380CC4-5D6E-409C-BE32-E72D297353CC}">
              <c16:uniqueId val="{00000000-6A27-4AD4-A6DB-E1A0826964F8}"/>
            </c:ext>
          </c:extLst>
        </c:ser>
        <c:ser>
          <c:idx val="1"/>
          <c:order val="1"/>
          <c:tx>
            <c:strRef>
              <c:f>'[podjetniški dohodek po stroških in prihodkih.xlsx]List1'!$B$5</c:f>
              <c:strCache>
                <c:ptCount val="1"/>
                <c:pt idx="0">
                  <c:v>Živinoreja</c:v>
                </c:pt>
              </c:strCache>
            </c:strRef>
          </c:tx>
          <c:spPr>
            <a:solidFill>
              <a:schemeClr val="accent2"/>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prihodkih.xlsx]List1'!$C$5:$P$5</c:f>
              <c:numCache>
                <c:formatCode>#.#00</c:formatCode>
                <c:ptCount val="14"/>
                <c:pt idx="0">
                  <c:v>467.8</c:v>
                </c:pt>
                <c:pt idx="1">
                  <c:v>468</c:v>
                </c:pt>
                <c:pt idx="2">
                  <c:v>498.9</c:v>
                </c:pt>
                <c:pt idx="3">
                  <c:v>545.79999999999995</c:v>
                </c:pt>
                <c:pt idx="4">
                  <c:v>484.8</c:v>
                </c:pt>
                <c:pt idx="5">
                  <c:v>485.9</c:v>
                </c:pt>
                <c:pt idx="6">
                  <c:v>533.70000000000005</c:v>
                </c:pt>
                <c:pt idx="7">
                  <c:v>535.4</c:v>
                </c:pt>
                <c:pt idx="8">
                  <c:v>542.4</c:v>
                </c:pt>
                <c:pt idx="9">
                  <c:v>551.9</c:v>
                </c:pt>
                <c:pt idx="10">
                  <c:v>532.29999999999995</c:v>
                </c:pt>
                <c:pt idx="11">
                  <c:v>524.9</c:v>
                </c:pt>
                <c:pt idx="12">
                  <c:v>559.5</c:v>
                </c:pt>
                <c:pt idx="13">
                  <c:v>559.29999999999995</c:v>
                </c:pt>
              </c:numCache>
            </c:numRef>
          </c:val>
          <c:extLst>
            <c:ext xmlns:c16="http://schemas.microsoft.com/office/drawing/2014/chart" uri="{C3380CC4-5D6E-409C-BE32-E72D297353CC}">
              <c16:uniqueId val="{00000001-6A27-4AD4-A6DB-E1A0826964F8}"/>
            </c:ext>
          </c:extLst>
        </c:ser>
        <c:ser>
          <c:idx val="2"/>
          <c:order val="2"/>
          <c:tx>
            <c:strRef>
              <c:f>'[podjetniški dohodek po stroških in prihodkih.xlsx]List1'!$B$6</c:f>
              <c:strCache>
                <c:ptCount val="1"/>
                <c:pt idx="0">
                  <c:v>Kmetijske storitve</c:v>
                </c:pt>
              </c:strCache>
            </c:strRef>
          </c:tx>
          <c:spPr>
            <a:solidFill>
              <a:schemeClr val="accent3"/>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prihodkih.xlsx]List1'!$C$6:$P$6</c:f>
              <c:numCache>
                <c:formatCode>#.#00</c:formatCode>
                <c:ptCount val="14"/>
                <c:pt idx="0">
                  <c:v>18.7</c:v>
                </c:pt>
                <c:pt idx="1">
                  <c:v>19.399999999999999</c:v>
                </c:pt>
                <c:pt idx="2">
                  <c:v>18.8</c:v>
                </c:pt>
                <c:pt idx="3">
                  <c:v>20.7</c:v>
                </c:pt>
                <c:pt idx="4">
                  <c:v>20.5</c:v>
                </c:pt>
                <c:pt idx="5">
                  <c:v>20.6</c:v>
                </c:pt>
                <c:pt idx="6">
                  <c:v>20</c:v>
                </c:pt>
                <c:pt idx="7">
                  <c:v>20.3</c:v>
                </c:pt>
                <c:pt idx="8">
                  <c:v>19.2</c:v>
                </c:pt>
                <c:pt idx="9">
                  <c:v>19.7</c:v>
                </c:pt>
                <c:pt idx="10">
                  <c:v>19.899999999999999</c:v>
                </c:pt>
                <c:pt idx="11">
                  <c:v>17.7</c:v>
                </c:pt>
                <c:pt idx="12">
                  <c:v>18</c:v>
                </c:pt>
                <c:pt idx="13">
                  <c:v>18.399999999999999</c:v>
                </c:pt>
              </c:numCache>
            </c:numRef>
          </c:val>
          <c:extLst>
            <c:ext xmlns:c16="http://schemas.microsoft.com/office/drawing/2014/chart" uri="{C3380CC4-5D6E-409C-BE32-E72D297353CC}">
              <c16:uniqueId val="{00000002-6A27-4AD4-A6DB-E1A0826964F8}"/>
            </c:ext>
          </c:extLst>
        </c:ser>
        <c:ser>
          <c:idx val="3"/>
          <c:order val="3"/>
          <c:tx>
            <c:strRef>
              <c:f>'[podjetniški dohodek po stroških in prihodkih.xlsx]List1'!$B$7</c:f>
              <c:strCache>
                <c:ptCount val="1"/>
                <c:pt idx="0">
                  <c:v>Subvencije na proizvode</c:v>
                </c:pt>
              </c:strCache>
            </c:strRef>
          </c:tx>
          <c:spPr>
            <a:solidFill>
              <a:schemeClr val="accent4"/>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prihodkih.xlsx]List1'!$C$7:$P$7</c:f>
              <c:numCache>
                <c:formatCode>#.#00</c:formatCode>
                <c:ptCount val="14"/>
                <c:pt idx="0">
                  <c:v>82.4</c:v>
                </c:pt>
                <c:pt idx="1">
                  <c:v>100.3</c:v>
                </c:pt>
                <c:pt idx="2">
                  <c:v>10.7</c:v>
                </c:pt>
                <c:pt idx="3">
                  <c:v>11.2</c:v>
                </c:pt>
                <c:pt idx="4">
                  <c:v>10.8</c:v>
                </c:pt>
                <c:pt idx="5">
                  <c:v>10.9</c:v>
                </c:pt>
                <c:pt idx="6">
                  <c:v>11.2</c:v>
                </c:pt>
                <c:pt idx="7" formatCode="General">
                  <c:v>0</c:v>
                </c:pt>
                <c:pt idx="8" formatCode="General">
                  <c:v>0</c:v>
                </c:pt>
                <c:pt idx="9" formatCode="General">
                  <c:v>0</c:v>
                </c:pt>
                <c:pt idx="10" formatCode="General">
                  <c:v>0</c:v>
                </c:pt>
                <c:pt idx="11" formatCode="General">
                  <c:v>0</c:v>
                </c:pt>
                <c:pt idx="12" formatCode="General">
                  <c:v>0</c:v>
                </c:pt>
                <c:pt idx="13" formatCode="General">
                  <c:v>0</c:v>
                </c:pt>
              </c:numCache>
            </c:numRef>
          </c:val>
          <c:extLst>
            <c:ext xmlns:c16="http://schemas.microsoft.com/office/drawing/2014/chart" uri="{C3380CC4-5D6E-409C-BE32-E72D297353CC}">
              <c16:uniqueId val="{00000003-6A27-4AD4-A6DB-E1A0826964F8}"/>
            </c:ext>
          </c:extLst>
        </c:ser>
        <c:ser>
          <c:idx val="4"/>
          <c:order val="4"/>
          <c:tx>
            <c:strRef>
              <c:f>'[podjetniški dohodek po stroških in prihodkih.xlsx]List1'!$B$8</c:f>
              <c:strCache>
                <c:ptCount val="1"/>
                <c:pt idx="0">
                  <c:v>Druge subvencije na proizvodnjo</c:v>
                </c:pt>
              </c:strCache>
            </c:strRef>
          </c:tx>
          <c:spPr>
            <a:solidFill>
              <a:schemeClr val="accent5"/>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prihodkih.xlsx]List1'!$C$8:$P$8</c:f>
              <c:numCache>
                <c:formatCode>#.#00</c:formatCode>
                <c:ptCount val="14"/>
                <c:pt idx="0">
                  <c:v>133</c:v>
                </c:pt>
                <c:pt idx="1">
                  <c:v>146.80000000000001</c:v>
                </c:pt>
                <c:pt idx="2">
                  <c:v>236.3</c:v>
                </c:pt>
                <c:pt idx="3">
                  <c:v>236</c:v>
                </c:pt>
                <c:pt idx="4">
                  <c:v>234.6</c:v>
                </c:pt>
                <c:pt idx="5">
                  <c:v>238.8</c:v>
                </c:pt>
                <c:pt idx="6">
                  <c:v>235.5</c:v>
                </c:pt>
                <c:pt idx="7">
                  <c:v>250.7</c:v>
                </c:pt>
                <c:pt idx="8">
                  <c:v>254.5</c:v>
                </c:pt>
                <c:pt idx="9">
                  <c:v>246</c:v>
                </c:pt>
                <c:pt idx="10">
                  <c:v>238.5</c:v>
                </c:pt>
                <c:pt idx="11">
                  <c:v>246.9</c:v>
                </c:pt>
                <c:pt idx="12">
                  <c:v>259.89999999999998</c:v>
                </c:pt>
                <c:pt idx="13">
                  <c:v>247.4</c:v>
                </c:pt>
              </c:numCache>
            </c:numRef>
          </c:val>
          <c:extLst>
            <c:ext xmlns:c16="http://schemas.microsoft.com/office/drawing/2014/chart" uri="{C3380CC4-5D6E-409C-BE32-E72D297353CC}">
              <c16:uniqueId val="{00000004-6A27-4AD4-A6DB-E1A0826964F8}"/>
            </c:ext>
          </c:extLst>
        </c:ser>
        <c:ser>
          <c:idx val="5"/>
          <c:order val="5"/>
          <c:tx>
            <c:strRef>
              <c:f>'[podjetniški dohodek po stroških in prihodkih.xlsx]List1'!$B$9</c:f>
              <c:strCache>
                <c:ptCount val="1"/>
                <c:pt idx="0">
                  <c:v>Dobljene obresti</c:v>
                </c:pt>
              </c:strCache>
            </c:strRef>
          </c:tx>
          <c:spPr>
            <a:solidFill>
              <a:schemeClr val="accent6"/>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prihodkih.xlsx]List1'!$C$9:$P$9</c:f>
              <c:numCache>
                <c:formatCode>#.#00</c:formatCode>
                <c:ptCount val="14"/>
                <c:pt idx="0">
                  <c:v>2.4</c:v>
                </c:pt>
                <c:pt idx="1">
                  <c:v>2.4</c:v>
                </c:pt>
                <c:pt idx="2">
                  <c:v>2.2000000000000002</c:v>
                </c:pt>
                <c:pt idx="3">
                  <c:v>3.7</c:v>
                </c:pt>
                <c:pt idx="4">
                  <c:v>2.5</c:v>
                </c:pt>
                <c:pt idx="5">
                  <c:v>2</c:v>
                </c:pt>
                <c:pt idx="6">
                  <c:v>1.2</c:v>
                </c:pt>
                <c:pt idx="7">
                  <c:v>0.9</c:v>
                </c:pt>
                <c:pt idx="8">
                  <c:v>0.7</c:v>
                </c:pt>
                <c:pt idx="9">
                  <c:v>1</c:v>
                </c:pt>
                <c:pt idx="10">
                  <c:v>0.7</c:v>
                </c:pt>
                <c:pt idx="11">
                  <c:v>0.5</c:v>
                </c:pt>
                <c:pt idx="12">
                  <c:v>0.7</c:v>
                </c:pt>
                <c:pt idx="13">
                  <c:v>0.7</c:v>
                </c:pt>
              </c:numCache>
            </c:numRef>
          </c:val>
          <c:extLst>
            <c:ext xmlns:c16="http://schemas.microsoft.com/office/drawing/2014/chart" uri="{C3380CC4-5D6E-409C-BE32-E72D297353CC}">
              <c16:uniqueId val="{00000005-6A27-4AD4-A6DB-E1A0826964F8}"/>
            </c:ext>
          </c:extLst>
        </c:ser>
        <c:ser>
          <c:idx val="6"/>
          <c:order val="6"/>
          <c:tx>
            <c:strRef>
              <c:f>'[podjetniški dohodek po stroških in prihodkih.xlsx]List1'!$B$10</c:f>
              <c:strCache>
                <c:ptCount val="1"/>
                <c:pt idx="0">
                  <c:v>Seme in sadike</c:v>
                </c:pt>
              </c:strCache>
            </c:strRef>
          </c:tx>
          <c:spPr>
            <a:solidFill>
              <a:schemeClr val="bg2">
                <a:lumMod val="50000"/>
              </a:schemeClr>
            </a:solid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prihodkih.xlsx]List1'!$C$10:$P$10</c:f>
              <c:numCache>
                <c:formatCode>#.#00</c:formatCode>
                <c:ptCount val="14"/>
                <c:pt idx="0">
                  <c:v>-29</c:v>
                </c:pt>
                <c:pt idx="1">
                  <c:v>-27.9</c:v>
                </c:pt>
                <c:pt idx="2">
                  <c:v>-29.9</c:v>
                </c:pt>
                <c:pt idx="3">
                  <c:v>-31.1</c:v>
                </c:pt>
                <c:pt idx="4">
                  <c:v>-31</c:v>
                </c:pt>
                <c:pt idx="5">
                  <c:v>-29.8</c:v>
                </c:pt>
                <c:pt idx="6">
                  <c:v>-31.6</c:v>
                </c:pt>
                <c:pt idx="7">
                  <c:v>-32.4</c:v>
                </c:pt>
                <c:pt idx="8">
                  <c:v>-35.700000000000003</c:v>
                </c:pt>
                <c:pt idx="9">
                  <c:v>-35.4</c:v>
                </c:pt>
                <c:pt idx="10">
                  <c:v>-36.299999999999997</c:v>
                </c:pt>
                <c:pt idx="11">
                  <c:v>-34.700000000000003</c:v>
                </c:pt>
                <c:pt idx="12">
                  <c:v>-34.700000000000003</c:v>
                </c:pt>
                <c:pt idx="13">
                  <c:v>-33.4</c:v>
                </c:pt>
              </c:numCache>
            </c:numRef>
          </c:val>
          <c:extLst>
            <c:ext xmlns:c16="http://schemas.microsoft.com/office/drawing/2014/chart" uri="{C3380CC4-5D6E-409C-BE32-E72D297353CC}">
              <c16:uniqueId val="{00000006-6A27-4AD4-A6DB-E1A0826964F8}"/>
            </c:ext>
          </c:extLst>
        </c:ser>
        <c:ser>
          <c:idx val="7"/>
          <c:order val="7"/>
          <c:tx>
            <c:strRef>
              <c:f>'[podjetniški dohodek po stroških in prihodkih.xlsx]List1'!$B$11</c:f>
              <c:strCache>
                <c:ptCount val="1"/>
                <c:pt idx="0">
                  <c:v>Energija, maziva</c:v>
                </c:pt>
              </c:strCache>
            </c:strRef>
          </c:tx>
          <c:spPr>
            <a:pattFill prst="ltUpDiag">
              <a:fgClr>
                <a:schemeClr val="accent3">
                  <a:lumMod val="50000"/>
                </a:schemeClr>
              </a:fgClr>
              <a:bgClr>
                <a:schemeClr val="bg1"/>
              </a:bgClr>
            </a:patt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prihodkih.xlsx]List1'!$C$11:$P$11</c:f>
              <c:numCache>
                <c:formatCode>#.#00</c:formatCode>
                <c:ptCount val="14"/>
                <c:pt idx="0">
                  <c:v>-80.2</c:v>
                </c:pt>
                <c:pt idx="1">
                  <c:v>-83.3</c:v>
                </c:pt>
                <c:pt idx="2">
                  <c:v>-86.8</c:v>
                </c:pt>
                <c:pt idx="3">
                  <c:v>-101.1</c:v>
                </c:pt>
                <c:pt idx="4">
                  <c:v>-88.6</c:v>
                </c:pt>
                <c:pt idx="5">
                  <c:v>-101.4</c:v>
                </c:pt>
                <c:pt idx="6">
                  <c:v>-110.1</c:v>
                </c:pt>
                <c:pt idx="7">
                  <c:v>-117.5</c:v>
                </c:pt>
                <c:pt idx="8">
                  <c:v>-118.6</c:v>
                </c:pt>
                <c:pt idx="9">
                  <c:v>-115.8</c:v>
                </c:pt>
                <c:pt idx="10">
                  <c:v>-99.9</c:v>
                </c:pt>
                <c:pt idx="11">
                  <c:v>-91.9</c:v>
                </c:pt>
                <c:pt idx="12">
                  <c:v>-101.1</c:v>
                </c:pt>
                <c:pt idx="13">
                  <c:v>-109.7</c:v>
                </c:pt>
              </c:numCache>
            </c:numRef>
          </c:val>
          <c:extLst>
            <c:ext xmlns:c16="http://schemas.microsoft.com/office/drawing/2014/chart" uri="{C3380CC4-5D6E-409C-BE32-E72D297353CC}">
              <c16:uniqueId val="{00000007-6A27-4AD4-A6DB-E1A0826964F8}"/>
            </c:ext>
          </c:extLst>
        </c:ser>
        <c:ser>
          <c:idx val="8"/>
          <c:order val="8"/>
          <c:tx>
            <c:strRef>
              <c:f>'[podjetniški dohodek po stroških in prihodkih.xlsx]List1'!$B$12</c:f>
              <c:strCache>
                <c:ptCount val="1"/>
                <c:pt idx="0">
                  <c:v>Gnojila in sredstva za izboljšavo tal</c:v>
                </c:pt>
              </c:strCache>
            </c:strRef>
          </c:tx>
          <c:spPr>
            <a:solidFill>
              <a:schemeClr val="accent3">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prihodkih.xlsx]List1'!$C$12:$P$12</c:f>
              <c:numCache>
                <c:formatCode>#.#00</c:formatCode>
                <c:ptCount val="14"/>
                <c:pt idx="0">
                  <c:v>-32.700000000000003</c:v>
                </c:pt>
                <c:pt idx="1">
                  <c:v>-34.200000000000003</c:v>
                </c:pt>
                <c:pt idx="2">
                  <c:v>-35.1</c:v>
                </c:pt>
                <c:pt idx="3">
                  <c:v>-68.7</c:v>
                </c:pt>
                <c:pt idx="4">
                  <c:v>-43.8</c:v>
                </c:pt>
                <c:pt idx="5">
                  <c:v>-49.3</c:v>
                </c:pt>
                <c:pt idx="6">
                  <c:v>-57.1</c:v>
                </c:pt>
                <c:pt idx="7">
                  <c:v>-58.9</c:v>
                </c:pt>
                <c:pt idx="8">
                  <c:v>-54.6</c:v>
                </c:pt>
                <c:pt idx="9">
                  <c:v>-52.9</c:v>
                </c:pt>
                <c:pt idx="10">
                  <c:v>-57.2</c:v>
                </c:pt>
                <c:pt idx="11">
                  <c:v>-48.6</c:v>
                </c:pt>
                <c:pt idx="12">
                  <c:v>-42.8</c:v>
                </c:pt>
                <c:pt idx="13">
                  <c:v>-45.1</c:v>
                </c:pt>
              </c:numCache>
            </c:numRef>
          </c:val>
          <c:extLst>
            <c:ext xmlns:c16="http://schemas.microsoft.com/office/drawing/2014/chart" uri="{C3380CC4-5D6E-409C-BE32-E72D297353CC}">
              <c16:uniqueId val="{00000008-6A27-4AD4-A6DB-E1A0826964F8}"/>
            </c:ext>
          </c:extLst>
        </c:ser>
        <c:ser>
          <c:idx val="9"/>
          <c:order val="9"/>
          <c:tx>
            <c:strRef>
              <c:f>'[podjetniški dohodek po stroških in prihodkih.xlsx]List1'!$B$13</c:f>
              <c:strCache>
                <c:ptCount val="1"/>
                <c:pt idx="0">
                  <c:v>Varstvo rastlin in živali</c:v>
                </c:pt>
              </c:strCache>
            </c:strRef>
          </c:tx>
          <c:spPr>
            <a:solidFill>
              <a:schemeClr val="accent4">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prihodkih.xlsx]List1'!$C$13:$P$13</c:f>
              <c:numCache>
                <c:formatCode>#.#00</c:formatCode>
                <c:ptCount val="14"/>
                <c:pt idx="0">
                  <c:v>-44.4</c:v>
                </c:pt>
                <c:pt idx="1">
                  <c:v>-47.1</c:v>
                </c:pt>
                <c:pt idx="2">
                  <c:v>-47.4</c:v>
                </c:pt>
                <c:pt idx="3">
                  <c:v>-50.6</c:v>
                </c:pt>
                <c:pt idx="4">
                  <c:v>-51.6</c:v>
                </c:pt>
                <c:pt idx="5">
                  <c:v>-50.2</c:v>
                </c:pt>
                <c:pt idx="6">
                  <c:v>-47.2</c:v>
                </c:pt>
                <c:pt idx="7">
                  <c:v>-48</c:v>
                </c:pt>
                <c:pt idx="8">
                  <c:v>-48</c:v>
                </c:pt>
                <c:pt idx="9">
                  <c:v>-50.3</c:v>
                </c:pt>
                <c:pt idx="10">
                  <c:v>-50.4</c:v>
                </c:pt>
                <c:pt idx="11">
                  <c:v>-53.3</c:v>
                </c:pt>
                <c:pt idx="12">
                  <c:v>-55.9</c:v>
                </c:pt>
                <c:pt idx="13">
                  <c:v>-55.8</c:v>
                </c:pt>
              </c:numCache>
            </c:numRef>
          </c:val>
          <c:extLst>
            <c:ext xmlns:c16="http://schemas.microsoft.com/office/drawing/2014/chart" uri="{C3380CC4-5D6E-409C-BE32-E72D297353CC}">
              <c16:uniqueId val="{00000009-6A27-4AD4-A6DB-E1A0826964F8}"/>
            </c:ext>
          </c:extLst>
        </c:ser>
        <c:ser>
          <c:idx val="10"/>
          <c:order val="10"/>
          <c:tx>
            <c:strRef>
              <c:f>'[podjetniški dohodek po stroških in prihodkih.xlsx]List1'!$B$14</c:f>
              <c:strCache>
                <c:ptCount val="1"/>
                <c:pt idx="0">
                  <c:v>Krma</c:v>
                </c:pt>
              </c:strCache>
            </c:strRef>
          </c:tx>
          <c:spPr>
            <a:pattFill prst="pct75">
              <a:fgClr>
                <a:schemeClr val="accent1">
                  <a:lumMod val="50000"/>
                </a:schemeClr>
              </a:fgClr>
              <a:bgClr>
                <a:schemeClr val="bg1"/>
              </a:bgClr>
            </a:patt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prihodkih.xlsx]List1'!$C$14:$P$14</c:f>
              <c:numCache>
                <c:formatCode>#.#00</c:formatCode>
                <c:ptCount val="14"/>
                <c:pt idx="0">
                  <c:v>-306.60000000000002</c:v>
                </c:pt>
                <c:pt idx="1">
                  <c:v>-315</c:v>
                </c:pt>
                <c:pt idx="2">
                  <c:v>-399.7</c:v>
                </c:pt>
                <c:pt idx="3">
                  <c:v>-420.4</c:v>
                </c:pt>
                <c:pt idx="4">
                  <c:v>-343.9</c:v>
                </c:pt>
                <c:pt idx="5">
                  <c:v>-359.4</c:v>
                </c:pt>
                <c:pt idx="6">
                  <c:v>-400.7</c:v>
                </c:pt>
                <c:pt idx="7">
                  <c:v>-397.1</c:v>
                </c:pt>
                <c:pt idx="8">
                  <c:v>-386.7</c:v>
                </c:pt>
                <c:pt idx="9">
                  <c:v>-383.6</c:v>
                </c:pt>
                <c:pt idx="10">
                  <c:v>-385.9</c:v>
                </c:pt>
                <c:pt idx="11">
                  <c:v>-394.5</c:v>
                </c:pt>
                <c:pt idx="12">
                  <c:v>-373.4</c:v>
                </c:pt>
                <c:pt idx="13">
                  <c:v>-382.9</c:v>
                </c:pt>
              </c:numCache>
            </c:numRef>
          </c:val>
          <c:extLst>
            <c:ext xmlns:c16="http://schemas.microsoft.com/office/drawing/2014/chart" uri="{C3380CC4-5D6E-409C-BE32-E72D297353CC}">
              <c16:uniqueId val="{0000000A-6A27-4AD4-A6DB-E1A0826964F8}"/>
            </c:ext>
          </c:extLst>
        </c:ser>
        <c:ser>
          <c:idx val="11"/>
          <c:order val="11"/>
          <c:tx>
            <c:strRef>
              <c:f>'[podjetniški dohodek po stroških in prihodkih.xlsx]List1'!$B$15</c:f>
              <c:strCache>
                <c:ptCount val="1"/>
                <c:pt idx="0">
                  <c:v>Vzdrževanje zgradb, strojev in opreme</c:v>
                </c:pt>
              </c:strCache>
            </c:strRef>
          </c:tx>
          <c:spPr>
            <a:solidFill>
              <a:schemeClr val="accent6">
                <a:lumMod val="6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prihodkih.xlsx]List1'!$C$15:$P$15</c:f>
              <c:numCache>
                <c:formatCode>#.#00</c:formatCode>
                <c:ptCount val="14"/>
                <c:pt idx="0">
                  <c:v>-35.299999999999997</c:v>
                </c:pt>
                <c:pt idx="1">
                  <c:v>-36.700000000000003</c:v>
                </c:pt>
                <c:pt idx="2">
                  <c:v>-42.8</c:v>
                </c:pt>
                <c:pt idx="3">
                  <c:v>-44.9</c:v>
                </c:pt>
                <c:pt idx="4">
                  <c:v>-47.3</c:v>
                </c:pt>
                <c:pt idx="5">
                  <c:v>-47.1</c:v>
                </c:pt>
                <c:pt idx="6">
                  <c:v>-47.2</c:v>
                </c:pt>
                <c:pt idx="7">
                  <c:v>-48.4</c:v>
                </c:pt>
                <c:pt idx="8">
                  <c:v>-49.5</c:v>
                </c:pt>
                <c:pt idx="9">
                  <c:v>-50.5</c:v>
                </c:pt>
                <c:pt idx="10">
                  <c:v>-52</c:v>
                </c:pt>
                <c:pt idx="11">
                  <c:v>-52.9</c:v>
                </c:pt>
                <c:pt idx="12">
                  <c:v>-54.4</c:v>
                </c:pt>
                <c:pt idx="13">
                  <c:v>-57.4</c:v>
                </c:pt>
              </c:numCache>
            </c:numRef>
          </c:val>
          <c:extLst>
            <c:ext xmlns:c16="http://schemas.microsoft.com/office/drawing/2014/chart" uri="{C3380CC4-5D6E-409C-BE32-E72D297353CC}">
              <c16:uniqueId val="{0000000B-6A27-4AD4-A6DB-E1A0826964F8}"/>
            </c:ext>
          </c:extLst>
        </c:ser>
        <c:ser>
          <c:idx val="12"/>
          <c:order val="12"/>
          <c:tx>
            <c:strRef>
              <c:f>'[podjetniški dohodek po stroških in prihodkih.xlsx]List1'!$B$16</c:f>
              <c:strCache>
                <c:ptCount val="1"/>
                <c:pt idx="0">
                  <c:v>Drugi proizvodi in storitve</c:v>
                </c:pt>
              </c:strCache>
            </c:strRef>
          </c:tx>
          <c:spPr>
            <a:solidFill>
              <a:schemeClr val="accent1">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prihodkih.xlsx]List1'!$C$16:$P$16</c:f>
              <c:numCache>
                <c:formatCode>#.#00</c:formatCode>
                <c:ptCount val="14"/>
                <c:pt idx="0">
                  <c:v>-57.3</c:v>
                </c:pt>
                <c:pt idx="1">
                  <c:v>-55</c:v>
                </c:pt>
                <c:pt idx="2">
                  <c:v>-55.9</c:v>
                </c:pt>
                <c:pt idx="3">
                  <c:v>-57.7</c:v>
                </c:pt>
                <c:pt idx="4">
                  <c:v>-60.5</c:v>
                </c:pt>
                <c:pt idx="5">
                  <c:v>-62.2</c:v>
                </c:pt>
                <c:pt idx="6">
                  <c:v>-62.8</c:v>
                </c:pt>
                <c:pt idx="7">
                  <c:v>-60.8</c:v>
                </c:pt>
                <c:pt idx="8">
                  <c:v>-59.8</c:v>
                </c:pt>
                <c:pt idx="9">
                  <c:v>-62.8</c:v>
                </c:pt>
                <c:pt idx="10">
                  <c:v>-64.099999999999994</c:v>
                </c:pt>
                <c:pt idx="11">
                  <c:v>-61.5</c:v>
                </c:pt>
                <c:pt idx="12">
                  <c:v>-60.6</c:v>
                </c:pt>
                <c:pt idx="13">
                  <c:v>-66</c:v>
                </c:pt>
              </c:numCache>
            </c:numRef>
          </c:val>
          <c:extLst>
            <c:ext xmlns:c16="http://schemas.microsoft.com/office/drawing/2014/chart" uri="{C3380CC4-5D6E-409C-BE32-E72D297353CC}">
              <c16:uniqueId val="{0000000C-6A27-4AD4-A6DB-E1A0826964F8}"/>
            </c:ext>
          </c:extLst>
        </c:ser>
        <c:ser>
          <c:idx val="13"/>
          <c:order val="13"/>
          <c:tx>
            <c:strRef>
              <c:f>'[podjetniški dohodek po stroških in prihodkih.xlsx]List1'!$B$17</c:f>
              <c:strCache>
                <c:ptCount val="1"/>
                <c:pt idx="0">
                  <c:v>Potrošnja stalnega kapitala</c:v>
                </c:pt>
              </c:strCache>
            </c:strRef>
          </c:tx>
          <c:spPr>
            <a:solidFill>
              <a:schemeClr val="accent2">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prihodkih.xlsx]List1'!$C$17:$P$17</c:f>
              <c:numCache>
                <c:formatCode>#.#00</c:formatCode>
                <c:ptCount val="14"/>
                <c:pt idx="0">
                  <c:v>-205.1</c:v>
                </c:pt>
                <c:pt idx="1">
                  <c:v>-213</c:v>
                </c:pt>
                <c:pt idx="2">
                  <c:v>-224.3</c:v>
                </c:pt>
                <c:pt idx="3">
                  <c:v>-237</c:v>
                </c:pt>
                <c:pt idx="4">
                  <c:v>-245.5</c:v>
                </c:pt>
                <c:pt idx="5">
                  <c:v>-241.5</c:v>
                </c:pt>
                <c:pt idx="6">
                  <c:v>-243.1</c:v>
                </c:pt>
                <c:pt idx="7">
                  <c:v>-245.6</c:v>
                </c:pt>
                <c:pt idx="8">
                  <c:v>-250.5</c:v>
                </c:pt>
                <c:pt idx="9">
                  <c:v>-256.5</c:v>
                </c:pt>
                <c:pt idx="10">
                  <c:v>-258.10000000000002</c:v>
                </c:pt>
                <c:pt idx="11">
                  <c:v>-259.7</c:v>
                </c:pt>
                <c:pt idx="12">
                  <c:v>-262.10000000000002</c:v>
                </c:pt>
                <c:pt idx="13">
                  <c:v>-267.3</c:v>
                </c:pt>
              </c:numCache>
            </c:numRef>
          </c:val>
          <c:extLst>
            <c:ext xmlns:c16="http://schemas.microsoft.com/office/drawing/2014/chart" uri="{C3380CC4-5D6E-409C-BE32-E72D297353CC}">
              <c16:uniqueId val="{0000000D-6A27-4AD4-A6DB-E1A0826964F8}"/>
            </c:ext>
          </c:extLst>
        </c:ser>
        <c:ser>
          <c:idx val="14"/>
          <c:order val="14"/>
          <c:tx>
            <c:strRef>
              <c:f>'[podjetniški dohodek po stroških in prihodkih.xlsx]List1'!$B$18</c:f>
              <c:strCache>
                <c:ptCount val="1"/>
                <c:pt idx="0">
                  <c:v>Sredstva za zaposlene</c:v>
                </c:pt>
              </c:strCache>
            </c:strRef>
          </c:tx>
          <c:spPr>
            <a:solidFill>
              <a:schemeClr val="accent3">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prihodkih.xlsx]List1'!$C$18:$P$18</c:f>
              <c:numCache>
                <c:formatCode>#.#00</c:formatCode>
                <c:ptCount val="14"/>
                <c:pt idx="0">
                  <c:v>-78</c:v>
                </c:pt>
                <c:pt idx="1">
                  <c:v>-78.599999999999994</c:v>
                </c:pt>
                <c:pt idx="2">
                  <c:v>-73.5</c:v>
                </c:pt>
                <c:pt idx="3">
                  <c:v>-75.5</c:v>
                </c:pt>
                <c:pt idx="4">
                  <c:v>-76.400000000000006</c:v>
                </c:pt>
                <c:pt idx="5">
                  <c:v>-88.2</c:v>
                </c:pt>
                <c:pt idx="6">
                  <c:v>-83.3</c:v>
                </c:pt>
                <c:pt idx="7">
                  <c:v>-74.599999999999994</c:v>
                </c:pt>
                <c:pt idx="8">
                  <c:v>-71.3</c:v>
                </c:pt>
                <c:pt idx="9">
                  <c:v>-74</c:v>
                </c:pt>
                <c:pt idx="10">
                  <c:v>-74.099999999999994</c:v>
                </c:pt>
                <c:pt idx="11">
                  <c:v>-86.2</c:v>
                </c:pt>
                <c:pt idx="12">
                  <c:v>-91</c:v>
                </c:pt>
                <c:pt idx="13">
                  <c:v>-94.2</c:v>
                </c:pt>
              </c:numCache>
            </c:numRef>
          </c:val>
          <c:extLst>
            <c:ext xmlns:c16="http://schemas.microsoft.com/office/drawing/2014/chart" uri="{C3380CC4-5D6E-409C-BE32-E72D297353CC}">
              <c16:uniqueId val="{0000000E-6A27-4AD4-A6DB-E1A0826964F8}"/>
            </c:ext>
          </c:extLst>
        </c:ser>
        <c:ser>
          <c:idx val="15"/>
          <c:order val="15"/>
          <c:tx>
            <c:strRef>
              <c:f>'[podjetniški dohodek po stroških in prihodkih.xlsx]List1'!$B$19</c:f>
              <c:strCache>
                <c:ptCount val="1"/>
                <c:pt idx="0">
                  <c:v>Drugi davki na proizvodnjo</c:v>
                </c:pt>
              </c:strCache>
            </c:strRef>
          </c:tx>
          <c:spPr>
            <a:solidFill>
              <a:schemeClr val="accent4">
                <a:lumMod val="80000"/>
                <a:lumOff val="20000"/>
              </a:schemeClr>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prihodkih.xlsx]List1'!$C$19:$P$19</c:f>
              <c:numCache>
                <c:formatCode>#.#00</c:formatCode>
                <c:ptCount val="14"/>
                <c:pt idx="0">
                  <c:v>-20.7</c:v>
                </c:pt>
                <c:pt idx="1">
                  <c:v>-18.3</c:v>
                </c:pt>
                <c:pt idx="2">
                  <c:v>-21.4</c:v>
                </c:pt>
                <c:pt idx="3">
                  <c:v>-21.1</c:v>
                </c:pt>
                <c:pt idx="4">
                  <c:v>-14.8</c:v>
                </c:pt>
                <c:pt idx="5">
                  <c:v>-4.4000000000000004</c:v>
                </c:pt>
                <c:pt idx="6">
                  <c:v>-2.9</c:v>
                </c:pt>
                <c:pt idx="7">
                  <c:v>-4.5</c:v>
                </c:pt>
                <c:pt idx="8">
                  <c:v>-5.7</c:v>
                </c:pt>
                <c:pt idx="9">
                  <c:v>-6.6</c:v>
                </c:pt>
                <c:pt idx="10">
                  <c:v>-5.8</c:v>
                </c:pt>
                <c:pt idx="11">
                  <c:v>-4.3</c:v>
                </c:pt>
                <c:pt idx="12">
                  <c:v>-5.4</c:v>
                </c:pt>
                <c:pt idx="13">
                  <c:v>-5.5</c:v>
                </c:pt>
              </c:numCache>
            </c:numRef>
          </c:val>
          <c:extLst>
            <c:ext xmlns:c16="http://schemas.microsoft.com/office/drawing/2014/chart" uri="{C3380CC4-5D6E-409C-BE32-E72D297353CC}">
              <c16:uniqueId val="{0000000F-6A27-4AD4-A6DB-E1A0826964F8}"/>
            </c:ext>
          </c:extLst>
        </c:ser>
        <c:ser>
          <c:idx val="16"/>
          <c:order val="16"/>
          <c:tx>
            <c:strRef>
              <c:f>'[podjetniški dohodek po stroških in prihodkih.xlsx]List1'!$B$20</c:f>
              <c:strCache>
                <c:ptCount val="1"/>
                <c:pt idx="0">
                  <c:v>Plačane rente</c:v>
                </c:pt>
              </c:strCache>
            </c:strRef>
          </c:tx>
          <c:spPr>
            <a:pattFill prst="pct30">
              <a:fgClr>
                <a:schemeClr val="accent3">
                  <a:lumMod val="50000"/>
                </a:schemeClr>
              </a:fgClr>
              <a:bgClr>
                <a:schemeClr val="bg1"/>
              </a:bgClr>
            </a:pattFill>
            <a:ln>
              <a:solidFill>
                <a:schemeClr val="accent1"/>
              </a:solid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prihodkih.xlsx]List1'!$C$20:$P$20</c:f>
              <c:numCache>
                <c:formatCode>#.#00</c:formatCode>
                <c:ptCount val="14"/>
                <c:pt idx="0">
                  <c:v>-8.1</c:v>
                </c:pt>
                <c:pt idx="1">
                  <c:v>-7.9</c:v>
                </c:pt>
                <c:pt idx="2">
                  <c:v>-9.1999999999999993</c:v>
                </c:pt>
                <c:pt idx="3">
                  <c:v>-11.1</c:v>
                </c:pt>
                <c:pt idx="4">
                  <c:v>-11.6</c:v>
                </c:pt>
                <c:pt idx="5">
                  <c:v>-13.5</c:v>
                </c:pt>
                <c:pt idx="6">
                  <c:v>-14.9</c:v>
                </c:pt>
                <c:pt idx="7">
                  <c:v>-15.7</c:v>
                </c:pt>
                <c:pt idx="8">
                  <c:v>-16.3</c:v>
                </c:pt>
                <c:pt idx="9">
                  <c:v>-19.7</c:v>
                </c:pt>
                <c:pt idx="10">
                  <c:v>-19.3</c:v>
                </c:pt>
                <c:pt idx="11">
                  <c:v>-20.8</c:v>
                </c:pt>
                <c:pt idx="12">
                  <c:v>-19.2</c:v>
                </c:pt>
                <c:pt idx="13">
                  <c:v>-19.5</c:v>
                </c:pt>
              </c:numCache>
            </c:numRef>
          </c:val>
          <c:extLst>
            <c:ext xmlns:c16="http://schemas.microsoft.com/office/drawing/2014/chart" uri="{C3380CC4-5D6E-409C-BE32-E72D297353CC}">
              <c16:uniqueId val="{00000010-6A27-4AD4-A6DB-E1A0826964F8}"/>
            </c:ext>
          </c:extLst>
        </c:ser>
        <c:ser>
          <c:idx val="17"/>
          <c:order val="17"/>
          <c:tx>
            <c:strRef>
              <c:f>'[podjetniški dohodek po stroških in prihodkih.xlsx]List1'!$B$21</c:f>
              <c:strCache>
                <c:ptCount val="1"/>
                <c:pt idx="0">
                  <c:v>Plačane obresti</c:v>
                </c:pt>
              </c:strCache>
            </c:strRef>
          </c:tx>
          <c:spPr>
            <a:solidFill>
              <a:srgbClr val="FFFF00"/>
            </a:solidFill>
            <a:ln>
              <a:noFill/>
            </a:ln>
            <a:effectLst/>
          </c:spPr>
          <c:invertIfNegative val="0"/>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prihodkih.xlsx]List1'!$C$21:$P$21</c:f>
              <c:numCache>
                <c:formatCode>#.#00</c:formatCode>
                <c:ptCount val="14"/>
                <c:pt idx="0">
                  <c:v>-13.6</c:v>
                </c:pt>
                <c:pt idx="1">
                  <c:v>-11.7</c:v>
                </c:pt>
                <c:pt idx="2">
                  <c:v>-11.3</c:v>
                </c:pt>
                <c:pt idx="3">
                  <c:v>-9.3000000000000007</c:v>
                </c:pt>
                <c:pt idx="4">
                  <c:v>-7.5</c:v>
                </c:pt>
                <c:pt idx="5">
                  <c:v>-7.6</c:v>
                </c:pt>
                <c:pt idx="6">
                  <c:v>-6.6</c:v>
                </c:pt>
                <c:pt idx="7">
                  <c:v>-8.9</c:v>
                </c:pt>
                <c:pt idx="8">
                  <c:v>-6.6</c:v>
                </c:pt>
                <c:pt idx="9">
                  <c:v>-8.9</c:v>
                </c:pt>
                <c:pt idx="10">
                  <c:v>-6.7</c:v>
                </c:pt>
                <c:pt idx="11">
                  <c:v>-3.6</c:v>
                </c:pt>
                <c:pt idx="12">
                  <c:v>-3.6</c:v>
                </c:pt>
                <c:pt idx="13">
                  <c:v>-2.7</c:v>
                </c:pt>
              </c:numCache>
            </c:numRef>
          </c:val>
          <c:extLst>
            <c:ext xmlns:c16="http://schemas.microsoft.com/office/drawing/2014/chart" uri="{C3380CC4-5D6E-409C-BE32-E72D297353CC}">
              <c16:uniqueId val="{00000011-6A27-4AD4-A6DB-E1A0826964F8}"/>
            </c:ext>
          </c:extLst>
        </c:ser>
        <c:dLbls>
          <c:showLegendKey val="0"/>
          <c:showVal val="0"/>
          <c:showCatName val="0"/>
          <c:showSerName val="0"/>
          <c:showPercent val="0"/>
          <c:showBubbleSize val="0"/>
        </c:dLbls>
        <c:gapWidth val="150"/>
        <c:overlap val="100"/>
        <c:axId val="136424064"/>
        <c:axId val="136426624"/>
      </c:barChart>
      <c:lineChart>
        <c:grouping val="standard"/>
        <c:varyColors val="0"/>
        <c:ser>
          <c:idx val="18"/>
          <c:order val="18"/>
          <c:tx>
            <c:strRef>
              <c:f>'[podjetniški dohodek po stroških in prihodkih.xlsx]List1'!$B$22</c:f>
              <c:strCache>
                <c:ptCount val="1"/>
                <c:pt idx="0">
                  <c:v>Podjetniški dohodek</c:v>
                </c:pt>
              </c:strCache>
            </c:strRef>
          </c:tx>
          <c:spPr>
            <a:ln w="28575" cap="rnd">
              <a:solidFill>
                <a:schemeClr val="accent1">
                  <a:lumMod val="80000"/>
                </a:schemeClr>
              </a:solidFill>
              <a:round/>
            </a:ln>
            <a:effectLst/>
          </c:spPr>
          <c:marker>
            <c:symbol val="circle"/>
            <c:size val="5"/>
            <c:spPr>
              <a:solidFill>
                <a:srgbClr val="FFFF00"/>
              </a:solidFill>
              <a:ln w="9525">
                <a:solidFill>
                  <a:schemeClr val="accent1">
                    <a:lumMod val="80000"/>
                  </a:schemeClr>
                </a:solidFill>
              </a:ln>
              <a:effectLst/>
            </c:spPr>
          </c:marker>
          <c:cat>
            <c:strRef>
              <c:f>'[podjetniški dohodek po stroških in prihodkih.xlsx]List1'!$C$3:$P$3</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'[podjetniški dohodek po stroških in prihodkih.xlsx]List1'!$C$22:$P$22</c:f>
              <c:numCache>
                <c:formatCode>#.#00</c:formatCode>
                <c:ptCount val="14"/>
                <c:pt idx="0">
                  <c:v>282.89999999999998</c:v>
                </c:pt>
                <c:pt idx="1">
                  <c:v>278.39999999999998</c:v>
                </c:pt>
                <c:pt idx="2">
                  <c:v>317.7</c:v>
                </c:pt>
                <c:pt idx="3">
                  <c:v>278.39999999999998</c:v>
                </c:pt>
                <c:pt idx="4">
                  <c:v>266.89999999999998</c:v>
                </c:pt>
                <c:pt idx="5">
                  <c:v>289.7</c:v>
                </c:pt>
                <c:pt idx="6">
                  <c:v>363.2</c:v>
                </c:pt>
                <c:pt idx="7">
                  <c:v>290.39999999999998</c:v>
                </c:pt>
                <c:pt idx="8">
                  <c:v>312</c:v>
                </c:pt>
                <c:pt idx="9">
                  <c:v>356.8</c:v>
                </c:pt>
                <c:pt idx="10">
                  <c:v>409</c:v>
                </c:pt>
                <c:pt idx="11">
                  <c:v>354.8</c:v>
                </c:pt>
                <c:pt idx="12">
                  <c:v>319.8</c:v>
                </c:pt>
                <c:pt idx="13">
                  <c:v>479.9</c:v>
                </c:pt>
              </c:numCache>
            </c:numRef>
          </c:val>
          <c:smooth val="0"/>
          <c:extLst>
            <c:ext xmlns:c16="http://schemas.microsoft.com/office/drawing/2014/chart" uri="{C3380CC4-5D6E-409C-BE32-E72D297353CC}">
              <c16:uniqueId val="{00000012-6A27-4AD4-A6DB-E1A0826964F8}"/>
            </c:ext>
          </c:extLst>
        </c:ser>
        <c:dLbls>
          <c:showLegendKey val="0"/>
          <c:showVal val="0"/>
          <c:showCatName val="0"/>
          <c:showSerName val="0"/>
          <c:showPercent val="0"/>
          <c:showBubbleSize val="0"/>
        </c:dLbls>
        <c:marker val="1"/>
        <c:smooth val="0"/>
        <c:axId val="136434048"/>
        <c:axId val="136428160"/>
      </c:lineChart>
      <c:dateAx>
        <c:axId val="1364240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sl-SI" sz="900" b="1"/>
                  <a:t>Stroški</a:t>
                </a:r>
              </a:p>
            </c:rich>
          </c:tx>
          <c:layout>
            <c:manualLayout>
              <c:xMode val="edge"/>
              <c:yMode val="edge"/>
              <c:x val="1.440525318183682E-2"/>
              <c:y val="0.568338516508965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in"/>
        <c:minorTickMark val="none"/>
        <c:tickLblPos val="low"/>
        <c:spPr>
          <a:solidFill>
            <a:schemeClr val="bg1"/>
          </a:solid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ln>
                  <a:noFill/>
                </a:ln>
                <a:solidFill>
                  <a:schemeClr val="tx1">
                    <a:lumMod val="65000"/>
                    <a:lumOff val="35000"/>
                  </a:schemeClr>
                </a:solidFill>
                <a:latin typeface="+mn-lt"/>
                <a:ea typeface="+mn-ea"/>
                <a:cs typeface="+mn-cs"/>
              </a:defRPr>
            </a:pPr>
            <a:endParaRPr lang="sl-SI"/>
          </a:p>
        </c:txPr>
        <c:crossAx val="136426624"/>
        <c:crosses val="autoZero"/>
        <c:auto val="0"/>
        <c:lblOffset val="100"/>
        <c:baseTimeUnit val="days"/>
      </c:dateAx>
      <c:valAx>
        <c:axId val="136426624"/>
        <c:scaling>
          <c:orientation val="minMax"/>
          <c:max val="1700"/>
          <c:min val="-1200"/>
        </c:scaling>
        <c:delete val="0"/>
        <c:axPos val="l"/>
        <c:majorGridlines>
          <c:spPr>
            <a:ln w="9525" cap="flat" cmpd="sng" algn="ctr">
              <a:solidFill>
                <a:schemeClr val="tx1">
                  <a:lumMod val="15000"/>
                  <a:lumOff val="85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6424064"/>
        <c:crosses val="autoZero"/>
        <c:crossBetween val="between"/>
      </c:valAx>
      <c:valAx>
        <c:axId val="136428160"/>
        <c:scaling>
          <c:orientation val="minMax"/>
          <c:max val="1500"/>
          <c:min val="-1500"/>
        </c:scaling>
        <c:delete val="1"/>
        <c:axPos val="r"/>
        <c:numFmt formatCode="General" sourceLinked="0"/>
        <c:majorTickMark val="out"/>
        <c:minorTickMark val="none"/>
        <c:tickLblPos val="nextTo"/>
        <c:crossAx val="136434048"/>
        <c:crosses val="max"/>
        <c:crossBetween val="between"/>
      </c:valAx>
      <c:dateAx>
        <c:axId val="13643404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Prihodki</a:t>
                </a:r>
              </a:p>
            </c:rich>
          </c:tx>
          <c:layout>
            <c:manualLayout>
              <c:xMode val="edge"/>
              <c:yMode val="edge"/>
              <c:x val="9.4142768544759441E-3"/>
              <c:y val="0.168466221134122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crossAx val="136428160"/>
        <c:crosses val="autoZero"/>
        <c:auto val="0"/>
        <c:lblOffset val="100"/>
        <c:baseTimeUnit val="days"/>
      </c:dateAx>
      <c:spPr>
        <a:noFill/>
        <a:ln>
          <a:noFill/>
        </a:ln>
        <a:effectLst/>
      </c:spPr>
    </c:plotArea>
    <c:legend>
      <c:legendPos val="b"/>
      <c:layout>
        <c:manualLayout>
          <c:xMode val="edge"/>
          <c:yMode val="edge"/>
          <c:x val="1.7608766002953521E-2"/>
          <c:y val="0.71781428555998417"/>
          <c:w val="0.96765285394223466"/>
          <c:h val="0.27381255530927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b="0"/>
            </a:pPr>
            <a:r>
              <a:rPr lang="sl-SI" sz="900" b="0"/>
              <a:t>D</a:t>
            </a:r>
            <a:r>
              <a:rPr lang="en-US" sz="900" b="0"/>
              <a:t>elež</a:t>
            </a:r>
            <a:r>
              <a:rPr lang="sl-SI" sz="900" b="0"/>
              <a:t> vmesne potrošnje v kmetijski proizvodnji, Slovenija in EU-28, v %, v stalnih cenah (2005=100)</a:t>
            </a:r>
            <a:endParaRPr lang="en-US" sz="900" b="0"/>
          </a:p>
        </c:rich>
      </c:tx>
      <c:overlay val="0"/>
      <c:spPr>
        <a:noFill/>
        <a:ln w="25400">
          <a:noFill/>
        </a:ln>
      </c:spPr>
    </c:title>
    <c:autoTitleDeleted val="0"/>
    <c:plotArea>
      <c:layout>
        <c:manualLayout>
          <c:layoutTarget val="inner"/>
          <c:xMode val="edge"/>
          <c:yMode val="edge"/>
          <c:x val="6.1854329392376603E-2"/>
          <c:y val="0.23641084824004616"/>
          <c:w val="0.76850288398002409"/>
          <c:h val="0.63466975023967354"/>
        </c:manualLayout>
      </c:layout>
      <c:lineChart>
        <c:grouping val="standard"/>
        <c:varyColors val="0"/>
        <c:ser>
          <c:idx val="0"/>
          <c:order val="0"/>
          <c:tx>
            <c:strRef>
              <c:f>'po stalnih cenah (2005=100)'!$A$84</c:f>
              <c:strCache>
                <c:ptCount val="1"/>
                <c:pt idx="0">
                  <c:v>EU-28</c:v>
                </c:pt>
              </c:strCache>
            </c:strRef>
          </c:tx>
          <c:spPr>
            <a:ln w="28575" cap="rnd">
              <a:solidFill>
                <a:schemeClr val="accent1"/>
              </a:solidFill>
              <a:round/>
            </a:ln>
            <a:effectLst/>
          </c:spPr>
          <c:marker>
            <c:symbol val="none"/>
          </c:marker>
          <c:cat>
            <c:strRef>
              <c:f>'po stalnih cenah (2005=100)'!$B$83:$M$83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'po stalnih cenah (2005=100)'!$B$84:$M$84</c:f>
              <c:numCache>
                <c:formatCode>0%</c:formatCode>
                <c:ptCount val="12"/>
                <c:pt idx="0">
                  <c:v>0.54152505852305022</c:v>
                </c:pt>
                <c:pt idx="1">
                  <c:v>0.5451432194426219</c:v>
                </c:pt>
                <c:pt idx="2">
                  <c:v>0.5478963647317775</c:v>
                </c:pt>
                <c:pt idx="3">
                  <c:v>0.53430157835890024</c:v>
                </c:pt>
                <c:pt idx="4">
                  <c:v>0.53159960194907052</c:v>
                </c:pt>
                <c:pt idx="5">
                  <c:v>0.53783951398094443</c:v>
                </c:pt>
                <c:pt idx="6">
                  <c:v>0.53671999614124066</c:v>
                </c:pt>
                <c:pt idx="7">
                  <c:v>0.54754901472452611</c:v>
                </c:pt>
                <c:pt idx="8">
                  <c:v>0.54316667963999166</c:v>
                </c:pt>
                <c:pt idx="9">
                  <c:v>0.52965005626058226</c:v>
                </c:pt>
                <c:pt idx="10">
                  <c:v>0.53340278728762069</c:v>
                </c:pt>
                <c:pt idx="11">
                  <c:v>0.533606977264792</c:v>
                </c:pt>
              </c:numCache>
            </c:numRef>
          </c:val>
          <c:smooth val="0"/>
          <c:extLst>
            <c:ext xmlns:c16="http://schemas.microsoft.com/office/drawing/2014/chart" uri="{C3380CC4-5D6E-409C-BE32-E72D297353CC}">
              <c16:uniqueId val="{00000000-F617-4C84-97A0-7C1478545F3C}"/>
            </c:ext>
          </c:extLst>
        </c:ser>
        <c:ser>
          <c:idx val="1"/>
          <c:order val="1"/>
          <c:tx>
            <c:strRef>
              <c:f>'po stalnih cenah (2005=100)'!$A$108</c:f>
              <c:strCache>
                <c:ptCount val="1"/>
                <c:pt idx="0">
                  <c:v>Slovenija</c:v>
                </c:pt>
              </c:strCache>
            </c:strRef>
          </c:tx>
          <c:spPr>
            <a:ln w="28575" cap="rnd">
              <a:solidFill>
                <a:schemeClr val="accent2"/>
              </a:solidFill>
              <a:round/>
            </a:ln>
            <a:effectLst/>
          </c:spPr>
          <c:marker>
            <c:symbol val="none"/>
          </c:marker>
          <c:cat>
            <c:strRef>
              <c:f>'po stalnih cenah (2005=100)'!$B$83:$M$83</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'po stalnih cenah (2005=100)'!$B$108:$M$108</c:f>
              <c:numCache>
                <c:formatCode>0%</c:formatCode>
                <c:ptCount val="12"/>
                <c:pt idx="0">
                  <c:v>0.5530793782696557</c:v>
                </c:pt>
                <c:pt idx="1">
                  <c:v>0.59149096385542166</c:v>
                </c:pt>
                <c:pt idx="2">
                  <c:v>0.59413090339016261</c:v>
                </c:pt>
                <c:pt idx="3">
                  <c:v>0.61888984251811341</c:v>
                </c:pt>
                <c:pt idx="4">
                  <c:v>0.57526356697291581</c:v>
                </c:pt>
                <c:pt idx="5">
                  <c:v>0.56197349013551912</c:v>
                </c:pt>
                <c:pt idx="6">
                  <c:v>0.52928625507605476</c:v>
                </c:pt>
                <c:pt idx="7">
                  <c:v>0.56179602083172764</c:v>
                </c:pt>
                <c:pt idx="8">
                  <c:v>0.5529806526911164</c:v>
                </c:pt>
                <c:pt idx="9">
                  <c:v>0.53390575281579866</c:v>
                </c:pt>
                <c:pt idx="10">
                  <c:v>0.53805247677113976</c:v>
                </c:pt>
                <c:pt idx="11">
                  <c:v>0.5642649375833233</c:v>
                </c:pt>
              </c:numCache>
            </c:numRef>
          </c:val>
          <c:smooth val="0"/>
          <c:extLst>
            <c:ext xmlns:c16="http://schemas.microsoft.com/office/drawing/2014/chart" uri="{C3380CC4-5D6E-409C-BE32-E72D297353CC}">
              <c16:uniqueId val="{00000001-F617-4C84-97A0-7C1478545F3C}"/>
            </c:ext>
          </c:extLst>
        </c:ser>
        <c:dLbls>
          <c:showLegendKey val="0"/>
          <c:showVal val="0"/>
          <c:showCatName val="0"/>
          <c:showSerName val="0"/>
          <c:showPercent val="0"/>
          <c:showBubbleSize val="0"/>
        </c:dLbls>
        <c:smooth val="0"/>
        <c:axId val="136465024"/>
        <c:axId val="136466816"/>
      </c:lineChart>
      <c:catAx>
        <c:axId val="136465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36466816"/>
        <c:crosses val="autoZero"/>
        <c:auto val="1"/>
        <c:lblAlgn val="ctr"/>
        <c:lblOffset val="100"/>
        <c:noMultiLvlLbl val="0"/>
      </c:catAx>
      <c:valAx>
        <c:axId val="136466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36465024"/>
        <c:crosses val="autoZero"/>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r"/>
      <c:layout>
        <c:manualLayout>
          <c:xMode val="edge"/>
          <c:yMode val="edge"/>
          <c:x val="0.2817899016384236"/>
          <c:y val="0.77709356584321942"/>
          <c:w val="0.33401221995926678"/>
          <c:h val="7.4074427565241185E-2"/>
        </c:manualLayout>
      </c:layout>
      <c:overlay val="0"/>
      <c:spPr>
        <a:noFill/>
        <a:ln w="25400">
          <a:noFill/>
        </a:ln>
      </c:spPr>
      <c:txPr>
        <a:bodyPr rot="0" vert="horz"/>
        <a:lstStyle/>
        <a:p>
          <a:pPr>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sl-SI" sz="900" b="0" i="0" baseline="0">
                <a:effectLst/>
              </a:rPr>
              <a:t>Delež vmesne potrošnje v kmetijski proizvodnji, EU, leto </a:t>
            </a:r>
            <a:r>
              <a:rPr lang="en-US" sz="900" b="0" i="0" baseline="0">
                <a:effectLst/>
              </a:rPr>
              <a:t>201</a:t>
            </a:r>
            <a:r>
              <a:rPr lang="sl-SI" sz="900" b="0" i="0" baseline="0">
                <a:effectLst/>
              </a:rPr>
              <a:t>9, v tekočih cenah</a:t>
            </a:r>
            <a:endParaRPr lang="sl-SI" sz="900">
              <a:effectLst/>
            </a:endParaRPr>
          </a:p>
        </c:rich>
      </c:tx>
      <c:layout>
        <c:manualLayout>
          <c:xMode val="edge"/>
          <c:yMode val="edge"/>
          <c:x val="0.10536659352007227"/>
          <c:y val="7.7300324896573862E-3"/>
        </c:manualLayout>
      </c:layout>
      <c:overlay val="0"/>
    </c:title>
    <c:autoTitleDeleted val="0"/>
    <c:plotArea>
      <c:layout>
        <c:manualLayout>
          <c:layoutTarget val="inner"/>
          <c:xMode val="edge"/>
          <c:yMode val="edge"/>
          <c:x val="0.20256658491459059"/>
          <c:y val="6.7793919377099138E-2"/>
          <c:w val="0.74612882406092684"/>
          <c:h val="0.88104532146247672"/>
        </c:manualLayout>
      </c:layout>
      <c:barChart>
        <c:barDir val="bar"/>
        <c:grouping val="clustered"/>
        <c:varyColors val="0"/>
        <c:ser>
          <c:idx val="0"/>
          <c:order val="0"/>
          <c:tx>
            <c:strRef>
              <c:f>'[vmesna potrošnja_EU države_tekoče cene aact_eaa01.xls]po tekočih cenah'!$B$148</c:f>
              <c:strCache>
                <c:ptCount val="1"/>
                <c:pt idx="0">
                  <c:v>2019</c:v>
                </c:pt>
              </c:strCache>
            </c:strRef>
          </c:tx>
          <c:spPr>
            <a:solidFill>
              <a:srgbClr val="0070C0"/>
            </a:solidFill>
            <a:ln w="25400">
              <a:noFill/>
            </a:ln>
          </c:spPr>
          <c:invertIfNegative val="0"/>
          <c:dPt>
            <c:idx val="9"/>
            <c:invertIfNegative val="0"/>
            <c:bubble3D val="0"/>
            <c:spPr>
              <a:solidFill>
                <a:srgbClr val="C00000"/>
              </a:solidFill>
              <a:ln w="25400">
                <a:noFill/>
              </a:ln>
            </c:spPr>
            <c:extLst>
              <c:ext xmlns:c16="http://schemas.microsoft.com/office/drawing/2014/chart" uri="{C3380CC4-5D6E-409C-BE32-E72D297353CC}">
                <c16:uniqueId val="{00000001-56F2-468F-B71A-8EC570C7651A}"/>
              </c:ext>
            </c:extLst>
          </c:dPt>
          <c:dPt>
            <c:idx val="10"/>
            <c:invertIfNegative val="0"/>
            <c:bubble3D val="0"/>
            <c:spPr>
              <a:solidFill>
                <a:srgbClr val="FFC000"/>
              </a:solidFill>
              <a:ln w="25400">
                <a:noFill/>
              </a:ln>
            </c:spPr>
            <c:extLst>
              <c:ext xmlns:c16="http://schemas.microsoft.com/office/drawing/2014/chart" uri="{C3380CC4-5D6E-409C-BE32-E72D297353CC}">
                <c16:uniqueId val="{00000003-56F2-468F-B71A-8EC570C7651A}"/>
              </c:ext>
            </c:extLst>
          </c:dPt>
          <c:dPt>
            <c:idx val="11"/>
            <c:invertIfNegative val="0"/>
            <c:bubble3D val="0"/>
            <c:spPr>
              <a:solidFill>
                <a:srgbClr val="FFC000"/>
              </a:solidFill>
              <a:ln w="25400">
                <a:noFill/>
              </a:ln>
            </c:spPr>
            <c:extLst>
              <c:ext xmlns:c16="http://schemas.microsoft.com/office/drawing/2014/chart" uri="{C3380CC4-5D6E-409C-BE32-E72D297353CC}">
                <c16:uniqueId val="{00000005-56F2-468F-B71A-8EC570C7651A}"/>
              </c:ext>
            </c:extLst>
          </c:dPt>
          <c:cat>
            <c:strRef>
              <c:f>'[vmesna potrošnja_EU države_tekoče cene aact_eaa01.xls]po tekočih cenah'!$A$149:$A$178</c:f>
              <c:strCache>
                <c:ptCount val="30"/>
                <c:pt idx="0">
                  <c:v>Italija</c:v>
                </c:pt>
                <c:pt idx="1">
                  <c:v>Španija</c:v>
                </c:pt>
                <c:pt idx="2">
                  <c:v>Grčija</c:v>
                </c:pt>
                <c:pt idx="3">
                  <c:v>Malta</c:v>
                </c:pt>
                <c:pt idx="4">
                  <c:v>Ciper</c:v>
                </c:pt>
                <c:pt idx="5">
                  <c:v>Romunija</c:v>
                </c:pt>
                <c:pt idx="6">
                  <c:v>Hrvaška</c:v>
                </c:pt>
                <c:pt idx="7">
                  <c:v>Bolgarija</c:v>
                </c:pt>
                <c:pt idx="8">
                  <c:v>Avstrija</c:v>
                </c:pt>
                <c:pt idx="9">
                  <c:v>Slovenija</c:v>
                </c:pt>
                <c:pt idx="10">
                  <c:v>EU-27 (od 2020)</c:v>
                </c:pt>
                <c:pt idx="11">
                  <c:v>EU-28</c:v>
                </c:pt>
                <c:pt idx="12">
                  <c:v>Francija</c:v>
                </c:pt>
                <c:pt idx="13">
                  <c:v>Litva</c:v>
                </c:pt>
                <c:pt idx="14">
                  <c:v>Madžarska</c:v>
                </c:pt>
                <c:pt idx="15">
                  <c:v>Portugalska</c:v>
                </c:pt>
                <c:pt idx="16">
                  <c:v>Poljska</c:v>
                </c:pt>
                <c:pt idx="17">
                  <c:v>Nizozemska</c:v>
                </c:pt>
                <c:pt idx="18">
                  <c:v>Velika Britanija</c:v>
                </c:pt>
                <c:pt idx="19">
                  <c:v>Nemčija</c:v>
                </c:pt>
                <c:pt idx="20">
                  <c:v>Estonija</c:v>
                </c:pt>
                <c:pt idx="21">
                  <c:v>Latvija</c:v>
                </c:pt>
                <c:pt idx="22">
                  <c:v>Irska</c:v>
                </c:pt>
                <c:pt idx="23">
                  <c:v>Ćeška</c:v>
                </c:pt>
                <c:pt idx="24">
                  <c:v>Danska</c:v>
                </c:pt>
                <c:pt idx="25">
                  <c:v>Švedska</c:v>
                </c:pt>
                <c:pt idx="26">
                  <c:v>Finska</c:v>
                </c:pt>
                <c:pt idx="27">
                  <c:v>Luksemburg</c:v>
                </c:pt>
                <c:pt idx="28">
                  <c:v>Belgija</c:v>
                </c:pt>
                <c:pt idx="29">
                  <c:v>Slovaška</c:v>
                </c:pt>
              </c:strCache>
            </c:strRef>
          </c:cat>
          <c:val>
            <c:numRef>
              <c:f>'[vmesna potrošnja_EU države_tekoče cene aact_eaa01.xls]po tekočih cenah'!$B$149:$B$178</c:f>
              <c:numCache>
                <c:formatCode>0%</c:formatCode>
                <c:ptCount val="30"/>
                <c:pt idx="0">
                  <c:v>0.43775287507436073</c:v>
                </c:pt>
                <c:pt idx="1">
                  <c:v>0.47576636214719986</c:v>
                </c:pt>
                <c:pt idx="2">
                  <c:v>0.4987374071117549</c:v>
                </c:pt>
                <c:pt idx="3">
                  <c:v>0.5125997808733761</c:v>
                </c:pt>
                <c:pt idx="4">
                  <c:v>0.51576008524068351</c:v>
                </c:pt>
                <c:pt idx="5">
                  <c:v>0.53052150278204868</c:v>
                </c:pt>
                <c:pt idx="6">
                  <c:v>0.53916925348518929</c:v>
                </c:pt>
                <c:pt idx="7">
                  <c:v>0.55029990665390704</c:v>
                </c:pt>
                <c:pt idx="8">
                  <c:v>0.56460191204387533</c:v>
                </c:pt>
                <c:pt idx="9">
                  <c:v>0.56734733581257524</c:v>
                </c:pt>
                <c:pt idx="10">
                  <c:v>0.57003377673647615</c:v>
                </c:pt>
                <c:pt idx="11">
                  <c:v>0.57403355020913382</c:v>
                </c:pt>
                <c:pt idx="12">
                  <c:v>0.58671102826426214</c:v>
                </c:pt>
                <c:pt idx="13">
                  <c:v>0.58680758128808586</c:v>
                </c:pt>
                <c:pt idx="14">
                  <c:v>0.59192128430864843</c:v>
                </c:pt>
                <c:pt idx="15">
                  <c:v>0.60307481239423033</c:v>
                </c:pt>
                <c:pt idx="16">
                  <c:v>0.60572825214860615</c:v>
                </c:pt>
                <c:pt idx="17">
                  <c:v>0.60993499993400646</c:v>
                </c:pt>
                <c:pt idx="18">
                  <c:v>0.62670490466988216</c:v>
                </c:pt>
                <c:pt idx="19">
                  <c:v>0.62945492800847946</c:v>
                </c:pt>
                <c:pt idx="20">
                  <c:v>0.66158018685815778</c:v>
                </c:pt>
                <c:pt idx="21">
                  <c:v>0.6639118630829024</c:v>
                </c:pt>
                <c:pt idx="22">
                  <c:v>0.66397337581775018</c:v>
                </c:pt>
                <c:pt idx="23">
                  <c:v>0.6910344776294236</c:v>
                </c:pt>
                <c:pt idx="24">
                  <c:v>0.69911936662501839</c:v>
                </c:pt>
                <c:pt idx="25">
                  <c:v>0.72306902289571251</c:v>
                </c:pt>
                <c:pt idx="26">
                  <c:v>0.72445453127368675</c:v>
                </c:pt>
                <c:pt idx="27">
                  <c:v>0.72769430532368762</c:v>
                </c:pt>
                <c:pt idx="28">
                  <c:v>0.73773010017512808</c:v>
                </c:pt>
                <c:pt idx="29">
                  <c:v>0.77477785828269674</c:v>
                </c:pt>
              </c:numCache>
            </c:numRef>
          </c:val>
          <c:extLst>
            <c:ext xmlns:c16="http://schemas.microsoft.com/office/drawing/2014/chart" uri="{C3380CC4-5D6E-409C-BE32-E72D297353CC}">
              <c16:uniqueId val="{00000006-56F2-468F-B71A-8EC570C7651A}"/>
            </c:ext>
          </c:extLst>
        </c:ser>
        <c:dLbls>
          <c:showLegendKey val="0"/>
          <c:showVal val="0"/>
          <c:showCatName val="0"/>
          <c:showSerName val="0"/>
          <c:showPercent val="0"/>
          <c:showBubbleSize val="0"/>
        </c:dLbls>
        <c:gapWidth val="182"/>
        <c:axId val="136498176"/>
        <c:axId val="136499968"/>
      </c:barChart>
      <c:catAx>
        <c:axId val="13649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36499968"/>
        <c:crosses val="autoZero"/>
        <c:auto val="1"/>
        <c:lblAlgn val="ctr"/>
        <c:lblOffset val="100"/>
        <c:noMultiLvlLbl val="0"/>
      </c:catAx>
      <c:valAx>
        <c:axId val="136499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364981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sl-SI" sz="900" b="0">
                <a:solidFill>
                  <a:sysClr val="windowText" lastClr="000000"/>
                </a:solidFill>
              </a:rPr>
              <a:t>Indeksi</a:t>
            </a:r>
            <a:r>
              <a:rPr lang="sl-SI" sz="900" b="0" baseline="0">
                <a:solidFill>
                  <a:sysClr val="windowText" lastClr="000000"/>
                </a:solidFill>
              </a:rPr>
              <a:t> obsega kmetijske proizvodnje in vmesne potrošnje v Sloveniji in EU-28, 2005-2019 (2005=100)</a:t>
            </a:r>
            <a:endParaRPr lang="en-US" sz="900" b="0">
              <a:solidFill>
                <a:sysClr val="windowText" lastClr="000000"/>
              </a:solidFill>
            </a:endParaRPr>
          </a:p>
        </c:rich>
      </c:tx>
      <c:layout>
        <c:manualLayout>
          <c:xMode val="edge"/>
          <c:yMode val="edge"/>
          <c:x val="0.11713535808023999"/>
          <c:y val="2.5196850393700784E-2"/>
        </c:manualLayout>
      </c:layout>
      <c:overlay val="0"/>
      <c:spPr>
        <a:noFill/>
        <a:ln w="25400">
          <a:noFill/>
        </a:ln>
      </c:spPr>
    </c:title>
    <c:autoTitleDeleted val="0"/>
    <c:plotArea>
      <c:layout>
        <c:manualLayout>
          <c:layoutTarget val="inner"/>
          <c:xMode val="edge"/>
          <c:yMode val="edge"/>
          <c:x val="8.1383462318128222E-2"/>
          <c:y val="0.14954954954954952"/>
          <c:w val="0.89617671720043568"/>
          <c:h val="0.60975909151191598"/>
        </c:manualLayout>
      </c:layout>
      <c:lineChart>
        <c:grouping val="standard"/>
        <c:varyColors val="0"/>
        <c:ser>
          <c:idx val="0"/>
          <c:order val="0"/>
          <c:tx>
            <c:strRef>
              <c:f>'[vmesna potrošnja_EU države_tekoče cene aact_eaa01.xls]indeksi obseg vmesne potrošnje'!$A$80</c:f>
              <c:strCache>
                <c:ptCount val="1"/>
                <c:pt idx="0">
                  <c:v>Indeks obsega kmetijske proizvodnje EU-28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potrošnje'!$B$80:$P$80</c:f>
              <c:numCache>
                <c:formatCode>###,000</c:formatCode>
                <c:ptCount val="15"/>
                <c:pt idx="0">
                  <c:v>100</c:v>
                </c:pt>
                <c:pt idx="1">
                  <c:v>98.93</c:v>
                </c:pt>
                <c:pt idx="2">
                  <c:v>99.69</c:v>
                </c:pt>
                <c:pt idx="3">
                  <c:v>102.67</c:v>
                </c:pt>
                <c:pt idx="4">
                  <c:v>102.81</c:v>
                </c:pt>
                <c:pt idx="5">
                  <c:v>102.07</c:v>
                </c:pt>
                <c:pt idx="6">
                  <c:v>104.45</c:v>
                </c:pt>
                <c:pt idx="7">
                  <c:v>101.3</c:v>
                </c:pt>
                <c:pt idx="8">
                  <c:v>103.62</c:v>
                </c:pt>
                <c:pt idx="9">
                  <c:v>108.34</c:v>
                </c:pt>
                <c:pt idx="10">
                  <c:v>107.78</c:v>
                </c:pt>
                <c:pt idx="11">
                  <c:v>108.38</c:v>
                </c:pt>
                <c:pt idx="12">
                  <c:v>109.43</c:v>
                </c:pt>
                <c:pt idx="13">
                  <c:v>110.13</c:v>
                </c:pt>
                <c:pt idx="14">
                  <c:v>110.62</c:v>
                </c:pt>
              </c:numCache>
            </c:numRef>
          </c:val>
          <c:smooth val="0"/>
          <c:extLst>
            <c:ext xmlns:c16="http://schemas.microsoft.com/office/drawing/2014/chart" uri="{C3380CC4-5D6E-409C-BE32-E72D297353CC}">
              <c16:uniqueId val="{00000000-D291-468D-96CB-C362E8D5B290}"/>
            </c:ext>
          </c:extLst>
        </c:ser>
        <c:ser>
          <c:idx val="1"/>
          <c:order val="1"/>
          <c:tx>
            <c:strRef>
              <c:f>'[vmesna potrošnja_EU države_tekoče cene aact_eaa01.xls]indeksi obseg vmesne potrošnje'!$A$82</c:f>
              <c:strCache>
                <c:ptCount val="1"/>
                <c:pt idx="0">
                  <c:v>Indeks obsega kmetijske proizvodnje Slovenija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potrošnje'!$B$82:$P$82</c:f>
              <c:numCache>
                <c:formatCode>###,000</c:formatCode>
                <c:ptCount val="15"/>
                <c:pt idx="0">
                  <c:v>100</c:v>
                </c:pt>
                <c:pt idx="1">
                  <c:v>92.8</c:v>
                </c:pt>
                <c:pt idx="2">
                  <c:v>96.38</c:v>
                </c:pt>
                <c:pt idx="3">
                  <c:v>94.62</c:v>
                </c:pt>
                <c:pt idx="4">
                  <c:v>94.77</c:v>
                </c:pt>
                <c:pt idx="5">
                  <c:v>95.39</c:v>
                </c:pt>
                <c:pt idx="6">
                  <c:v>96.04</c:v>
                </c:pt>
                <c:pt idx="7">
                  <c:v>85.76</c:v>
                </c:pt>
                <c:pt idx="8">
                  <c:v>84.13</c:v>
                </c:pt>
                <c:pt idx="9">
                  <c:v>93.42</c:v>
                </c:pt>
                <c:pt idx="10">
                  <c:v>99.39</c:v>
                </c:pt>
                <c:pt idx="11">
                  <c:v>96.25</c:v>
                </c:pt>
                <c:pt idx="12">
                  <c:v>87.12</c:v>
                </c:pt>
                <c:pt idx="13">
                  <c:v>110.54</c:v>
                </c:pt>
                <c:pt idx="14">
                  <c:v>103.69</c:v>
                </c:pt>
              </c:numCache>
            </c:numRef>
          </c:val>
          <c:smooth val="0"/>
          <c:extLst>
            <c:ext xmlns:c16="http://schemas.microsoft.com/office/drawing/2014/chart" uri="{C3380CC4-5D6E-409C-BE32-E72D297353CC}">
              <c16:uniqueId val="{00000001-D291-468D-96CB-C362E8D5B290}"/>
            </c:ext>
          </c:extLst>
        </c:ser>
        <c:ser>
          <c:idx val="2"/>
          <c:order val="2"/>
          <c:tx>
            <c:strRef>
              <c:f>'[vmesna potrošnja_EU države_tekoče cene aact_eaa01.xls]indeksi obseg vmesne potrošnje'!$A$81</c:f>
              <c:strCache>
                <c:ptCount val="1"/>
                <c:pt idx="0">
                  <c:v>Indeks obsega vmesne potrošnja EU-28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potrošnje'!$B$81:$P$81</c:f>
              <c:numCache>
                <c:formatCode>###,000</c:formatCode>
                <c:ptCount val="15"/>
                <c:pt idx="0">
                  <c:v>100</c:v>
                </c:pt>
                <c:pt idx="1">
                  <c:v>99.6</c:v>
                </c:pt>
                <c:pt idx="2">
                  <c:v>100.93</c:v>
                </c:pt>
                <c:pt idx="3">
                  <c:v>101.33</c:v>
                </c:pt>
                <c:pt idx="4">
                  <c:v>100.94</c:v>
                </c:pt>
                <c:pt idx="5">
                  <c:v>101.46</c:v>
                </c:pt>
                <c:pt idx="6">
                  <c:v>103.11</c:v>
                </c:pt>
                <c:pt idx="7">
                  <c:v>101.81</c:v>
                </c:pt>
                <c:pt idx="8">
                  <c:v>103.06</c:v>
                </c:pt>
                <c:pt idx="9">
                  <c:v>104.66</c:v>
                </c:pt>
                <c:pt idx="10">
                  <c:v>104.56</c:v>
                </c:pt>
                <c:pt idx="11">
                  <c:v>105.39</c:v>
                </c:pt>
                <c:pt idx="12">
                  <c:v>106.5</c:v>
                </c:pt>
                <c:pt idx="13">
                  <c:v>107.65</c:v>
                </c:pt>
                <c:pt idx="14">
                  <c:v>106.76</c:v>
                </c:pt>
              </c:numCache>
            </c:numRef>
          </c:val>
          <c:smooth val="0"/>
          <c:extLst>
            <c:ext xmlns:c16="http://schemas.microsoft.com/office/drawing/2014/chart" uri="{C3380CC4-5D6E-409C-BE32-E72D297353CC}">
              <c16:uniqueId val="{00000002-D291-468D-96CB-C362E8D5B290}"/>
            </c:ext>
          </c:extLst>
        </c:ser>
        <c:ser>
          <c:idx val="3"/>
          <c:order val="3"/>
          <c:tx>
            <c:strRef>
              <c:f>'[vmesna potrošnja_EU države_tekoče cene aact_eaa01.xls]indeksi obseg vmesne potrošnje'!$A$83</c:f>
              <c:strCache>
                <c:ptCount val="1"/>
                <c:pt idx="0">
                  <c:v>Indeks obsega vmesne potrošnje Slovenija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'[vmesna potrošnja_EU države_tekoče cene aact_eaa01.xls]indeksi obseg vmesne potrošnje'!$B$79:$P$79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'[vmesna potrošnja_EU države_tekoče cene aact_eaa01.xls]indeksi obseg vmesne potrošnje'!$B$83:$P$83</c:f>
              <c:numCache>
                <c:formatCode>###,000</c:formatCode>
                <c:ptCount val="15"/>
                <c:pt idx="0">
                  <c:v>100</c:v>
                </c:pt>
                <c:pt idx="1">
                  <c:v>99.24</c:v>
                </c:pt>
                <c:pt idx="2">
                  <c:v>103.53</c:v>
                </c:pt>
                <c:pt idx="3">
                  <c:v>105.89</c:v>
                </c:pt>
                <c:pt idx="4">
                  <c:v>98.58</c:v>
                </c:pt>
                <c:pt idx="5">
                  <c:v>96.94</c:v>
                </c:pt>
                <c:pt idx="6">
                  <c:v>91.92</c:v>
                </c:pt>
                <c:pt idx="7">
                  <c:v>87.13</c:v>
                </c:pt>
                <c:pt idx="8">
                  <c:v>84.14</c:v>
                </c:pt>
                <c:pt idx="9">
                  <c:v>90.25</c:v>
                </c:pt>
                <c:pt idx="10">
                  <c:v>94.76</c:v>
                </c:pt>
                <c:pt idx="11">
                  <c:v>92.92</c:v>
                </c:pt>
                <c:pt idx="12">
                  <c:v>90.79</c:v>
                </c:pt>
                <c:pt idx="13">
                  <c:v>90.38</c:v>
                </c:pt>
                <c:pt idx="14">
                  <c:v>90.51</c:v>
                </c:pt>
              </c:numCache>
            </c:numRef>
          </c:val>
          <c:smooth val="0"/>
          <c:extLst>
            <c:ext xmlns:c16="http://schemas.microsoft.com/office/drawing/2014/chart" uri="{C3380CC4-5D6E-409C-BE32-E72D297353CC}">
              <c16:uniqueId val="{00000003-D291-468D-96CB-C362E8D5B290}"/>
            </c:ext>
          </c:extLst>
        </c:ser>
        <c:dLbls>
          <c:showLegendKey val="0"/>
          <c:showVal val="0"/>
          <c:showCatName val="0"/>
          <c:showSerName val="0"/>
          <c:showPercent val="0"/>
          <c:showBubbleSize val="0"/>
        </c:dLbls>
        <c:marker val="1"/>
        <c:smooth val="0"/>
        <c:axId val="159997952"/>
        <c:axId val="159999872"/>
      </c:lineChart>
      <c:catAx>
        <c:axId val="159997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99872"/>
        <c:crossesAt val="80"/>
        <c:auto val="1"/>
        <c:lblAlgn val="ctr"/>
        <c:lblOffset val="100"/>
        <c:noMultiLvlLbl val="0"/>
      </c:catAx>
      <c:valAx>
        <c:axId val="159999872"/>
        <c:scaling>
          <c:orientation val="minMax"/>
          <c:max val="120"/>
          <c:min val="8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997952"/>
        <c:crosses val="autoZero"/>
        <c:crossBetween val="between"/>
        <c:majorUnit val="20"/>
        <c:minorUnit val="10"/>
      </c:valAx>
      <c:spPr>
        <a:noFill/>
        <a:ln w="25400">
          <a:noFill/>
        </a:ln>
      </c:spPr>
    </c:plotArea>
    <c:legend>
      <c:legendPos val="r"/>
      <c:layout>
        <c:manualLayout>
          <c:xMode val="edge"/>
          <c:yMode val="edge"/>
          <c:x val="9.3552542043355627E-3"/>
          <c:y val="0.84706160259379337"/>
          <c:w val="0.97565825105195181"/>
          <c:h val="0.1247061911378725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solidFill>
                  <a:schemeClr val="tx1">
                    <a:lumMod val="65000"/>
                    <a:lumOff val="35000"/>
                  </a:schemeClr>
                </a:solidFill>
              </a:defRPr>
            </a:pPr>
            <a:r>
              <a:rPr lang="sl-SI" b="0">
                <a:solidFill>
                  <a:schemeClr val="tx1">
                    <a:lumMod val="65000"/>
                    <a:lumOff val="35000"/>
                  </a:schemeClr>
                </a:solidFill>
              </a:rPr>
              <a:t>Gibanje obsega delovne sile v absolutnih vrednostih 2005-2019 </a:t>
            </a:r>
          </a:p>
          <a:p>
            <a:pPr>
              <a:defRPr b="0">
                <a:solidFill>
                  <a:schemeClr val="tx1">
                    <a:lumMod val="65000"/>
                    <a:lumOff val="35000"/>
                  </a:schemeClr>
                </a:solidFill>
              </a:defRPr>
            </a:pPr>
            <a:r>
              <a:rPr lang="sl-SI" b="0">
                <a:solidFill>
                  <a:schemeClr val="tx1">
                    <a:lumMod val="65000"/>
                    <a:lumOff val="35000"/>
                  </a:schemeClr>
                </a:solidFill>
              </a:rPr>
              <a:t>(desna os: SI, leva os: EU-27)</a:t>
            </a:r>
          </a:p>
        </c:rich>
      </c:tx>
      <c:overlay val="0"/>
      <c:spPr>
        <a:noFill/>
        <a:ln>
          <a:noFill/>
        </a:ln>
        <a:effectLst/>
      </c:spPr>
    </c:title>
    <c:autoTitleDeleted val="0"/>
    <c:plotArea>
      <c:layout>
        <c:manualLayout>
          <c:layoutTarget val="inner"/>
          <c:xMode val="edge"/>
          <c:yMode val="edge"/>
          <c:x val="0.18456640816873315"/>
          <c:y val="0.20610531671330451"/>
          <c:w val="0.71574468243454459"/>
          <c:h val="0.66914958185839801"/>
        </c:manualLayout>
      </c:layout>
      <c:lineChart>
        <c:grouping val="standard"/>
        <c:varyColors val="0"/>
        <c:ser>
          <c:idx val="0"/>
          <c:order val="0"/>
          <c:tx>
            <c:strRef>
              <c:f>'SI in EU'!$A$10</c:f>
              <c:strCache>
                <c:ptCount val="1"/>
                <c:pt idx="0">
                  <c:v>EU27_2020</c:v>
                </c:pt>
              </c:strCache>
            </c:strRef>
          </c:tx>
          <c:spPr>
            <a:ln w="28575" cap="rnd">
              <a:solidFill>
                <a:schemeClr val="accent1"/>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EU'!$B$10:$P$10</c:f>
              <c:numCache>
                <c:formatCode>###,000</c:formatCode>
                <c:ptCount val="15"/>
                <c:pt idx="0">
                  <c:v>12475.75</c:v>
                </c:pt>
                <c:pt idx="1">
                  <c:v>12208.86</c:v>
                </c:pt>
                <c:pt idx="2">
                  <c:v>11588.85</c:v>
                </c:pt>
                <c:pt idx="3">
                  <c:v>11312.44</c:v>
                </c:pt>
                <c:pt idx="4">
                  <c:v>10946.12</c:v>
                </c:pt>
                <c:pt idx="5">
                  <c:v>10056.74</c:v>
                </c:pt>
                <c:pt idx="6">
                  <c:v>9779.69</c:v>
                </c:pt>
                <c:pt idx="7">
                  <c:v>9732.3700000000008</c:v>
                </c:pt>
                <c:pt idx="8">
                  <c:v>9622.7000000000007</c:v>
                </c:pt>
                <c:pt idx="9">
                  <c:v>9432.5499999999993</c:v>
                </c:pt>
                <c:pt idx="10">
                  <c:v>9262.2199999999993</c:v>
                </c:pt>
                <c:pt idx="11">
                  <c:v>9192.82</c:v>
                </c:pt>
                <c:pt idx="12">
                  <c:v>9066.0499999999993</c:v>
                </c:pt>
                <c:pt idx="13">
                  <c:v>8958.23</c:v>
                </c:pt>
                <c:pt idx="14">
                  <c:v>8800.0499999999993</c:v>
                </c:pt>
              </c:numCache>
            </c:numRef>
          </c:val>
          <c:smooth val="0"/>
          <c:extLst>
            <c:ext xmlns:c16="http://schemas.microsoft.com/office/drawing/2014/chart" uri="{C3380CC4-5D6E-409C-BE32-E72D297353CC}">
              <c16:uniqueId val="{00000000-277C-4B59-8CE6-8BD606B7B98E}"/>
            </c:ext>
          </c:extLst>
        </c:ser>
        <c:dLbls>
          <c:showLegendKey val="0"/>
          <c:showVal val="0"/>
          <c:showCatName val="0"/>
          <c:showSerName val="0"/>
          <c:showPercent val="0"/>
          <c:showBubbleSize val="0"/>
        </c:dLbls>
        <c:marker val="1"/>
        <c:smooth val="0"/>
        <c:axId val="144630144"/>
        <c:axId val="144631680"/>
      </c:lineChart>
      <c:lineChart>
        <c:grouping val="standard"/>
        <c:varyColors val="0"/>
        <c:ser>
          <c:idx val="1"/>
          <c:order val="1"/>
          <c:tx>
            <c:strRef>
              <c:f>'SI in EU'!$A$11</c:f>
              <c:strCache>
                <c:ptCount val="1"/>
                <c:pt idx="0">
                  <c:v>SI</c:v>
                </c:pt>
              </c:strCache>
            </c:strRef>
          </c:tx>
          <c:spPr>
            <a:ln w="28575" cap="rnd">
              <a:solidFill>
                <a:srgbClr val="FF0000"/>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EU'!$B$11:$P$11</c:f>
              <c:numCache>
                <c:formatCode>###,000</c:formatCode>
                <c:ptCount val="15"/>
                <c:pt idx="0">
                  <c:v>90.04</c:v>
                </c:pt>
                <c:pt idx="1">
                  <c:v>88.67</c:v>
                </c:pt>
                <c:pt idx="2">
                  <c:v>83.95</c:v>
                </c:pt>
                <c:pt idx="3">
                  <c:v>83.19</c:v>
                </c:pt>
                <c:pt idx="4">
                  <c:v>80.19</c:v>
                </c:pt>
                <c:pt idx="5">
                  <c:v>77.010000000000005</c:v>
                </c:pt>
                <c:pt idx="6">
                  <c:v>77.989999999999995</c:v>
                </c:pt>
                <c:pt idx="7">
                  <c:v>80.790000000000006</c:v>
                </c:pt>
                <c:pt idx="8">
                  <c:v>82.75</c:v>
                </c:pt>
                <c:pt idx="9">
                  <c:v>81.8</c:v>
                </c:pt>
                <c:pt idx="10">
                  <c:v>81.37</c:v>
                </c:pt>
                <c:pt idx="11">
                  <c:v>79.97</c:v>
                </c:pt>
                <c:pt idx="12">
                  <c:v>78.75</c:v>
                </c:pt>
                <c:pt idx="13">
                  <c:v>78.02</c:v>
                </c:pt>
                <c:pt idx="14">
                  <c:v>77.599999999999994</c:v>
                </c:pt>
              </c:numCache>
            </c:numRef>
          </c:val>
          <c:smooth val="0"/>
          <c:extLst>
            <c:ext xmlns:c16="http://schemas.microsoft.com/office/drawing/2014/chart" uri="{C3380CC4-5D6E-409C-BE32-E72D297353CC}">
              <c16:uniqueId val="{00000001-277C-4B59-8CE6-8BD606B7B98E}"/>
            </c:ext>
          </c:extLst>
        </c:ser>
        <c:dLbls>
          <c:showLegendKey val="0"/>
          <c:showVal val="0"/>
          <c:showCatName val="0"/>
          <c:showSerName val="0"/>
          <c:showPercent val="0"/>
          <c:showBubbleSize val="0"/>
        </c:dLbls>
        <c:marker val="1"/>
        <c:smooth val="0"/>
        <c:axId val="144633856"/>
        <c:axId val="144635392"/>
      </c:lineChart>
      <c:catAx>
        <c:axId val="1446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lumMod val="65000"/>
                    <a:lumOff val="35000"/>
                  </a:schemeClr>
                </a:solidFill>
              </a:defRPr>
            </a:pPr>
            <a:endParaRPr lang="sl-SI"/>
          </a:p>
        </c:txPr>
        <c:crossAx val="144631680"/>
        <c:crossesAt val="0"/>
        <c:auto val="1"/>
        <c:lblAlgn val="ctr"/>
        <c:lblOffset val="100"/>
        <c:noMultiLvlLbl val="0"/>
      </c:catAx>
      <c:valAx>
        <c:axId val="14463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v 1000 PDM</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144630144"/>
        <c:crosses val="autoZero"/>
        <c:crossBetween val="between"/>
      </c:valAx>
      <c:catAx>
        <c:axId val="144633856"/>
        <c:scaling>
          <c:orientation val="minMax"/>
        </c:scaling>
        <c:delete val="1"/>
        <c:axPos val="b"/>
        <c:numFmt formatCode="General" sourceLinked="1"/>
        <c:majorTickMark val="out"/>
        <c:minorTickMark val="none"/>
        <c:tickLblPos val="nextTo"/>
        <c:crossAx val="144635392"/>
        <c:crosses val="autoZero"/>
        <c:auto val="1"/>
        <c:lblAlgn val="ctr"/>
        <c:lblOffset val="100"/>
        <c:noMultiLvlLbl val="0"/>
      </c:catAx>
      <c:valAx>
        <c:axId val="144635392"/>
        <c:scaling>
          <c:orientation val="minMax"/>
        </c:scaling>
        <c:delete val="0"/>
        <c:axPos val="r"/>
        <c:numFmt formatCode="#,##0" sourceLinked="0"/>
        <c:majorTickMark val="out"/>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144633856"/>
        <c:crosses val="max"/>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0520034830239789"/>
          <c:y val="0.69965090369911742"/>
          <c:w val="0.49439807040229611"/>
          <c:h val="7.5486550868690355E-2"/>
        </c:manualLayout>
      </c:layout>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900" b="0" i="0" baseline="0">
                <a:solidFill>
                  <a:sysClr val="windowText" lastClr="000000"/>
                </a:solidFill>
                <a:effectLst/>
              </a:rPr>
              <a:t>Razmerje med</a:t>
            </a:r>
            <a:r>
              <a:rPr lang="sl-SI" sz="900" b="0" i="0" baseline="0">
                <a:solidFill>
                  <a:sysClr val="windowText" lastClr="000000"/>
                </a:solidFill>
                <a:effectLst/>
              </a:rPr>
              <a:t> bruto dodano vrednostjo in vmesno potrošnjo, EU, 2019,  v EUR, v tekočih cenah</a:t>
            </a:r>
            <a:endParaRPr lang="sl-SI" sz="90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20594269466316711"/>
          <c:y val="9.060880829015544E-2"/>
          <c:w val="0.74138363954505682"/>
          <c:h val="0.84748875417121527"/>
        </c:manualLayout>
      </c:layout>
      <c:barChart>
        <c:barDir val="bar"/>
        <c:grouping val="clustered"/>
        <c:varyColors val="0"/>
        <c:ser>
          <c:idx val="0"/>
          <c:order val="0"/>
          <c:tx>
            <c:strRef>
              <c:f>'[vmesna potrošnja_EU države_tekoče cene aact_eaa01.xls]po tekočih cenah'!$B$220</c:f>
              <c:strCache>
                <c:ptCount val="1"/>
                <c:pt idx="0">
                  <c:v>bruto dodana vrednost / vmesna potrošnja v €</c:v>
                </c:pt>
              </c:strCache>
            </c:strRef>
          </c:tx>
          <c:spPr>
            <a:solidFill>
              <a:schemeClr val="accent1"/>
            </a:solidFill>
            <a:ln>
              <a:noFill/>
            </a:ln>
            <a:effectLst/>
          </c:spPr>
          <c:invertIfNegative val="0"/>
          <c:dPt>
            <c:idx val="9"/>
            <c:invertIfNegative val="0"/>
            <c:bubble3D val="0"/>
            <c:spPr>
              <a:solidFill>
                <a:schemeClr val="accent2"/>
              </a:solidFill>
              <a:ln>
                <a:noFill/>
              </a:ln>
              <a:effectLst/>
            </c:spPr>
            <c:extLst>
              <c:ext xmlns:c16="http://schemas.microsoft.com/office/drawing/2014/chart" uri="{C3380CC4-5D6E-409C-BE32-E72D297353CC}">
                <c16:uniqueId val="{00000001-47B4-44CD-8882-1B370B0553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'[vmesna potrošnja_EU države_tekoče cene aact_eaa01.xls]po tekočih cenah'!$A$221:$A$250</c:f>
              <c:strCache>
                <c:ptCount val="30"/>
                <c:pt idx="0">
                  <c:v>Italija</c:v>
                </c:pt>
                <c:pt idx="1">
                  <c:v>Španija</c:v>
                </c:pt>
                <c:pt idx="2">
                  <c:v>Grčija</c:v>
                </c:pt>
                <c:pt idx="3">
                  <c:v>Malta</c:v>
                </c:pt>
                <c:pt idx="4">
                  <c:v>Ciper</c:v>
                </c:pt>
                <c:pt idx="5">
                  <c:v>Romunija</c:v>
                </c:pt>
                <c:pt idx="6">
                  <c:v>Hrvaška</c:v>
                </c:pt>
                <c:pt idx="7">
                  <c:v>Bolgarija</c:v>
                </c:pt>
                <c:pt idx="8">
                  <c:v>Avstrija</c:v>
                </c:pt>
                <c:pt idx="9">
                  <c:v>Slovenija</c:v>
                </c:pt>
                <c:pt idx="10">
                  <c:v>EU-27 (od 2020)</c:v>
                </c:pt>
                <c:pt idx="11">
                  <c:v>EU-28</c:v>
                </c:pt>
                <c:pt idx="12">
                  <c:v>Francija</c:v>
                </c:pt>
                <c:pt idx="13">
                  <c:v>Litva</c:v>
                </c:pt>
                <c:pt idx="14">
                  <c:v>Madžarska</c:v>
                </c:pt>
                <c:pt idx="15">
                  <c:v>Portugalska</c:v>
                </c:pt>
                <c:pt idx="16">
                  <c:v>Poljska</c:v>
                </c:pt>
                <c:pt idx="17">
                  <c:v>Nizozemska</c:v>
                </c:pt>
                <c:pt idx="18">
                  <c:v>Velika Britanija</c:v>
                </c:pt>
                <c:pt idx="19">
                  <c:v>Nemčija</c:v>
                </c:pt>
                <c:pt idx="20">
                  <c:v>Estonija</c:v>
                </c:pt>
                <c:pt idx="21">
                  <c:v>Irska</c:v>
                </c:pt>
                <c:pt idx="22">
                  <c:v>Latvija</c:v>
                </c:pt>
                <c:pt idx="23">
                  <c:v>Češka</c:v>
                </c:pt>
                <c:pt idx="24">
                  <c:v>Danska</c:v>
                </c:pt>
                <c:pt idx="25">
                  <c:v>Finska</c:v>
                </c:pt>
                <c:pt idx="26">
                  <c:v>Švedska</c:v>
                </c:pt>
                <c:pt idx="27">
                  <c:v>Luksemburg</c:v>
                </c:pt>
                <c:pt idx="28">
                  <c:v>Belgija</c:v>
                </c:pt>
                <c:pt idx="29">
                  <c:v>Slovaška</c:v>
                </c:pt>
              </c:strCache>
            </c:strRef>
          </c:cat>
          <c:val>
            <c:numRef>
              <c:f>'[vmesna potrošnja_EU države_tekoče cene aact_eaa01.xls]po tekočih cenah'!$B$221:$B$250</c:f>
              <c:numCache>
                <c:formatCode>#.000</c:formatCode>
                <c:ptCount val="30"/>
                <c:pt idx="0">
                  <c:v>1.2843943098583122</c:v>
                </c:pt>
                <c:pt idx="1">
                  <c:v>1.1018720102170754</c:v>
                </c:pt>
                <c:pt idx="2">
                  <c:v>1.0050631569649324</c:v>
                </c:pt>
                <c:pt idx="3">
                  <c:v>0.95068702290076346</c:v>
                </c:pt>
                <c:pt idx="4">
                  <c:v>0.93888598326359829</c:v>
                </c:pt>
                <c:pt idx="5">
                  <c:v>0.88493773533402786</c:v>
                </c:pt>
                <c:pt idx="6">
                  <c:v>0.85470516639441418</c:v>
                </c:pt>
                <c:pt idx="7">
                  <c:v>0.81719093154220179</c:v>
                </c:pt>
                <c:pt idx="8">
                  <c:v>0.77115942873797727</c:v>
                </c:pt>
                <c:pt idx="9">
                  <c:v>0.76258869457413414</c:v>
                </c:pt>
                <c:pt idx="10">
                  <c:v>0.75428201066459821</c:v>
                </c:pt>
                <c:pt idx="11">
                  <c:v>0.74205845570468232</c:v>
                </c:pt>
                <c:pt idx="12">
                  <c:v>0.70441657276908587</c:v>
                </c:pt>
                <c:pt idx="13">
                  <c:v>0.70413612892479394</c:v>
                </c:pt>
                <c:pt idx="14">
                  <c:v>0.68941382327209089</c:v>
                </c:pt>
                <c:pt idx="15">
                  <c:v>0.65816906865992519</c:v>
                </c:pt>
                <c:pt idx="16">
                  <c:v>0.65090532999386208</c:v>
                </c:pt>
                <c:pt idx="17">
                  <c:v>0.6395189653130211</c:v>
                </c:pt>
                <c:pt idx="18">
                  <c:v>0.5956473174990573</c:v>
                </c:pt>
                <c:pt idx="19">
                  <c:v>0.58867609975487989</c:v>
                </c:pt>
                <c:pt idx="20">
                  <c:v>0.51153256984462758</c:v>
                </c:pt>
                <c:pt idx="21">
                  <c:v>0.50608448534310457</c:v>
                </c:pt>
                <c:pt idx="22">
                  <c:v>0.50621453917531634</c:v>
                </c:pt>
                <c:pt idx="23">
                  <c:v>0.44710579916428317</c:v>
                </c:pt>
                <c:pt idx="24">
                  <c:v>0.43037213335547314</c:v>
                </c:pt>
                <c:pt idx="25">
                  <c:v>0.38035191149444114</c:v>
                </c:pt>
                <c:pt idx="26">
                  <c:v>0.38299383369411572</c:v>
                </c:pt>
                <c:pt idx="27">
                  <c:v>0.37420341575325011</c:v>
                </c:pt>
                <c:pt idx="28">
                  <c:v>0.3555092841712873</c:v>
                </c:pt>
                <c:pt idx="29">
                  <c:v>0.29069253762170039</c:v>
                </c:pt>
              </c:numCache>
            </c:numRef>
          </c:val>
          <c:extLst>
            <c:ext xmlns:c16="http://schemas.microsoft.com/office/drawing/2014/chart" uri="{C3380CC4-5D6E-409C-BE32-E72D297353CC}">
              <c16:uniqueId val="{00000002-47B4-44CD-8882-1B370B0553B1}"/>
            </c:ext>
          </c:extLst>
        </c:ser>
        <c:dLbls>
          <c:showLegendKey val="0"/>
          <c:showVal val="0"/>
          <c:showCatName val="0"/>
          <c:showSerName val="0"/>
          <c:showPercent val="0"/>
          <c:showBubbleSize val="0"/>
        </c:dLbls>
        <c:gapWidth val="182"/>
        <c:axId val="181666176"/>
        <c:axId val="181667712"/>
      </c:barChart>
      <c:catAx>
        <c:axId val="18166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667712"/>
        <c:crosses val="autoZero"/>
        <c:auto val="1"/>
        <c:lblAlgn val="ctr"/>
        <c:lblOffset val="100"/>
        <c:noMultiLvlLbl val="0"/>
      </c:catAx>
      <c:valAx>
        <c:axId val="1816677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66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a:t>Število</a:t>
            </a:r>
            <a:r>
              <a:rPr lang="sl-SI" sz="900" baseline="0"/>
              <a:t> odobrenih vlog in celotna vrednost naložb (EUR) po točkah OMD </a:t>
            </a:r>
            <a:endParaRPr lang="sl-SI" sz="900"/>
          </a:p>
        </c:rich>
      </c:tx>
      <c:overlay val="0"/>
      <c:spPr>
        <a:noFill/>
        <a:ln w="25400">
          <a:noFill/>
        </a:ln>
      </c:spPr>
    </c:title>
    <c:autoTitleDeleted val="0"/>
    <c:plotArea>
      <c:layout/>
      <c:barChart>
        <c:barDir val="col"/>
        <c:grouping val="clustered"/>
        <c:varyColors val="0"/>
        <c:ser>
          <c:idx val="0"/>
          <c:order val="0"/>
          <c:tx>
            <c:strRef>
              <c:f>'N:\INTERNO\PROJEKTI\PREJEMNIKI_PRP\ANALIZA IZVAJANJA PRP 2014-2020\Analiza 2020\30.4.2020\4.1\Oddano_20200515\Excel\[! Select_PRPO(V)1420_M041_OsnovniPodatki.xls]analiza za SC 2'!$B$131</c:f>
              <c:strCache>
                <c:ptCount val="1"/>
                <c:pt idx="0">
                  <c:v>Št. odobrenih vlog </c:v>
                </c:pt>
              </c:strCache>
            </c:strRef>
          </c:tx>
          <c:spPr>
            <a:solidFill>
              <a:srgbClr val="5B9BD5"/>
            </a:solidFill>
            <a:ln w="25400">
              <a:noFill/>
            </a:ln>
          </c:spPr>
          <c:invertIfNegative val="0"/>
          <c:cat>
            <c:strRef>
              <c:f>'[2]analiza za SC 2'!$A$132:$A$138</c:f>
              <c:strCache>
                <c:ptCount val="7"/>
                <c:pt idx="0">
                  <c:v>0</c:v>
                </c:pt>
                <c:pt idx="1">
                  <c:v>≥1&lt;100</c:v>
                </c:pt>
                <c:pt idx="2">
                  <c:v>≥100 &lt;200</c:v>
                </c:pt>
                <c:pt idx="3">
                  <c:v>≥200&lt;300</c:v>
                </c:pt>
                <c:pt idx="4">
                  <c:v>≥300&lt;400</c:v>
                </c:pt>
                <c:pt idx="5">
                  <c:v>≥400&lt;500</c:v>
                </c:pt>
                <c:pt idx="6">
                  <c:v>≥500</c:v>
                </c:pt>
              </c:strCache>
            </c:strRef>
          </c:cat>
          <c:val>
            <c:numRef>
              <c:f>'[2]analiza za SC 2'!$B$132:$B$138</c:f>
              <c:numCache>
                <c:formatCode>General</c:formatCode>
                <c:ptCount val="7"/>
                <c:pt idx="0">
                  <c:v>215</c:v>
                </c:pt>
                <c:pt idx="1">
                  <c:v>73</c:v>
                </c:pt>
                <c:pt idx="2">
                  <c:v>175</c:v>
                </c:pt>
                <c:pt idx="3">
                  <c:v>290</c:v>
                </c:pt>
                <c:pt idx="4">
                  <c:v>293</c:v>
                </c:pt>
                <c:pt idx="5">
                  <c:v>201</c:v>
                </c:pt>
                <c:pt idx="6">
                  <c:v>188</c:v>
                </c:pt>
              </c:numCache>
            </c:numRef>
          </c:val>
          <c:extLst>
            <c:ext xmlns:c16="http://schemas.microsoft.com/office/drawing/2014/chart" uri="{C3380CC4-5D6E-409C-BE32-E72D297353CC}">
              <c16:uniqueId val="{00000000-B5EB-4D96-8CF7-4879DB308F95}"/>
            </c:ext>
          </c:extLst>
        </c:ser>
        <c:dLbls>
          <c:showLegendKey val="0"/>
          <c:showVal val="0"/>
          <c:showCatName val="0"/>
          <c:showSerName val="0"/>
          <c:showPercent val="0"/>
          <c:showBubbleSize val="0"/>
        </c:dLbls>
        <c:gapWidth val="219"/>
        <c:axId val="181707904"/>
        <c:axId val="181709440"/>
      </c:barChart>
      <c:lineChart>
        <c:grouping val="standard"/>
        <c:varyColors val="0"/>
        <c:ser>
          <c:idx val="1"/>
          <c:order val="1"/>
          <c:tx>
            <c:strRef>
              <c:f>'N:\INTERNO\PROJEKTI\PREJEMNIKI_PRP\ANALIZA IZVAJANJA PRP 2014-2020\Analiza 2020\30.4.2020\4.1\Oddano_20200515\Excel\[! Select_PRPO(V)1420_M041_OsnovniPodatki.xls]analiza za SC 2'!$C$131</c:f>
              <c:strCache>
                <c:ptCount val="1"/>
                <c:pt idx="0">
                  <c:v>Celotna vrednost naložb (EUR)</c:v>
                </c:pt>
              </c:strCache>
            </c:strRef>
          </c:tx>
          <c:spPr>
            <a:ln w="28575" cap="rnd">
              <a:solidFill>
                <a:srgbClr val="92D050"/>
              </a:solidFill>
              <a:round/>
            </a:ln>
            <a:effectLst/>
          </c:spPr>
          <c:marker>
            <c:symbol val="none"/>
          </c:marker>
          <c:cat>
            <c:strRef>
              <c:f>'[2]analiza za SC 2'!$A$132:$A$138</c:f>
              <c:strCache>
                <c:ptCount val="7"/>
                <c:pt idx="0">
                  <c:v>0</c:v>
                </c:pt>
                <c:pt idx="1">
                  <c:v>≥1&lt;100</c:v>
                </c:pt>
                <c:pt idx="2">
                  <c:v>≥100 &lt;200</c:v>
                </c:pt>
                <c:pt idx="3">
                  <c:v>≥200&lt;300</c:v>
                </c:pt>
                <c:pt idx="4">
                  <c:v>≥300&lt;400</c:v>
                </c:pt>
                <c:pt idx="5">
                  <c:v>≥400&lt;500</c:v>
                </c:pt>
                <c:pt idx="6">
                  <c:v>≥500</c:v>
                </c:pt>
              </c:strCache>
            </c:strRef>
          </c:cat>
          <c:val>
            <c:numRef>
              <c:f>'[2]analiza za SC 2'!$C$132:$C$138</c:f>
              <c:numCache>
                <c:formatCode>General</c:formatCode>
                <c:ptCount val="7"/>
                <c:pt idx="0">
                  <c:v>55932565.730000004</c:v>
                </c:pt>
                <c:pt idx="1">
                  <c:v>15813113.800000001</c:v>
                </c:pt>
                <c:pt idx="2">
                  <c:v>30112280.170000006</c:v>
                </c:pt>
                <c:pt idx="3">
                  <c:v>51886690.63000001</c:v>
                </c:pt>
                <c:pt idx="4">
                  <c:v>48585608.670000024</c:v>
                </c:pt>
                <c:pt idx="5">
                  <c:v>34190021.899999999</c:v>
                </c:pt>
                <c:pt idx="6">
                  <c:v>23051706.800000008</c:v>
                </c:pt>
              </c:numCache>
            </c:numRef>
          </c:val>
          <c:smooth val="0"/>
          <c:extLst>
            <c:ext xmlns:c16="http://schemas.microsoft.com/office/drawing/2014/chart" uri="{C3380CC4-5D6E-409C-BE32-E72D297353CC}">
              <c16:uniqueId val="{00000001-B5EB-4D96-8CF7-4879DB308F95}"/>
            </c:ext>
          </c:extLst>
        </c:ser>
        <c:dLbls>
          <c:showLegendKey val="0"/>
          <c:showVal val="0"/>
          <c:showCatName val="0"/>
          <c:showSerName val="0"/>
          <c:showPercent val="0"/>
          <c:showBubbleSize val="0"/>
        </c:dLbls>
        <c:marker val="1"/>
        <c:smooth val="0"/>
        <c:axId val="181727616"/>
        <c:axId val="181729152"/>
      </c:lineChart>
      <c:catAx>
        <c:axId val="18170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709440"/>
        <c:crosses val="autoZero"/>
        <c:auto val="1"/>
        <c:lblAlgn val="ctr"/>
        <c:lblOffset val="100"/>
        <c:noMultiLvlLbl val="0"/>
      </c:catAx>
      <c:valAx>
        <c:axId val="18170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707904"/>
        <c:crosses val="autoZero"/>
        <c:crossBetween val="between"/>
      </c:valAx>
      <c:catAx>
        <c:axId val="181727616"/>
        <c:scaling>
          <c:orientation val="minMax"/>
        </c:scaling>
        <c:delete val="1"/>
        <c:axPos val="b"/>
        <c:numFmt formatCode="General" sourceLinked="1"/>
        <c:majorTickMark val="out"/>
        <c:minorTickMark val="none"/>
        <c:tickLblPos val="nextTo"/>
        <c:crossAx val="181729152"/>
        <c:crosses val="autoZero"/>
        <c:auto val="1"/>
        <c:lblAlgn val="ctr"/>
        <c:lblOffset val="100"/>
        <c:noMultiLvlLbl val="0"/>
      </c:catAx>
      <c:valAx>
        <c:axId val="181729152"/>
        <c:scaling>
          <c:orientation val="minMax"/>
        </c:scaling>
        <c:delete val="0"/>
        <c:axPos val="r"/>
        <c:numFmt formatCode="#,##0" sourceLinked="0"/>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1727616"/>
        <c:crosses val="max"/>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r>
              <a:rPr lang="sl-SI"/>
              <a:t>Sektor govedoreja: povprečno št. ha KZU, </a:t>
            </a:r>
            <a:r>
              <a:rPr lang="sl-SI" sz="900"/>
              <a:t>povprečno</a:t>
            </a:r>
            <a:r>
              <a:rPr lang="sl-SI"/>
              <a:t> št. GVŽ, povprečno št. PDM in povprečno št. PDM/ha KZU glede na OMD</a:t>
            </a:r>
          </a:p>
        </c:rich>
      </c:tx>
      <c:layout>
        <c:manualLayout>
          <c:xMode val="edge"/>
          <c:yMode val="edge"/>
          <c:x val="0.11923958281280117"/>
          <c:y val="6.1026720574786246E-2"/>
        </c:manualLayout>
      </c:layout>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'N:\INTERNO\PROJEKTI\PREJEMNIKI_PRP\ANALIZA IZVAJANJA PRP 2014-2020\Analiza 2020\30.4.2020\4.1\Oddano_20200515\Excel\[! Select_PRPO(V)1420_M041_OsnovniPodatki.xls]analiza za SC2_2'!$G$190</c:f>
              <c:strCache>
                <c:ptCount val="1"/>
                <c:pt idx="0">
                  <c:v>KZU (ha): POVPREČJE</c:v>
                </c:pt>
              </c:strCache>
            </c:strRef>
          </c:tx>
          <c:spPr>
            <a:solidFill>
              <a:schemeClr val="accent1"/>
            </a:solidFill>
            <a:ln>
              <a:noFill/>
            </a:ln>
            <a:effectLst/>
          </c:spPr>
          <c:invertIfNegative val="0"/>
          <c:cat>
            <c:strRef>
              <c:f>'[2]analiza za SC2_2'!$H$189:$J$189</c:f>
              <c:strCache>
                <c:ptCount val="3"/>
                <c:pt idx="0">
                  <c:v>gorsko (13.1)</c:v>
                </c:pt>
                <c:pt idx="1">
                  <c:v>ne-gorsko (13.2 in 13.3)</c:v>
                </c:pt>
                <c:pt idx="2">
                  <c:v>ravnina</c:v>
                </c:pt>
              </c:strCache>
            </c:strRef>
          </c:cat>
          <c:val>
            <c:numRef>
              <c:f>'[2]analiza za SC2_2'!$H$190:$J$190</c:f>
              <c:numCache>
                <c:formatCode>General</c:formatCode>
                <c:ptCount val="3"/>
                <c:pt idx="0">
                  <c:v>38.687054166666648</c:v>
                </c:pt>
                <c:pt idx="1">
                  <c:v>50.782395890410967</c:v>
                </c:pt>
                <c:pt idx="2">
                  <c:v>60.723134210526318</c:v>
                </c:pt>
              </c:numCache>
            </c:numRef>
          </c:val>
          <c:extLst>
            <c:ext xmlns:c16="http://schemas.microsoft.com/office/drawing/2014/chart" uri="{C3380CC4-5D6E-409C-BE32-E72D297353CC}">
              <c16:uniqueId val="{00000000-6CD1-4C53-A7F0-5E9F291109DD}"/>
            </c:ext>
          </c:extLst>
        </c:ser>
        <c:ser>
          <c:idx val="1"/>
          <c:order val="1"/>
          <c:tx>
            <c:strRef>
              <c:f>'N:\INTERNO\PROJEKTI\PREJEMNIKI_PRP\ANALIZA IZVAJANJA PRP 2014-2020\Analiza 2020\30.4.2020\4.1\Oddano_20200515\Excel\[! Select_PRPO(V)1420_M041_OsnovniPodatki.xls]analiza za SC2_2'!$G$191</c:f>
              <c:strCache>
                <c:ptCount val="1"/>
                <c:pt idx="0">
                  <c:v>GVŽ: POVPREČJE</c:v>
                </c:pt>
              </c:strCache>
            </c:strRef>
          </c:tx>
          <c:spPr>
            <a:solidFill>
              <a:srgbClr val="92D050"/>
            </a:solidFill>
            <a:ln>
              <a:noFill/>
            </a:ln>
            <a:effectLst/>
          </c:spPr>
          <c:invertIfNegative val="0"/>
          <c:cat>
            <c:strRef>
              <c:f>'[2]analiza za SC2_2'!$H$189:$J$189</c:f>
              <c:strCache>
                <c:ptCount val="3"/>
                <c:pt idx="0">
                  <c:v>gorsko (13.1)</c:v>
                </c:pt>
                <c:pt idx="1">
                  <c:v>ne-gorsko (13.2 in 13.3)</c:v>
                </c:pt>
                <c:pt idx="2">
                  <c:v>ravnina</c:v>
                </c:pt>
              </c:strCache>
            </c:strRef>
          </c:cat>
          <c:val>
            <c:numRef>
              <c:f>'[2]analiza za SC2_2'!$H$191:$J$191</c:f>
              <c:numCache>
                <c:formatCode>General</c:formatCode>
                <c:ptCount val="3"/>
                <c:pt idx="0">
                  <c:v>37.445626822916687</c:v>
                </c:pt>
                <c:pt idx="1">
                  <c:v>69.990032876712334</c:v>
                </c:pt>
                <c:pt idx="2">
                  <c:v>84.149673684210512</c:v>
                </c:pt>
              </c:numCache>
            </c:numRef>
          </c:val>
          <c:extLst>
            <c:ext xmlns:c16="http://schemas.microsoft.com/office/drawing/2014/chart" uri="{C3380CC4-5D6E-409C-BE32-E72D297353CC}">
              <c16:uniqueId val="{00000001-6CD1-4C53-A7F0-5E9F291109DD}"/>
            </c:ext>
          </c:extLst>
        </c:ser>
        <c:dLbls>
          <c:showLegendKey val="0"/>
          <c:showVal val="0"/>
          <c:showCatName val="0"/>
          <c:showSerName val="0"/>
          <c:showPercent val="0"/>
          <c:showBubbleSize val="0"/>
        </c:dLbls>
        <c:gapWidth val="219"/>
        <c:axId val="182161408"/>
        <c:axId val="182162944"/>
      </c:barChart>
      <c:lineChart>
        <c:grouping val="standard"/>
        <c:varyColors val="0"/>
        <c:ser>
          <c:idx val="2"/>
          <c:order val="2"/>
          <c:tx>
            <c:strRef>
              <c:f>'N:\INTERNO\PROJEKTI\PREJEMNIKI_PRP\ANALIZA IZVAJANJA PRP 2014-2020\Analiza 2020\30.4.2020\4.1\Oddano_20200515\Excel\[! Select_PRPO(V)1420_M041_OsnovniPodatki.xls]analiza za SC2_2'!$G$192</c:f>
              <c:strCache>
                <c:ptCount val="1"/>
                <c:pt idx="0">
                  <c:v>PDM: POVPREČJE</c:v>
                </c:pt>
              </c:strCache>
            </c:strRef>
          </c:tx>
          <c:spPr>
            <a:ln w="28575" cap="rnd">
              <a:solidFill>
                <a:srgbClr val="FFC000"/>
              </a:solidFill>
              <a:round/>
            </a:ln>
            <a:effectLst/>
          </c:spPr>
          <c:marker>
            <c:symbol val="none"/>
          </c:marker>
          <c:cat>
            <c:strRef>
              <c:f>'[2]analiza za SC2_2'!$H$189:$J$189</c:f>
              <c:strCache>
                <c:ptCount val="3"/>
                <c:pt idx="0">
                  <c:v>gorsko (13.1)</c:v>
                </c:pt>
                <c:pt idx="1">
                  <c:v>ne-gorsko (13.2 in 13.3)</c:v>
                </c:pt>
                <c:pt idx="2">
                  <c:v>ravnina</c:v>
                </c:pt>
              </c:strCache>
            </c:strRef>
          </c:cat>
          <c:val>
            <c:numRef>
              <c:f>'[2]analiza za SC2_2'!$H$192:$J$192</c:f>
              <c:numCache>
                <c:formatCode>General</c:formatCode>
                <c:ptCount val="3"/>
                <c:pt idx="0">
                  <c:v>1.9804687500000018</c:v>
                </c:pt>
                <c:pt idx="1">
                  <c:v>2.1505479452054792</c:v>
                </c:pt>
                <c:pt idx="2">
                  <c:v>2.4315789473684215</c:v>
                </c:pt>
              </c:numCache>
            </c:numRef>
          </c:val>
          <c:smooth val="0"/>
          <c:extLst>
            <c:ext xmlns:c16="http://schemas.microsoft.com/office/drawing/2014/chart" uri="{C3380CC4-5D6E-409C-BE32-E72D297353CC}">
              <c16:uniqueId val="{00000002-6CD1-4C53-A7F0-5E9F291109DD}"/>
            </c:ext>
          </c:extLst>
        </c:ser>
        <c:ser>
          <c:idx val="3"/>
          <c:order val="3"/>
          <c:tx>
            <c:strRef>
              <c:f>'N:\INTERNO\PROJEKTI\PREJEMNIKI_PRP\ANALIZA IZVAJANJA PRP 2014-2020\Analiza 2020\30.4.2020\4.1\Oddano_20200515\Excel\[! Select_PRPO(V)1420_M041_OsnovniPodatki.xls]analiza za SC2_2'!$G$193</c:f>
              <c:strCache>
                <c:ptCount val="1"/>
                <c:pt idx="0">
                  <c:v>PDM/ha: POVPREČJE</c:v>
                </c:pt>
              </c:strCache>
            </c:strRef>
          </c:tx>
          <c:spPr>
            <a:ln w="28575" cap="rnd">
              <a:solidFill>
                <a:schemeClr val="accent4"/>
              </a:solidFill>
              <a:round/>
            </a:ln>
            <a:effectLst/>
          </c:spPr>
          <c:marker>
            <c:symbol val="none"/>
          </c:marker>
          <c:cat>
            <c:strRef>
              <c:f>'[2]analiza za SC2_2'!$H$189:$J$189</c:f>
              <c:strCache>
                <c:ptCount val="3"/>
                <c:pt idx="0">
                  <c:v>gorsko (13.1)</c:v>
                </c:pt>
                <c:pt idx="1">
                  <c:v>ne-gorsko (13.2 in 13.3)</c:v>
                </c:pt>
                <c:pt idx="2">
                  <c:v>ravnina</c:v>
                </c:pt>
              </c:strCache>
            </c:strRef>
          </c:cat>
          <c:val>
            <c:numRef>
              <c:f>'[2]analiza za SC2_2'!$H$193:$J$193</c:f>
              <c:numCache>
                <c:formatCode>General</c:formatCode>
                <c:ptCount val="3"/>
                <c:pt idx="0">
                  <c:v>7.0740195820138671E-2</c:v>
                </c:pt>
                <c:pt idx="1">
                  <c:v>5.4629986601525286E-2</c:v>
                </c:pt>
                <c:pt idx="2">
                  <c:v>5.3078839300565263E-2</c:v>
                </c:pt>
              </c:numCache>
            </c:numRef>
          </c:val>
          <c:smooth val="0"/>
          <c:extLst>
            <c:ext xmlns:c16="http://schemas.microsoft.com/office/drawing/2014/chart" uri="{C3380CC4-5D6E-409C-BE32-E72D297353CC}">
              <c16:uniqueId val="{00000003-6CD1-4C53-A7F0-5E9F291109DD}"/>
            </c:ext>
          </c:extLst>
        </c:ser>
        <c:dLbls>
          <c:showLegendKey val="0"/>
          <c:showVal val="0"/>
          <c:showCatName val="0"/>
          <c:showSerName val="0"/>
          <c:showPercent val="0"/>
          <c:showBubbleSize val="0"/>
        </c:dLbls>
        <c:marker val="1"/>
        <c:smooth val="0"/>
        <c:axId val="182170368"/>
        <c:axId val="182164480"/>
      </c:lineChart>
      <c:catAx>
        <c:axId val="1821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2162944"/>
        <c:crosses val="autoZero"/>
        <c:auto val="1"/>
        <c:lblAlgn val="ctr"/>
        <c:lblOffset val="100"/>
        <c:noMultiLvlLbl val="0"/>
      </c:catAx>
      <c:valAx>
        <c:axId val="18216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2161408"/>
        <c:crosses val="autoZero"/>
        <c:crossBetween val="between"/>
      </c:valAx>
      <c:valAx>
        <c:axId val="1821644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2170368"/>
        <c:crosses val="max"/>
        <c:crossBetween val="between"/>
      </c:valAx>
      <c:catAx>
        <c:axId val="182170368"/>
        <c:scaling>
          <c:orientation val="minMax"/>
        </c:scaling>
        <c:delete val="1"/>
        <c:axPos val="b"/>
        <c:numFmt formatCode="General" sourceLinked="1"/>
        <c:majorTickMark val="out"/>
        <c:minorTickMark val="none"/>
        <c:tickLblPos val="nextTo"/>
        <c:crossAx val="182164480"/>
        <c:crosses val="autoZero"/>
        <c:auto val="1"/>
        <c:lblAlgn val="ctr"/>
        <c:lblOffset val="100"/>
        <c:noMultiLvlLbl val="0"/>
      </c:catAx>
      <c:spPr>
        <a:gradFill>
          <a:gsLst>
            <a:gs pos="0">
              <a:schemeClr val="bg1">
                <a:lumMod val="95000"/>
              </a:schemeClr>
            </a:gs>
            <a:gs pos="88000">
              <a:schemeClr val="bg1">
                <a:lumMod val="95000"/>
              </a:schemeClr>
            </a:gs>
            <a:gs pos="100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a:t>Primerjava za podprte naložbe v sektorju govedoreja: povprečno št. ha KZU, povprečno število GVŽ, povprečno št. PDM in povprečno št. PDM/ha KZU glede na OMD</a:t>
            </a:r>
          </a:p>
        </c:rich>
      </c:tx>
      <c:layout>
        <c:manualLayout>
          <c:xMode val="edge"/>
          <c:yMode val="edge"/>
          <c:x val="0.10841815924962123"/>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5.2443132826315977E-2"/>
          <c:y val="0.16393518518518516"/>
          <c:w val="0.87024765980392915"/>
          <c:h val="0.6227621026538348"/>
        </c:manualLayout>
      </c:layout>
      <c:barChart>
        <c:barDir val="col"/>
        <c:grouping val="clustered"/>
        <c:varyColors val="0"/>
        <c:ser>
          <c:idx val="0"/>
          <c:order val="0"/>
          <c:tx>
            <c:strRef>
              <c:f>List1!$C$12</c:f>
              <c:strCache>
                <c:ptCount val="1"/>
                <c:pt idx="0">
                  <c:v>KZU (ha): POVPREČJE</c:v>
                </c:pt>
              </c:strCache>
            </c:strRef>
          </c:tx>
          <c:spPr>
            <a:solidFill>
              <a:schemeClr val="accent1"/>
            </a:solidFill>
            <a:ln>
              <a:noFill/>
            </a:ln>
            <a:effectLst/>
          </c:spPr>
          <c:invertIfNegative val="0"/>
          <c:cat>
            <c:strRef>
              <c:f>List1!$D$11:$F$11</c:f>
              <c:strCache>
                <c:ptCount val="3"/>
                <c:pt idx="0">
                  <c:v>gorsko (13.1)</c:v>
                </c:pt>
                <c:pt idx="1">
                  <c:v>ne-gorsko (13.2 in 13.3)</c:v>
                </c:pt>
                <c:pt idx="2">
                  <c:v>ravnina</c:v>
                </c:pt>
              </c:strCache>
            </c:strRef>
          </c:cat>
          <c:val>
            <c:numRef>
              <c:f>List1!$D$12:$F$12</c:f>
              <c:numCache>
                <c:formatCode>#,##0</c:formatCode>
                <c:ptCount val="3"/>
                <c:pt idx="0">
                  <c:v>41.062713333333335</c:v>
                </c:pt>
                <c:pt idx="1">
                  <c:v>26.582139999999999</c:v>
                </c:pt>
                <c:pt idx="2">
                  <c:v>30.722022222222222</c:v>
                </c:pt>
              </c:numCache>
            </c:numRef>
          </c:val>
          <c:extLst>
            <c:ext xmlns:c16="http://schemas.microsoft.com/office/drawing/2014/chart" uri="{C3380CC4-5D6E-409C-BE32-E72D297353CC}">
              <c16:uniqueId val="{00000000-8916-4A2E-BFD6-024278F0ECA1}"/>
            </c:ext>
          </c:extLst>
        </c:ser>
        <c:ser>
          <c:idx val="1"/>
          <c:order val="1"/>
          <c:tx>
            <c:strRef>
              <c:f>List1!$C$13</c:f>
              <c:strCache>
                <c:ptCount val="1"/>
                <c:pt idx="0">
                  <c:v>PDM: POVPREČJE</c:v>
                </c:pt>
              </c:strCache>
            </c:strRef>
          </c:tx>
          <c:spPr>
            <a:solidFill>
              <a:srgbClr val="92D050"/>
            </a:solidFill>
            <a:ln>
              <a:noFill/>
            </a:ln>
            <a:effectLst/>
          </c:spPr>
          <c:invertIfNegative val="0"/>
          <c:cat>
            <c:strRef>
              <c:f>List1!$D$11:$F$11</c:f>
              <c:strCache>
                <c:ptCount val="3"/>
                <c:pt idx="0">
                  <c:v>gorsko (13.1)</c:v>
                </c:pt>
                <c:pt idx="1">
                  <c:v>ne-gorsko (13.2 in 13.3)</c:v>
                </c:pt>
                <c:pt idx="2">
                  <c:v>ravnina</c:v>
                </c:pt>
              </c:strCache>
            </c:strRef>
          </c:cat>
          <c:val>
            <c:numRef>
              <c:f>List1!$D$13:$F$13</c:f>
              <c:numCache>
                <c:formatCode>##,#00</c:formatCode>
                <c:ptCount val="3"/>
                <c:pt idx="0">
                  <c:v>2.4506666666666672</c:v>
                </c:pt>
                <c:pt idx="1">
                  <c:v>2.1500000000000004</c:v>
                </c:pt>
                <c:pt idx="2">
                  <c:v>1.9922222222222221</c:v>
                </c:pt>
              </c:numCache>
            </c:numRef>
          </c:val>
          <c:extLst>
            <c:ext xmlns:c16="http://schemas.microsoft.com/office/drawing/2014/chart" uri="{C3380CC4-5D6E-409C-BE32-E72D297353CC}">
              <c16:uniqueId val="{00000001-8916-4A2E-BFD6-024278F0ECA1}"/>
            </c:ext>
          </c:extLst>
        </c:ser>
        <c:dLbls>
          <c:showLegendKey val="0"/>
          <c:showVal val="0"/>
          <c:showCatName val="0"/>
          <c:showSerName val="0"/>
          <c:showPercent val="0"/>
          <c:showBubbleSize val="0"/>
        </c:dLbls>
        <c:gapWidth val="219"/>
        <c:axId val="183665408"/>
        <c:axId val="183666944"/>
      </c:barChart>
      <c:lineChart>
        <c:grouping val="standard"/>
        <c:varyColors val="0"/>
        <c:ser>
          <c:idx val="2"/>
          <c:order val="2"/>
          <c:tx>
            <c:strRef>
              <c:f>List1!$C$14</c:f>
              <c:strCache>
                <c:ptCount val="1"/>
                <c:pt idx="0">
                  <c:v>PDM/HA: POVPREČJE</c:v>
                </c:pt>
              </c:strCache>
            </c:strRef>
          </c:tx>
          <c:spPr>
            <a:ln w="28575" cap="rnd">
              <a:solidFill>
                <a:srgbClr val="FFC000"/>
              </a:solidFill>
              <a:round/>
            </a:ln>
            <a:effectLst/>
          </c:spPr>
          <c:marker>
            <c:symbol val="none"/>
          </c:marker>
          <c:cat>
            <c:strRef>
              <c:f>List1!$D$11:$F$11</c:f>
              <c:strCache>
                <c:ptCount val="3"/>
                <c:pt idx="0">
                  <c:v>gorsko (13.1)</c:v>
                </c:pt>
                <c:pt idx="1">
                  <c:v>ne-gorsko (13.2 in 13.3)</c:v>
                </c:pt>
                <c:pt idx="2">
                  <c:v>ravnina</c:v>
                </c:pt>
              </c:strCache>
            </c:strRef>
          </c:cat>
          <c:val>
            <c:numRef>
              <c:f>List1!$D$14:$F$14</c:f>
              <c:numCache>
                <c:formatCode>#.000</c:formatCode>
                <c:ptCount val="3"/>
                <c:pt idx="0">
                  <c:v>9.326845019986553E-2</c:v>
                </c:pt>
                <c:pt idx="1">
                  <c:v>8.8941926343492406E-2</c:v>
                </c:pt>
                <c:pt idx="2">
                  <c:v>0.12879464125671652</c:v>
                </c:pt>
              </c:numCache>
            </c:numRef>
          </c:val>
          <c:smooth val="0"/>
          <c:extLst>
            <c:ext xmlns:c16="http://schemas.microsoft.com/office/drawing/2014/chart" uri="{C3380CC4-5D6E-409C-BE32-E72D297353CC}">
              <c16:uniqueId val="{00000002-8916-4A2E-BFD6-024278F0ECA1}"/>
            </c:ext>
          </c:extLst>
        </c:ser>
        <c:ser>
          <c:idx val="3"/>
          <c:order val="3"/>
          <c:tx>
            <c:strRef>
              <c:f>List1!$C$15</c:f>
              <c:strCache>
                <c:ptCount val="1"/>
                <c:pt idx="0">
                  <c:v>GVŽ: POVPREČJE</c:v>
                </c:pt>
              </c:strCache>
            </c:strRef>
          </c:tx>
          <c:spPr>
            <a:ln w="28575" cap="rnd">
              <a:solidFill>
                <a:srgbClr val="FFFF00"/>
              </a:solidFill>
              <a:round/>
            </a:ln>
            <a:effectLst/>
          </c:spPr>
          <c:marker>
            <c:symbol val="none"/>
          </c:marker>
          <c:cat>
            <c:strRef>
              <c:f>List1!$D$11:$F$11</c:f>
              <c:strCache>
                <c:ptCount val="3"/>
                <c:pt idx="0">
                  <c:v>gorsko (13.1)</c:v>
                </c:pt>
                <c:pt idx="1">
                  <c:v>ne-gorsko (13.2 in 13.3)</c:v>
                </c:pt>
                <c:pt idx="2">
                  <c:v>ravnina</c:v>
                </c:pt>
              </c:strCache>
            </c:strRef>
          </c:cat>
          <c:val>
            <c:numRef>
              <c:f>List1!$D$15:$F$15</c:f>
              <c:numCache>
                <c:formatCode>#.#00</c:formatCode>
                <c:ptCount val="3"/>
                <c:pt idx="0">
                  <c:v>57.168573333333327</c:v>
                </c:pt>
                <c:pt idx="1">
                  <c:v>27.490475</c:v>
                </c:pt>
                <c:pt idx="2">
                  <c:v>36.031255555555553</c:v>
                </c:pt>
              </c:numCache>
            </c:numRef>
          </c:val>
          <c:smooth val="0"/>
          <c:extLst>
            <c:ext xmlns:c16="http://schemas.microsoft.com/office/drawing/2014/chart" uri="{C3380CC4-5D6E-409C-BE32-E72D297353CC}">
              <c16:uniqueId val="{00000003-8916-4A2E-BFD6-024278F0ECA1}"/>
            </c:ext>
          </c:extLst>
        </c:ser>
        <c:dLbls>
          <c:showLegendKey val="0"/>
          <c:showVal val="0"/>
          <c:showCatName val="0"/>
          <c:showSerName val="0"/>
          <c:showPercent val="0"/>
          <c:showBubbleSize val="0"/>
        </c:dLbls>
        <c:marker val="1"/>
        <c:smooth val="0"/>
        <c:axId val="183678464"/>
        <c:axId val="183676928"/>
      </c:lineChart>
      <c:catAx>
        <c:axId val="18366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3666944"/>
        <c:crosses val="autoZero"/>
        <c:auto val="1"/>
        <c:lblAlgn val="ctr"/>
        <c:lblOffset val="100"/>
        <c:noMultiLvlLbl val="0"/>
      </c:catAx>
      <c:valAx>
        <c:axId val="18366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3665408"/>
        <c:crosses val="autoZero"/>
        <c:crossBetween val="between"/>
      </c:valAx>
      <c:valAx>
        <c:axId val="18367692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83678464"/>
        <c:crosses val="max"/>
        <c:crossBetween val="between"/>
      </c:valAx>
      <c:catAx>
        <c:axId val="183678464"/>
        <c:scaling>
          <c:orientation val="minMax"/>
        </c:scaling>
        <c:delete val="1"/>
        <c:axPos val="b"/>
        <c:numFmt formatCode="General" sourceLinked="1"/>
        <c:majorTickMark val="out"/>
        <c:minorTickMark val="none"/>
        <c:tickLblPos val="nextTo"/>
        <c:crossAx val="183676928"/>
        <c:crosses val="autoZero"/>
        <c:auto val="1"/>
        <c:lblAlgn val="ctr"/>
        <c:lblOffset val="100"/>
        <c:noMultiLvlLbl val="0"/>
      </c:catAx>
      <c:spPr>
        <a:gradFill>
          <a:gsLst>
            <a:gs pos="0">
              <a:schemeClr val="bg1">
                <a:lumMod val="95000"/>
              </a:schemeClr>
            </a:gs>
            <a:gs pos="88000">
              <a:schemeClr val="bg1">
                <a:lumMod val="95000"/>
              </a:schemeClr>
            </a:gs>
            <a:gs pos="100000">
              <a:schemeClr val="accent1">
                <a:lumMod val="20000"/>
                <a:lumOff val="8000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b="0">
                <a:solidFill>
                  <a:schemeClr val="tx1"/>
                </a:solidFill>
              </a:defRPr>
            </a:pPr>
            <a:r>
              <a:rPr lang="sl-SI" sz="900" b="0">
                <a:solidFill>
                  <a:schemeClr val="tx1"/>
                </a:solidFill>
              </a:rPr>
              <a:t>Ekonomski kazalniki za podprte naložbe</a:t>
            </a:r>
            <a:r>
              <a:rPr lang="sl-SI" sz="900" b="0" baseline="0">
                <a:solidFill>
                  <a:schemeClr val="tx1"/>
                </a:solidFill>
              </a:rPr>
              <a:t> v okviru podukrepa M04.2 </a:t>
            </a:r>
            <a:r>
              <a:rPr lang="sl-SI" sz="900" b="0">
                <a:solidFill>
                  <a:schemeClr val="tx1"/>
                </a:solidFill>
              </a:rPr>
              <a:t>- povprečje (EUR)</a:t>
            </a:r>
          </a:p>
        </c:rich>
      </c:tx>
      <c:overlay val="0"/>
      <c:spPr>
        <a:noFill/>
        <a:ln w="25400">
          <a:noFill/>
        </a:ln>
      </c:spPr>
    </c:title>
    <c:autoTitleDeleted val="0"/>
    <c:plotArea>
      <c:layout>
        <c:manualLayout>
          <c:layoutTarget val="inner"/>
          <c:xMode val="edge"/>
          <c:yMode val="edge"/>
          <c:x val="0.10310655612492883"/>
          <c:y val="0.14005970521848574"/>
          <c:w val="0.87043841742004469"/>
          <c:h val="0.51619270015290353"/>
        </c:manualLayout>
      </c:layout>
      <c:barChart>
        <c:barDir val="col"/>
        <c:grouping val="clustered"/>
        <c:varyColors val="0"/>
        <c:ser>
          <c:idx val="0"/>
          <c:order val="0"/>
          <c:tx>
            <c:strRef>
              <c:f>'[2]Analiza SC 2_2'!$K$169</c:f>
              <c:strCache>
                <c:ptCount val="1"/>
                <c:pt idx="0">
                  <c:v>gorsko (13.1)</c:v>
                </c:pt>
              </c:strCache>
            </c:strRef>
          </c:tx>
          <c:spPr>
            <a:solidFill>
              <a:srgbClr val="5B9BD5"/>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2_2'!$L$169:$O$169</c:f>
              <c:numCache>
                <c:formatCode>General</c:formatCode>
                <c:ptCount val="4"/>
                <c:pt idx="0">
                  <c:v>518625.96839999995</c:v>
                </c:pt>
                <c:pt idx="1">
                  <c:v>372645.3569999999</c:v>
                </c:pt>
                <c:pt idx="2">
                  <c:v>345730.83326530596</c:v>
                </c:pt>
                <c:pt idx="3">
                  <c:v>183111.96950000001</c:v>
                </c:pt>
              </c:numCache>
            </c:numRef>
          </c:val>
          <c:extLst>
            <c:ext xmlns:c16="http://schemas.microsoft.com/office/drawing/2014/chart" uri="{C3380CC4-5D6E-409C-BE32-E72D297353CC}">
              <c16:uniqueId val="{00000000-B6C8-4EF9-BD0B-6F67932B85F2}"/>
            </c:ext>
          </c:extLst>
        </c:ser>
        <c:ser>
          <c:idx val="1"/>
          <c:order val="1"/>
          <c:tx>
            <c:strRef>
              <c:f>'[2]Analiza SC 2_2'!$K$170</c:f>
              <c:strCache>
                <c:ptCount val="1"/>
                <c:pt idx="0">
                  <c:v>ne-gorsko (13.2 in 13.3)</c:v>
                </c:pt>
              </c:strCache>
            </c:strRef>
          </c:tx>
          <c:spPr>
            <a:solidFill>
              <a:srgbClr val="ED7D31"/>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2_2'!$L$170:$O$170</c:f>
              <c:numCache>
                <c:formatCode>General</c:formatCode>
                <c:ptCount val="4"/>
                <c:pt idx="0">
                  <c:v>1861905.5973684208</c:v>
                </c:pt>
                <c:pt idx="1">
                  <c:v>371433.23162162158</c:v>
                </c:pt>
                <c:pt idx="2">
                  <c:v>362750.69432432431</c:v>
                </c:pt>
                <c:pt idx="3">
                  <c:v>40396.800000000003</c:v>
                </c:pt>
              </c:numCache>
            </c:numRef>
          </c:val>
          <c:extLst>
            <c:ext xmlns:c16="http://schemas.microsoft.com/office/drawing/2014/chart" uri="{C3380CC4-5D6E-409C-BE32-E72D297353CC}">
              <c16:uniqueId val="{00000001-B6C8-4EF9-BD0B-6F67932B85F2}"/>
            </c:ext>
          </c:extLst>
        </c:ser>
        <c:ser>
          <c:idx val="2"/>
          <c:order val="2"/>
          <c:tx>
            <c:strRef>
              <c:f>'[2]Analiza SC 2_2'!$K$171</c:f>
              <c:strCache>
                <c:ptCount val="1"/>
                <c:pt idx="0">
                  <c:v>ravnina</c:v>
                </c:pt>
              </c:strCache>
            </c:strRef>
          </c:tx>
          <c:spPr>
            <a:solidFill>
              <a:srgbClr val="A5A5A5"/>
            </a:solidFill>
            <a:ln w="25400">
              <a:noFill/>
            </a:ln>
          </c:spPr>
          <c:invertIfNegative val="0"/>
          <c:cat>
            <c:strRef>
              <c:f>'[2]Analiza SC 2_2'!$L$168:$O$168</c:f>
              <c:strCache>
                <c:ptCount val="4"/>
                <c:pt idx="0">
                  <c:v>BDV povprečje (na vlogo), €</c:v>
                </c:pt>
                <c:pt idx="1">
                  <c:v>PRIHODEK/PDM povprečje, €</c:v>
                </c:pt>
                <c:pt idx="2">
                  <c:v>SKUPNI PRIHODEK KMET. DEJAVNOST povprečje, €</c:v>
                </c:pt>
                <c:pt idx="3">
                  <c:v>SKUPNI PRIHODEK NEKMET. DEJAVNOST povprečje, €</c:v>
                </c:pt>
              </c:strCache>
            </c:strRef>
          </c:cat>
          <c:val>
            <c:numRef>
              <c:f>'[2]Analiza SC 2_2'!$L$171:$O$171</c:f>
              <c:numCache>
                <c:formatCode>General</c:formatCode>
                <c:ptCount val="4"/>
                <c:pt idx="0">
                  <c:v>1420008.2882978723</c:v>
                </c:pt>
                <c:pt idx="1">
                  <c:v>473529.7717777777</c:v>
                </c:pt>
                <c:pt idx="2">
                  <c:v>455980.71644444432</c:v>
                </c:pt>
                <c:pt idx="3">
                  <c:v>329259.99199999997</c:v>
                </c:pt>
              </c:numCache>
            </c:numRef>
          </c:val>
          <c:extLst>
            <c:ext xmlns:c16="http://schemas.microsoft.com/office/drawing/2014/chart" uri="{C3380CC4-5D6E-409C-BE32-E72D297353CC}">
              <c16:uniqueId val="{00000002-B6C8-4EF9-BD0B-6F67932B85F2}"/>
            </c:ext>
          </c:extLst>
        </c:ser>
        <c:dLbls>
          <c:showLegendKey val="0"/>
          <c:showVal val="0"/>
          <c:showCatName val="0"/>
          <c:showSerName val="0"/>
          <c:showPercent val="0"/>
          <c:showBubbleSize val="0"/>
        </c:dLbls>
        <c:gapWidth val="219"/>
        <c:overlap val="-27"/>
        <c:axId val="166216064"/>
        <c:axId val="166217600"/>
      </c:barChart>
      <c:catAx>
        <c:axId val="1662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66217600"/>
        <c:crosses val="autoZero"/>
        <c:auto val="1"/>
        <c:lblAlgn val="ctr"/>
        <c:lblOffset val="100"/>
        <c:noMultiLvlLbl val="0"/>
      </c:catAx>
      <c:valAx>
        <c:axId val="16621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vert="horz"/>
          <a:lstStyle/>
          <a:p>
            <a:pPr>
              <a:defRPr/>
            </a:pPr>
            <a:endParaRPr lang="sl-SI"/>
          </a:p>
        </c:txPr>
        <c:crossAx val="166216064"/>
        <c:crosses val="autoZero"/>
        <c:crossBetween val="between"/>
      </c:valAx>
      <c:spPr>
        <a:gradFill>
          <a:gsLst>
            <a:gs pos="0">
              <a:schemeClr val="bg1">
                <a:lumMod val="95000"/>
              </a:schemeClr>
            </a:gs>
            <a:gs pos="88000">
              <a:schemeClr val="bg1">
                <a:lumMod val="95000"/>
              </a:schemeClr>
            </a:gs>
            <a:gs pos="100000">
              <a:schemeClr val="accent1">
                <a:lumMod val="20000"/>
                <a:lumOff val="80000"/>
              </a:schemeClr>
            </a:gs>
          </a:gsLst>
          <a:lin ang="5400000" scaled="0"/>
        </a:gradFill>
        <a:ln w="25400">
          <a:noFill/>
        </a:ln>
      </c:spPr>
    </c:plotArea>
    <c:legend>
      <c:legendPos val="b"/>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List1!$B$14</c:f>
              <c:strCache>
                <c:ptCount val="1"/>
                <c:pt idx="0">
                  <c:v>Delež od vseh izbranih razvojnih ciljev v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7A-43E0-B1A9-E280053CC9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7A-43E0-B1A9-E280053CC9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7A-43E0-B1A9-E280053CC9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7A-43E0-B1A9-E280053CC93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7A-43E0-B1A9-E280053CC93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7A-43E0-B1A9-E280053CC93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B7A-43E0-B1A9-E280053CC93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B7A-43E0-B1A9-E280053CC931}"/>
              </c:ext>
            </c:extLst>
          </c:dPt>
          <c:cat>
            <c:strRef>
              <c:f>List1!$A$15:$A$22</c:f>
              <c:strCache>
                <c:ptCount val="8"/>
                <c:pt idx="0">
                  <c:v>Nakup kmetijske mehanizacije</c:v>
                </c:pt>
                <c:pt idx="1">
                  <c:v>Nakup IKT opreme</c:v>
                </c:pt>
                <c:pt idx="2">
                  <c:v>Nakup rastlinjaka</c:v>
                </c:pt>
                <c:pt idx="3">
                  <c:v>Vzdrževanje objektov</c:v>
                </c:pt>
                <c:pt idx="4">
                  <c:v>Ureditev pašnikov</c:v>
                </c:pt>
                <c:pt idx="5">
                  <c:v>Nakup opreme</c:v>
                </c:pt>
                <c:pt idx="6">
                  <c:v>Izboljšanje infrastrukture</c:v>
                </c:pt>
                <c:pt idx="7">
                  <c:v>Ostalo</c:v>
                </c:pt>
              </c:strCache>
            </c:strRef>
          </c:cat>
          <c:val>
            <c:numRef>
              <c:f>List1!$B$15:$B$22</c:f>
              <c:numCache>
                <c:formatCode>General</c:formatCode>
                <c:ptCount val="8"/>
                <c:pt idx="0">
                  <c:v>43</c:v>
                </c:pt>
                <c:pt idx="1">
                  <c:v>24</c:v>
                </c:pt>
                <c:pt idx="2">
                  <c:v>10</c:v>
                </c:pt>
                <c:pt idx="3">
                  <c:v>8</c:v>
                </c:pt>
                <c:pt idx="4">
                  <c:v>6</c:v>
                </c:pt>
                <c:pt idx="5">
                  <c:v>2</c:v>
                </c:pt>
                <c:pt idx="6">
                  <c:v>2</c:v>
                </c:pt>
                <c:pt idx="7">
                  <c:v>5</c:v>
                </c:pt>
              </c:numCache>
            </c:numRef>
          </c:val>
          <c:extLst>
            <c:ext xmlns:c16="http://schemas.microsoft.com/office/drawing/2014/chart" uri="{C3380CC4-5D6E-409C-BE32-E72D297353CC}">
              <c16:uniqueId val="{00000010-5B7A-43E0-B1A9-E280053CC93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5095642878355984"/>
          <c:y val="0.66047121726851354"/>
          <c:w val="0.61219711114352937"/>
          <c:h val="0.293235628886150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r>
              <a:rPr lang="en-US">
                <a:solidFill>
                  <a:schemeClr val="tx1"/>
                </a:solidFill>
              </a:rPr>
              <a:t>Povprečna velikost KZU</a:t>
            </a:r>
            <a:r>
              <a:rPr lang="sl-SI">
                <a:solidFill>
                  <a:schemeClr val="tx1"/>
                </a:solidFill>
              </a:rPr>
              <a:t> v ha</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2"/>
          <c:order val="0"/>
          <c:tx>
            <c:strRef>
              <c:f>'ZbirnaVloga Skupaj'!$D$2</c:f>
              <c:strCache>
                <c:ptCount val="1"/>
                <c:pt idx="0">
                  <c:v>Povprečna velikost KZU</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Skupaj'!$D$3:$D$10</c:f>
              <c:numCache>
                <c:formatCode>##,#00</c:formatCode>
                <c:ptCount val="3"/>
                <c:pt idx="0">
                  <c:v>8.2170570000000005</c:v>
                </c:pt>
                <c:pt idx="1">
                  <c:v>20.93</c:v>
                </c:pt>
                <c:pt idx="2">
                  <c:v>90.770883999999995</c:v>
                </c:pt>
              </c:numCache>
              <c:extLst/>
            </c:numRef>
          </c:val>
          <c:extLst>
            <c:ext xmlns:c16="http://schemas.microsoft.com/office/drawing/2014/chart" uri="{C3380CC4-5D6E-409C-BE32-E72D297353CC}">
              <c16:uniqueId val="{00000000-1542-418E-A349-03B7D1AF103E}"/>
            </c:ext>
          </c:extLst>
        </c:ser>
        <c:dLbls>
          <c:dLblPos val="outEnd"/>
          <c:showLegendKey val="0"/>
          <c:showVal val="1"/>
          <c:showCatName val="0"/>
          <c:showSerName val="0"/>
          <c:showPercent val="0"/>
          <c:showBubbleSize val="0"/>
        </c:dLbls>
        <c:gapWidth val="182"/>
        <c:axId val="185212928"/>
        <c:axId val="185247616"/>
        <c:extLst>
          <c:ext xmlns:c15="http://schemas.microsoft.com/office/drawing/2012/chart" uri="{02D57815-91ED-43cb-92C2-25804820EDAC}">
            <c15:filteredBarSeries>
              <c15:ser>
                <c:idx val="6"/>
                <c:order val="1"/>
                <c:tx>
                  <c:strRef>
                    <c:extLst>
                      <c:ext uri="{02D57815-91ED-43cb-92C2-25804820EDAC}">
                        <c15:formulaRef>
                          <c15:sqref>'ZbirnaVloga Skupaj'!$H$2</c15:sqref>
                        </c15:formulaRef>
                      </c:ext>
                    </c:extLst>
                    <c:strCache>
                      <c:ptCount val="1"/>
                      <c:pt idx="0">
                        <c:v>%KZU_njive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Skupaj'!$H$3:$H$10</c15:sqref>
                        </c15:formulaRef>
                      </c:ext>
                    </c:extLst>
                    <c:numCache>
                      <c:formatCode>0%</c:formatCode>
                      <c:ptCount val="3"/>
                      <c:pt idx="0">
                        <c:v>0.35845553880572362</c:v>
                      </c:pt>
                      <c:pt idx="1">
                        <c:v>0.47810771383689282</c:v>
                      </c:pt>
                      <c:pt idx="2">
                        <c:v>0.61502422185782846</c:v>
                      </c:pt>
                    </c:numCache>
                  </c:numRef>
                </c:val>
                <c:extLst>
                  <c:ext xmlns:c16="http://schemas.microsoft.com/office/drawing/2014/chart" uri="{C3380CC4-5D6E-409C-BE32-E72D297353CC}">
                    <c16:uniqueId val="{00000001-1542-418E-A349-03B7D1AF103E}"/>
                  </c:ext>
                </c:extLst>
              </c15:ser>
            </c15:filteredBarSeries>
            <c15:filteredBarSeries>
              <c15:ser>
                <c:idx val="9"/>
                <c:order val="2"/>
                <c:tx>
                  <c:strRef>
                    <c:extLst xmlns:c15="http://schemas.microsoft.com/office/drawing/2012/chart">
                      <c:ext xmlns:c15="http://schemas.microsoft.com/office/drawing/2012/chart" uri="{02D57815-91ED-43cb-92C2-25804820EDAC}">
                        <c15:formulaRef>
                          <c15:sqref>'ZbirnaVloga Skupaj'!$K$2</c15:sqref>
                        </c15:formulaRef>
                      </c:ext>
                    </c:extLst>
                    <c:strCache>
                      <c:ptCount val="1"/>
                      <c:pt idx="0">
                        <c:v>Obtežba GVŽ/KZU</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Skupaj'!$K$3:$K$10</c15:sqref>
                        </c15:formulaRef>
                      </c:ext>
                    </c:extLst>
                    <c:numCache>
                      <c:formatCode>#,##0.0</c:formatCode>
                      <c:ptCount val="3"/>
                      <c:pt idx="0">
                        <c:v>0.7203649170870392</c:v>
                      </c:pt>
                      <c:pt idx="1">
                        <c:v>0.98747942493015195</c:v>
                      </c:pt>
                      <c:pt idx="2">
                        <c:v>0.16542884379599679</c:v>
                      </c:pt>
                    </c:numCache>
                  </c:numRef>
                </c:val>
                <c:extLst xmlns:c15="http://schemas.microsoft.com/office/drawing/2012/chart">
                  <c:ext xmlns:c16="http://schemas.microsoft.com/office/drawing/2014/chart" uri="{C3380CC4-5D6E-409C-BE32-E72D297353CC}">
                    <c16:uniqueId val="{00000002-1542-418E-A349-03B7D1AF103E}"/>
                  </c:ext>
                </c:extLst>
              </c15:ser>
            </c15:filteredBarSeries>
          </c:ext>
        </c:extLst>
      </c:barChart>
      <c:catAx>
        <c:axId val="185212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85247616"/>
        <c:crosses val="autoZero"/>
        <c:auto val="1"/>
        <c:lblAlgn val="ctr"/>
        <c:lblOffset val="100"/>
        <c:noMultiLvlLbl val="0"/>
      </c:catAx>
      <c:valAx>
        <c:axId val="1852476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185212928"/>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2"/>
          </a:solidFill>
        </a:defRPr>
      </a:pPr>
      <a:endParaRPr lang="sl-SI"/>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0"/>
              <a:t>%</a:t>
            </a:r>
            <a:r>
              <a:rPr lang="sl-SI" sz="1000" b="0"/>
              <a:t> </a:t>
            </a:r>
            <a:r>
              <a:rPr lang="en-US" sz="1000" b="0"/>
              <a:t>KZU_njive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6"/>
          <c:order val="1"/>
          <c:tx>
            <c:strRef>
              <c:f>'ZbirnaVloga Skupaj'!$H$2</c:f>
              <c:strCache>
                <c:ptCount val="1"/>
                <c:pt idx="0">
                  <c:v>%KZU_njive</c:v>
                </c:pt>
              </c:strCache>
            </c:strRef>
          </c:tx>
          <c:spPr>
            <a:solidFill>
              <a:srgbClr val="92D050"/>
            </a:solidFill>
            <a:ln>
              <a:noFill/>
            </a:ln>
            <a:effectLst/>
          </c:spPr>
          <c:invertIfNegative val="0"/>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Skupaj'!$H$3:$H$10</c:f>
              <c:numCache>
                <c:formatCode>0%</c:formatCode>
                <c:ptCount val="3"/>
                <c:pt idx="0">
                  <c:v>0.35845553880572362</c:v>
                </c:pt>
                <c:pt idx="1">
                  <c:v>0.47810771383689282</c:v>
                </c:pt>
                <c:pt idx="2">
                  <c:v>0.61502422185782846</c:v>
                </c:pt>
              </c:numCache>
              <c:extLst/>
            </c:numRef>
          </c:val>
          <c:extLst>
            <c:ext xmlns:c16="http://schemas.microsoft.com/office/drawing/2014/chart" uri="{C3380CC4-5D6E-409C-BE32-E72D297353CC}">
              <c16:uniqueId val="{00000000-CD6B-4F17-92F6-4915279C3D4D}"/>
            </c:ext>
          </c:extLst>
        </c:ser>
        <c:dLbls>
          <c:showLegendKey val="0"/>
          <c:showVal val="0"/>
          <c:showCatName val="0"/>
          <c:showSerName val="0"/>
          <c:showPercent val="0"/>
          <c:showBubbleSize val="0"/>
        </c:dLbls>
        <c:gapWidth val="182"/>
        <c:axId val="186263808"/>
        <c:axId val="186281984"/>
        <c:extLst>
          <c:ext xmlns:c15="http://schemas.microsoft.com/office/drawing/2012/chart" uri="{02D57815-91ED-43cb-92C2-25804820EDAC}">
            <c15:filteredBarSeries>
              <c15:ser>
                <c:idx val="2"/>
                <c:order val="0"/>
                <c:tx>
                  <c:strRef>
                    <c:extLst>
                      <c:ext uri="{02D57815-91ED-43cb-92C2-25804820EDAC}">
                        <c15:formulaRef>
                          <c15:sqref>'ZbirnaVloga Skupaj'!$D$2</c15:sqref>
                        </c15:formulaRef>
                      </c:ext>
                    </c:extLst>
                    <c:strCache>
                      <c:ptCount val="1"/>
                      <c:pt idx="0">
                        <c:v>Povprečna velikost KZU</c:v>
                      </c:pt>
                    </c:strCache>
                  </c:strRef>
                </c:tx>
                <c:spPr>
                  <a:solidFill>
                    <a:srgbClr val="92D050"/>
                  </a:solidFill>
                  <a:ln>
                    <a:noFill/>
                  </a:ln>
                  <a:effectLst/>
                </c:spPr>
                <c:invertIfNegative val="0"/>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Skupaj'!$D$3:$D$10</c15:sqref>
                        </c15:formulaRef>
                      </c:ext>
                    </c:extLst>
                    <c:numCache>
                      <c:formatCode>#,##0.0</c:formatCode>
                      <c:ptCount val="3"/>
                      <c:pt idx="0">
                        <c:v>8.2170570000000005</c:v>
                      </c:pt>
                      <c:pt idx="1">
                        <c:v>20.93</c:v>
                      </c:pt>
                      <c:pt idx="2">
                        <c:v>90.770883999999995</c:v>
                      </c:pt>
                    </c:numCache>
                  </c:numRef>
                </c:val>
                <c:extLst>
                  <c:ext xmlns:c16="http://schemas.microsoft.com/office/drawing/2014/chart" uri="{C3380CC4-5D6E-409C-BE32-E72D297353CC}">
                    <c16:uniqueId val="{00000001-CD6B-4F17-92F6-4915279C3D4D}"/>
                  </c:ext>
                </c:extLst>
              </c15:ser>
            </c15:filteredBarSeries>
            <c15:filteredBarSeries>
              <c15:ser>
                <c:idx val="9"/>
                <c:order val="2"/>
                <c:tx>
                  <c:strRef>
                    <c:extLst xmlns:c15="http://schemas.microsoft.com/office/drawing/2012/chart">
                      <c:ext xmlns:c15="http://schemas.microsoft.com/office/drawing/2012/chart" uri="{02D57815-91ED-43cb-92C2-25804820EDAC}">
                        <c15:formulaRef>
                          <c15:sqref>'ZbirnaVloga Skupaj'!$K$2</c15:sqref>
                        </c15:formulaRef>
                      </c:ext>
                    </c:extLst>
                    <c:strCache>
                      <c:ptCount val="1"/>
                      <c:pt idx="0">
                        <c:v>Obtežba GVŽ/KZU</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Skupaj'!$K$3:$K$10</c15:sqref>
                        </c15:formulaRef>
                      </c:ext>
                    </c:extLst>
                    <c:numCache>
                      <c:formatCode>#,##0.0</c:formatCode>
                      <c:ptCount val="3"/>
                      <c:pt idx="0">
                        <c:v>0.7203649170870392</c:v>
                      </c:pt>
                      <c:pt idx="1">
                        <c:v>0.98747942493015195</c:v>
                      </c:pt>
                      <c:pt idx="2">
                        <c:v>0.16542884379599679</c:v>
                      </c:pt>
                    </c:numCache>
                  </c:numRef>
                </c:val>
                <c:extLst xmlns:c15="http://schemas.microsoft.com/office/drawing/2012/chart">
                  <c:ext xmlns:c16="http://schemas.microsoft.com/office/drawing/2014/chart" uri="{C3380CC4-5D6E-409C-BE32-E72D297353CC}">
                    <c16:uniqueId val="{00000002-CD6B-4F17-92F6-4915279C3D4D}"/>
                  </c:ext>
                </c:extLst>
              </c15:ser>
            </c15:filteredBarSeries>
          </c:ext>
        </c:extLst>
      </c:barChart>
      <c:catAx>
        <c:axId val="18626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281984"/>
        <c:crosses val="autoZero"/>
        <c:auto val="1"/>
        <c:lblAlgn val="ctr"/>
        <c:lblOffset val="100"/>
        <c:noMultiLvlLbl val="0"/>
      </c:catAx>
      <c:valAx>
        <c:axId val="186281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263808"/>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sl-SI" sz="1000"/>
              <a:t>Obtežba GVŽ / KZU</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sl-SI"/>
        </a:p>
      </c:txPr>
    </c:title>
    <c:autoTitleDeleted val="0"/>
    <c:plotArea>
      <c:layout>
        <c:manualLayout>
          <c:layoutTarget val="inner"/>
          <c:xMode val="edge"/>
          <c:yMode val="edge"/>
          <c:x val="0.28032046308676822"/>
          <c:y val="7.3264197530864203E-2"/>
          <c:w val="0.65590606205670832"/>
          <c:h val="0.6606632837561971"/>
        </c:manualLayout>
      </c:layout>
      <c:barChart>
        <c:barDir val="bar"/>
        <c:grouping val="clustered"/>
        <c:varyColors val="0"/>
        <c:ser>
          <c:idx val="9"/>
          <c:order val="2"/>
          <c:tx>
            <c:strRef>
              <c:f>'ZbirnaVloga Skupaj'!$K$2</c:f>
              <c:strCache>
                <c:ptCount val="1"/>
                <c:pt idx="0">
                  <c:v>Obtežba GVŽ/KZU</c:v>
                </c:pt>
              </c:strCache>
            </c:strRef>
          </c:tx>
          <c:spPr>
            <a:solidFill>
              <a:srgbClr val="92D050"/>
            </a:solidFill>
            <a:ln>
              <a:noFill/>
            </a:ln>
            <a:effectLst/>
          </c:spPr>
          <c:invertIfNegative val="0"/>
          <c:cat>
            <c:strRef>
              <c:f>'ZbirnaVloga Skupaj'!$A$3:$A$10</c:f>
              <c:strCache>
                <c:ptCount val="3"/>
                <c:pt idx="0">
                  <c:v>Zbirna vloga</c:v>
                </c:pt>
                <c:pt idx="1">
                  <c:v>V evidenci FURS - Fizična oseba (Nosilec KMG)</c:v>
                </c:pt>
                <c:pt idx="2">
                  <c:v>V evidenci FURS - pravne osebe + KMETIJSKA DEJAVNOST</c:v>
                </c:pt>
              </c:strCache>
              <c:extLst/>
            </c:strRef>
          </c:cat>
          <c:val>
            <c:numRef>
              <c:f>'ZbirnaVloga Skupaj'!$K$3:$K$10</c:f>
              <c:numCache>
                <c:formatCode>##,#00</c:formatCode>
                <c:ptCount val="3"/>
                <c:pt idx="0">
                  <c:v>0.7203649170870392</c:v>
                </c:pt>
                <c:pt idx="1">
                  <c:v>0.98747942493015195</c:v>
                </c:pt>
                <c:pt idx="2">
                  <c:v>0.16542884379599679</c:v>
                </c:pt>
              </c:numCache>
              <c:extLst/>
            </c:numRef>
          </c:val>
          <c:extLst>
            <c:ext xmlns:c16="http://schemas.microsoft.com/office/drawing/2014/chart" uri="{C3380CC4-5D6E-409C-BE32-E72D297353CC}">
              <c16:uniqueId val="{00000000-62E5-4D0A-B5DF-7FFA6DAAA2A4}"/>
            </c:ext>
          </c:extLst>
        </c:ser>
        <c:dLbls>
          <c:showLegendKey val="0"/>
          <c:showVal val="0"/>
          <c:showCatName val="0"/>
          <c:showSerName val="0"/>
          <c:showPercent val="0"/>
          <c:showBubbleSize val="0"/>
        </c:dLbls>
        <c:gapWidth val="182"/>
        <c:axId val="186311040"/>
        <c:axId val="186312576"/>
        <c:extLst>
          <c:ext xmlns:c15="http://schemas.microsoft.com/office/drawing/2012/chart" uri="{02D57815-91ED-43cb-92C2-25804820EDAC}">
            <c15:filteredBarSeries>
              <c15:ser>
                <c:idx val="2"/>
                <c:order val="0"/>
                <c:tx>
                  <c:strRef>
                    <c:extLst>
                      <c:ext uri="{02D57815-91ED-43cb-92C2-25804820EDAC}">
                        <c15:formulaRef>
                          <c15:sqref>'ZbirnaVloga Skupaj'!$D$2</c15:sqref>
                        </c15:formulaRef>
                      </c:ext>
                    </c:extLst>
                    <c:strCache>
                      <c:ptCount val="1"/>
                      <c:pt idx="0">
                        <c:v>Povprečna velikost KZU</c:v>
                      </c:pt>
                    </c:strCache>
                  </c:strRef>
                </c:tx>
                <c:spPr>
                  <a:solidFill>
                    <a:srgbClr val="92D050"/>
                  </a:solidFill>
                  <a:ln>
                    <a:noFill/>
                  </a:ln>
                  <a:effectLst/>
                </c:spPr>
                <c:invertIfNegative val="0"/>
                <c:cat>
                  <c:strRef>
                    <c:extLst>
                      <c:ex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c:ext uri="{02D57815-91ED-43cb-92C2-25804820EDAC}">
                        <c15:formulaRef>
                          <c15:sqref>'ZbirnaVloga Skupaj'!$D$3:$D$10</c15:sqref>
                        </c15:formulaRef>
                      </c:ext>
                    </c:extLst>
                    <c:numCache>
                      <c:formatCode>#,##0.0</c:formatCode>
                      <c:ptCount val="3"/>
                      <c:pt idx="0">
                        <c:v>8.2170570000000005</c:v>
                      </c:pt>
                      <c:pt idx="1">
                        <c:v>20.93</c:v>
                      </c:pt>
                      <c:pt idx="2">
                        <c:v>90.770883999999995</c:v>
                      </c:pt>
                    </c:numCache>
                  </c:numRef>
                </c:val>
                <c:extLst>
                  <c:ext xmlns:c16="http://schemas.microsoft.com/office/drawing/2014/chart" uri="{C3380CC4-5D6E-409C-BE32-E72D297353CC}">
                    <c16:uniqueId val="{00000001-62E5-4D0A-B5DF-7FFA6DAAA2A4}"/>
                  </c:ext>
                </c:extLst>
              </c15:ser>
            </c15:filteredBarSeries>
            <c15:filteredBarSeries>
              <c15:ser>
                <c:idx val="6"/>
                <c:order val="1"/>
                <c:tx>
                  <c:strRef>
                    <c:extLst xmlns:c15="http://schemas.microsoft.com/office/drawing/2012/chart">
                      <c:ext xmlns:c15="http://schemas.microsoft.com/office/drawing/2012/chart" uri="{02D57815-91ED-43cb-92C2-25804820EDAC}">
                        <c15:formulaRef>
                          <c15:sqref>'ZbirnaVloga Skupaj'!$H$2</c15:sqref>
                        </c15:formulaRef>
                      </c:ext>
                    </c:extLst>
                    <c:strCache>
                      <c:ptCount val="1"/>
                      <c:pt idx="0">
                        <c:v>%KZU_njive</c:v>
                      </c:pt>
                    </c:strCache>
                  </c:strRef>
                </c:tx>
                <c:spPr>
                  <a:solidFill>
                    <a:srgbClr val="92D050"/>
                  </a:solidFill>
                  <a:ln>
                    <a:noFill/>
                  </a:ln>
                  <a:effectLst/>
                </c:spPr>
                <c:invertIfNegative val="0"/>
                <c:cat>
                  <c:strRef>
                    <c:extLst xmlns:c15="http://schemas.microsoft.com/office/drawing/2012/chart">
                      <c:ext xmlns:c15="http://schemas.microsoft.com/office/drawing/2012/chart" uri="{02D57815-91ED-43cb-92C2-25804820EDAC}">
                        <c15:formulaRef>
                          <c15:sqref>'ZbirnaVloga Skupaj'!$A$3:$A$10</c15:sqref>
                        </c15:formulaRef>
                      </c:ext>
                    </c:extLst>
                    <c:strCache>
                      <c:ptCount val="3"/>
                      <c:pt idx="0">
                        <c:v>Zbirna vloga</c:v>
                      </c:pt>
                      <c:pt idx="1">
                        <c:v>V evidenci FURS - Fizična oseba (Nosilec KMG)</c:v>
                      </c:pt>
                      <c:pt idx="2">
                        <c:v>V evidenci FURS - pravne osebe + KMETIJSKA DEJAVNOST</c:v>
                      </c:pt>
                    </c:strCache>
                  </c:strRef>
                </c:cat>
                <c:val>
                  <c:numRef>
                    <c:extLst xmlns:c15="http://schemas.microsoft.com/office/drawing/2012/chart">
                      <c:ext xmlns:c15="http://schemas.microsoft.com/office/drawing/2012/chart" uri="{02D57815-91ED-43cb-92C2-25804820EDAC}">
                        <c15:formulaRef>
                          <c15:sqref>'ZbirnaVloga Skupaj'!$H$3:$H$10</c15:sqref>
                        </c15:formulaRef>
                      </c:ext>
                    </c:extLst>
                    <c:numCache>
                      <c:formatCode>0%</c:formatCode>
                      <c:ptCount val="3"/>
                      <c:pt idx="0">
                        <c:v>0.35845553880572362</c:v>
                      </c:pt>
                      <c:pt idx="1">
                        <c:v>0.47810771383689282</c:v>
                      </c:pt>
                      <c:pt idx="2">
                        <c:v>0.61502422185782846</c:v>
                      </c:pt>
                    </c:numCache>
                  </c:numRef>
                </c:val>
                <c:extLst xmlns:c15="http://schemas.microsoft.com/office/drawing/2012/chart">
                  <c:ext xmlns:c16="http://schemas.microsoft.com/office/drawing/2014/chart" uri="{C3380CC4-5D6E-409C-BE32-E72D297353CC}">
                    <c16:uniqueId val="{00000002-62E5-4D0A-B5DF-7FFA6DAAA2A4}"/>
                  </c:ext>
                </c:extLst>
              </c15:ser>
            </c15:filteredBarSeries>
          </c:ext>
        </c:extLst>
      </c:barChart>
      <c:catAx>
        <c:axId val="1863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312576"/>
        <c:crosses val="autoZero"/>
        <c:auto val="1"/>
        <c:lblAlgn val="ctr"/>
        <c:lblOffset val="100"/>
        <c:noMultiLvlLbl val="0"/>
      </c:catAx>
      <c:valAx>
        <c:axId val="1863125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311040"/>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endParaRPr lang="sl-SI"/>
        </a:p>
      </c:txPr>
    </c:title>
    <c:autoTitleDeleted val="0"/>
    <c:plotArea>
      <c:layout/>
      <c:barChart>
        <c:barDir val="bar"/>
        <c:grouping val="clustered"/>
        <c:varyColors val="0"/>
        <c:ser>
          <c:idx val="1"/>
          <c:order val="1"/>
          <c:tx>
            <c:strRef>
              <c:f>'ZbirnaVloga Skupaj'!$C$2</c:f>
              <c:strCache>
                <c:ptCount val="1"/>
                <c:pt idx="0">
                  <c:v>Starost nosilca 2019</c:v>
                </c:pt>
              </c:strCache>
            </c:strRef>
          </c:tx>
          <c:spPr>
            <a:solidFill>
              <a:srgbClr val="92D050"/>
            </a:solidFill>
            <a:ln>
              <a:noFill/>
            </a:ln>
            <a:effectLst/>
          </c:spPr>
          <c:invertIfNegative val="0"/>
          <c:cat>
            <c:strRef>
              <c:f>'ZbirnaVloga Skupaj'!$A$3:$A$10</c:f>
              <c:strCache>
                <c:ptCount val="2"/>
                <c:pt idx="0">
                  <c:v>Zbirna vloga</c:v>
                </c:pt>
                <c:pt idx="1">
                  <c:v>V evidenci FURS - Fizična oseba (Nosilec KMG)</c:v>
                </c:pt>
              </c:strCache>
              <c:extLst/>
            </c:strRef>
          </c:cat>
          <c:val>
            <c:numRef>
              <c:f>'ZbirnaVloga Skupaj'!$C$3:$C$10</c:f>
              <c:numCache>
                <c:formatCode>##,#00</c:formatCode>
                <c:ptCount val="2"/>
                <c:pt idx="0">
                  <c:v>58.913999712973599</c:v>
                </c:pt>
                <c:pt idx="1">
                  <c:v>49.2</c:v>
                </c:pt>
              </c:numCache>
              <c:extLst/>
            </c:numRef>
          </c:val>
          <c:extLst>
            <c:ext xmlns:c16="http://schemas.microsoft.com/office/drawing/2014/chart" uri="{C3380CC4-5D6E-409C-BE32-E72D297353CC}">
              <c16:uniqueId val="{00000000-1A6D-4E47-808F-C0C9236E0CC8}"/>
            </c:ext>
          </c:extLst>
        </c:ser>
        <c:dLbls>
          <c:showLegendKey val="0"/>
          <c:showVal val="0"/>
          <c:showCatName val="0"/>
          <c:showSerName val="0"/>
          <c:showPercent val="0"/>
          <c:showBubbleSize val="0"/>
        </c:dLbls>
        <c:gapWidth val="219"/>
        <c:axId val="186788096"/>
        <c:axId val="186806272"/>
        <c:extLst>
          <c:ext xmlns:c15="http://schemas.microsoft.com/office/drawing/2012/chart" uri="{02D57815-91ED-43cb-92C2-25804820EDAC}">
            <c15:filteredBarSeries>
              <c15:ser>
                <c:idx val="0"/>
                <c:order val="0"/>
                <c:tx>
                  <c:strRef>
                    <c:extLst>
                      <c:ext uri="{02D57815-91ED-43cb-92C2-25804820EDAC}">
                        <c15:formulaRef>
                          <c15:sqref>'ZbirnaVloga Skupaj'!$B$2</c15:sqref>
                        </c15:formulaRef>
                      </c:ext>
                    </c:extLst>
                    <c:strCache>
                      <c:ptCount val="1"/>
                      <c:pt idx="0">
                        <c:v>Št. KMG</c:v>
                      </c:pt>
                    </c:strCache>
                  </c:strRef>
                </c:tx>
                <c:spPr>
                  <a:solidFill>
                    <a:schemeClr val="accent1"/>
                  </a:solidFill>
                  <a:ln>
                    <a:noFill/>
                  </a:ln>
                  <a:effectLst/>
                </c:spPr>
                <c:invertIfNegative val="0"/>
                <c:cat>
                  <c:strRef>
                    <c:extLst>
                      <c:ext uri="{02D57815-91ED-43cb-92C2-25804820EDAC}">
                        <c15:formulaRef>
                          <c15:sqref>'ZbirnaVloga Skupaj'!$A$3:$A$10</c15:sqref>
                        </c15:formulaRef>
                      </c:ext>
                    </c:extLst>
                    <c:strCache>
                      <c:ptCount val="2"/>
                      <c:pt idx="0">
                        <c:v>Zbirna vloga</c:v>
                      </c:pt>
                      <c:pt idx="1">
                        <c:v>V evidenci FURS - Fizična oseba (Nosilec KMG)</c:v>
                      </c:pt>
                    </c:strCache>
                  </c:strRef>
                </c:cat>
                <c:val>
                  <c:numRef>
                    <c:extLst>
                      <c:ext uri="{02D57815-91ED-43cb-92C2-25804820EDAC}">
                        <c15:formulaRef>
                          <c15:sqref>'ZbirnaVloga Skupaj'!$B$3:$B$10</c15:sqref>
                        </c15:formulaRef>
                      </c:ext>
                    </c:extLst>
                    <c:numCache>
                      <c:formatCode>#,##0</c:formatCode>
                      <c:ptCount val="2"/>
                      <c:pt idx="0">
                        <c:v>56483</c:v>
                      </c:pt>
                      <c:pt idx="1">
                        <c:v>7655</c:v>
                      </c:pt>
                    </c:numCache>
                  </c:numRef>
                </c:val>
                <c:extLst>
                  <c:ext xmlns:c16="http://schemas.microsoft.com/office/drawing/2014/chart" uri="{C3380CC4-5D6E-409C-BE32-E72D297353CC}">
                    <c16:uniqueId val="{00000001-1A6D-4E47-808F-C0C9236E0CC8}"/>
                  </c:ext>
                </c:extLst>
              </c15:ser>
            </c15:filteredBarSeries>
          </c:ext>
        </c:extLst>
      </c:barChart>
      <c:catAx>
        <c:axId val="18678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806272"/>
        <c:crosses val="autoZero"/>
        <c:auto val="1"/>
        <c:lblAlgn val="ctr"/>
        <c:lblOffset val="100"/>
        <c:noMultiLvlLbl val="0"/>
      </c:catAx>
      <c:valAx>
        <c:axId val="1868062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86788096"/>
        <c:crosses val="autoZero"/>
        <c:crossBetween val="between"/>
      </c:valAx>
      <c:spPr>
        <a:gradFill>
          <a:gsLst>
            <a:gs pos="51652">
              <a:schemeClr val="bg1">
                <a:lumMod val="95000"/>
              </a:schemeClr>
            </a:gs>
            <a:gs pos="0">
              <a:schemeClr val="accent1">
                <a:lumMod val="5000"/>
                <a:lumOff val="95000"/>
              </a:schemeClr>
            </a:gs>
            <a:gs pos="89000">
              <a:schemeClr val="bg1">
                <a:lumMod val="85000"/>
              </a:schemeClr>
            </a:gs>
            <a:gs pos="100000">
              <a:schemeClr val="accent1">
                <a:lumMod val="40000"/>
                <a:lumOff val="6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sl-SI" sz="800" b="1"/>
              <a:t>Povprečje </a:t>
            </a:r>
            <a:r>
              <a:rPr lang="en-US" sz="800" b="1"/>
              <a:t>PDM/KMG</a:t>
            </a:r>
            <a:r>
              <a:rPr lang="sl-SI" sz="800" b="1"/>
              <a:t>, 2016</a:t>
            </a:r>
            <a:endParaRPr lang="en-US" sz="800" b="1"/>
          </a:p>
        </c:rich>
      </c:tx>
      <c:layout>
        <c:manualLayout>
          <c:xMode val="edge"/>
          <c:yMode val="edge"/>
          <c:x val="0.39659775148427295"/>
          <c:y val="8.9085508189661496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3466593050908838E-2"/>
          <c:y val="5.7532794034649656E-2"/>
          <c:w val="0.90929086582092966"/>
          <c:h val="0.90747175560359516"/>
        </c:manualLayout>
      </c:layout>
      <c:barChart>
        <c:barDir val="col"/>
        <c:grouping val="clustered"/>
        <c:varyColors val="0"/>
        <c:ser>
          <c:idx val="2"/>
          <c:order val="0"/>
          <c:tx>
            <c:strRef>
              <c:f>'\Users\tanja.gorisek\Downloads\[ef_m_farmleg.xls]Data'!$D$13</c:f>
              <c:strCache>
                <c:ptCount val="1"/>
                <c:pt idx="0">
                  <c:v>PDM / KMG</c:v>
                </c:pt>
              </c:strCache>
            </c:strRef>
          </c:tx>
          <c:spPr>
            <a:solidFill>
              <a:schemeClr val="accent6"/>
            </a:solidFill>
            <a:ln>
              <a:noFill/>
            </a:ln>
            <a:effectLst/>
          </c:spPr>
          <c:invertIfNegative val="0"/>
          <c:dPt>
            <c:idx val="23"/>
            <c:invertIfNegative val="0"/>
            <c:bubble3D val="0"/>
            <c:spPr>
              <a:solidFill>
                <a:srgbClr val="FFC000"/>
              </a:solidFill>
              <a:ln>
                <a:noFill/>
              </a:ln>
              <a:effectLst/>
            </c:spPr>
            <c:extLst>
              <c:ext xmlns:c16="http://schemas.microsoft.com/office/drawing/2014/chart" uri="{C3380CC4-5D6E-409C-BE32-E72D297353CC}">
                <c16:uniqueId val="{00000001-4DA0-430E-8812-3EED6D21D543}"/>
              </c:ext>
            </c:extLst>
          </c:dPt>
          <c:dLbls>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'\Users\tanja.gorisek\Downloads\[ef_m_farmleg.xls]Data'!$A$14:$A$40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'\Users\tanja.gorisek\Downloads\[ef_m_farmleg.xls]Data'!$D$14:$D$40</c:f>
              <c:numCache>
                <c:formatCode>General</c:formatCode>
                <c:ptCount val="27"/>
                <c:pt idx="0">
                  <c:v>1.5004066142586068</c:v>
                </c:pt>
                <c:pt idx="1">
                  <c:v>1.2524664561957379</c:v>
                </c:pt>
                <c:pt idx="2">
                  <c:v>3.9381831888428196</c:v>
                </c:pt>
                <c:pt idx="3">
                  <c:v>1.5686162624821682</c:v>
                </c:pt>
                <c:pt idx="4">
                  <c:v>1.7383746197305519</c:v>
                </c:pt>
                <c:pt idx="5">
                  <c:v>1.215568862275449</c:v>
                </c:pt>
                <c:pt idx="6">
                  <c:v>1.1682175050886885</c:v>
                </c:pt>
                <c:pt idx="7">
                  <c:v>0.65931819840864292</c:v>
                </c:pt>
                <c:pt idx="8">
                  <c:v>0.87776978265010264</c:v>
                </c:pt>
                <c:pt idx="9">
                  <c:v>1.6492377113817576</c:v>
                </c:pt>
                <c:pt idx="10">
                  <c:v>1.2940651494868363</c:v>
                </c:pt>
                <c:pt idx="11">
                  <c:v>0.99196131656352826</c:v>
                </c:pt>
                <c:pt idx="12">
                  <c:v>0.6353749284487693</c:v>
                </c:pt>
                <c:pt idx="13">
                  <c:v>1.0903760903760904</c:v>
                </c:pt>
                <c:pt idx="14">
                  <c:v>0.98988823842469398</c:v>
                </c:pt>
                <c:pt idx="15">
                  <c:v>1.751269035532995</c:v>
                </c:pt>
                <c:pt idx="16">
                  <c:v>1.0099534883720931</c:v>
                </c:pt>
                <c:pt idx="17">
                  <c:v>0.54723127035830621</c:v>
                </c:pt>
                <c:pt idx="18">
                  <c:v>2.679058908045977</c:v>
                </c:pt>
                <c:pt idx="19">
                  <c:v>0.90241509433962264</c:v>
                </c:pt>
                <c:pt idx="20">
                  <c:v>1.18792089033813</c:v>
                </c:pt>
                <c:pt idx="21">
                  <c:v>0.96930264885319328</c:v>
                </c:pt>
                <c:pt idx="22">
                  <c:v>0.46142202143172328</c:v>
                </c:pt>
                <c:pt idx="23">
                  <c:v>1.144062947067239</c:v>
                </c:pt>
                <c:pt idx="24">
                  <c:v>1.8978955572876071</c:v>
                </c:pt>
                <c:pt idx="25">
                  <c:v>1.3478173405753369</c:v>
                </c:pt>
                <c:pt idx="26">
                  <c:v>0.92675564029234192</c:v>
                </c:pt>
              </c:numCache>
            </c:numRef>
          </c:val>
          <c:extLst>
            <c:ext xmlns:c16="http://schemas.microsoft.com/office/drawing/2014/chart" uri="{C3380CC4-5D6E-409C-BE32-E72D297353CC}">
              <c16:uniqueId val="{00000002-4DA0-430E-8812-3EED6D21D543}"/>
            </c:ext>
          </c:extLst>
        </c:ser>
        <c:dLbls>
          <c:showLegendKey val="0"/>
          <c:showVal val="1"/>
          <c:showCatName val="0"/>
          <c:showSerName val="0"/>
          <c:showPercent val="0"/>
          <c:showBubbleSize val="0"/>
        </c:dLbls>
        <c:gapWidth val="75"/>
        <c:axId val="154089344"/>
        <c:axId val="154125440"/>
      </c:barChart>
      <c:catAx>
        <c:axId val="15408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54125440"/>
        <c:crosses val="autoZero"/>
        <c:auto val="1"/>
        <c:lblAlgn val="ctr"/>
        <c:lblOffset val="100"/>
        <c:noMultiLvlLbl val="0"/>
      </c:catAx>
      <c:valAx>
        <c:axId val="154125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54089344"/>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l-SI"/>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l-SI" sz="1100"/>
              <a:t>Kmetijska</a:t>
            </a:r>
            <a:r>
              <a:rPr lang="sl-SI" sz="1100" baseline="0"/>
              <a:t> gospodarstva, vključena v podukrep 16.4, po velikosti in OMD</a:t>
            </a:r>
            <a:endParaRPr lang="sl-SI"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5.2842005860378564E-2"/>
          <c:y val="0.18292754473452624"/>
          <c:w val="0.92070296768459503"/>
          <c:h val="0.54685582166705549"/>
        </c:manualLayout>
      </c:layout>
      <c:barChart>
        <c:barDir val="col"/>
        <c:grouping val="clustered"/>
        <c:varyColors val="0"/>
        <c:ser>
          <c:idx val="0"/>
          <c:order val="0"/>
          <c:tx>
            <c:strRef>
              <c:f>'31.12.2019'!$H$7</c:f>
              <c:strCache>
                <c:ptCount val="1"/>
                <c:pt idx="0">
                  <c:v>št. KMG</c:v>
                </c:pt>
              </c:strCache>
            </c:strRef>
          </c:tx>
          <c:spPr>
            <a:solidFill>
              <a:srgbClr val="92D050"/>
            </a:solidFill>
            <a:ln>
              <a:noFill/>
            </a:ln>
            <a:effectLst/>
          </c:spPr>
          <c:invertIfNegative val="0"/>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'31.12.2019'!$H$9:$H$16</c:f>
              <c:numCache>
                <c:formatCode>General</c:formatCode>
                <c:ptCount val="7"/>
                <c:pt idx="0">
                  <c:v>12</c:v>
                </c:pt>
                <c:pt idx="1">
                  <c:v>30</c:v>
                </c:pt>
                <c:pt idx="2">
                  <c:v>36</c:v>
                </c:pt>
                <c:pt idx="3">
                  <c:v>46</c:v>
                </c:pt>
                <c:pt idx="4">
                  <c:v>23</c:v>
                </c:pt>
                <c:pt idx="5">
                  <c:v>24</c:v>
                </c:pt>
                <c:pt idx="6">
                  <c:v>10</c:v>
                </c:pt>
              </c:numCache>
              <c:extLst/>
            </c:numRef>
          </c:val>
          <c:extLst>
            <c:ext xmlns:c16="http://schemas.microsoft.com/office/drawing/2014/chart" uri="{C3380CC4-5D6E-409C-BE32-E72D297353CC}">
              <c16:uniqueId val="{00000000-15AF-4358-853E-A4CD52138CB0}"/>
            </c:ext>
          </c:extLst>
        </c:ser>
        <c:dLbls>
          <c:showLegendKey val="0"/>
          <c:showVal val="0"/>
          <c:showCatName val="0"/>
          <c:showSerName val="0"/>
          <c:showPercent val="0"/>
          <c:showBubbleSize val="0"/>
        </c:dLbls>
        <c:gapWidth val="219"/>
        <c:overlap val="-27"/>
        <c:axId val="187640832"/>
        <c:axId val="187650816"/>
      </c:barChart>
      <c:lineChart>
        <c:grouping val="standard"/>
        <c:varyColors val="0"/>
        <c:ser>
          <c:idx val="1"/>
          <c:order val="1"/>
          <c:tx>
            <c:strRef>
              <c:f>'31.12.2019'!$L$7</c:f>
              <c:strCache>
                <c:ptCount val="1"/>
                <c:pt idx="0">
                  <c:v>JE OMD</c:v>
                </c:pt>
              </c:strCache>
            </c:strRef>
          </c:tx>
          <c:spPr>
            <a:ln w="28575" cap="rnd">
              <a:solidFill>
                <a:srgbClr val="FFC000"/>
              </a:solidFill>
              <a:round/>
            </a:ln>
            <a:effectLst/>
          </c:spPr>
          <c:marker>
            <c:symbol val="none"/>
          </c:marker>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'31.12.2019'!$L$9:$L$16</c:f>
              <c:numCache>
                <c:formatCode>General</c:formatCode>
                <c:ptCount val="7"/>
                <c:pt idx="0">
                  <c:v>10</c:v>
                </c:pt>
                <c:pt idx="1">
                  <c:v>19</c:v>
                </c:pt>
                <c:pt idx="2">
                  <c:v>23</c:v>
                </c:pt>
                <c:pt idx="3">
                  <c:v>34</c:v>
                </c:pt>
                <c:pt idx="4">
                  <c:v>13</c:v>
                </c:pt>
                <c:pt idx="5">
                  <c:v>11</c:v>
                </c:pt>
                <c:pt idx="6">
                  <c:v>6</c:v>
                </c:pt>
              </c:numCache>
              <c:extLst/>
            </c:numRef>
          </c:val>
          <c:smooth val="0"/>
          <c:extLst>
            <c:ext xmlns:c16="http://schemas.microsoft.com/office/drawing/2014/chart" uri="{C3380CC4-5D6E-409C-BE32-E72D297353CC}">
              <c16:uniqueId val="{00000001-15AF-4358-853E-A4CD52138CB0}"/>
            </c:ext>
          </c:extLst>
        </c:ser>
        <c:ser>
          <c:idx val="2"/>
          <c:order val="2"/>
          <c:tx>
            <c:strRef>
              <c:f>'31.12.2019'!$M$7</c:f>
              <c:strCache>
                <c:ptCount val="1"/>
                <c:pt idx="0">
                  <c:v>NI OMD</c:v>
                </c:pt>
              </c:strCache>
            </c:strRef>
          </c:tx>
          <c:spPr>
            <a:ln w="28575" cap="rnd">
              <a:solidFill>
                <a:schemeClr val="accent3"/>
              </a:solidFill>
              <a:round/>
            </a:ln>
            <a:effectLst/>
          </c:spPr>
          <c:marker>
            <c:symbol val="none"/>
          </c:marker>
          <c:cat>
            <c:strRef>
              <c:f>'31.12.2019'!$G$9:$G$16</c:f>
              <c:strCache>
                <c:ptCount val="7"/>
                <c:pt idx="0">
                  <c:v>Manj kot 2 ha</c:v>
                </c:pt>
                <c:pt idx="1">
                  <c:v>Od 2 do 4,9 ha</c:v>
                </c:pt>
                <c:pt idx="2">
                  <c:v>Od 5 do 9,9 ha</c:v>
                </c:pt>
                <c:pt idx="3">
                  <c:v>Od 10 do 19,9 ha</c:v>
                </c:pt>
                <c:pt idx="4">
                  <c:v>Od 20 do 29,9 ha</c:v>
                </c:pt>
                <c:pt idx="5">
                  <c:v>Od 30 do 49,9 ha</c:v>
                </c:pt>
                <c:pt idx="6">
                  <c:v>Od 50 do 99,9 ha</c:v>
                </c:pt>
              </c:strCache>
              <c:extLst/>
            </c:strRef>
          </c:cat>
          <c:val>
            <c:numRef>
              <c:f>'31.12.2019'!$M$9:$M$16</c:f>
              <c:numCache>
                <c:formatCode>General</c:formatCode>
                <c:ptCount val="7"/>
                <c:pt idx="0">
                  <c:v>2</c:v>
                </c:pt>
                <c:pt idx="1">
                  <c:v>11</c:v>
                </c:pt>
                <c:pt idx="2">
                  <c:v>13</c:v>
                </c:pt>
                <c:pt idx="3">
                  <c:v>12</c:v>
                </c:pt>
                <c:pt idx="4">
                  <c:v>10</c:v>
                </c:pt>
                <c:pt idx="5">
                  <c:v>13</c:v>
                </c:pt>
                <c:pt idx="6">
                  <c:v>4</c:v>
                </c:pt>
              </c:numCache>
              <c:extLst/>
            </c:numRef>
          </c:val>
          <c:smooth val="0"/>
          <c:extLst>
            <c:ext xmlns:c16="http://schemas.microsoft.com/office/drawing/2014/chart" uri="{C3380CC4-5D6E-409C-BE32-E72D297353CC}">
              <c16:uniqueId val="{00000002-15AF-4358-853E-A4CD52138CB0}"/>
            </c:ext>
          </c:extLst>
        </c:ser>
        <c:dLbls>
          <c:showLegendKey val="0"/>
          <c:showVal val="0"/>
          <c:showCatName val="0"/>
          <c:showSerName val="0"/>
          <c:showPercent val="0"/>
          <c:showBubbleSize val="0"/>
        </c:dLbls>
        <c:marker val="1"/>
        <c:smooth val="0"/>
        <c:axId val="187640832"/>
        <c:axId val="187650816"/>
      </c:lineChart>
      <c:catAx>
        <c:axId val="18764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7650816"/>
        <c:crosses val="autoZero"/>
        <c:auto val="1"/>
        <c:lblAlgn val="ctr"/>
        <c:lblOffset val="100"/>
        <c:noMultiLvlLbl val="0"/>
      </c:catAx>
      <c:valAx>
        <c:axId val="18765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7640832"/>
        <c:crosses val="autoZero"/>
        <c:crossBetween val="between"/>
      </c:valAx>
      <c:spPr>
        <a:gradFill>
          <a:gsLst>
            <a:gs pos="28000">
              <a:sysClr val="window" lastClr="FFFFFF">
                <a:lumMod val="95000"/>
              </a:sysClr>
            </a:gs>
            <a:gs pos="72000">
              <a:sysClr val="window" lastClr="FFFFFF">
                <a:lumMod val="85000"/>
              </a:sysClr>
            </a:gs>
            <a:gs pos="100000">
              <a:srgbClr val="4F81BD">
                <a:lumMod val="20000"/>
                <a:lumOff val="80000"/>
              </a:srgb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zelenjadnice!$J$270</c:f>
              <c:strCache>
                <c:ptCount val="1"/>
                <c:pt idx="0">
                  <c:v>Tržni pridelovalci</c:v>
                </c:pt>
              </c:strCache>
            </c:strRef>
          </c:tx>
          <c:spPr>
            <a:solidFill>
              <a:schemeClr val="accent1"/>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zelenjadnice!$K$270:$W$270</c:f>
              <c:numCache>
                <c:formatCode>#,##0</c:formatCode>
                <c:ptCount val="13"/>
                <c:pt idx="0">
                  <c:v>1630</c:v>
                </c:pt>
                <c:pt idx="1">
                  <c:v>1630</c:v>
                </c:pt>
                <c:pt idx="2">
                  <c:v>1630</c:v>
                </c:pt>
                <c:pt idx="3">
                  <c:v>1496</c:v>
                </c:pt>
                <c:pt idx="4">
                  <c:v>1496</c:v>
                </c:pt>
                <c:pt idx="5">
                  <c:v>1497</c:v>
                </c:pt>
                <c:pt idx="6">
                  <c:v>1982</c:v>
                </c:pt>
                <c:pt idx="7">
                  <c:v>1982</c:v>
                </c:pt>
                <c:pt idx="8">
                  <c:v>1982</c:v>
                </c:pt>
                <c:pt idx="9">
                  <c:v>2251</c:v>
                </c:pt>
                <c:pt idx="10">
                  <c:v>2251</c:v>
                </c:pt>
                <c:pt idx="11">
                  <c:v>2251</c:v>
                </c:pt>
                <c:pt idx="12">
                  <c:v>3487</c:v>
                </c:pt>
              </c:numCache>
            </c:numRef>
          </c:val>
          <c:extLst>
            <c:ext xmlns:c16="http://schemas.microsoft.com/office/drawing/2014/chart" uri="{C3380CC4-5D6E-409C-BE32-E72D297353CC}">
              <c16:uniqueId val="{00000000-22AF-44E9-BA57-65541878E95A}"/>
            </c:ext>
          </c:extLst>
        </c:ser>
        <c:ser>
          <c:idx val="1"/>
          <c:order val="1"/>
          <c:tx>
            <c:strRef>
              <c:f>zelenjadnice!$J$271</c:f>
              <c:strCache>
                <c:ptCount val="1"/>
                <c:pt idx="0">
                  <c:v>Netržni pridelovalci</c:v>
                </c:pt>
              </c:strCache>
            </c:strRef>
          </c:tx>
          <c:spPr>
            <a:solidFill>
              <a:srgbClr val="FF0000"/>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zelenjadnice!$K$271:$W$271</c:f>
              <c:numCache>
                <c:formatCode>#,##0</c:formatCode>
                <c:ptCount val="13"/>
                <c:pt idx="0">
                  <c:v>1920</c:v>
                </c:pt>
                <c:pt idx="1">
                  <c:v>2664</c:v>
                </c:pt>
                <c:pt idx="2">
                  <c:v>2645</c:v>
                </c:pt>
                <c:pt idx="3">
                  <c:v>1307</c:v>
                </c:pt>
                <c:pt idx="4">
                  <c:v>2550</c:v>
                </c:pt>
                <c:pt idx="5">
                  <c:v>2876</c:v>
                </c:pt>
                <c:pt idx="6">
                  <c:v>2862</c:v>
                </c:pt>
                <c:pt idx="7">
                  <c:v>3075</c:v>
                </c:pt>
                <c:pt idx="8">
                  <c:v>3020</c:v>
                </c:pt>
                <c:pt idx="9">
                  <c:v>3266</c:v>
                </c:pt>
                <c:pt idx="10">
                  <c:v>3183</c:v>
                </c:pt>
                <c:pt idx="11">
                  <c:v>3000</c:v>
                </c:pt>
                <c:pt idx="12">
                  <c:v>2938</c:v>
                </c:pt>
              </c:numCache>
            </c:numRef>
          </c:val>
          <c:extLst>
            <c:ext xmlns:c16="http://schemas.microsoft.com/office/drawing/2014/chart" uri="{C3380CC4-5D6E-409C-BE32-E72D297353CC}">
              <c16:uniqueId val="{00000001-22AF-44E9-BA57-65541878E95A}"/>
            </c:ext>
          </c:extLst>
        </c:ser>
        <c:dLbls>
          <c:showLegendKey val="0"/>
          <c:showVal val="0"/>
          <c:showCatName val="0"/>
          <c:showSerName val="0"/>
          <c:showPercent val="0"/>
          <c:showBubbleSize val="0"/>
        </c:dLbls>
        <c:gapWidth val="150"/>
        <c:overlap val="100"/>
        <c:axId val="183720576"/>
        <c:axId val="183738752"/>
      </c:barChart>
      <c:catAx>
        <c:axId val="18372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3738752"/>
        <c:crosses val="autoZero"/>
        <c:auto val="1"/>
        <c:lblAlgn val="ctr"/>
        <c:lblOffset val="100"/>
        <c:noMultiLvlLbl val="0"/>
      </c:catAx>
      <c:valAx>
        <c:axId val="183738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37205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zelenjadnice!$J$272</c:f>
              <c:strCache>
                <c:ptCount val="1"/>
                <c:pt idx="0">
                  <c:v>Tržni pridelovalci</c:v>
                </c:pt>
              </c:strCache>
            </c:strRef>
          </c:tx>
          <c:spPr>
            <a:solidFill>
              <a:schemeClr val="accent1"/>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zelenjadnice!$K$272:$W$272</c:f>
              <c:numCache>
                <c:formatCode>#,##0</c:formatCode>
                <c:ptCount val="13"/>
                <c:pt idx="0">
                  <c:v>38644</c:v>
                </c:pt>
                <c:pt idx="1">
                  <c:v>43219</c:v>
                </c:pt>
                <c:pt idx="2">
                  <c:v>47830</c:v>
                </c:pt>
                <c:pt idx="3">
                  <c:v>41324</c:v>
                </c:pt>
                <c:pt idx="4">
                  <c:v>42534</c:v>
                </c:pt>
                <c:pt idx="5">
                  <c:v>37589</c:v>
                </c:pt>
                <c:pt idx="6">
                  <c:v>41813</c:v>
                </c:pt>
                <c:pt idx="7">
                  <c:v>48569</c:v>
                </c:pt>
                <c:pt idx="8">
                  <c:v>53391</c:v>
                </c:pt>
                <c:pt idx="9">
                  <c:v>60943</c:v>
                </c:pt>
                <c:pt idx="10">
                  <c:v>57328</c:v>
                </c:pt>
                <c:pt idx="11">
                  <c:v>59763</c:v>
                </c:pt>
                <c:pt idx="12">
                  <c:v>80359</c:v>
                </c:pt>
              </c:numCache>
            </c:numRef>
          </c:val>
          <c:extLst>
            <c:ext xmlns:c16="http://schemas.microsoft.com/office/drawing/2014/chart" uri="{C3380CC4-5D6E-409C-BE32-E72D297353CC}">
              <c16:uniqueId val="{00000000-9717-4CDA-96CF-778A8C71C346}"/>
            </c:ext>
          </c:extLst>
        </c:ser>
        <c:ser>
          <c:idx val="1"/>
          <c:order val="1"/>
          <c:tx>
            <c:strRef>
              <c:f>zelenjadnice!$J$273</c:f>
              <c:strCache>
                <c:ptCount val="1"/>
                <c:pt idx="0">
                  <c:v>Netržni pridelovalci</c:v>
                </c:pt>
              </c:strCache>
            </c:strRef>
          </c:tx>
          <c:spPr>
            <a:solidFill>
              <a:srgbClr val="FF0000"/>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zelenjadnice!$K$273:$W$273</c:f>
              <c:numCache>
                <c:formatCode>#,##0</c:formatCode>
                <c:ptCount val="13"/>
                <c:pt idx="0">
                  <c:v>26579</c:v>
                </c:pt>
                <c:pt idx="1">
                  <c:v>34976</c:v>
                </c:pt>
                <c:pt idx="2">
                  <c:v>36036</c:v>
                </c:pt>
                <c:pt idx="3">
                  <c:v>18662</c:v>
                </c:pt>
                <c:pt idx="4">
                  <c:v>34758</c:v>
                </c:pt>
                <c:pt idx="5">
                  <c:v>33169</c:v>
                </c:pt>
                <c:pt idx="6">
                  <c:v>29459</c:v>
                </c:pt>
                <c:pt idx="7">
                  <c:v>37639</c:v>
                </c:pt>
                <c:pt idx="8">
                  <c:v>42156</c:v>
                </c:pt>
                <c:pt idx="9">
                  <c:v>44562</c:v>
                </c:pt>
                <c:pt idx="10">
                  <c:v>39026</c:v>
                </c:pt>
                <c:pt idx="11">
                  <c:v>40811</c:v>
                </c:pt>
                <c:pt idx="12">
                  <c:v>39761</c:v>
                </c:pt>
              </c:numCache>
            </c:numRef>
          </c:val>
          <c:extLst>
            <c:ext xmlns:c16="http://schemas.microsoft.com/office/drawing/2014/chart" uri="{C3380CC4-5D6E-409C-BE32-E72D297353CC}">
              <c16:uniqueId val="{00000001-9717-4CDA-96CF-778A8C71C346}"/>
            </c:ext>
          </c:extLst>
        </c:ser>
        <c:dLbls>
          <c:showLegendKey val="0"/>
          <c:showVal val="0"/>
          <c:showCatName val="0"/>
          <c:showSerName val="0"/>
          <c:showPercent val="0"/>
          <c:showBubbleSize val="0"/>
        </c:dLbls>
        <c:gapWidth val="150"/>
        <c:overlap val="100"/>
        <c:axId val="189236736"/>
        <c:axId val="189238272"/>
      </c:barChart>
      <c:catAx>
        <c:axId val="1892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9238272"/>
        <c:crosses val="autoZero"/>
        <c:auto val="1"/>
        <c:lblAlgn val="ctr"/>
        <c:lblOffset val="100"/>
        <c:noMultiLvlLbl val="0"/>
      </c:catAx>
      <c:valAx>
        <c:axId val="18923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923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List2!$B$1:$K$1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List2!$B$2:$K$2</c:f>
              <c:numCache>
                <c:formatCode>General</c:formatCode>
                <c:ptCount val="10"/>
                <c:pt idx="0">
                  <c:v>122.11</c:v>
                </c:pt>
                <c:pt idx="1">
                  <c:v>147.69</c:v>
                </c:pt>
                <c:pt idx="2">
                  <c:v>180.68</c:v>
                </c:pt>
                <c:pt idx="3">
                  <c:v>228</c:v>
                </c:pt>
                <c:pt idx="4">
                  <c:v>228.76</c:v>
                </c:pt>
                <c:pt idx="5">
                  <c:v>289.37</c:v>
                </c:pt>
                <c:pt idx="6">
                  <c:v>293.33999999999997</c:v>
                </c:pt>
                <c:pt idx="7">
                  <c:v>317.12</c:v>
                </c:pt>
                <c:pt idx="8">
                  <c:v>282.25203000000056</c:v>
                </c:pt>
                <c:pt idx="9">
                  <c:v>327.40039999999823</c:v>
                </c:pt>
              </c:numCache>
            </c:numRef>
          </c:val>
          <c:extLst>
            <c:ext xmlns:c16="http://schemas.microsoft.com/office/drawing/2014/chart" uri="{C3380CC4-5D6E-409C-BE32-E72D297353CC}">
              <c16:uniqueId val="{00000000-77FB-4853-A61B-9A67F615BDDC}"/>
            </c:ext>
          </c:extLst>
        </c:ser>
        <c:dLbls>
          <c:showLegendKey val="0"/>
          <c:showVal val="0"/>
          <c:showCatName val="0"/>
          <c:showSerName val="0"/>
          <c:showPercent val="0"/>
          <c:showBubbleSize val="0"/>
        </c:dLbls>
        <c:gapWidth val="219"/>
        <c:overlap val="-27"/>
        <c:axId val="187558912"/>
        <c:axId val="190071552"/>
      </c:barChart>
      <c:catAx>
        <c:axId val="18755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071552"/>
        <c:crosses val="autoZero"/>
        <c:auto val="1"/>
        <c:lblAlgn val="ctr"/>
        <c:lblOffset val="100"/>
        <c:noMultiLvlLbl val="0"/>
      </c:catAx>
      <c:valAx>
        <c:axId val="19007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755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'[15P6004 (1).xlsx]List1'!$B$8</c:f>
              <c:strCache>
                <c:ptCount val="1"/>
                <c:pt idx="0">
                  <c:v>Pridelava na prostem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(1).xlsx]List1'!$C$8:$H$8</c:f>
              <c:numCache>
                <c:formatCode>General</c:formatCode>
                <c:ptCount val="6"/>
                <c:pt idx="0">
                  <c:v>13.2</c:v>
                </c:pt>
                <c:pt idx="1">
                  <c:v>13.3</c:v>
                </c:pt>
                <c:pt idx="2">
                  <c:v>11.8</c:v>
                </c:pt>
                <c:pt idx="3">
                  <c:v>49.4</c:v>
                </c:pt>
                <c:pt idx="4">
                  <c:v>96.8</c:v>
                </c:pt>
                <c:pt idx="5">
                  <c:v>146.6</c:v>
                </c:pt>
              </c:numCache>
            </c:numRef>
          </c:val>
          <c:extLst>
            <c:ext xmlns:c16="http://schemas.microsoft.com/office/drawing/2014/chart" uri="{C3380CC4-5D6E-409C-BE32-E72D297353CC}">
              <c16:uniqueId val="{00000000-0E1F-419C-AB8C-77FD0B9CF48A}"/>
            </c:ext>
          </c:extLst>
        </c:ser>
        <c:ser>
          <c:idx val="1"/>
          <c:order val="1"/>
          <c:tx>
            <c:strRef>
              <c:f>'[15P6004 (1).xlsx]List1'!$B$9</c:f>
              <c:strCache>
                <c:ptCount val="1"/>
                <c:pt idx="0">
                  <c:v>Pridelava v zaščitenem prostoru</c:v>
                </c:pt>
              </c:strCache>
            </c:strRef>
          </c:tx>
          <c:spPr>
            <a:solidFill>
              <a:schemeClr val="accent2"/>
            </a:solidFill>
            <a:ln>
              <a:noFill/>
            </a:ln>
            <a:effectLst/>
          </c:spPr>
          <c:invertIfNegative val="0"/>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(1).xlsx]List1'!$C$9:$H$9</c:f>
              <c:numCache>
                <c:formatCode>General</c:formatCode>
                <c:ptCount val="6"/>
                <c:pt idx="0">
                  <c:v>0.1</c:v>
                </c:pt>
                <c:pt idx="1">
                  <c:v>0.1</c:v>
                </c:pt>
                <c:pt idx="2">
                  <c:v>0.3</c:v>
                </c:pt>
                <c:pt idx="3">
                  <c:v>7.2</c:v>
                </c:pt>
                <c:pt idx="4">
                  <c:v>1.6</c:v>
                </c:pt>
                <c:pt idx="5">
                  <c:v>3.3</c:v>
                </c:pt>
              </c:numCache>
            </c:numRef>
          </c:val>
          <c:extLst>
            <c:ext xmlns:c16="http://schemas.microsoft.com/office/drawing/2014/chart" uri="{C3380CC4-5D6E-409C-BE32-E72D297353CC}">
              <c16:uniqueId val="{00000001-0E1F-419C-AB8C-77FD0B9CF48A}"/>
            </c:ext>
          </c:extLst>
        </c:ser>
        <c:ser>
          <c:idx val="2"/>
          <c:order val="2"/>
          <c:spPr>
            <a:solidFill>
              <a:schemeClr val="accent3"/>
            </a:solidFill>
            <a:ln>
              <a:noFill/>
            </a:ln>
            <a:effectLst/>
          </c:spPr>
          <c:invertIfNegative val="0"/>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(1).xlsx]List1'!$C$6</c:f>
              <c:numCache>
                <c:formatCode>General</c:formatCode>
                <c:ptCount val="1"/>
                <c:pt idx="0">
                  <c:v>0</c:v>
                </c:pt>
              </c:numCache>
            </c:numRef>
          </c:val>
          <c:extLst>
            <c:ext xmlns:c16="http://schemas.microsoft.com/office/drawing/2014/chart" uri="{C3380CC4-5D6E-409C-BE32-E72D297353CC}">
              <c16:uniqueId val="{00000002-0E1F-419C-AB8C-77FD0B9CF48A}"/>
            </c:ext>
          </c:extLst>
        </c:ser>
        <c:dLbls>
          <c:showLegendKey val="0"/>
          <c:showVal val="0"/>
          <c:showCatName val="0"/>
          <c:showSerName val="0"/>
          <c:showPercent val="0"/>
          <c:showBubbleSize val="0"/>
        </c:dLbls>
        <c:gapWidth val="150"/>
        <c:axId val="190860288"/>
        <c:axId val="190870272"/>
      </c:barChart>
      <c:catAx>
        <c:axId val="1908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870272"/>
        <c:crosses val="autoZero"/>
        <c:auto val="1"/>
        <c:lblAlgn val="ctr"/>
        <c:lblOffset val="100"/>
        <c:noMultiLvlLbl val="0"/>
      </c:catAx>
      <c:valAx>
        <c:axId val="19087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800" b="0" i="0" u="none" strike="noStrike" baseline="0">
                    <a:effectLst/>
                    <a:latin typeface="Arial" panose="020B0604020202020204" pitchFamily="34" charset="0"/>
                    <a:cs typeface="Arial" panose="020B0604020202020204" pitchFamily="34" charset="0"/>
                  </a:rPr>
                  <a:t>Pridelovalna površina (ha)</a:t>
                </a:r>
                <a:r>
                  <a:rPr lang="sl-SI" sz="800" b="0" i="0" u="none" strike="noStrike" baseline="0">
                    <a:latin typeface="Arial" panose="020B0604020202020204" pitchFamily="34" charset="0"/>
                    <a:cs typeface="Arial" panose="020B0604020202020204" pitchFamily="34" charset="0"/>
                  </a:rPr>
                  <a:t> </a:t>
                </a:r>
                <a:endParaRPr lang="sl-SI" sz="800">
                  <a:latin typeface="Arial" panose="020B0604020202020204" pitchFamily="34" charset="0"/>
                  <a:cs typeface="Arial" panose="020B0604020202020204" pitchFamily="34" charset="0"/>
                </a:endParaRPr>
              </a:p>
            </c:rich>
          </c:tx>
          <c:layout>
            <c:manualLayout>
              <c:xMode val="edge"/>
              <c:yMode val="edge"/>
              <c:x val="3.3794162826420893E-2"/>
              <c:y val="0.118525073746312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8602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List1!$B$32</c:f>
              <c:strCache>
                <c:ptCount val="1"/>
                <c:pt idx="0">
                  <c:v>Pridelava na prostem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List1!$C$31:$H$31</c:f>
              <c:numCache>
                <c:formatCode>General</c:formatCode>
                <c:ptCount val="6"/>
                <c:pt idx="0">
                  <c:v>2000</c:v>
                </c:pt>
                <c:pt idx="1">
                  <c:v>2003</c:v>
                </c:pt>
                <c:pt idx="2">
                  <c:v>2006</c:v>
                </c:pt>
                <c:pt idx="3">
                  <c:v>2013</c:v>
                </c:pt>
                <c:pt idx="4">
                  <c:v>2016</c:v>
                </c:pt>
                <c:pt idx="5">
                  <c:v>2019</c:v>
                </c:pt>
              </c:numCache>
            </c:numRef>
          </c:cat>
          <c:val>
            <c:numRef>
              <c:f>List1!$C$32:$H$32</c:f>
              <c:numCache>
                <c:formatCode>General</c:formatCode>
                <c:ptCount val="6"/>
                <c:pt idx="0">
                  <c:v>60</c:v>
                </c:pt>
                <c:pt idx="1">
                  <c:v>46</c:v>
                </c:pt>
                <c:pt idx="2">
                  <c:v>39</c:v>
                </c:pt>
                <c:pt idx="3">
                  <c:v>164</c:v>
                </c:pt>
                <c:pt idx="4">
                  <c:v>200</c:v>
                </c:pt>
                <c:pt idx="5">
                  <c:v>311</c:v>
                </c:pt>
              </c:numCache>
            </c:numRef>
          </c:val>
          <c:extLst>
            <c:ext xmlns:c16="http://schemas.microsoft.com/office/drawing/2014/chart" uri="{C3380CC4-5D6E-409C-BE32-E72D297353CC}">
              <c16:uniqueId val="{00000000-E254-409D-9B9F-CCBD40576578}"/>
            </c:ext>
          </c:extLst>
        </c:ser>
        <c:ser>
          <c:idx val="1"/>
          <c:order val="1"/>
          <c:tx>
            <c:strRef>
              <c:f>List1!$B$33</c:f>
              <c:strCache>
                <c:ptCount val="1"/>
                <c:pt idx="0">
                  <c:v>Pridelava v zaščitenem prostoru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List1!$C$31:$H$31</c:f>
              <c:numCache>
                <c:formatCode>General</c:formatCode>
                <c:ptCount val="6"/>
                <c:pt idx="0">
                  <c:v>2000</c:v>
                </c:pt>
                <c:pt idx="1">
                  <c:v>2003</c:v>
                </c:pt>
                <c:pt idx="2">
                  <c:v>2006</c:v>
                </c:pt>
                <c:pt idx="3">
                  <c:v>2013</c:v>
                </c:pt>
                <c:pt idx="4">
                  <c:v>2016</c:v>
                </c:pt>
                <c:pt idx="5">
                  <c:v>2019</c:v>
                </c:pt>
              </c:numCache>
            </c:numRef>
          </c:cat>
          <c:val>
            <c:numRef>
              <c:f>List1!$C$33:$H$33</c:f>
              <c:numCache>
                <c:formatCode>General</c:formatCode>
                <c:ptCount val="6"/>
                <c:pt idx="0">
                  <c:v>7</c:v>
                </c:pt>
                <c:pt idx="1">
                  <c:v>20</c:v>
                </c:pt>
                <c:pt idx="2">
                  <c:v>26</c:v>
                </c:pt>
                <c:pt idx="3">
                  <c:v>100</c:v>
                </c:pt>
                <c:pt idx="4">
                  <c:v>74</c:v>
                </c:pt>
                <c:pt idx="5">
                  <c:v>71</c:v>
                </c:pt>
              </c:numCache>
            </c:numRef>
          </c:val>
          <c:extLst>
            <c:ext xmlns:c16="http://schemas.microsoft.com/office/drawing/2014/chart" uri="{C3380CC4-5D6E-409C-BE32-E72D297353CC}">
              <c16:uniqueId val="{00000001-E254-409D-9B9F-CCBD40576578}"/>
            </c:ext>
          </c:extLst>
        </c:ser>
        <c:dLbls>
          <c:showLegendKey val="0"/>
          <c:showVal val="0"/>
          <c:showCatName val="0"/>
          <c:showSerName val="0"/>
          <c:showPercent val="0"/>
          <c:showBubbleSize val="0"/>
        </c:dLbls>
        <c:gapWidth val="219"/>
        <c:overlap val="-27"/>
        <c:axId val="190984192"/>
        <c:axId val="190985728"/>
      </c:barChart>
      <c:catAx>
        <c:axId val="1909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985728"/>
        <c:crosses val="autoZero"/>
        <c:auto val="1"/>
        <c:lblAlgn val="ctr"/>
        <c:lblOffset val="100"/>
        <c:noMultiLvlLbl val="0"/>
      </c:catAx>
      <c:valAx>
        <c:axId val="19098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a:t>
                </a:r>
                <a:r>
                  <a:rPr lang="sl-SI" baseline="0"/>
                  <a:t> KMG</a:t>
                </a:r>
                <a:endParaRPr lang="sl-SI"/>
              </a:p>
            </c:rich>
          </c:tx>
          <c:layout>
            <c:manualLayout>
              <c:xMode val="edge"/>
              <c:yMode val="edge"/>
              <c:x val="2.3756495916852263E-2"/>
              <c:y val="0.3201550387596899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98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4705939783859E-2"/>
          <c:y val="4.218282555106144E-2"/>
          <c:w val="0.59194625977740212"/>
          <c:h val="0.72095011287924682"/>
        </c:manualLayout>
      </c:layout>
      <c:barChart>
        <c:barDir val="col"/>
        <c:grouping val="clustered"/>
        <c:varyColors val="0"/>
        <c:ser>
          <c:idx val="0"/>
          <c:order val="0"/>
          <c:tx>
            <c:v>Delež pokritosti z mrežami glede na celotno površino (%)</c:v>
          </c:tx>
          <c:invertIfNegative val="0"/>
          <c:cat>
            <c:strRef>
              <c:f>IZBIRNIK!$S$54:$S$62</c:f>
              <c:strCache>
                <c:ptCount val="9"/>
                <c:pt idx="0">
                  <c:v>JABLANA</c:v>
                </c:pt>
                <c:pt idx="1">
                  <c:v>HRUŠKA</c:v>
                </c:pt>
                <c:pt idx="2">
                  <c:v>BRESKEV</c:v>
                </c:pt>
                <c:pt idx="3">
                  <c:v>ČEŠNJA</c:v>
                </c:pt>
                <c:pt idx="4">
                  <c:v>OREH</c:v>
                </c:pt>
                <c:pt idx="5">
                  <c:v>LESKA</c:v>
                </c:pt>
                <c:pt idx="6">
                  <c:v>KAKI</c:v>
                </c:pt>
                <c:pt idx="7">
                  <c:v>JAGODA</c:v>
                </c:pt>
                <c:pt idx="8">
                  <c:v>ARONIJA</c:v>
                </c:pt>
              </c:strCache>
            </c:strRef>
          </c:cat>
          <c:val>
            <c:numRef>
              <c:f>IZBIRNIK!$T$54:$T$62</c:f>
              <c:numCache>
                <c:formatCode>#,##0</c:formatCode>
                <c:ptCount val="9"/>
                <c:pt idx="0">
                  <c:v>52.253881741261054</c:v>
                </c:pt>
                <c:pt idx="1">
                  <c:v>17.173539474176156</c:v>
                </c:pt>
                <c:pt idx="2">
                  <c:v>7.8552071684314457</c:v>
                </c:pt>
                <c:pt idx="3">
                  <c:v>5.1634764649966831</c:v>
                </c:pt>
                <c:pt idx="4">
                  <c:v>9.2018795759221781E-5</c:v>
                </c:pt>
                <c:pt idx="5">
                  <c:v>0.16954454080524692</c:v>
                </c:pt>
                <c:pt idx="6">
                  <c:v>1.3977564177522082</c:v>
                </c:pt>
                <c:pt idx="7">
                  <c:v>2.9757384790186845</c:v>
                </c:pt>
                <c:pt idx="8">
                  <c:v>2.6970156675080523</c:v>
                </c:pt>
              </c:numCache>
            </c:numRef>
          </c:val>
          <c:extLst>
            <c:ext xmlns:c16="http://schemas.microsoft.com/office/drawing/2014/chart" uri="{C3380CC4-5D6E-409C-BE32-E72D297353CC}">
              <c16:uniqueId val="{00000000-02B9-47EC-A113-C44078CF9E52}"/>
            </c:ext>
          </c:extLst>
        </c:ser>
        <c:ser>
          <c:idx val="1"/>
          <c:order val="1"/>
          <c:tx>
            <c:v>Delež namakanih površin glede na celotno površino (%)</c:v>
          </c:tx>
          <c:invertIfNegative val="0"/>
          <c:cat>
            <c:strRef>
              <c:f>IZBIRNIK!$S$54:$S$62</c:f>
              <c:strCache>
                <c:ptCount val="9"/>
                <c:pt idx="0">
                  <c:v>JABLANA</c:v>
                </c:pt>
                <c:pt idx="1">
                  <c:v>HRUŠKA</c:v>
                </c:pt>
                <c:pt idx="2">
                  <c:v>BRESKEV</c:v>
                </c:pt>
                <c:pt idx="3">
                  <c:v>ČEŠNJA</c:v>
                </c:pt>
                <c:pt idx="4">
                  <c:v>OREH</c:v>
                </c:pt>
                <c:pt idx="5">
                  <c:v>LESKA</c:v>
                </c:pt>
                <c:pt idx="6">
                  <c:v>KAKI</c:v>
                </c:pt>
                <c:pt idx="7">
                  <c:v>JAGODA</c:v>
                </c:pt>
                <c:pt idx="8">
                  <c:v>ARONIJA</c:v>
                </c:pt>
              </c:strCache>
            </c:strRef>
          </c:cat>
          <c:val>
            <c:numRef>
              <c:f>IZBIRNIK!$U$54:$U$62</c:f>
              <c:numCache>
                <c:formatCode>#,##0</c:formatCode>
                <c:ptCount val="9"/>
                <c:pt idx="0">
                  <c:v>16.053659608663136</c:v>
                </c:pt>
                <c:pt idx="1">
                  <c:v>37.018602557798459</c:v>
                </c:pt>
                <c:pt idx="2">
                  <c:v>42.004362138757791</c:v>
                </c:pt>
                <c:pt idx="3">
                  <c:v>18.76528302476644</c:v>
                </c:pt>
                <c:pt idx="4">
                  <c:v>1.1603340098248469</c:v>
                </c:pt>
                <c:pt idx="5">
                  <c:v>6.398596359806322</c:v>
                </c:pt>
                <c:pt idx="6">
                  <c:v>16.637519673137906</c:v>
                </c:pt>
                <c:pt idx="7">
                  <c:v>76.426569220102706</c:v>
                </c:pt>
                <c:pt idx="8">
                  <c:v>3.8986030042850492</c:v>
                </c:pt>
              </c:numCache>
            </c:numRef>
          </c:val>
          <c:extLst>
            <c:ext xmlns:c16="http://schemas.microsoft.com/office/drawing/2014/chart" uri="{C3380CC4-5D6E-409C-BE32-E72D297353CC}">
              <c16:uniqueId val="{00000001-02B9-47EC-A113-C44078CF9E52}"/>
            </c:ext>
          </c:extLst>
        </c:ser>
        <c:dLbls>
          <c:showLegendKey val="0"/>
          <c:showVal val="0"/>
          <c:showCatName val="0"/>
          <c:showSerName val="0"/>
          <c:showPercent val="0"/>
          <c:showBubbleSize val="0"/>
        </c:dLbls>
        <c:gapWidth val="150"/>
        <c:axId val="191015936"/>
        <c:axId val="190927616"/>
      </c:barChart>
      <c:catAx>
        <c:axId val="191015936"/>
        <c:scaling>
          <c:orientation val="minMax"/>
        </c:scaling>
        <c:delete val="0"/>
        <c:axPos val="b"/>
        <c:numFmt formatCode="General" sourceLinked="0"/>
        <c:majorTickMark val="out"/>
        <c:minorTickMark val="none"/>
        <c:tickLblPos val="nextTo"/>
        <c:crossAx val="190927616"/>
        <c:crosses val="autoZero"/>
        <c:auto val="1"/>
        <c:lblAlgn val="ctr"/>
        <c:lblOffset val="100"/>
        <c:noMultiLvlLbl val="0"/>
      </c:catAx>
      <c:valAx>
        <c:axId val="190927616"/>
        <c:scaling>
          <c:orientation val="minMax"/>
        </c:scaling>
        <c:delete val="0"/>
        <c:axPos val="l"/>
        <c:majorGridlines/>
        <c:numFmt formatCode="#,##0" sourceLinked="1"/>
        <c:majorTickMark val="out"/>
        <c:minorTickMark val="none"/>
        <c:tickLblPos val="nextTo"/>
        <c:crossAx val="191015936"/>
        <c:crosses val="autoZero"/>
        <c:crossBetween val="between"/>
      </c:valAx>
    </c:plotArea>
    <c:legend>
      <c:legendPos val="r"/>
      <c:layout>
        <c:manualLayout>
          <c:xMode val="edge"/>
          <c:yMode val="edge"/>
          <c:x val="0.70418080803081895"/>
          <c:y val="0.32871641154121467"/>
          <c:w val="0.28047975147664927"/>
          <c:h val="0.3425671769175706"/>
        </c:manualLayout>
      </c:layout>
      <c:overlay val="0"/>
      <c:txPr>
        <a:bodyPr/>
        <a:lstStyle/>
        <a:p>
          <a:pPr>
            <a:defRPr>
              <a:latin typeface="Arial" panose="020B0604020202020204" pitchFamily="34" charset="0"/>
              <a:cs typeface="Arial" panose="020B0604020202020204" pitchFamily="34" charset="0"/>
            </a:defRPr>
          </a:pPr>
          <a:endParaRPr lang="sl-SI"/>
        </a:p>
      </c:txPr>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907261592301"/>
          <c:y val="5.1400554097404488E-2"/>
          <c:w val="0.65056014873140855"/>
          <c:h val="0.8326195683872849"/>
        </c:manualLayout>
      </c:layout>
      <c:barChart>
        <c:barDir val="col"/>
        <c:grouping val="clustered"/>
        <c:varyColors val="0"/>
        <c:ser>
          <c:idx val="0"/>
          <c:order val="0"/>
          <c:tx>
            <c:strRef>
              <c:f>ISAD_leto_sajenja!$DW$33</c:f>
              <c:strCache>
                <c:ptCount val="1"/>
                <c:pt idx="0">
                  <c:v>nad 40 let</c:v>
                </c:pt>
              </c:strCache>
            </c:strRef>
          </c:tx>
          <c:invertIfNegative val="0"/>
          <c:cat>
            <c:strRef>
              <c:f>ISAD_leto_sajenja!$DV$34:$DV$37</c:f>
              <c:strCache>
                <c:ptCount val="4"/>
                <c:pt idx="0">
                  <c:v>JABLANA</c:v>
                </c:pt>
                <c:pt idx="1">
                  <c:v>HRUŠKA</c:v>
                </c:pt>
                <c:pt idx="2">
                  <c:v>OREH</c:v>
                </c:pt>
                <c:pt idx="3">
                  <c:v>ČEŠNJA</c:v>
                </c:pt>
              </c:strCache>
            </c:strRef>
          </c:cat>
          <c:val>
            <c:numRef>
              <c:f>ISAD_leto_sajenja!$DW$34:$DW$37</c:f>
              <c:numCache>
                <c:formatCode>#,##0</c:formatCode>
                <c:ptCount val="4"/>
                <c:pt idx="0">
                  <c:v>19.2257</c:v>
                </c:pt>
                <c:pt idx="1">
                  <c:v>8.4443000000000001</c:v>
                </c:pt>
                <c:pt idx="2">
                  <c:v>4.3509000000000002</c:v>
                </c:pt>
                <c:pt idx="3">
                  <c:v>1.8442000000000001</c:v>
                </c:pt>
              </c:numCache>
            </c:numRef>
          </c:val>
          <c:extLst>
            <c:ext xmlns:c16="http://schemas.microsoft.com/office/drawing/2014/chart" uri="{C3380CC4-5D6E-409C-BE32-E72D297353CC}">
              <c16:uniqueId val="{00000000-9A3B-4287-8996-579D22A4C074}"/>
            </c:ext>
          </c:extLst>
        </c:ser>
        <c:ser>
          <c:idx val="1"/>
          <c:order val="1"/>
          <c:tx>
            <c:strRef>
              <c:f>ISAD_leto_sajenja!$DX$33</c:f>
              <c:strCache>
                <c:ptCount val="1"/>
                <c:pt idx="0">
                  <c:v>od 31 do 40 let</c:v>
                </c:pt>
              </c:strCache>
            </c:strRef>
          </c:tx>
          <c:invertIfNegative val="0"/>
          <c:cat>
            <c:strRef>
              <c:f>ISAD_leto_sajenja!$DV$34:$DV$37</c:f>
              <c:strCache>
                <c:ptCount val="4"/>
                <c:pt idx="0">
                  <c:v>JABLANA</c:v>
                </c:pt>
                <c:pt idx="1">
                  <c:v>HRUŠKA</c:v>
                </c:pt>
                <c:pt idx="2">
                  <c:v>OREH</c:v>
                </c:pt>
                <c:pt idx="3">
                  <c:v>ČEŠNJA</c:v>
                </c:pt>
              </c:strCache>
            </c:strRef>
          </c:cat>
          <c:val>
            <c:numRef>
              <c:f>ISAD_leto_sajenja!$DX$34:$DX$37</c:f>
              <c:numCache>
                <c:formatCode>#,##0</c:formatCode>
                <c:ptCount val="4"/>
                <c:pt idx="0">
                  <c:v>165.5643</c:v>
                </c:pt>
                <c:pt idx="1">
                  <c:v>47.536700000000003</c:v>
                </c:pt>
                <c:pt idx="2">
                  <c:v>16.928100000000001</c:v>
                </c:pt>
                <c:pt idx="3">
                  <c:v>7.4733999999999998</c:v>
                </c:pt>
              </c:numCache>
            </c:numRef>
          </c:val>
          <c:extLst>
            <c:ext xmlns:c16="http://schemas.microsoft.com/office/drawing/2014/chart" uri="{C3380CC4-5D6E-409C-BE32-E72D297353CC}">
              <c16:uniqueId val="{00000001-9A3B-4287-8996-579D22A4C074}"/>
            </c:ext>
          </c:extLst>
        </c:ser>
        <c:ser>
          <c:idx val="2"/>
          <c:order val="2"/>
          <c:tx>
            <c:strRef>
              <c:f>ISAD_leto_sajenja!$DY$33</c:f>
              <c:strCache>
                <c:ptCount val="1"/>
                <c:pt idx="0">
                  <c:v>od 21 do 30 let</c:v>
                </c:pt>
              </c:strCache>
            </c:strRef>
          </c:tx>
          <c:invertIfNegative val="0"/>
          <c:cat>
            <c:strRef>
              <c:f>ISAD_leto_sajenja!$DV$34:$DV$37</c:f>
              <c:strCache>
                <c:ptCount val="4"/>
                <c:pt idx="0">
                  <c:v>JABLANA</c:v>
                </c:pt>
                <c:pt idx="1">
                  <c:v>HRUŠKA</c:v>
                </c:pt>
                <c:pt idx="2">
                  <c:v>OREH</c:v>
                </c:pt>
                <c:pt idx="3">
                  <c:v>ČEŠNJA</c:v>
                </c:pt>
              </c:strCache>
            </c:strRef>
          </c:cat>
          <c:val>
            <c:numRef>
              <c:f>ISAD_leto_sajenja!$DY$34:$DY$37</c:f>
              <c:numCache>
                <c:formatCode>#,##0</c:formatCode>
                <c:ptCount val="4"/>
                <c:pt idx="0">
                  <c:v>368.31540000000001</c:v>
                </c:pt>
                <c:pt idx="1">
                  <c:v>50.032200000000003</c:v>
                </c:pt>
                <c:pt idx="2">
                  <c:v>30.007000000000001</c:v>
                </c:pt>
                <c:pt idx="3">
                  <c:v>25.417200000000001</c:v>
                </c:pt>
              </c:numCache>
            </c:numRef>
          </c:val>
          <c:extLst>
            <c:ext xmlns:c16="http://schemas.microsoft.com/office/drawing/2014/chart" uri="{C3380CC4-5D6E-409C-BE32-E72D297353CC}">
              <c16:uniqueId val="{00000002-9A3B-4287-8996-579D22A4C074}"/>
            </c:ext>
          </c:extLst>
        </c:ser>
        <c:ser>
          <c:idx val="3"/>
          <c:order val="3"/>
          <c:tx>
            <c:strRef>
              <c:f>ISAD_leto_sajenja!$DZ$33</c:f>
              <c:strCache>
                <c:ptCount val="1"/>
                <c:pt idx="0">
                  <c:v>od 11 do 20</c:v>
                </c:pt>
              </c:strCache>
            </c:strRef>
          </c:tx>
          <c:invertIfNegative val="0"/>
          <c:cat>
            <c:strRef>
              <c:f>ISAD_leto_sajenja!$DV$34:$DV$37</c:f>
              <c:strCache>
                <c:ptCount val="4"/>
                <c:pt idx="0">
                  <c:v>JABLANA</c:v>
                </c:pt>
                <c:pt idx="1">
                  <c:v>HRUŠKA</c:v>
                </c:pt>
                <c:pt idx="2">
                  <c:v>OREH</c:v>
                </c:pt>
                <c:pt idx="3">
                  <c:v>ČEŠNJA</c:v>
                </c:pt>
              </c:strCache>
            </c:strRef>
          </c:cat>
          <c:val>
            <c:numRef>
              <c:f>ISAD_leto_sajenja!$DZ$34:$DZ$37</c:f>
              <c:numCache>
                <c:formatCode>#,##0</c:formatCode>
                <c:ptCount val="4"/>
                <c:pt idx="0">
                  <c:v>883.54139999999995</c:v>
                </c:pt>
                <c:pt idx="1">
                  <c:v>45.2331</c:v>
                </c:pt>
                <c:pt idx="2">
                  <c:v>65.017499999999998</c:v>
                </c:pt>
                <c:pt idx="3">
                  <c:v>75.910300000000007</c:v>
                </c:pt>
              </c:numCache>
            </c:numRef>
          </c:val>
          <c:extLst>
            <c:ext xmlns:c16="http://schemas.microsoft.com/office/drawing/2014/chart" uri="{C3380CC4-5D6E-409C-BE32-E72D297353CC}">
              <c16:uniqueId val="{00000003-9A3B-4287-8996-579D22A4C074}"/>
            </c:ext>
          </c:extLst>
        </c:ser>
        <c:ser>
          <c:idx val="4"/>
          <c:order val="4"/>
          <c:tx>
            <c:strRef>
              <c:f>ISAD_leto_sajenja!$EA$33</c:f>
              <c:strCache>
                <c:ptCount val="1"/>
                <c:pt idx="0">
                  <c:v>od 6 do 10 let</c:v>
                </c:pt>
              </c:strCache>
            </c:strRef>
          </c:tx>
          <c:invertIfNegative val="0"/>
          <c:cat>
            <c:strRef>
              <c:f>ISAD_leto_sajenja!$DV$34:$DV$37</c:f>
              <c:strCache>
                <c:ptCount val="4"/>
                <c:pt idx="0">
                  <c:v>JABLANA</c:v>
                </c:pt>
                <c:pt idx="1">
                  <c:v>HRUŠKA</c:v>
                </c:pt>
                <c:pt idx="2">
                  <c:v>OREH</c:v>
                </c:pt>
                <c:pt idx="3">
                  <c:v>ČEŠNJA</c:v>
                </c:pt>
              </c:strCache>
            </c:strRef>
          </c:cat>
          <c:val>
            <c:numRef>
              <c:f>ISAD_leto_sajenja!$EA$34:$EA$37</c:f>
              <c:numCache>
                <c:formatCode>#,##0</c:formatCode>
                <c:ptCount val="4"/>
                <c:pt idx="0">
                  <c:v>427.33069999999998</c:v>
                </c:pt>
                <c:pt idx="1">
                  <c:v>26.705500000000001</c:v>
                </c:pt>
                <c:pt idx="2">
                  <c:v>93.887</c:v>
                </c:pt>
                <c:pt idx="3">
                  <c:v>42.454799999999999</c:v>
                </c:pt>
              </c:numCache>
            </c:numRef>
          </c:val>
          <c:extLst>
            <c:ext xmlns:c16="http://schemas.microsoft.com/office/drawing/2014/chart" uri="{C3380CC4-5D6E-409C-BE32-E72D297353CC}">
              <c16:uniqueId val="{00000004-9A3B-4287-8996-579D22A4C074}"/>
            </c:ext>
          </c:extLst>
        </c:ser>
        <c:ser>
          <c:idx val="5"/>
          <c:order val="5"/>
          <c:tx>
            <c:strRef>
              <c:f>ISAD_leto_sajenja!$EB$33</c:f>
              <c:strCache>
                <c:ptCount val="1"/>
                <c:pt idx="0">
                  <c:v>do 5 let</c:v>
                </c:pt>
              </c:strCache>
            </c:strRef>
          </c:tx>
          <c:invertIfNegative val="0"/>
          <c:cat>
            <c:strRef>
              <c:f>ISAD_leto_sajenja!$DV$34:$DV$37</c:f>
              <c:strCache>
                <c:ptCount val="4"/>
                <c:pt idx="0">
                  <c:v>JABLANA</c:v>
                </c:pt>
                <c:pt idx="1">
                  <c:v>HRUŠKA</c:v>
                </c:pt>
                <c:pt idx="2">
                  <c:v>OREH</c:v>
                </c:pt>
                <c:pt idx="3">
                  <c:v>ČEŠNJA</c:v>
                </c:pt>
              </c:strCache>
            </c:strRef>
          </c:cat>
          <c:val>
            <c:numRef>
              <c:f>ISAD_leto_sajenja!$EB$34:$EB$37</c:f>
              <c:numCache>
                <c:formatCode>#,##0</c:formatCode>
                <c:ptCount val="4"/>
                <c:pt idx="0">
                  <c:v>376.48660000000001</c:v>
                </c:pt>
                <c:pt idx="1">
                  <c:v>33.3474</c:v>
                </c:pt>
                <c:pt idx="2">
                  <c:v>224.50360000000001</c:v>
                </c:pt>
                <c:pt idx="3">
                  <c:v>51.620399999999997</c:v>
                </c:pt>
              </c:numCache>
            </c:numRef>
          </c:val>
          <c:extLst>
            <c:ext xmlns:c16="http://schemas.microsoft.com/office/drawing/2014/chart" uri="{C3380CC4-5D6E-409C-BE32-E72D297353CC}">
              <c16:uniqueId val="{00000005-9A3B-4287-8996-579D22A4C074}"/>
            </c:ext>
          </c:extLst>
        </c:ser>
        <c:dLbls>
          <c:showLegendKey val="0"/>
          <c:showVal val="0"/>
          <c:showCatName val="0"/>
          <c:showSerName val="0"/>
          <c:showPercent val="0"/>
          <c:showBubbleSize val="0"/>
        </c:dLbls>
        <c:gapWidth val="150"/>
        <c:axId val="190945920"/>
        <c:axId val="190964096"/>
      </c:barChart>
      <c:catAx>
        <c:axId val="190945920"/>
        <c:scaling>
          <c:orientation val="minMax"/>
        </c:scaling>
        <c:delete val="0"/>
        <c:axPos val="b"/>
        <c:numFmt formatCode="General" sourceLinked="0"/>
        <c:majorTickMark val="out"/>
        <c:minorTickMark val="none"/>
        <c:tickLblPos val="nextTo"/>
        <c:crossAx val="190964096"/>
        <c:crosses val="autoZero"/>
        <c:auto val="1"/>
        <c:lblAlgn val="ctr"/>
        <c:lblOffset val="100"/>
        <c:noMultiLvlLbl val="0"/>
      </c:catAx>
      <c:valAx>
        <c:axId val="190964096"/>
        <c:scaling>
          <c:orientation val="minMax"/>
        </c:scaling>
        <c:delete val="0"/>
        <c:axPos val="l"/>
        <c:majorGridlines/>
        <c:numFmt formatCode="#,##0" sourceLinked="1"/>
        <c:majorTickMark val="out"/>
        <c:minorTickMark val="none"/>
        <c:tickLblPos val="nextTo"/>
        <c:crossAx val="190945920"/>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sl-SI"/>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'oljke-površina'!$E$10</c:f>
              <c:strCache>
                <c:ptCount val="1"/>
                <c:pt idx="0">
                  <c:v>ST_KMG-RKG</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'oljke-površina'!$E$11:$E$20</c:f>
              <c:numCache>
                <c:formatCode>General</c:formatCode>
                <c:ptCount val="10"/>
                <c:pt idx="0">
                  <c:v>1312</c:v>
                </c:pt>
                <c:pt idx="1">
                  <c:v>1437</c:v>
                </c:pt>
                <c:pt idx="2">
                  <c:v>1720</c:v>
                </c:pt>
                <c:pt idx="3">
                  <c:v>1979</c:v>
                </c:pt>
                <c:pt idx="4">
                  <c:v>2168</c:v>
                </c:pt>
                <c:pt idx="5">
                  <c:v>2327</c:v>
                </c:pt>
                <c:pt idx="6">
                  <c:v>2534</c:v>
                </c:pt>
                <c:pt idx="7">
                  <c:v>2665</c:v>
                </c:pt>
                <c:pt idx="8">
                  <c:v>2808</c:v>
                </c:pt>
                <c:pt idx="9">
                  <c:v>3030</c:v>
                </c:pt>
              </c:numCache>
            </c:numRef>
          </c:val>
          <c:smooth val="0"/>
          <c:extLst>
            <c:ext xmlns:c16="http://schemas.microsoft.com/office/drawing/2014/chart" uri="{C3380CC4-5D6E-409C-BE32-E72D297353CC}">
              <c16:uniqueId val="{00000000-FF15-40FA-A3E4-932E0FC4B9C0}"/>
            </c:ext>
          </c:extLst>
        </c:ser>
        <c:ser>
          <c:idx val="1"/>
          <c:order val="1"/>
          <c:tx>
            <c:strRef>
              <c:f>'oljke-površina'!$F$10</c:f>
              <c:strCache>
                <c:ptCount val="1"/>
                <c:pt idx="0">
                  <c:v>POV_HA-RKG</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'oljke-površina'!$F$11:$F$20</c:f>
              <c:numCache>
                <c:formatCode>General</c:formatCode>
                <c:ptCount val="10"/>
                <c:pt idx="0">
                  <c:v>682</c:v>
                </c:pt>
                <c:pt idx="1">
                  <c:v>752</c:v>
                </c:pt>
                <c:pt idx="2">
                  <c:v>852</c:v>
                </c:pt>
                <c:pt idx="3" formatCode="0">
                  <c:v>951.2</c:v>
                </c:pt>
                <c:pt idx="4" formatCode="0">
                  <c:v>1020.27</c:v>
                </c:pt>
                <c:pt idx="5" formatCode="0">
                  <c:v>1097.94</c:v>
                </c:pt>
                <c:pt idx="6" formatCode="0">
                  <c:v>1193.53</c:v>
                </c:pt>
                <c:pt idx="7" formatCode="0">
                  <c:v>1264.74</c:v>
                </c:pt>
                <c:pt idx="8" formatCode="0">
                  <c:v>1320.95</c:v>
                </c:pt>
                <c:pt idx="9" formatCode="0">
                  <c:v>1415</c:v>
                </c:pt>
              </c:numCache>
            </c:numRef>
          </c:val>
          <c:smooth val="0"/>
          <c:extLst>
            <c:ext xmlns:c16="http://schemas.microsoft.com/office/drawing/2014/chart" uri="{C3380CC4-5D6E-409C-BE32-E72D297353CC}">
              <c16:uniqueId val="{00000001-FF15-40FA-A3E4-932E0FC4B9C0}"/>
            </c:ext>
          </c:extLst>
        </c:ser>
        <c:ser>
          <c:idx val="2"/>
          <c:order val="2"/>
          <c:tx>
            <c:strRef>
              <c:f>'oljke-površina'!$G$10</c:f>
              <c:strCache>
                <c:ptCount val="1"/>
                <c:pt idx="0">
                  <c:v>POV_HA-RABA</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'oljke-površina'!$G$11:$G$20</c:f>
              <c:numCache>
                <c:formatCode>General</c:formatCode>
                <c:ptCount val="10"/>
                <c:pt idx="0">
                  <c:v>1805</c:v>
                </c:pt>
                <c:pt idx="1">
                  <c:v>1821</c:v>
                </c:pt>
                <c:pt idx="2">
                  <c:v>1889</c:v>
                </c:pt>
                <c:pt idx="3" formatCode="0">
                  <c:v>1911</c:v>
                </c:pt>
                <c:pt idx="4" formatCode="0">
                  <c:v>1981</c:v>
                </c:pt>
                <c:pt idx="5" formatCode="0">
                  <c:v>2077</c:v>
                </c:pt>
                <c:pt idx="6" formatCode="0">
                  <c:v>2132</c:v>
                </c:pt>
                <c:pt idx="7" formatCode="0">
                  <c:v>2333</c:v>
                </c:pt>
                <c:pt idx="8" formatCode="0">
                  <c:v>2357</c:v>
                </c:pt>
                <c:pt idx="9" formatCode="0">
                  <c:v>2381</c:v>
                </c:pt>
              </c:numCache>
            </c:numRef>
          </c:val>
          <c:smooth val="0"/>
          <c:extLst>
            <c:ext xmlns:c16="http://schemas.microsoft.com/office/drawing/2014/chart" uri="{C3380CC4-5D6E-409C-BE32-E72D297353CC}">
              <c16:uniqueId val="{00000002-FF15-40FA-A3E4-932E0FC4B9C0}"/>
            </c:ext>
          </c:extLst>
        </c:ser>
        <c:ser>
          <c:idx val="3"/>
          <c:order val="3"/>
          <c:tx>
            <c:strRef>
              <c:f>'oljke-površina'!$H$10</c:f>
              <c:strCache>
                <c:ptCount val="1"/>
                <c:pt idx="0">
                  <c:v>POV_HA-SURS</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'oljke-površina'!$H$11:$H$20</c:f>
              <c:numCache>
                <c:formatCode>General</c:formatCode>
                <c:ptCount val="10"/>
                <c:pt idx="0">
                  <c:v>892</c:v>
                </c:pt>
                <c:pt idx="1">
                  <c:v>892</c:v>
                </c:pt>
                <c:pt idx="2">
                  <c:v>892</c:v>
                </c:pt>
                <c:pt idx="3">
                  <c:v>925</c:v>
                </c:pt>
                <c:pt idx="4">
                  <c:v>996</c:v>
                </c:pt>
                <c:pt idx="5">
                  <c:v>1076</c:v>
                </c:pt>
                <c:pt idx="6">
                  <c:v>1173</c:v>
                </c:pt>
                <c:pt idx="7">
                  <c:v>1243</c:v>
                </c:pt>
                <c:pt idx="8">
                  <c:v>1302</c:v>
                </c:pt>
                <c:pt idx="9">
                  <c:v>1374</c:v>
                </c:pt>
              </c:numCache>
            </c:numRef>
          </c:val>
          <c:smooth val="0"/>
          <c:extLst>
            <c:ext xmlns:c16="http://schemas.microsoft.com/office/drawing/2014/chart" uri="{C3380CC4-5D6E-409C-BE32-E72D297353CC}">
              <c16:uniqueId val="{00000003-FF15-40FA-A3E4-932E0FC4B9C0}"/>
            </c:ext>
          </c:extLst>
        </c:ser>
        <c:dLbls>
          <c:showLegendKey val="0"/>
          <c:showVal val="0"/>
          <c:showCatName val="0"/>
          <c:showSerName val="0"/>
          <c:showPercent val="0"/>
          <c:showBubbleSize val="0"/>
        </c:dLbls>
        <c:smooth val="0"/>
        <c:axId val="191991808"/>
        <c:axId val="191993344"/>
      </c:lineChart>
      <c:catAx>
        <c:axId val="191991808"/>
        <c:scaling>
          <c:orientation val="minMax"/>
        </c:scaling>
        <c:delete val="0"/>
        <c:axPos val="b"/>
        <c:numFmt formatCode="General" sourceLinked="1"/>
        <c:majorTickMark val="none"/>
        <c:minorTickMark val="none"/>
        <c:tickLblPos val="nextTo"/>
        <c:crossAx val="191993344"/>
        <c:crosses val="autoZero"/>
        <c:auto val="1"/>
        <c:lblAlgn val="ctr"/>
        <c:lblOffset val="100"/>
        <c:noMultiLvlLbl val="0"/>
      </c:catAx>
      <c:valAx>
        <c:axId val="191993344"/>
        <c:scaling>
          <c:orientation val="minMax"/>
        </c:scaling>
        <c:delete val="0"/>
        <c:axPos val="l"/>
        <c:majorGridlines/>
        <c:title>
          <c:tx>
            <c:rich>
              <a:bodyPr/>
              <a:lstStyle/>
              <a:p>
                <a:pPr>
                  <a:defRPr sz="800" b="0">
                    <a:latin typeface="Arial" panose="020B0604020202020204" pitchFamily="34" charset="0"/>
                    <a:cs typeface="Arial" panose="020B0604020202020204" pitchFamily="34" charset="0"/>
                  </a:defRPr>
                </a:pPr>
                <a:r>
                  <a:rPr lang="sl-SI" sz="800" b="0">
                    <a:latin typeface="Arial" panose="020B0604020202020204" pitchFamily="34" charset="0"/>
                    <a:cs typeface="Arial" panose="020B0604020202020204" pitchFamily="34" charset="0"/>
                  </a:rPr>
                  <a:t>Površina (ha) in št. KMG</a:t>
                </a:r>
              </a:p>
              <a:p>
                <a:pPr>
                  <a:defRPr sz="800" b="0">
                    <a:latin typeface="Arial" panose="020B0604020202020204" pitchFamily="34" charset="0"/>
                    <a:cs typeface="Arial" panose="020B0604020202020204" pitchFamily="34" charset="0"/>
                  </a:defRPr>
                </a:pPr>
                <a:endParaRPr lang="sl-SI" sz="800" b="0">
                  <a:latin typeface="Arial" panose="020B0604020202020204" pitchFamily="34" charset="0"/>
                  <a:cs typeface="Arial" panose="020B0604020202020204" pitchFamily="34" charset="0"/>
                </a:endParaRPr>
              </a:p>
            </c:rich>
          </c:tx>
          <c:layout>
            <c:manualLayout>
              <c:xMode val="edge"/>
              <c:yMode val="edge"/>
              <c:x val="0.11223591549295775"/>
              <c:y val="5.2014398200224972E-2"/>
            </c:manualLayout>
          </c:layout>
          <c:overlay val="0"/>
        </c:title>
        <c:numFmt formatCode="General" sourceLinked="1"/>
        <c:majorTickMark val="none"/>
        <c:minorTickMark val="none"/>
        <c:tickLblPos val="nextTo"/>
        <c:crossAx val="191991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'Pridelek oljk'!$C$2</c:f>
              <c:strCache>
                <c:ptCount val="1"/>
                <c:pt idx="0">
                  <c:v>RKG</c:v>
                </c:pt>
              </c:strCache>
            </c:strRef>
          </c:tx>
          <c:marker>
            <c:symbol val="none"/>
          </c:marker>
          <c:cat>
            <c:numRef>
              <c:f>'Pridelek oljk'!$B$3:$B$12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'Pridelek oljk'!$C$3:$C$12</c:f>
              <c:numCache>
                <c:formatCode>General</c:formatCode>
                <c:ptCount val="10"/>
                <c:pt idx="0">
                  <c:v>661</c:v>
                </c:pt>
                <c:pt idx="1">
                  <c:v>997</c:v>
                </c:pt>
                <c:pt idx="2">
                  <c:v>368</c:v>
                </c:pt>
                <c:pt idx="3">
                  <c:v>2086</c:v>
                </c:pt>
                <c:pt idx="4">
                  <c:v>346</c:v>
                </c:pt>
                <c:pt idx="5">
                  <c:v>1726</c:v>
                </c:pt>
                <c:pt idx="6">
                  <c:v>1488</c:v>
                </c:pt>
                <c:pt idx="7">
                  <c:v>1910</c:v>
                </c:pt>
                <c:pt idx="8">
                  <c:v>2199</c:v>
                </c:pt>
                <c:pt idx="9">
                  <c:v>1041</c:v>
                </c:pt>
              </c:numCache>
            </c:numRef>
          </c:val>
          <c:smooth val="0"/>
          <c:extLst>
            <c:ext xmlns:c16="http://schemas.microsoft.com/office/drawing/2014/chart" uri="{C3380CC4-5D6E-409C-BE32-E72D297353CC}">
              <c16:uniqueId val="{00000000-46B1-4C51-A5E8-0225FFD9B25C}"/>
            </c:ext>
          </c:extLst>
        </c:ser>
        <c:ser>
          <c:idx val="1"/>
          <c:order val="1"/>
          <c:tx>
            <c:strRef>
              <c:f>'Pridelek oljk'!$D$2</c:f>
              <c:strCache>
                <c:ptCount val="1"/>
                <c:pt idx="0">
                  <c:v>SURS</c:v>
                </c:pt>
              </c:strCache>
            </c:strRef>
          </c:tx>
          <c:marker>
            <c:symbol val="none"/>
          </c:marker>
          <c:cat>
            <c:numRef>
              <c:f>'Pridelek oljk'!$B$3:$B$12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'Pridelek oljk'!$D$3:$D$12</c:f>
              <c:numCache>
                <c:formatCode>General</c:formatCode>
                <c:ptCount val="10"/>
                <c:pt idx="0">
                  <c:v>1895</c:v>
                </c:pt>
                <c:pt idx="1">
                  <c:v>1704</c:v>
                </c:pt>
                <c:pt idx="2">
                  <c:v>740</c:v>
                </c:pt>
                <c:pt idx="3">
                  <c:v>1479</c:v>
                </c:pt>
                <c:pt idx="4">
                  <c:v>814</c:v>
                </c:pt>
                <c:pt idx="5">
                  <c:v>1578</c:v>
                </c:pt>
                <c:pt idx="6">
                  <c:v>1662</c:v>
                </c:pt>
                <c:pt idx="7">
                  <c:v>1685</c:v>
                </c:pt>
                <c:pt idx="8">
                  <c:v>3958</c:v>
                </c:pt>
                <c:pt idx="9">
                  <c:v>1976</c:v>
                </c:pt>
              </c:numCache>
            </c:numRef>
          </c:val>
          <c:smooth val="0"/>
          <c:extLst>
            <c:ext xmlns:c16="http://schemas.microsoft.com/office/drawing/2014/chart" uri="{C3380CC4-5D6E-409C-BE32-E72D297353CC}">
              <c16:uniqueId val="{00000001-46B1-4C51-A5E8-0225FFD9B25C}"/>
            </c:ext>
          </c:extLst>
        </c:ser>
        <c:dLbls>
          <c:showLegendKey val="0"/>
          <c:showVal val="0"/>
          <c:showCatName val="0"/>
          <c:showSerName val="0"/>
          <c:showPercent val="0"/>
          <c:showBubbleSize val="0"/>
        </c:dLbls>
        <c:smooth val="0"/>
        <c:axId val="193274240"/>
        <c:axId val="193275776"/>
      </c:lineChart>
      <c:catAx>
        <c:axId val="193274240"/>
        <c:scaling>
          <c:orientation val="minMax"/>
        </c:scaling>
        <c:delete val="0"/>
        <c:axPos val="b"/>
        <c:numFmt formatCode="General" sourceLinked="1"/>
        <c:majorTickMark val="none"/>
        <c:minorTickMark val="none"/>
        <c:tickLblPos val="nextTo"/>
        <c:crossAx val="193275776"/>
        <c:crosses val="autoZero"/>
        <c:auto val="1"/>
        <c:lblAlgn val="ctr"/>
        <c:lblOffset val="100"/>
        <c:noMultiLvlLbl val="0"/>
      </c:catAx>
      <c:valAx>
        <c:axId val="193275776"/>
        <c:scaling>
          <c:orientation val="minMax"/>
        </c:scaling>
        <c:delete val="0"/>
        <c:axPos val="l"/>
        <c:majorGridlines/>
        <c:title>
          <c:tx>
            <c:rich>
              <a:bodyPr/>
              <a:lstStyle/>
              <a:p>
                <a:pPr>
                  <a:defRPr b="0"/>
                </a:pPr>
                <a:r>
                  <a:rPr lang="sl-SI" b="0"/>
                  <a:t>Količina (t)</a:t>
                </a:r>
              </a:p>
            </c:rich>
          </c:tx>
          <c:layout>
            <c:manualLayout>
              <c:xMode val="edge"/>
              <c:yMode val="edge"/>
              <c:x val="5.2987930526935532E-2"/>
              <c:y val="0.23735389477699373"/>
            </c:manualLayout>
          </c:layout>
          <c:overlay val="0"/>
        </c:title>
        <c:numFmt formatCode="General" sourceLinked="1"/>
        <c:majorTickMark val="none"/>
        <c:minorTickMark val="none"/>
        <c:tickLblPos val="nextTo"/>
        <c:crossAx val="19327424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595164240833533E-2"/>
          <c:y val="4.8991653821050148E-2"/>
          <c:w val="0.90424050866881078"/>
          <c:h val="0.92506408921107086"/>
        </c:manualLayout>
      </c:layout>
      <c:barChart>
        <c:barDir val="col"/>
        <c:grouping val="stacked"/>
        <c:varyColors val="0"/>
        <c:ser>
          <c:idx val="5"/>
          <c:order val="0"/>
          <c:tx>
            <c:strRef>
              <c:f>[1]Data!$G$13</c:f>
              <c:strCache>
                <c:ptCount val="1"/>
                <c:pt idx="0">
                  <c:v>Povprečje ha na KMG</c:v>
                </c:pt>
              </c:strCache>
            </c:strRef>
          </c:tx>
          <c:spPr>
            <a:solidFill>
              <a:schemeClr val="accent6"/>
            </a:solidFill>
            <a:ln>
              <a:noFill/>
            </a:ln>
            <a:effectLst/>
          </c:spPr>
          <c:invertIfNegative val="0"/>
          <c:dLbls>
            <c:numFmt formatCode="###,000" sourceLinked="0"/>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[1]Data!$G$14:$G$40</c:f>
              <c:numCache>
                <c:formatCode>General</c:formatCode>
                <c:ptCount val="27"/>
                <c:pt idx="0">
                  <c:v>36.710490647872049</c:v>
                </c:pt>
                <c:pt idx="1">
                  <c:v>22.04271902131018</c:v>
                </c:pt>
                <c:pt idx="2">
                  <c:v>130.24538258575197</c:v>
                </c:pt>
                <c:pt idx="3">
                  <c:v>74.596291012838805</c:v>
                </c:pt>
                <c:pt idx="4">
                  <c:v>60.53643343473852</c:v>
                </c:pt>
                <c:pt idx="5">
                  <c:v>59.58682634730539</c:v>
                </c:pt>
                <c:pt idx="6">
                  <c:v>35.501962779877871</c:v>
                </c:pt>
                <c:pt idx="7">
                  <c:v>6.6484122928680929</c:v>
                </c:pt>
                <c:pt idx="8">
                  <c:v>24.581225794163085</c:v>
                </c:pt>
                <c:pt idx="9">
                  <c:v>60.926487338999387</c:v>
                </c:pt>
                <c:pt idx="10">
                  <c:v>11.624126134166294</c:v>
                </c:pt>
                <c:pt idx="11">
                  <c:v>10.995941381326864</c:v>
                </c:pt>
                <c:pt idx="12">
                  <c:v>3.2034917000572412</c:v>
                </c:pt>
                <c:pt idx="13">
                  <c:v>27.611611611611611</c:v>
                </c:pt>
                <c:pt idx="14">
                  <c:v>19.455827567855241</c:v>
                </c:pt>
                <c:pt idx="15">
                  <c:v>66.319796954314725</c:v>
                </c:pt>
                <c:pt idx="16">
                  <c:v>10.861767441860465</c:v>
                </c:pt>
                <c:pt idx="17">
                  <c:v>1.2073832790445169</c:v>
                </c:pt>
                <c:pt idx="18">
                  <c:v>32.260416666666664</c:v>
                </c:pt>
                <c:pt idx="19">
                  <c:v>20.149056603773584</c:v>
                </c:pt>
                <c:pt idx="20">
                  <c:v>10.211703409654781</c:v>
                </c:pt>
                <c:pt idx="21">
                  <c:v>14.061664993435787</c:v>
                </c:pt>
                <c:pt idx="22">
                  <c:v>3.6535448257320948</c:v>
                </c:pt>
                <c:pt idx="23">
                  <c:v>6.9871244635193133</c:v>
                </c:pt>
                <c:pt idx="24">
                  <c:v>73.648480124707717</c:v>
                </c:pt>
                <c:pt idx="25">
                  <c:v>44.922148461074229</c:v>
                </c:pt>
                <c:pt idx="26">
                  <c:v>47.865268509691766</c:v>
                </c:pt>
              </c:numCache>
            </c:numRef>
          </c:val>
          <c:extLst>
            <c:ext xmlns:c16="http://schemas.microsoft.com/office/drawing/2014/chart" uri="{C3380CC4-5D6E-409C-BE32-E72D297353CC}">
              <c16:uniqueId val="{00000000-F64F-4F90-8115-EAE37BE2135A}"/>
            </c:ext>
          </c:extLst>
        </c:ser>
        <c:ser>
          <c:idx val="6"/>
          <c:order val="1"/>
          <c:tx>
            <c:strRef>
              <c:f>PDM_kmg_ha!$H$13</c:f>
              <c:strCache>
                <c:ptCount val="1"/>
                <c:pt idx="0">
                  <c:v>Št. ha v obdelavi z 1 PDM</c:v>
                </c:pt>
              </c:strCache>
            </c:strRef>
          </c:tx>
          <c:spPr>
            <a:solidFill>
              <a:schemeClr val="accent1">
                <a:lumMod val="60000"/>
              </a:schemeClr>
            </a:solidFill>
            <a:ln>
              <a:noFill/>
            </a:ln>
            <a:effectLst/>
          </c:spPr>
          <c:invertIfNegative val="0"/>
          <c:dLbls>
            <c:dLbl>
              <c:idx val="17"/>
              <c:layout>
                <c:manualLayout>
                  <c:x val="1.0598834128245894E-3"/>
                  <c:y val="-3.751803751803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4F-4F90-8115-EAE37BE2135A}"/>
                </c:ext>
              </c:extLst>
            </c:dLbl>
            <c:dLbl>
              <c:idx val="21"/>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4F-4F90-8115-EAE37BE2135A}"/>
                </c:ext>
              </c:extLst>
            </c:dLbl>
            <c:numFmt formatCode="###,000" sourceLinked="0"/>
            <c:spPr>
              <a:noFill/>
              <a:ln>
                <a:noFill/>
              </a:ln>
              <a:effectLst/>
            </c:spPr>
            <c:txPr>
              <a:bodyPr rot="0" vert="horz"/>
              <a:lstStyle/>
              <a:p>
                <a:pPr>
                  <a:defRPr b="1">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[1]Data!$A$14:$A$40</c:f>
              <c:strCache>
                <c:ptCount val="27"/>
                <c:pt idx="0">
                  <c:v>BE</c:v>
                </c:pt>
                <c:pt idx="1">
                  <c:v>BG</c:v>
                </c:pt>
                <c:pt idx="2">
                  <c:v>CZ</c:v>
                </c:pt>
                <c:pt idx="3">
                  <c:v>DK</c:v>
                </c:pt>
                <c:pt idx="4">
                  <c:v>DE</c:v>
                </c:pt>
                <c:pt idx="5">
                  <c:v>EE</c:v>
                </c:pt>
                <c:pt idx="6">
                  <c:v>IE</c:v>
                </c:pt>
                <c:pt idx="7">
                  <c:v>EL</c:v>
                </c:pt>
                <c:pt idx="8">
                  <c:v>ES</c:v>
                </c:pt>
                <c:pt idx="9">
                  <c:v>FR</c:v>
                </c:pt>
                <c:pt idx="10">
                  <c:v>CR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 </c:v>
                </c:pt>
              </c:strCache>
            </c:strRef>
          </c:cat>
          <c:val>
            <c:numRef>
              <c:f>[1]Data!$H$14:$H$40</c:f>
              <c:numCache>
                <c:formatCode>General</c:formatCode>
                <c:ptCount val="27"/>
                <c:pt idx="0">
                  <c:v>24.467028003613368</c:v>
                </c:pt>
                <c:pt idx="1">
                  <c:v>17.599448601811737</c:v>
                </c:pt>
                <c:pt idx="2">
                  <c:v>33.072454058192953</c:v>
                </c:pt>
                <c:pt idx="3">
                  <c:v>47.555474718079303</c:v>
                </c:pt>
                <c:pt idx="4">
                  <c:v>34.823583333333332</c:v>
                </c:pt>
                <c:pt idx="5">
                  <c:v>49.019704433497537</c:v>
                </c:pt>
                <c:pt idx="6">
                  <c:v>30.389856876166771</c:v>
                </c:pt>
                <c:pt idx="7">
                  <c:v>10.083768821966341</c:v>
                </c:pt>
                <c:pt idx="8">
                  <c:v>28.00418319248713</c:v>
                </c:pt>
                <c:pt idx="9">
                  <c:v>36.942210888419602</c:v>
                </c:pt>
                <c:pt idx="10">
                  <c:v>8.9826436781609189</c:v>
                </c:pt>
                <c:pt idx="11">
                  <c:v>11.085050593928729</c:v>
                </c:pt>
                <c:pt idx="12">
                  <c:v>5.0418918918918916</c:v>
                </c:pt>
                <c:pt idx="13">
                  <c:v>25.323016393442622</c:v>
                </c:pt>
                <c:pt idx="14">
                  <c:v>19.65456989247312</c:v>
                </c:pt>
                <c:pt idx="15">
                  <c:v>37.869565217391305</c:v>
                </c:pt>
                <c:pt idx="16">
                  <c:v>10.754720456848116</c:v>
                </c:pt>
                <c:pt idx="17">
                  <c:v>2.2063492063492065</c:v>
                </c:pt>
                <c:pt idx="18">
                  <c:v>12.041697392237046</c:v>
                </c:pt>
                <c:pt idx="19">
                  <c:v>22.327925064815588</c:v>
                </c:pt>
                <c:pt idx="20">
                  <c:v>8.5962823725981625</c:v>
                </c:pt>
                <c:pt idx="21">
                  <c:v>14.506991196271361</c:v>
                </c:pt>
                <c:pt idx="22">
                  <c:v>7.9180113996200125</c:v>
                </c:pt>
                <c:pt idx="23">
                  <c:v>6.1072902338376895</c:v>
                </c:pt>
                <c:pt idx="24">
                  <c:v>38.805338809034907</c:v>
                </c:pt>
                <c:pt idx="25">
                  <c:v>33.329552238805967</c:v>
                </c:pt>
                <c:pt idx="26">
                  <c:v>51.648208469055376</c:v>
                </c:pt>
              </c:numCache>
            </c:numRef>
          </c:val>
          <c:extLst>
            <c:ext xmlns:c16="http://schemas.microsoft.com/office/drawing/2014/chart" uri="{C3380CC4-5D6E-409C-BE32-E72D297353CC}">
              <c16:uniqueId val="{00000003-F64F-4F90-8115-EAE37BE2135A}"/>
            </c:ext>
          </c:extLst>
        </c:ser>
        <c:dLbls>
          <c:showLegendKey val="0"/>
          <c:showVal val="0"/>
          <c:showCatName val="0"/>
          <c:showSerName val="0"/>
          <c:showPercent val="0"/>
          <c:showBubbleSize val="0"/>
        </c:dLbls>
        <c:gapWidth val="75"/>
        <c:overlap val="100"/>
        <c:axId val="144458880"/>
        <c:axId val="144460416"/>
      </c:barChart>
      <c:catAx>
        <c:axId val="14445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44460416"/>
        <c:crosses val="autoZero"/>
        <c:auto val="1"/>
        <c:lblAlgn val="ctr"/>
        <c:lblOffset val="100"/>
        <c:noMultiLvlLbl val="0"/>
      </c:catAx>
      <c:valAx>
        <c:axId val="144460416"/>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sl-SI"/>
          </a:p>
        </c:txPr>
        <c:crossAx val="144458880"/>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r"/>
      <c:layout>
        <c:manualLayout>
          <c:xMode val="edge"/>
          <c:yMode val="edge"/>
          <c:x val="0.36440236637087031"/>
          <c:y val="6.2163102477465461E-2"/>
          <c:w val="0.37790154702884371"/>
          <c:h val="0.14232523591097601"/>
        </c:manualLayout>
      </c:layout>
      <c:overlay val="0"/>
      <c:txPr>
        <a:bodyPr/>
        <a:lstStyle/>
        <a:p>
          <a:pPr>
            <a:defRPr sz="700"/>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O.olje!$B$15</c:f>
              <c:strCache>
                <c:ptCount val="1"/>
                <c:pt idx="0">
                  <c:v>RKG</c:v>
                </c:pt>
              </c:strCache>
            </c:strRef>
          </c:tx>
          <c:marker>
            <c:symbol val="none"/>
          </c:marker>
          <c:cat>
            <c:numRef>
              <c:f>O.olje!$A$16:$A$25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O.olje!$B$16:$B$25</c:f>
              <c:numCache>
                <c:formatCode>General</c:formatCode>
                <c:ptCount val="10"/>
                <c:pt idx="0">
                  <c:v>103</c:v>
                </c:pt>
                <c:pt idx="1">
                  <c:v>169</c:v>
                </c:pt>
                <c:pt idx="2">
                  <c:v>60</c:v>
                </c:pt>
                <c:pt idx="3">
                  <c:v>236</c:v>
                </c:pt>
                <c:pt idx="4">
                  <c:v>76.5</c:v>
                </c:pt>
                <c:pt idx="5">
                  <c:v>263</c:v>
                </c:pt>
                <c:pt idx="6">
                  <c:v>225</c:v>
                </c:pt>
                <c:pt idx="7">
                  <c:v>270</c:v>
                </c:pt>
                <c:pt idx="8">
                  <c:v>350</c:v>
                </c:pt>
                <c:pt idx="9">
                  <c:v>155</c:v>
                </c:pt>
              </c:numCache>
            </c:numRef>
          </c:val>
          <c:smooth val="0"/>
          <c:extLst>
            <c:ext xmlns:c16="http://schemas.microsoft.com/office/drawing/2014/chart" uri="{C3380CC4-5D6E-409C-BE32-E72D297353CC}">
              <c16:uniqueId val="{00000000-7BBA-4FBC-A1CD-D98ECE609259}"/>
            </c:ext>
          </c:extLst>
        </c:ser>
        <c:ser>
          <c:idx val="1"/>
          <c:order val="1"/>
          <c:tx>
            <c:strRef>
              <c:f>O.olje!$C$15</c:f>
              <c:strCache>
                <c:ptCount val="1"/>
                <c:pt idx="0">
                  <c:v>ocena</c:v>
                </c:pt>
              </c:strCache>
            </c:strRef>
          </c:tx>
          <c:marker>
            <c:symbol val="none"/>
          </c:marker>
          <c:cat>
            <c:numRef>
              <c:f>O.olje!$A$16:$A$25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O.olje!$C$16:$C$25</c:f>
              <c:numCache>
                <c:formatCode>General</c:formatCode>
                <c:ptCount val="10"/>
                <c:pt idx="0">
                  <c:v>630</c:v>
                </c:pt>
                <c:pt idx="1">
                  <c:v>500</c:v>
                </c:pt>
                <c:pt idx="2">
                  <c:v>236</c:v>
                </c:pt>
                <c:pt idx="3">
                  <c:v>600</c:v>
                </c:pt>
                <c:pt idx="4">
                  <c:v>210</c:v>
                </c:pt>
                <c:pt idx="5">
                  <c:v>490</c:v>
                </c:pt>
                <c:pt idx="6">
                  <c:v>350</c:v>
                </c:pt>
                <c:pt idx="7">
                  <c:v>350</c:v>
                </c:pt>
                <c:pt idx="8">
                  <c:v>900</c:v>
                </c:pt>
                <c:pt idx="9">
                  <c:v>300</c:v>
                </c:pt>
              </c:numCache>
            </c:numRef>
          </c:val>
          <c:smooth val="0"/>
          <c:extLst>
            <c:ext xmlns:c16="http://schemas.microsoft.com/office/drawing/2014/chart" uri="{C3380CC4-5D6E-409C-BE32-E72D297353CC}">
              <c16:uniqueId val="{00000001-7BBA-4FBC-A1CD-D98ECE609259}"/>
            </c:ext>
          </c:extLst>
        </c:ser>
        <c:dLbls>
          <c:showLegendKey val="0"/>
          <c:showVal val="0"/>
          <c:showCatName val="0"/>
          <c:showSerName val="0"/>
          <c:showPercent val="0"/>
          <c:showBubbleSize val="0"/>
        </c:dLbls>
        <c:smooth val="0"/>
        <c:axId val="193323776"/>
        <c:axId val="193325312"/>
      </c:lineChart>
      <c:catAx>
        <c:axId val="193323776"/>
        <c:scaling>
          <c:orientation val="minMax"/>
        </c:scaling>
        <c:delete val="0"/>
        <c:axPos val="b"/>
        <c:numFmt formatCode="General" sourceLinked="1"/>
        <c:majorTickMark val="none"/>
        <c:minorTickMark val="none"/>
        <c:tickLblPos val="nextTo"/>
        <c:crossAx val="193325312"/>
        <c:crosses val="autoZero"/>
        <c:auto val="1"/>
        <c:lblAlgn val="ctr"/>
        <c:lblOffset val="100"/>
        <c:noMultiLvlLbl val="0"/>
      </c:catAx>
      <c:valAx>
        <c:axId val="193325312"/>
        <c:scaling>
          <c:orientation val="minMax"/>
        </c:scaling>
        <c:delete val="0"/>
        <c:axPos val="l"/>
        <c:majorGridlines/>
        <c:title>
          <c:tx>
            <c:rich>
              <a:bodyPr/>
              <a:lstStyle/>
              <a:p>
                <a:pPr>
                  <a:defRPr b="0"/>
                </a:pPr>
                <a:r>
                  <a:rPr lang="en-US" b="0"/>
                  <a:t>Količina (t)</a:t>
                </a:r>
              </a:p>
            </c:rich>
          </c:tx>
          <c:layout>
            <c:manualLayout>
              <c:xMode val="edge"/>
              <c:yMode val="edge"/>
              <c:x val="7.3507791825933547E-2"/>
              <c:y val="0.26430325307142077"/>
            </c:manualLayout>
          </c:layout>
          <c:overlay val="0"/>
        </c:title>
        <c:numFmt formatCode="General" sourceLinked="1"/>
        <c:majorTickMark val="none"/>
        <c:minorTickMark val="none"/>
        <c:tickLblPos val="nextTo"/>
        <c:crossAx val="1933237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38441188545359"/>
          <c:y val="0.17396404012874481"/>
          <c:w val="0.76061558811454644"/>
          <c:h val="0.67737131133959005"/>
        </c:manualLayout>
      </c:layout>
      <c:lineChart>
        <c:grouping val="standard"/>
        <c:varyColors val="0"/>
        <c:ser>
          <c:idx val="0"/>
          <c:order val="0"/>
          <c:tx>
            <c:strRef>
              <c:f>EKO!$C$4</c:f>
              <c:strCache>
                <c:ptCount val="1"/>
                <c:pt idx="0">
                  <c:v>Površina (ha)</c:v>
                </c:pt>
              </c:strCache>
            </c:strRef>
          </c:tx>
          <c:marker>
            <c:symbol val="none"/>
          </c:marker>
          <c:cat>
            <c:numRef>
              <c:f>EKO!$B$5:$B$14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EKO!$C$5:$C$14</c:f>
              <c:numCache>
                <c:formatCode>General</c:formatCode>
                <c:ptCount val="10"/>
                <c:pt idx="0">
                  <c:v>76.599999999999994</c:v>
                </c:pt>
                <c:pt idx="1">
                  <c:v>91.62</c:v>
                </c:pt>
                <c:pt idx="2">
                  <c:v>184.53</c:v>
                </c:pt>
                <c:pt idx="3">
                  <c:v>208.33</c:v>
                </c:pt>
                <c:pt idx="4">
                  <c:v>226.17</c:v>
                </c:pt>
                <c:pt idx="5">
                  <c:v>214.11</c:v>
                </c:pt>
                <c:pt idx="6">
                  <c:v>240.05</c:v>
                </c:pt>
                <c:pt idx="7">
                  <c:v>242.55</c:v>
                </c:pt>
                <c:pt idx="8">
                  <c:v>258.66000000000003</c:v>
                </c:pt>
                <c:pt idx="9">
                  <c:v>278.27</c:v>
                </c:pt>
              </c:numCache>
            </c:numRef>
          </c:val>
          <c:smooth val="0"/>
          <c:extLst>
            <c:ext xmlns:c16="http://schemas.microsoft.com/office/drawing/2014/chart" uri="{C3380CC4-5D6E-409C-BE32-E72D297353CC}">
              <c16:uniqueId val="{00000000-A3CA-4357-8E89-8B2E4C540EB1}"/>
            </c:ext>
          </c:extLst>
        </c:ser>
        <c:dLbls>
          <c:showLegendKey val="0"/>
          <c:showVal val="0"/>
          <c:showCatName val="0"/>
          <c:showSerName val="0"/>
          <c:showPercent val="0"/>
          <c:showBubbleSize val="0"/>
        </c:dLbls>
        <c:smooth val="0"/>
        <c:axId val="193376256"/>
        <c:axId val="193377792"/>
      </c:lineChart>
      <c:catAx>
        <c:axId val="193376256"/>
        <c:scaling>
          <c:orientation val="minMax"/>
        </c:scaling>
        <c:delete val="0"/>
        <c:axPos val="b"/>
        <c:numFmt formatCode="General" sourceLinked="1"/>
        <c:majorTickMark val="none"/>
        <c:minorTickMark val="none"/>
        <c:tickLblPos val="nextTo"/>
        <c:crossAx val="193377792"/>
        <c:crosses val="autoZero"/>
        <c:auto val="1"/>
        <c:lblAlgn val="ctr"/>
        <c:lblOffset val="100"/>
        <c:noMultiLvlLbl val="0"/>
      </c:catAx>
      <c:valAx>
        <c:axId val="193377792"/>
        <c:scaling>
          <c:orientation val="minMax"/>
        </c:scaling>
        <c:delete val="0"/>
        <c:axPos val="l"/>
        <c:majorGridlines/>
        <c:numFmt formatCode="General" sourceLinked="1"/>
        <c:majorTickMark val="none"/>
        <c:minorTickMark val="none"/>
        <c:tickLblPos val="nextTo"/>
        <c:crossAx val="1933762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poljščine!$A$144:$C$144</c:f>
              <c:strCache>
                <c:ptCount val="3"/>
                <c:pt idx="0">
                  <c:v>PŠENICA</c:v>
                </c:pt>
              </c:strCache>
            </c:strRef>
          </c:tx>
          <c:spPr>
            <a:solidFill>
              <a:schemeClr val="accent1"/>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poljščine!$D$144:$I$144</c:f>
              <c:numCache>
                <c:formatCode>0</c:formatCode>
                <c:ptCount val="6"/>
                <c:pt idx="0">
                  <c:v>640.85</c:v>
                </c:pt>
                <c:pt idx="1">
                  <c:v>550.19999999999993</c:v>
                </c:pt>
                <c:pt idx="2">
                  <c:v>502.53000000000003</c:v>
                </c:pt>
                <c:pt idx="3">
                  <c:v>338.45</c:v>
                </c:pt>
                <c:pt idx="4">
                  <c:v>363.94000000000005</c:v>
                </c:pt>
                <c:pt idx="5">
                  <c:v>419.60010700000009</c:v>
                </c:pt>
              </c:numCache>
            </c:numRef>
          </c:val>
          <c:extLst>
            <c:ext xmlns:c16="http://schemas.microsoft.com/office/drawing/2014/chart" uri="{C3380CC4-5D6E-409C-BE32-E72D297353CC}">
              <c16:uniqueId val="{00000000-901A-495B-9755-C4F8650AA540}"/>
            </c:ext>
          </c:extLst>
        </c:ser>
        <c:ser>
          <c:idx val="1"/>
          <c:order val="1"/>
          <c:tx>
            <c:strRef>
              <c:f>poljščine!$A$145:$C$145</c:f>
              <c:strCache>
                <c:ptCount val="3"/>
                <c:pt idx="0">
                  <c:v>KORUZA</c:v>
                </c:pt>
              </c:strCache>
            </c:strRef>
          </c:tx>
          <c:spPr>
            <a:solidFill>
              <a:schemeClr val="accent2"/>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poljščine!$D$145:$I$145</c:f>
              <c:numCache>
                <c:formatCode>0</c:formatCode>
                <c:ptCount val="6"/>
                <c:pt idx="0">
                  <c:v>22.77</c:v>
                </c:pt>
                <c:pt idx="1">
                  <c:v>8.9500000000000011</c:v>
                </c:pt>
                <c:pt idx="2">
                  <c:v>20.7</c:v>
                </c:pt>
                <c:pt idx="3">
                  <c:v>17</c:v>
                </c:pt>
                <c:pt idx="4">
                  <c:v>15.23</c:v>
                </c:pt>
                <c:pt idx="5">
                  <c:v>18.809999999999999</c:v>
                </c:pt>
              </c:numCache>
            </c:numRef>
          </c:val>
          <c:extLst>
            <c:ext xmlns:c16="http://schemas.microsoft.com/office/drawing/2014/chart" uri="{C3380CC4-5D6E-409C-BE32-E72D297353CC}">
              <c16:uniqueId val="{00000001-901A-495B-9755-C4F8650AA540}"/>
            </c:ext>
          </c:extLst>
        </c:ser>
        <c:ser>
          <c:idx val="2"/>
          <c:order val="2"/>
          <c:tx>
            <c:strRef>
              <c:f>poljščine!$A$146:$C$146</c:f>
              <c:strCache>
                <c:ptCount val="3"/>
                <c:pt idx="0">
                  <c:v>OVES</c:v>
                </c:pt>
              </c:strCache>
            </c:strRef>
          </c:tx>
          <c:spPr>
            <a:solidFill>
              <a:schemeClr val="accent3"/>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poljščine!$D$146:$I$146</c:f>
              <c:numCache>
                <c:formatCode>0</c:formatCode>
                <c:ptCount val="6"/>
                <c:pt idx="0">
                  <c:v>17.170000000000002</c:v>
                </c:pt>
                <c:pt idx="1">
                  <c:v>11.1</c:v>
                </c:pt>
                <c:pt idx="2">
                  <c:v>25.67</c:v>
                </c:pt>
                <c:pt idx="3">
                  <c:v>37.020000000000003</c:v>
                </c:pt>
                <c:pt idx="4">
                  <c:v>34.56</c:v>
                </c:pt>
                <c:pt idx="5">
                  <c:v>44.22</c:v>
                </c:pt>
              </c:numCache>
            </c:numRef>
          </c:val>
          <c:extLst>
            <c:ext xmlns:c16="http://schemas.microsoft.com/office/drawing/2014/chart" uri="{C3380CC4-5D6E-409C-BE32-E72D297353CC}">
              <c16:uniqueId val="{00000002-901A-495B-9755-C4F8650AA540}"/>
            </c:ext>
          </c:extLst>
        </c:ser>
        <c:ser>
          <c:idx val="3"/>
          <c:order val="3"/>
          <c:tx>
            <c:strRef>
              <c:f>poljščine!$A$147:$C$147</c:f>
              <c:strCache>
                <c:ptCount val="3"/>
                <c:pt idx="0">
                  <c:v>AJDA</c:v>
                </c:pt>
              </c:strCache>
            </c:strRef>
          </c:tx>
          <c:spPr>
            <a:solidFill>
              <a:schemeClr val="accent4"/>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poljščine!$D$147:$I$147</c:f>
              <c:numCache>
                <c:formatCode>0</c:formatCode>
                <c:ptCount val="6"/>
                <c:pt idx="0">
                  <c:v>46.6</c:v>
                </c:pt>
                <c:pt idx="1">
                  <c:v>96.44</c:v>
                </c:pt>
                <c:pt idx="2">
                  <c:v>92.907999999999987</c:v>
                </c:pt>
                <c:pt idx="3">
                  <c:v>129.51</c:v>
                </c:pt>
                <c:pt idx="4">
                  <c:v>89.52</c:v>
                </c:pt>
                <c:pt idx="5">
                  <c:v>59.87</c:v>
                </c:pt>
              </c:numCache>
            </c:numRef>
          </c:val>
          <c:extLst>
            <c:ext xmlns:c16="http://schemas.microsoft.com/office/drawing/2014/chart" uri="{C3380CC4-5D6E-409C-BE32-E72D297353CC}">
              <c16:uniqueId val="{00000003-901A-495B-9755-C4F8650AA540}"/>
            </c:ext>
          </c:extLst>
        </c:ser>
        <c:ser>
          <c:idx val="4"/>
          <c:order val="4"/>
          <c:tx>
            <c:strRef>
              <c:f>poljščine!$A$148:$C$148</c:f>
              <c:strCache>
                <c:ptCount val="3"/>
                <c:pt idx="0">
                  <c:v>JEČMEN</c:v>
                </c:pt>
              </c:strCache>
            </c:strRef>
          </c:tx>
          <c:spPr>
            <a:solidFill>
              <a:schemeClr val="accent5"/>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poljščine!$D$148:$I$148</c:f>
              <c:numCache>
                <c:formatCode>0</c:formatCode>
                <c:ptCount val="6"/>
                <c:pt idx="0">
                  <c:v>303.03000000000003</c:v>
                </c:pt>
                <c:pt idx="1">
                  <c:v>241.81</c:v>
                </c:pt>
                <c:pt idx="2">
                  <c:v>245.26</c:v>
                </c:pt>
                <c:pt idx="3">
                  <c:v>219.89000000000001</c:v>
                </c:pt>
                <c:pt idx="4">
                  <c:v>264.93</c:v>
                </c:pt>
                <c:pt idx="5">
                  <c:v>306.87999999999994</c:v>
                </c:pt>
              </c:numCache>
            </c:numRef>
          </c:val>
          <c:extLst>
            <c:ext xmlns:c16="http://schemas.microsoft.com/office/drawing/2014/chart" uri="{C3380CC4-5D6E-409C-BE32-E72D297353CC}">
              <c16:uniqueId val="{00000004-901A-495B-9755-C4F8650AA540}"/>
            </c:ext>
          </c:extLst>
        </c:ser>
        <c:ser>
          <c:idx val="5"/>
          <c:order val="5"/>
          <c:tx>
            <c:strRef>
              <c:f>poljščine!$A$149:$C$149</c:f>
              <c:strCache>
                <c:ptCount val="3"/>
                <c:pt idx="0">
                  <c:v>TRITIKALA</c:v>
                </c:pt>
              </c:strCache>
            </c:strRef>
          </c:tx>
          <c:spPr>
            <a:solidFill>
              <a:schemeClr val="accent6"/>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poljščine!$D$149:$I$149</c:f>
              <c:numCache>
                <c:formatCode>0</c:formatCode>
                <c:ptCount val="6"/>
                <c:pt idx="0">
                  <c:v>152.91</c:v>
                </c:pt>
                <c:pt idx="1">
                  <c:v>189.29</c:v>
                </c:pt>
                <c:pt idx="2">
                  <c:v>67.47999999999999</c:v>
                </c:pt>
                <c:pt idx="3">
                  <c:v>55.900000000000006</c:v>
                </c:pt>
                <c:pt idx="4">
                  <c:v>168.32999999999998</c:v>
                </c:pt>
                <c:pt idx="5">
                  <c:v>95.16</c:v>
                </c:pt>
              </c:numCache>
            </c:numRef>
          </c:val>
          <c:extLst>
            <c:ext xmlns:c16="http://schemas.microsoft.com/office/drawing/2014/chart" uri="{C3380CC4-5D6E-409C-BE32-E72D297353CC}">
              <c16:uniqueId val="{00000005-901A-495B-9755-C4F8650AA540}"/>
            </c:ext>
          </c:extLst>
        </c:ser>
        <c:ser>
          <c:idx val="6"/>
          <c:order val="6"/>
          <c:tx>
            <c:strRef>
              <c:f>poljščine!$A$150:$C$150</c:f>
              <c:strCache>
                <c:ptCount val="3"/>
                <c:pt idx="0">
                  <c:v>DRUGA ŽITA</c:v>
                </c:pt>
              </c:strCache>
            </c:strRef>
          </c:tx>
          <c:spPr>
            <a:solidFill>
              <a:schemeClr val="accent1">
                <a:lumMod val="60000"/>
              </a:schemeClr>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poljščine!$D$150:$I$150</c:f>
              <c:numCache>
                <c:formatCode>0</c:formatCode>
                <c:ptCount val="6"/>
                <c:pt idx="0">
                  <c:v>51.879999999999995</c:v>
                </c:pt>
                <c:pt idx="1">
                  <c:v>61.809999999999995</c:v>
                </c:pt>
                <c:pt idx="2">
                  <c:v>4</c:v>
                </c:pt>
                <c:pt idx="3">
                  <c:v>9.39</c:v>
                </c:pt>
                <c:pt idx="4">
                  <c:v>55.199999999999996</c:v>
                </c:pt>
                <c:pt idx="5">
                  <c:v>20.29</c:v>
                </c:pt>
              </c:numCache>
            </c:numRef>
          </c:val>
          <c:extLst>
            <c:ext xmlns:c16="http://schemas.microsoft.com/office/drawing/2014/chart" uri="{C3380CC4-5D6E-409C-BE32-E72D297353CC}">
              <c16:uniqueId val="{00000006-901A-495B-9755-C4F8650AA540}"/>
            </c:ext>
          </c:extLst>
        </c:ser>
        <c:dLbls>
          <c:showLegendKey val="0"/>
          <c:showVal val="0"/>
          <c:showCatName val="0"/>
          <c:showSerName val="0"/>
          <c:showPercent val="0"/>
          <c:showBubbleSize val="0"/>
        </c:dLbls>
        <c:gapWidth val="269"/>
        <c:axId val="183821440"/>
        <c:axId val="183822976"/>
      </c:barChart>
      <c:lineChart>
        <c:grouping val="standard"/>
        <c:varyColors val="0"/>
        <c:ser>
          <c:idx val="7"/>
          <c:order val="7"/>
          <c:tx>
            <c:strRef>
              <c:f>poljščine!$A$151:$C$151</c:f>
              <c:strCache>
                <c:ptCount val="3"/>
                <c:pt idx="0">
                  <c:v>skupaj</c:v>
                </c:pt>
              </c:strCache>
            </c:strRef>
          </c:tx>
          <c:spPr>
            <a:ln w="28575" cap="rnd">
              <a:solidFill>
                <a:schemeClr val="accent2">
                  <a:lumMod val="60000"/>
                </a:schemeClr>
              </a:solidFill>
              <a:round/>
            </a:ln>
            <a:effectLst/>
          </c:spPr>
          <c:marker>
            <c:symbol val="none"/>
          </c:marker>
          <c:cat>
            <c:numRef>
              <c:f>poljščine!$D$143:$I$143</c:f>
              <c:numCache>
                <c:formatCode>General</c:formatCode>
                <c:ptCount val="6"/>
                <c:pt idx="0">
                  <c:v>2014</c:v>
                </c:pt>
                <c:pt idx="1">
                  <c:v>2015</c:v>
                </c:pt>
                <c:pt idx="2">
                  <c:v>2016</c:v>
                </c:pt>
                <c:pt idx="3">
                  <c:v>2017</c:v>
                </c:pt>
                <c:pt idx="4">
                  <c:v>2018</c:v>
                </c:pt>
                <c:pt idx="5">
                  <c:v>2019</c:v>
                </c:pt>
              </c:numCache>
            </c:numRef>
          </c:cat>
          <c:val>
            <c:numRef>
              <c:f>poljščine!$D$151:$I$151</c:f>
              <c:numCache>
                <c:formatCode>0</c:formatCode>
                <c:ptCount val="6"/>
                <c:pt idx="0">
                  <c:v>1235.21</c:v>
                </c:pt>
                <c:pt idx="1">
                  <c:v>1159.5999999999999</c:v>
                </c:pt>
                <c:pt idx="2">
                  <c:v>958.548</c:v>
                </c:pt>
                <c:pt idx="3">
                  <c:v>807.16</c:v>
                </c:pt>
                <c:pt idx="4">
                  <c:v>991.71</c:v>
                </c:pt>
                <c:pt idx="5">
                  <c:v>964.83010699999988</c:v>
                </c:pt>
              </c:numCache>
            </c:numRef>
          </c:val>
          <c:smooth val="0"/>
          <c:extLst>
            <c:ext xmlns:c16="http://schemas.microsoft.com/office/drawing/2014/chart" uri="{C3380CC4-5D6E-409C-BE32-E72D297353CC}">
              <c16:uniqueId val="{00000007-901A-495B-9755-C4F8650AA540}"/>
            </c:ext>
          </c:extLst>
        </c:ser>
        <c:dLbls>
          <c:showLegendKey val="0"/>
          <c:showVal val="0"/>
          <c:showCatName val="0"/>
          <c:showSerName val="0"/>
          <c:showPercent val="0"/>
          <c:showBubbleSize val="0"/>
        </c:dLbls>
        <c:marker val="1"/>
        <c:smooth val="0"/>
        <c:axId val="183821440"/>
        <c:axId val="183822976"/>
      </c:lineChart>
      <c:catAx>
        <c:axId val="1838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3822976"/>
        <c:crosses val="autoZero"/>
        <c:auto val="1"/>
        <c:lblAlgn val="ctr"/>
        <c:lblOffset val="100"/>
        <c:noMultiLvlLbl val="0"/>
      </c:catAx>
      <c:valAx>
        <c:axId val="18382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Površina</a:t>
                </a:r>
                <a:r>
                  <a:rPr lang="sl-SI" baseline="0"/>
                  <a:t> (ha)</a:t>
                </a:r>
                <a:endParaRPr lang="sl-SI"/>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8382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seme!$J$14</c:f>
              <c:strCache>
                <c:ptCount val="1"/>
                <c:pt idx="0">
                  <c:v>Detelje in lucerna</c:v>
                </c:pt>
              </c:strCache>
            </c:strRef>
          </c:tx>
          <c:spPr>
            <a:solidFill>
              <a:schemeClr val="accent1"/>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seme!$K$14:$W$14</c:f>
              <c:numCache>
                <c:formatCode>General</c:formatCode>
                <c:ptCount val="13"/>
                <c:pt idx="0">
                  <c:v>25.3</c:v>
                </c:pt>
                <c:pt idx="1">
                  <c:v>36.9</c:v>
                </c:pt>
                <c:pt idx="2">
                  <c:v>40.1</c:v>
                </c:pt>
                <c:pt idx="3">
                  <c:v>28</c:v>
                </c:pt>
                <c:pt idx="4">
                  <c:v>19.399999999999999</c:v>
                </c:pt>
                <c:pt idx="5">
                  <c:v>7.8</c:v>
                </c:pt>
                <c:pt idx="6">
                  <c:v>4.0999999999999996</c:v>
                </c:pt>
                <c:pt idx="7">
                  <c:v>10.3</c:v>
                </c:pt>
                <c:pt idx="8">
                  <c:v>2.2000000000000002</c:v>
                </c:pt>
                <c:pt idx="9">
                  <c:v>32.299999999999997</c:v>
                </c:pt>
                <c:pt idx="10">
                  <c:v>13</c:v>
                </c:pt>
                <c:pt idx="11">
                  <c:v>12.1</c:v>
                </c:pt>
                <c:pt idx="12">
                  <c:v>44.8</c:v>
                </c:pt>
              </c:numCache>
            </c:numRef>
          </c:val>
          <c:extLst>
            <c:ext xmlns:c16="http://schemas.microsoft.com/office/drawing/2014/chart" uri="{C3380CC4-5D6E-409C-BE32-E72D297353CC}">
              <c16:uniqueId val="{00000000-5D86-450A-909C-E60D8C43F773}"/>
            </c:ext>
          </c:extLst>
        </c:ser>
        <c:ser>
          <c:idx val="1"/>
          <c:order val="1"/>
          <c:tx>
            <c:strRef>
              <c:f>seme!$J$15</c:f>
              <c:strCache>
                <c:ptCount val="1"/>
                <c:pt idx="0">
                  <c:v>Trave</c:v>
                </c:pt>
              </c:strCache>
            </c:strRef>
          </c:tx>
          <c:spPr>
            <a:solidFill>
              <a:schemeClr val="accent2"/>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seme!$K$15:$W$15</c:f>
              <c:numCache>
                <c:formatCode>General</c:formatCode>
                <c:ptCount val="13"/>
                <c:pt idx="0">
                  <c:v>72.5</c:v>
                </c:pt>
                <c:pt idx="1">
                  <c:v>58.1</c:v>
                </c:pt>
                <c:pt idx="2">
                  <c:v>83.8</c:v>
                </c:pt>
                <c:pt idx="3">
                  <c:v>77.400000000000006</c:v>
                </c:pt>
                <c:pt idx="4">
                  <c:v>94.7</c:v>
                </c:pt>
                <c:pt idx="5">
                  <c:v>94.5</c:v>
                </c:pt>
                <c:pt idx="6">
                  <c:v>46.2</c:v>
                </c:pt>
                <c:pt idx="7">
                  <c:v>66.5</c:v>
                </c:pt>
                <c:pt idx="8">
                  <c:v>13.2</c:v>
                </c:pt>
                <c:pt idx="9">
                  <c:v>45.9</c:v>
                </c:pt>
                <c:pt idx="10">
                  <c:v>59.6</c:v>
                </c:pt>
                <c:pt idx="11">
                  <c:v>61.2</c:v>
                </c:pt>
                <c:pt idx="12">
                  <c:v>69.599999999999994</c:v>
                </c:pt>
              </c:numCache>
            </c:numRef>
          </c:val>
          <c:extLst>
            <c:ext xmlns:c16="http://schemas.microsoft.com/office/drawing/2014/chart" uri="{C3380CC4-5D6E-409C-BE32-E72D297353CC}">
              <c16:uniqueId val="{00000001-5D86-450A-909C-E60D8C43F773}"/>
            </c:ext>
          </c:extLst>
        </c:ser>
        <c:ser>
          <c:idx val="2"/>
          <c:order val="2"/>
          <c:tx>
            <c:strRef>
              <c:f>seme!$J$16</c:f>
              <c:strCache>
                <c:ptCount val="1"/>
                <c:pt idx="0">
                  <c:v>Druge krmne rastline</c:v>
                </c:pt>
              </c:strCache>
            </c:strRef>
          </c:tx>
          <c:spPr>
            <a:solidFill>
              <a:schemeClr val="accent3"/>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seme!$K$16:$W$16</c:f>
              <c:numCache>
                <c:formatCode>General</c:formatCode>
                <c:ptCount val="13"/>
                <c:pt idx="0">
                  <c:v>198.2</c:v>
                </c:pt>
                <c:pt idx="1">
                  <c:v>62.5</c:v>
                </c:pt>
                <c:pt idx="2">
                  <c:v>75.400000000000006</c:v>
                </c:pt>
                <c:pt idx="3">
                  <c:v>125.7</c:v>
                </c:pt>
                <c:pt idx="4">
                  <c:v>123.9</c:v>
                </c:pt>
                <c:pt idx="5">
                  <c:v>117.5</c:v>
                </c:pt>
                <c:pt idx="6">
                  <c:v>52.9</c:v>
                </c:pt>
                <c:pt idx="7">
                  <c:v>69.900000000000006</c:v>
                </c:pt>
                <c:pt idx="8">
                  <c:v>75.5</c:v>
                </c:pt>
                <c:pt idx="9">
                  <c:v>129.69999999999999</c:v>
                </c:pt>
                <c:pt idx="10">
                  <c:v>108.6</c:v>
                </c:pt>
                <c:pt idx="11">
                  <c:v>94.9</c:v>
                </c:pt>
                <c:pt idx="12">
                  <c:v>176.3</c:v>
                </c:pt>
              </c:numCache>
            </c:numRef>
          </c:val>
          <c:extLst>
            <c:ext xmlns:c16="http://schemas.microsoft.com/office/drawing/2014/chart" uri="{C3380CC4-5D6E-409C-BE32-E72D297353CC}">
              <c16:uniqueId val="{00000002-5D86-450A-909C-E60D8C43F773}"/>
            </c:ext>
          </c:extLst>
        </c:ser>
        <c:ser>
          <c:idx val="3"/>
          <c:order val="3"/>
          <c:tx>
            <c:strRef>
              <c:f>seme!$J$17</c:f>
              <c:strCache>
                <c:ptCount val="1"/>
                <c:pt idx="0">
                  <c:v>Vrtnine*</c:v>
                </c:pt>
              </c:strCache>
            </c:strRef>
          </c:tx>
          <c:spPr>
            <a:solidFill>
              <a:schemeClr val="accent4"/>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seme!$K$17:$W$17</c:f>
              <c:numCache>
                <c:formatCode>General</c:formatCode>
                <c:ptCount val="13"/>
                <c:pt idx="0">
                  <c:v>0.08</c:v>
                </c:pt>
                <c:pt idx="1">
                  <c:v>0.09</c:v>
                </c:pt>
                <c:pt idx="2">
                  <c:v>0.14000000000000001</c:v>
                </c:pt>
                <c:pt idx="3">
                  <c:v>0.21</c:v>
                </c:pt>
                <c:pt idx="4">
                  <c:v>0.12</c:v>
                </c:pt>
                <c:pt idx="5">
                  <c:v>0.35</c:v>
                </c:pt>
                <c:pt idx="6">
                  <c:v>0.27</c:v>
                </c:pt>
                <c:pt idx="7">
                  <c:v>0.11</c:v>
                </c:pt>
                <c:pt idx="8">
                  <c:v>0.18</c:v>
                </c:pt>
                <c:pt idx="9">
                  <c:v>0.11</c:v>
                </c:pt>
                <c:pt idx="10">
                  <c:v>0.09</c:v>
                </c:pt>
                <c:pt idx="11">
                  <c:v>0.02</c:v>
                </c:pt>
                <c:pt idx="12">
                  <c:v>0.17</c:v>
                </c:pt>
              </c:numCache>
            </c:numRef>
          </c:val>
          <c:extLst>
            <c:ext xmlns:c16="http://schemas.microsoft.com/office/drawing/2014/chart" uri="{C3380CC4-5D6E-409C-BE32-E72D297353CC}">
              <c16:uniqueId val="{00000003-5D86-450A-909C-E60D8C43F773}"/>
            </c:ext>
          </c:extLst>
        </c:ser>
        <c:dLbls>
          <c:showLegendKey val="0"/>
          <c:showVal val="0"/>
          <c:showCatName val="0"/>
          <c:showSerName val="0"/>
          <c:showPercent val="0"/>
          <c:showBubbleSize val="0"/>
        </c:dLbls>
        <c:gapWidth val="219"/>
        <c:overlap val="-27"/>
        <c:axId val="196061824"/>
        <c:axId val="196067712"/>
      </c:barChart>
      <c:catAx>
        <c:axId val="19606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6067712"/>
        <c:crosses val="autoZero"/>
        <c:auto val="1"/>
        <c:lblAlgn val="ctr"/>
        <c:lblOffset val="100"/>
        <c:noMultiLvlLbl val="0"/>
      </c:catAx>
      <c:valAx>
        <c:axId val="19606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606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doughnutChart>
        <c:varyColors val="1"/>
        <c:ser>
          <c:idx val="0"/>
          <c:order val="0"/>
          <c:dPt>
            <c:idx val="0"/>
            <c:bubble3D val="0"/>
            <c:spPr>
              <a:solidFill>
                <a:schemeClr val="accent1"/>
              </a:solidFill>
              <a:ln>
                <a:solidFill>
                  <a:schemeClr val="accent1"/>
                </a:solidFill>
              </a:ln>
              <a:effectLst/>
            </c:spPr>
            <c:extLst>
              <c:ext xmlns:c16="http://schemas.microsoft.com/office/drawing/2014/chart" uri="{C3380CC4-5D6E-409C-BE32-E72D297353CC}">
                <c16:uniqueId val="{00000001-60C4-4649-A3E6-B54A9BB68C80}"/>
              </c:ext>
            </c:extLst>
          </c:dPt>
          <c:dPt>
            <c:idx val="1"/>
            <c:bubble3D val="0"/>
            <c:spPr>
              <a:solidFill>
                <a:schemeClr val="accent2"/>
              </a:solidFill>
              <a:ln>
                <a:solidFill>
                  <a:schemeClr val="accent2"/>
                </a:solidFill>
              </a:ln>
              <a:effectLst/>
            </c:spPr>
            <c:extLst>
              <c:ext xmlns:c16="http://schemas.microsoft.com/office/drawing/2014/chart" uri="{C3380CC4-5D6E-409C-BE32-E72D297353CC}">
                <c16:uniqueId val="{00000003-60C4-4649-A3E6-B54A9BB68C80}"/>
              </c:ext>
            </c:extLst>
          </c:dPt>
          <c:dPt>
            <c:idx val="2"/>
            <c:bubble3D val="0"/>
            <c:spPr>
              <a:solidFill>
                <a:schemeClr val="accent3"/>
              </a:solidFill>
              <a:ln>
                <a:solidFill>
                  <a:schemeClr val="accent3"/>
                </a:solidFill>
              </a:ln>
              <a:effectLst/>
            </c:spPr>
            <c:extLst>
              <c:ext xmlns:c16="http://schemas.microsoft.com/office/drawing/2014/chart" uri="{C3380CC4-5D6E-409C-BE32-E72D297353CC}">
                <c16:uniqueId val="{00000005-60C4-4649-A3E6-B54A9BB68C80}"/>
              </c:ext>
            </c:extLst>
          </c:dPt>
          <c:dPt>
            <c:idx val="3"/>
            <c:bubble3D val="0"/>
            <c:spPr>
              <a:solidFill>
                <a:schemeClr val="accent4"/>
              </a:solidFill>
              <a:ln>
                <a:solidFill>
                  <a:schemeClr val="accent4"/>
                </a:solidFill>
              </a:ln>
              <a:effectLst/>
            </c:spPr>
            <c:extLst>
              <c:ext xmlns:c16="http://schemas.microsoft.com/office/drawing/2014/chart" uri="{C3380CC4-5D6E-409C-BE32-E72D297353CC}">
                <c16:uniqueId val="{00000007-60C4-4649-A3E6-B54A9BB68C80}"/>
              </c:ext>
            </c:extLst>
          </c:dPt>
          <c:dLbls>
            <c:dLbl>
              <c:idx val="0"/>
              <c:layout>
                <c:manualLayout>
                  <c:x val="8.611111111111111E-2"/>
                  <c:y val="-0.1851851851851851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0C4-4649-A3E6-B54A9BB68C80}"/>
                </c:ext>
              </c:extLst>
            </c:dLbl>
            <c:dLbl>
              <c:idx val="1"/>
              <c:layout>
                <c:manualLayout>
                  <c:x val="0.13055555555555556"/>
                  <c:y val="-6.481481481481485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0C4-4649-A3E6-B54A9BB68C80}"/>
                </c:ext>
              </c:extLst>
            </c:dLbl>
            <c:dLbl>
              <c:idx val="2"/>
              <c:layout>
                <c:manualLayout>
                  <c:x val="-0.21388888888888893"/>
                  <c:y val="1.388888888888880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0C4-4649-A3E6-B54A9BB68C80}"/>
                </c:ext>
              </c:extLst>
            </c:dLbl>
            <c:dLbl>
              <c:idx val="3"/>
              <c:layout>
                <c:manualLayout>
                  <c:x val="-0.11388888888888891"/>
                  <c:y val="-0.1388888888888889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0C4-4649-A3E6-B54A9BB68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1"/>
            <c:showBubbleSize val="0"/>
            <c:separator>
</c:separator>
            <c:showLeaderLines val="1"/>
            <c:leaderLines>
              <c:spPr>
                <a:ln>
                  <a:noFill/>
                </a:ln>
                <a:effectLst/>
              </c:spPr>
            </c:leaderLines>
            <c:extLst>
              <c:ext xmlns:c15="http://schemas.microsoft.com/office/drawing/2012/chart" uri="{CE6537A1-D6FC-4f65-9D91-7224C49458BB}"/>
            </c:extLst>
          </c:dLbls>
          <c:cat>
            <c:strRef>
              <c:f>List1!$D$23:$G$23</c:f>
              <c:strCache>
                <c:ptCount val="4"/>
                <c:pt idx="0">
                  <c:v>kratkoročna posojila</c:v>
                </c:pt>
                <c:pt idx="1">
                  <c:v>srednjeročna posojila</c:v>
                </c:pt>
                <c:pt idx="2">
                  <c:v>dolgoročna posojila</c:v>
                </c:pt>
                <c:pt idx="3">
                  <c:v>kreditna linija / limit</c:v>
                </c:pt>
              </c:strCache>
            </c:strRef>
          </c:cat>
          <c:val>
            <c:numRef>
              <c:f>List1!$D$24:$G$24</c:f>
              <c:numCache>
                <c:formatCode>General</c:formatCode>
                <c:ptCount val="4"/>
                <c:pt idx="0">
                  <c:v>18</c:v>
                </c:pt>
                <c:pt idx="1">
                  <c:v>18</c:v>
                </c:pt>
                <c:pt idx="2">
                  <c:v>71</c:v>
                </c:pt>
                <c:pt idx="3">
                  <c:v>21</c:v>
                </c:pt>
              </c:numCache>
            </c:numRef>
          </c:val>
          <c:extLst>
            <c:ext xmlns:c16="http://schemas.microsoft.com/office/drawing/2014/chart" uri="{C3380CC4-5D6E-409C-BE32-E72D297353CC}">
              <c16:uniqueId val="{00000008-60C4-4649-A3E6-B54A9BB68C80}"/>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Delež odobrenih sredstev</a:t>
            </a:r>
            <a:r>
              <a:rPr lang="sl-SI" sz="900"/>
              <a:t> glede na vrsto </a:t>
            </a:r>
            <a:r>
              <a:rPr lang="sl-SI" sz="900" baseline="0"/>
              <a:t>naložbe v okviru podukrepa M04.2 PRP 2014-2020, stanje 30.4.2020 </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3389253426655004"/>
          <c:y val="0.20916018549828511"/>
          <c:w val="0.47785979877515311"/>
          <c:h val="0.74550925925925926"/>
        </c:manualLayout>
      </c:layout>
      <c:pieChart>
        <c:varyColors val="1"/>
        <c:ser>
          <c:idx val="0"/>
          <c:order val="0"/>
          <c:tx>
            <c:strRef>
              <c:f>List1!$E$36</c:f>
              <c:strCache>
                <c:ptCount val="1"/>
                <c:pt idx="0">
                  <c:v>Delež odobrenih sredstev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7B-490A-A57C-CA037088D9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7B-490A-A57C-CA037088D9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7B-490A-A57C-CA037088D9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7B-490A-A57C-CA037088D9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7B-490A-A57C-CA037088D95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7B-490A-A57C-CA037088D95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7B-490A-A57C-CA037088D959}"/>
              </c:ext>
            </c:extLst>
          </c:dPt>
          <c:dLbls>
            <c:dLbl>
              <c:idx val="0"/>
              <c:layout>
                <c:manualLayout>
                  <c:x val="-4.5565398075240592E-2"/>
                  <c:y val="-0.38003900554097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7B-490A-A57C-CA037088D959}"/>
                </c:ext>
              </c:extLst>
            </c:dLbl>
            <c:dLbl>
              <c:idx val="1"/>
              <c:layout>
                <c:manualLayout>
                  <c:x val="2.4249562554680665E-2"/>
                  <c:y val="8.8887795275590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7B-490A-A57C-CA037088D9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List1!$A$37:$A$43</c:f>
              <c:strCache>
                <c:ptCount val="7"/>
                <c:pt idx="0">
                  <c:v>Nakup opreme</c:v>
                </c:pt>
                <c:pt idx="1">
                  <c:v>Novogradnja objektov</c:v>
                </c:pt>
                <c:pt idx="2">
                  <c:v>Rekonstrukcija objektov</c:v>
                </c:pt>
                <c:pt idx="3">
                  <c:v>Ostali splošni stroški</c:v>
                </c:pt>
                <c:pt idx="4">
                  <c:v>Investicijsko vzdrževanje objektov</c:v>
                </c:pt>
                <c:pt idx="5">
                  <c:v>Ureditev dovoznih površin</c:v>
                </c:pt>
                <c:pt idx="6">
                  <c:v>OVE</c:v>
                </c:pt>
              </c:strCache>
            </c:strRef>
          </c:cat>
          <c:val>
            <c:numRef>
              <c:f>List1!$E$37:$E$43</c:f>
              <c:numCache>
                <c:formatCode>#.000%</c:formatCode>
                <c:ptCount val="7"/>
                <c:pt idx="0">
                  <c:v>0.60699999999999998</c:v>
                </c:pt>
                <c:pt idx="1">
                  <c:v>0.32200000000000001</c:v>
                </c:pt>
                <c:pt idx="2">
                  <c:v>2.9000000000000001E-2</c:v>
                </c:pt>
                <c:pt idx="3">
                  <c:v>2.1999999999999999E-2</c:v>
                </c:pt>
                <c:pt idx="4">
                  <c:v>1.0999999999999999E-2</c:v>
                </c:pt>
                <c:pt idx="5">
                  <c:v>8.9999999999999993E-3</c:v>
                </c:pt>
                <c:pt idx="6">
                  <c:v>0</c:v>
                </c:pt>
              </c:numCache>
            </c:numRef>
          </c:val>
          <c:extLst>
            <c:ext xmlns:c16="http://schemas.microsoft.com/office/drawing/2014/chart" uri="{C3380CC4-5D6E-409C-BE32-E72D297353CC}">
              <c16:uniqueId val="{0000000E-C07B-490A-A57C-CA037088D959}"/>
            </c:ext>
          </c:extLst>
        </c:ser>
        <c:dLbls>
          <c:showLegendKey val="0"/>
          <c:showVal val="0"/>
          <c:showCatName val="0"/>
          <c:showSerName val="0"/>
          <c:showPercent val="0"/>
          <c:showBubbleSize val="0"/>
          <c:showLeaderLines val="1"/>
        </c:dLbls>
        <c:firstSliceAng val="121"/>
      </c:pieChart>
      <c:spPr>
        <a:noFill/>
        <a:ln>
          <a:noFill/>
        </a:ln>
        <a:effectLst/>
      </c:spPr>
    </c:plotArea>
    <c:legend>
      <c:legendPos val="b"/>
      <c:layout>
        <c:manualLayout>
          <c:xMode val="edge"/>
          <c:yMode val="edge"/>
          <c:x val="0.66452136191309408"/>
          <c:y val="0.18981248892968133"/>
          <c:w val="0.32373490813648292"/>
          <c:h val="0.78240959463400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sl-SI"/>
              <a:t> Zunanjetrgovinska bilanca agroživilstva po tarifnih skupinah (mio EUR); 2007-2019</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4363475503062117"/>
          <c:y val="0.14438929818543511"/>
          <c:w val="0.49827755905511811"/>
          <c:h val="0.74233684549232459"/>
        </c:manualLayout>
      </c:layout>
      <c:barChart>
        <c:barDir val="bar"/>
        <c:grouping val="clustered"/>
        <c:varyColors val="0"/>
        <c:ser>
          <c:idx val="0"/>
          <c:order val="0"/>
          <c:tx>
            <c:strRef>
              <c:f>Bilanca!$Q$64</c:f>
              <c:strCache>
                <c:ptCount val="1"/>
                <c:pt idx="0">
                  <c:v>2007-2013</c:v>
                </c:pt>
              </c:strCache>
            </c:strRef>
          </c:tx>
          <c:spPr>
            <a:solidFill>
              <a:schemeClr val="accent1"/>
            </a:solidFill>
            <a:ln>
              <a:noFill/>
            </a:ln>
            <a:effectLst/>
          </c:spPr>
          <c:invertIfNegative val="0"/>
          <c:cat>
            <c:strRef>
              <c:f>Bilanca!$P$65:$P$80</c:f>
              <c:strCache>
                <c:ptCount val="16"/>
                <c:pt idx="0">
                  <c:v>Meso in drugi užitni klavnični proizvodi</c:v>
                </c:pt>
                <c:pt idx="1">
                  <c:v>Užitno sadje</c:v>
                </c:pt>
                <c:pt idx="2">
                  <c:v>Užitne vrtnine</c:v>
                </c:pt>
                <c:pt idx="3">
                  <c:v>Izdelki iz žit, moke, škroba ali mleka</c:v>
                </c:pt>
                <c:pt idx="4">
                  <c:v>Ostanki in odpadki živil, krma</c:v>
                </c:pt>
                <c:pt idx="5">
                  <c:v>Izdelki iz vrtnin, sadja</c:v>
                </c:pt>
                <c:pt idx="6">
                  <c:v>Masti in olja</c:v>
                </c:pt>
                <c:pt idx="7">
                  <c:v>Žita</c:v>
                </c:pt>
                <c:pt idx="8">
                  <c:v>Sladkor in sladkorni proizvodi</c:v>
                </c:pt>
                <c:pt idx="9">
                  <c:v>Pijače, alkoholi in kis</c:v>
                </c:pt>
                <c:pt idx="10">
                  <c:v>Proizvodi mlinske industrije</c:v>
                </c:pt>
                <c:pt idx="11">
                  <c:v>Proizvodi živalskega porekla</c:v>
                </c:pt>
                <c:pt idx="12">
                  <c:v>Mlečni izdelki, jajca, med</c:v>
                </c:pt>
                <c:pt idx="13">
                  <c:v>Oljna semena in plodovi</c:v>
                </c:pt>
                <c:pt idx="14">
                  <c:v>Izdelki iz mesa</c:v>
                </c:pt>
                <c:pt idx="15">
                  <c:v>Žive živali</c:v>
                </c:pt>
              </c:strCache>
            </c:strRef>
          </c:cat>
          <c:val>
            <c:numRef>
              <c:f>Bilanca!$Q$65:$Q$80</c:f>
              <c:numCache>
                <c:formatCode>#,##0</c:formatCode>
                <c:ptCount val="16"/>
                <c:pt idx="0">
                  <c:v>-103357.57142857143</c:v>
                </c:pt>
                <c:pt idx="1">
                  <c:v>-98704.857142857145</c:v>
                </c:pt>
                <c:pt idx="2">
                  <c:v>-84724</c:v>
                </c:pt>
                <c:pt idx="3">
                  <c:v>-81132.428571428565</c:v>
                </c:pt>
                <c:pt idx="4">
                  <c:v>-59172.285714285717</c:v>
                </c:pt>
                <c:pt idx="5">
                  <c:v>-61235.857142857145</c:v>
                </c:pt>
                <c:pt idx="6">
                  <c:v>-51514.857142857145</c:v>
                </c:pt>
                <c:pt idx="7">
                  <c:v>-52367.857142857145</c:v>
                </c:pt>
                <c:pt idx="8">
                  <c:v>-45919.142857142855</c:v>
                </c:pt>
                <c:pt idx="9">
                  <c:v>-22628.857142857141</c:v>
                </c:pt>
                <c:pt idx="10">
                  <c:v>-26415</c:v>
                </c:pt>
                <c:pt idx="11">
                  <c:v>-4954</c:v>
                </c:pt>
                <c:pt idx="12">
                  <c:v>1816.5714285714287</c:v>
                </c:pt>
                <c:pt idx="13">
                  <c:v>1288.2857142857142</c:v>
                </c:pt>
                <c:pt idx="14">
                  <c:v>7719.4285714285716</c:v>
                </c:pt>
                <c:pt idx="15">
                  <c:v>16697.142857142859</c:v>
                </c:pt>
              </c:numCache>
            </c:numRef>
          </c:val>
          <c:extLst>
            <c:ext xmlns:c16="http://schemas.microsoft.com/office/drawing/2014/chart" uri="{C3380CC4-5D6E-409C-BE32-E72D297353CC}">
              <c16:uniqueId val="{00000000-8EA9-44B1-91BB-F199E44A8681}"/>
            </c:ext>
          </c:extLst>
        </c:ser>
        <c:ser>
          <c:idx val="1"/>
          <c:order val="1"/>
          <c:tx>
            <c:strRef>
              <c:f>Bilanca!$R$64</c:f>
              <c:strCache>
                <c:ptCount val="1"/>
                <c:pt idx="0">
                  <c:v>2014-2019</c:v>
                </c:pt>
              </c:strCache>
            </c:strRef>
          </c:tx>
          <c:spPr>
            <a:solidFill>
              <a:schemeClr val="accent2"/>
            </a:solidFill>
            <a:ln>
              <a:noFill/>
            </a:ln>
            <a:effectLst/>
          </c:spPr>
          <c:invertIfNegative val="0"/>
          <c:cat>
            <c:strRef>
              <c:f>Bilanca!$P$65:$P$80</c:f>
              <c:strCache>
                <c:ptCount val="16"/>
                <c:pt idx="0">
                  <c:v>Meso in drugi užitni klavnični proizvodi</c:v>
                </c:pt>
                <c:pt idx="1">
                  <c:v>Užitno sadje</c:v>
                </c:pt>
                <c:pt idx="2">
                  <c:v>Užitne vrtnine</c:v>
                </c:pt>
                <c:pt idx="3">
                  <c:v>Izdelki iz žit, moke, škroba ali mleka</c:v>
                </c:pt>
                <c:pt idx="4">
                  <c:v>Ostanki in odpadki živil, krma</c:v>
                </c:pt>
                <c:pt idx="5">
                  <c:v>Izdelki iz vrtnin, sadja</c:v>
                </c:pt>
                <c:pt idx="6">
                  <c:v>Masti in olja</c:v>
                </c:pt>
                <c:pt idx="7">
                  <c:v>Žita</c:v>
                </c:pt>
                <c:pt idx="8">
                  <c:v>Sladkor in sladkorni proizvodi</c:v>
                </c:pt>
                <c:pt idx="9">
                  <c:v>Pijače, alkoholi in kis</c:v>
                </c:pt>
                <c:pt idx="10">
                  <c:v>Proizvodi mlinske industrije</c:v>
                </c:pt>
                <c:pt idx="11">
                  <c:v>Proizvodi živalskega porekla</c:v>
                </c:pt>
                <c:pt idx="12">
                  <c:v>Mlečni izdelki, jajca, med</c:v>
                </c:pt>
                <c:pt idx="13">
                  <c:v>Oljna semena in plodovi</c:v>
                </c:pt>
                <c:pt idx="14">
                  <c:v>Izdelki iz mesa</c:v>
                </c:pt>
                <c:pt idx="15">
                  <c:v>Žive živali</c:v>
                </c:pt>
              </c:strCache>
            </c:strRef>
          </c:cat>
          <c:val>
            <c:numRef>
              <c:f>Bilanca!$R$65:$R$80</c:f>
              <c:numCache>
                <c:formatCode>#,##0</c:formatCode>
                <c:ptCount val="16"/>
                <c:pt idx="0">
                  <c:v>-131386.66666666666</c:v>
                </c:pt>
                <c:pt idx="1">
                  <c:v>-127534.66666666667</c:v>
                </c:pt>
                <c:pt idx="2">
                  <c:v>-94134.5</c:v>
                </c:pt>
                <c:pt idx="3">
                  <c:v>-93567</c:v>
                </c:pt>
                <c:pt idx="4">
                  <c:v>-97787</c:v>
                </c:pt>
                <c:pt idx="5">
                  <c:v>-77344.166666666672</c:v>
                </c:pt>
                <c:pt idx="6">
                  <c:v>-48040.333333333336</c:v>
                </c:pt>
                <c:pt idx="7">
                  <c:v>-34754.833333333336</c:v>
                </c:pt>
                <c:pt idx="8">
                  <c:v>-41086.5</c:v>
                </c:pt>
                <c:pt idx="9">
                  <c:v>-29082.666666666668</c:v>
                </c:pt>
                <c:pt idx="10">
                  <c:v>-23980.166666666668</c:v>
                </c:pt>
                <c:pt idx="11">
                  <c:v>-4542.166666666667</c:v>
                </c:pt>
                <c:pt idx="12">
                  <c:v>-6979.666666666667</c:v>
                </c:pt>
                <c:pt idx="13">
                  <c:v>4625.666666666667</c:v>
                </c:pt>
                <c:pt idx="14">
                  <c:v>18787.666666666668</c:v>
                </c:pt>
                <c:pt idx="15">
                  <c:v>22266.166666666668</c:v>
                </c:pt>
              </c:numCache>
            </c:numRef>
          </c:val>
          <c:extLst>
            <c:ext xmlns:c16="http://schemas.microsoft.com/office/drawing/2014/chart" uri="{C3380CC4-5D6E-409C-BE32-E72D297353CC}">
              <c16:uniqueId val="{00000001-8EA9-44B1-91BB-F199E44A8681}"/>
            </c:ext>
          </c:extLst>
        </c:ser>
        <c:dLbls>
          <c:showLegendKey val="0"/>
          <c:showVal val="0"/>
          <c:showCatName val="0"/>
          <c:showSerName val="0"/>
          <c:showPercent val="0"/>
          <c:showBubbleSize val="0"/>
        </c:dLbls>
        <c:gapWidth val="182"/>
        <c:axId val="192307200"/>
        <c:axId val="192308736"/>
      </c:barChart>
      <c:catAx>
        <c:axId val="19230720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2308736"/>
        <c:crosses val="autoZero"/>
        <c:auto val="1"/>
        <c:lblAlgn val="ctr"/>
        <c:lblOffset val="100"/>
        <c:noMultiLvlLbl val="0"/>
      </c:catAx>
      <c:valAx>
        <c:axId val="19230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230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l-SI"/>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Sadje v tisoč tonah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'Sadje, zelenjva'!$C$20</c:f>
              <c:strCache>
                <c:ptCount val="1"/>
                <c:pt idx="0">
                  <c:v>2007-2013</c:v>
                </c:pt>
              </c:strCache>
            </c:strRef>
          </c:tx>
          <c:spPr>
            <a:solidFill>
              <a:schemeClr val="accent1"/>
            </a:solidFill>
            <a:ln>
              <a:noFill/>
            </a:ln>
            <a:effectLst/>
          </c:spPr>
          <c:invertIfNegative val="0"/>
          <c:cat>
            <c:strRef>
              <c:f>'Sadje, zelenjva'!$B$21:$B$26</c:f>
              <c:strCache>
                <c:ptCount val="6"/>
                <c:pt idx="0">
                  <c:v> od tega sveže</c:v>
                </c:pt>
                <c:pt idx="1">
                  <c:v>Uvoz</c:v>
                </c:pt>
                <c:pt idx="2">
                  <c:v> od tega sveže</c:v>
                </c:pt>
                <c:pt idx="3">
                  <c:v>Izvoz</c:v>
                </c:pt>
                <c:pt idx="4">
                  <c:v>Pridelano</c:v>
                </c:pt>
                <c:pt idx="5">
                  <c:v>Domača poraba</c:v>
                </c:pt>
              </c:strCache>
            </c:strRef>
          </c:cat>
          <c:val>
            <c:numRef>
              <c:f>'Sadje, zelenjva'!$C$21:$C$26</c:f>
              <c:numCache>
                <c:formatCode>##,#00</c:formatCode>
                <c:ptCount val="6"/>
                <c:pt idx="0">
                  <c:v>167.85</c:v>
                </c:pt>
                <c:pt idx="1">
                  <c:v>278.47714285714284</c:v>
                </c:pt>
                <c:pt idx="2">
                  <c:v>79.032857142857139</c:v>
                </c:pt>
                <c:pt idx="3">
                  <c:v>96.69285714285715</c:v>
                </c:pt>
                <c:pt idx="4">
                  <c:v>135.01000000000002</c:v>
                </c:pt>
                <c:pt idx="5">
                  <c:v>316.79428571428576</c:v>
                </c:pt>
              </c:numCache>
            </c:numRef>
          </c:val>
          <c:extLst>
            <c:ext xmlns:c16="http://schemas.microsoft.com/office/drawing/2014/chart" uri="{C3380CC4-5D6E-409C-BE32-E72D297353CC}">
              <c16:uniqueId val="{00000000-D8F7-40EC-A61A-72A4F55CA7A8}"/>
            </c:ext>
          </c:extLst>
        </c:ser>
        <c:ser>
          <c:idx val="1"/>
          <c:order val="1"/>
          <c:tx>
            <c:strRef>
              <c:f>'Sadje, zelenjva'!$D$20</c:f>
              <c:strCache>
                <c:ptCount val="1"/>
                <c:pt idx="0">
                  <c:v>2014-2019</c:v>
                </c:pt>
              </c:strCache>
            </c:strRef>
          </c:tx>
          <c:spPr>
            <a:solidFill>
              <a:schemeClr val="accent2"/>
            </a:solidFill>
            <a:ln>
              <a:noFill/>
            </a:ln>
            <a:effectLst/>
          </c:spPr>
          <c:invertIfNegative val="0"/>
          <c:cat>
            <c:strRef>
              <c:f>'Sadje, zelenjva'!$B$21:$B$26</c:f>
              <c:strCache>
                <c:ptCount val="6"/>
                <c:pt idx="0">
                  <c:v> od tega sveže</c:v>
                </c:pt>
                <c:pt idx="1">
                  <c:v>Uvoz</c:v>
                </c:pt>
                <c:pt idx="2">
                  <c:v> od tega sveže</c:v>
                </c:pt>
                <c:pt idx="3">
                  <c:v>Izvoz</c:v>
                </c:pt>
                <c:pt idx="4">
                  <c:v>Pridelano</c:v>
                </c:pt>
                <c:pt idx="5">
                  <c:v>Domača poraba</c:v>
                </c:pt>
              </c:strCache>
            </c:strRef>
          </c:cat>
          <c:val>
            <c:numRef>
              <c:f>'Sadje, zelenjva'!$D$21:$D$26</c:f>
              <c:numCache>
                <c:formatCode>##,#00</c:formatCode>
                <c:ptCount val="6"/>
                <c:pt idx="0">
                  <c:v>220.97166666666669</c:v>
                </c:pt>
                <c:pt idx="1">
                  <c:v>324.77499999999998</c:v>
                </c:pt>
                <c:pt idx="2">
                  <c:v>102.98666666666666</c:v>
                </c:pt>
                <c:pt idx="3">
                  <c:v>122.02666666666666</c:v>
                </c:pt>
                <c:pt idx="4">
                  <c:v>116.94833333333332</c:v>
                </c:pt>
                <c:pt idx="5">
                  <c:v>319.69333333333333</c:v>
                </c:pt>
              </c:numCache>
            </c:numRef>
          </c:val>
          <c:extLst>
            <c:ext xmlns:c16="http://schemas.microsoft.com/office/drawing/2014/chart" uri="{C3380CC4-5D6E-409C-BE32-E72D297353CC}">
              <c16:uniqueId val="{00000001-D8F7-40EC-A61A-72A4F55CA7A8}"/>
            </c:ext>
          </c:extLst>
        </c:ser>
        <c:dLbls>
          <c:showLegendKey val="0"/>
          <c:showVal val="0"/>
          <c:showCatName val="0"/>
          <c:showSerName val="0"/>
          <c:showPercent val="0"/>
          <c:showBubbleSize val="0"/>
        </c:dLbls>
        <c:gapWidth val="182"/>
        <c:axId val="198253952"/>
        <c:axId val="198255744"/>
      </c:barChart>
      <c:catAx>
        <c:axId val="19825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255744"/>
        <c:crosses val="autoZero"/>
        <c:auto val="1"/>
        <c:lblAlgn val="ctr"/>
        <c:lblOffset val="100"/>
        <c:noMultiLvlLbl val="0"/>
      </c:catAx>
      <c:valAx>
        <c:axId val="1982557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2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900">
                <a:latin typeface="Arial" panose="020B0604020202020204" pitchFamily="34" charset="0"/>
                <a:cs typeface="Arial" panose="020B0604020202020204" pitchFamily="34" charset="0"/>
              </a:rPr>
              <a:t>Zelenjadnice</a:t>
            </a:r>
            <a:r>
              <a:rPr lang="sl-SI" sz="900" baseline="0">
                <a:latin typeface="Arial" panose="020B0604020202020204" pitchFamily="34" charset="0"/>
                <a:cs typeface="Arial" panose="020B0604020202020204" pitchFamily="34" charset="0"/>
              </a:rPr>
              <a:t> - v tisoč tonah, ekvivalent sveže zelenjave</a:t>
            </a:r>
            <a:endParaRPr lang="sl-SI"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barChart>
        <c:barDir val="bar"/>
        <c:grouping val="clustered"/>
        <c:varyColors val="0"/>
        <c:ser>
          <c:idx val="0"/>
          <c:order val="0"/>
          <c:tx>
            <c:strRef>
              <c:f>'Sadje, zelenjva'!$C$43</c:f>
              <c:strCache>
                <c:ptCount val="1"/>
                <c:pt idx="0">
                  <c:v>2007-2013</c:v>
                </c:pt>
              </c:strCache>
            </c:strRef>
          </c:tx>
          <c:spPr>
            <a:solidFill>
              <a:schemeClr val="accent1"/>
            </a:solidFill>
            <a:ln>
              <a:noFill/>
            </a:ln>
            <a:effectLst/>
          </c:spPr>
          <c:invertIfNegative val="0"/>
          <c:cat>
            <c:strRef>
              <c:f>'Sadje, zelenjva'!$B$44:$B$47</c:f>
              <c:strCache>
                <c:ptCount val="4"/>
                <c:pt idx="0">
                  <c:v>Uvoz</c:v>
                </c:pt>
                <c:pt idx="1">
                  <c:v>Izvoz</c:v>
                </c:pt>
                <c:pt idx="2">
                  <c:v>Pridelano</c:v>
                </c:pt>
                <c:pt idx="3">
                  <c:v>Domača poraba</c:v>
                </c:pt>
              </c:strCache>
            </c:strRef>
          </c:cat>
          <c:val>
            <c:numRef>
              <c:f>'Sadje, zelenjva'!$C$44:$C$47</c:f>
              <c:numCache>
                <c:formatCode>##,#00</c:formatCode>
                <c:ptCount val="4"/>
                <c:pt idx="0">
                  <c:v>149.2657142857143</c:v>
                </c:pt>
                <c:pt idx="1">
                  <c:v>12.004285714285714</c:v>
                </c:pt>
                <c:pt idx="2">
                  <c:v>72.38</c:v>
                </c:pt>
                <c:pt idx="3">
                  <c:v>209.64428571428576</c:v>
                </c:pt>
              </c:numCache>
            </c:numRef>
          </c:val>
          <c:extLst>
            <c:ext xmlns:c16="http://schemas.microsoft.com/office/drawing/2014/chart" uri="{C3380CC4-5D6E-409C-BE32-E72D297353CC}">
              <c16:uniqueId val="{00000000-DF1D-45F4-A514-FF40E950BE39}"/>
            </c:ext>
          </c:extLst>
        </c:ser>
        <c:ser>
          <c:idx val="1"/>
          <c:order val="1"/>
          <c:tx>
            <c:strRef>
              <c:f>'Sadje, zelenjva'!$D$43</c:f>
              <c:strCache>
                <c:ptCount val="1"/>
                <c:pt idx="0">
                  <c:v>2014-2019</c:v>
                </c:pt>
              </c:strCache>
            </c:strRef>
          </c:tx>
          <c:spPr>
            <a:solidFill>
              <a:schemeClr val="accent2"/>
            </a:solidFill>
            <a:ln>
              <a:noFill/>
            </a:ln>
            <a:effectLst/>
          </c:spPr>
          <c:invertIfNegative val="0"/>
          <c:cat>
            <c:strRef>
              <c:f>'Sadje, zelenjva'!$B$44:$B$47</c:f>
              <c:strCache>
                <c:ptCount val="4"/>
                <c:pt idx="0">
                  <c:v>Uvoz</c:v>
                </c:pt>
                <c:pt idx="1">
                  <c:v>Izvoz</c:v>
                </c:pt>
                <c:pt idx="2">
                  <c:v>Pridelano</c:v>
                </c:pt>
                <c:pt idx="3">
                  <c:v>Domača poraba</c:v>
                </c:pt>
              </c:strCache>
            </c:strRef>
          </c:cat>
          <c:val>
            <c:numRef>
              <c:f>'Sadje, zelenjva'!$D$44:$D$47</c:f>
              <c:numCache>
                <c:formatCode>##,#00</c:formatCode>
                <c:ptCount val="4"/>
                <c:pt idx="0">
                  <c:v>166.41499999999999</c:v>
                </c:pt>
                <c:pt idx="1">
                  <c:v>18.206666666666667</c:v>
                </c:pt>
                <c:pt idx="2">
                  <c:v>100.71666666666665</c:v>
                </c:pt>
                <c:pt idx="3">
                  <c:v>248.92500000000004</c:v>
                </c:pt>
              </c:numCache>
            </c:numRef>
          </c:val>
          <c:extLst>
            <c:ext xmlns:c16="http://schemas.microsoft.com/office/drawing/2014/chart" uri="{C3380CC4-5D6E-409C-BE32-E72D297353CC}">
              <c16:uniqueId val="{00000001-DF1D-45F4-A514-FF40E950BE39}"/>
            </c:ext>
          </c:extLst>
        </c:ser>
        <c:dLbls>
          <c:showLegendKey val="0"/>
          <c:showVal val="0"/>
          <c:showCatName val="0"/>
          <c:showSerName val="0"/>
          <c:showPercent val="0"/>
          <c:showBubbleSize val="0"/>
        </c:dLbls>
        <c:gapWidth val="182"/>
        <c:axId val="198286336"/>
        <c:axId val="198296320"/>
      </c:barChart>
      <c:catAx>
        <c:axId val="19828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296320"/>
        <c:crosses val="autoZero"/>
        <c:auto val="1"/>
        <c:lblAlgn val="ctr"/>
        <c:lblOffset val="100"/>
        <c:noMultiLvlLbl val="0"/>
      </c:catAx>
      <c:valAx>
        <c:axId val="1982963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28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sz="900" b="0">
                <a:solidFill>
                  <a:sysClr val="windowText" lastClr="000000"/>
                </a:solidFill>
                <a:latin typeface="Arial" panose="020B0604020202020204" pitchFamily="34" charset="0"/>
                <a:cs typeface="Arial" panose="020B0604020202020204" pitchFamily="34" charset="0"/>
              </a:rPr>
              <a:t>Govedo - v tisoč</a:t>
            </a:r>
            <a:r>
              <a:rPr lang="sl-SI" sz="900" b="0" baseline="0">
                <a:solidFill>
                  <a:sysClr val="windowText" lastClr="000000"/>
                </a:solidFill>
                <a:latin typeface="Arial" panose="020B0604020202020204" pitchFamily="34" charset="0"/>
                <a:cs typeface="Arial" panose="020B0604020202020204" pitchFamily="34" charset="0"/>
              </a:rPr>
              <a:t> tonah, ekvivalent klavne mase</a:t>
            </a:r>
            <a:endParaRPr lang="sl-SI" sz="900"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3712116180735426"/>
          <c:y val="2.337380293614228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autoTitleDeleted val="0"/>
    <c:plotArea>
      <c:layout/>
      <c:barChart>
        <c:barDir val="bar"/>
        <c:grouping val="clustered"/>
        <c:varyColors val="0"/>
        <c:ser>
          <c:idx val="0"/>
          <c:order val="0"/>
          <c:tx>
            <c:strRef>
              <c:f>zivin.!$G$31</c:f>
              <c:strCache>
                <c:ptCount val="1"/>
                <c:pt idx="0">
                  <c:v>2007-2013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zivin.!$F$32:$F$41</c:f>
              <c:strCache>
                <c:ptCount val="10"/>
                <c:pt idx="0">
                  <c:v>– II. stopnja predelave (izdelki)</c:v>
                </c:pt>
                <c:pt idx="1">
                  <c:v>– I. stopnja predelave (meso)</c:v>
                </c:pt>
                <c:pt idx="2">
                  <c:v>Uvoz mesa in izdelkov</c:v>
                </c:pt>
                <c:pt idx="3">
                  <c:v>Uvoz živih živali (v klavni masi)</c:v>
                </c:pt>
                <c:pt idx="4">
                  <c:v>– II. stopnja predelave (izdelki)</c:v>
                </c:pt>
                <c:pt idx="5">
                  <c:v>– I. stopnja predelave (meso)</c:v>
                </c:pt>
                <c:pt idx="6">
                  <c:v>Izvoz mesa in izdelkov</c:v>
                </c:pt>
                <c:pt idx="7">
                  <c:v>Izvoz živih živali (v klavni masi)</c:v>
                </c:pt>
                <c:pt idx="8">
                  <c:v>Domača prireja mesa</c:v>
                </c:pt>
                <c:pt idx="9">
                  <c:v>Domača poraba</c:v>
                </c:pt>
              </c:strCache>
            </c:strRef>
          </c:cat>
          <c:val>
            <c:numRef>
              <c:f>zivin.!$G$32:$G$41</c:f>
              <c:numCache>
                <c:formatCode>##,#00</c:formatCode>
                <c:ptCount val="10"/>
                <c:pt idx="0">
                  <c:v>0.95114285714285718</c:v>
                </c:pt>
                <c:pt idx="1">
                  <c:v>7.5865714285714292</c:v>
                </c:pt>
                <c:pt idx="2">
                  <c:v>8.5385714285714283</c:v>
                </c:pt>
                <c:pt idx="3">
                  <c:v>2.8457142857142856</c:v>
                </c:pt>
                <c:pt idx="4">
                  <c:v>0.26385714285714285</c:v>
                </c:pt>
                <c:pt idx="5">
                  <c:v>2.8222857142857145</c:v>
                </c:pt>
                <c:pt idx="6">
                  <c:v>3.0857142857142859</c:v>
                </c:pt>
                <c:pt idx="7">
                  <c:v>10.402857142857142</c:v>
                </c:pt>
                <c:pt idx="8">
                  <c:v>43.001428571428569</c:v>
                </c:pt>
                <c:pt idx="9">
                  <c:v>40.89142857142857</c:v>
                </c:pt>
              </c:numCache>
            </c:numRef>
          </c:val>
          <c:extLst>
            <c:ext xmlns:c16="http://schemas.microsoft.com/office/drawing/2014/chart" uri="{C3380CC4-5D6E-409C-BE32-E72D297353CC}">
              <c16:uniqueId val="{00000000-581A-45E7-B8C9-3056ABF88865}"/>
            </c:ext>
          </c:extLst>
        </c:ser>
        <c:ser>
          <c:idx val="1"/>
          <c:order val="1"/>
          <c:tx>
            <c:strRef>
              <c:f>zivin.!$H$31</c:f>
              <c:strCache>
                <c:ptCount val="1"/>
                <c:pt idx="0">
                  <c:v>2014-2019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zivin.!$F$32:$F$41</c:f>
              <c:strCache>
                <c:ptCount val="10"/>
                <c:pt idx="0">
                  <c:v>– II. stopnja predelave (izdelki)</c:v>
                </c:pt>
                <c:pt idx="1">
                  <c:v>– I. stopnja predelave (meso)</c:v>
                </c:pt>
                <c:pt idx="2">
                  <c:v>Uvoz mesa in izdelkov</c:v>
                </c:pt>
                <c:pt idx="3">
                  <c:v>Uvoz živih živali (v klavni masi)</c:v>
                </c:pt>
                <c:pt idx="4">
                  <c:v>– II. stopnja predelave (izdelki)</c:v>
                </c:pt>
                <c:pt idx="5">
                  <c:v>– I. stopnja predelave (meso)</c:v>
                </c:pt>
                <c:pt idx="6">
                  <c:v>Izvoz mesa in izdelkov</c:v>
                </c:pt>
                <c:pt idx="7">
                  <c:v>Izvoz živih živali (v klavni masi)</c:v>
                </c:pt>
                <c:pt idx="8">
                  <c:v>Domača prireja mesa</c:v>
                </c:pt>
                <c:pt idx="9">
                  <c:v>Domača poraba</c:v>
                </c:pt>
              </c:strCache>
            </c:strRef>
          </c:cat>
          <c:val>
            <c:numRef>
              <c:f>zivin.!$H$32:$H$41</c:f>
              <c:numCache>
                <c:formatCode>##,#00</c:formatCode>
                <c:ptCount val="10"/>
                <c:pt idx="0">
                  <c:v>1.349</c:v>
                </c:pt>
                <c:pt idx="1">
                  <c:v>11.764166666666666</c:v>
                </c:pt>
                <c:pt idx="2">
                  <c:v>13.115</c:v>
                </c:pt>
                <c:pt idx="3">
                  <c:v>3.93</c:v>
                </c:pt>
                <c:pt idx="4">
                  <c:v>1.2476666666666667</c:v>
                </c:pt>
                <c:pt idx="5">
                  <c:v>5.7503333333333337</c:v>
                </c:pt>
                <c:pt idx="6">
                  <c:v>7</c:v>
                </c:pt>
                <c:pt idx="7">
                  <c:v>12.438333333333333</c:v>
                </c:pt>
                <c:pt idx="8">
                  <c:v>43.01</c:v>
                </c:pt>
                <c:pt idx="9">
                  <c:v>40.566666666666663</c:v>
                </c:pt>
              </c:numCache>
            </c:numRef>
          </c:val>
          <c:extLst>
            <c:ext xmlns:c16="http://schemas.microsoft.com/office/drawing/2014/chart" uri="{C3380CC4-5D6E-409C-BE32-E72D297353CC}">
              <c16:uniqueId val="{00000001-581A-45E7-B8C9-3056ABF88865}"/>
            </c:ext>
          </c:extLst>
        </c:ser>
        <c:dLbls>
          <c:showLegendKey val="0"/>
          <c:showVal val="0"/>
          <c:showCatName val="0"/>
          <c:showSerName val="0"/>
          <c:showPercent val="0"/>
          <c:showBubbleSize val="0"/>
        </c:dLbls>
        <c:gapWidth val="100"/>
        <c:axId val="199637632"/>
        <c:axId val="199643520"/>
      </c:barChart>
      <c:catAx>
        <c:axId val="1996376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99643520"/>
        <c:crosses val="autoZero"/>
        <c:auto val="1"/>
        <c:lblAlgn val="ctr"/>
        <c:lblOffset val="100"/>
        <c:noMultiLvlLbl val="0"/>
      </c:catAx>
      <c:valAx>
        <c:axId val="199643520"/>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9963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sl-SI" sz="900" b="1"/>
              <a:t> Neto dodana vrednost / PDM, v </a:t>
            </a:r>
            <a:r>
              <a:rPr lang="en-US" sz="900" b="1"/>
              <a:t>2019</a:t>
            </a:r>
            <a:r>
              <a:rPr lang="sl-SI" sz="900" b="1"/>
              <a:t>, v EUR</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1304281409268285"/>
          <c:y val="5.6754338879942745E-2"/>
          <c:w val="0.83585652020181411"/>
          <c:h val="0.83426145311381528"/>
        </c:manualLayout>
      </c:layout>
      <c:barChart>
        <c:barDir val="bar"/>
        <c:grouping val="clustered"/>
        <c:varyColors val="0"/>
        <c:ser>
          <c:idx val="0"/>
          <c:order val="0"/>
          <c:tx>
            <c:strRef>
              <c:f>'Neto dod. vr. na AWU'!$B$175</c:f>
              <c:strCache>
                <c:ptCount val="1"/>
                <c:pt idx="0">
                  <c:v>2019</c:v>
                </c:pt>
              </c:strCache>
            </c:strRef>
          </c:tx>
          <c:spPr>
            <a:solidFill>
              <a:srgbClr val="92D05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1-661A-481E-AB8C-B1ACCDCB9C48}"/>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'Neto dod. vr. na AWU'!$A$176:$A$203</c:f>
              <c:strCache>
                <c:ptCount val="28"/>
                <c:pt idx="0">
                  <c:v>FI</c:v>
                </c:pt>
                <c:pt idx="1">
                  <c:v>SI</c:v>
                </c:pt>
                <c:pt idx="2">
                  <c:v>HR</c:v>
                </c:pt>
                <c:pt idx="3">
                  <c:v>RO</c:v>
                </c:pt>
                <c:pt idx="4">
                  <c:v>PL</c:v>
                </c:pt>
                <c:pt idx="5">
                  <c:v>LV</c:v>
                </c:pt>
                <c:pt idx="6">
                  <c:v>LU</c:v>
                </c:pt>
                <c:pt idx="7">
                  <c:v>SK</c:v>
                </c:pt>
                <c:pt idx="8">
                  <c:v>HU</c:v>
                </c:pt>
                <c:pt idx="9">
                  <c:v>LT</c:v>
                </c:pt>
                <c:pt idx="10">
                  <c:v>BG</c:v>
                </c:pt>
                <c:pt idx="11">
                  <c:v>CZ</c:v>
                </c:pt>
                <c:pt idx="12">
                  <c:v>PT</c:v>
                </c:pt>
                <c:pt idx="13">
                  <c:v>EE</c:v>
                </c:pt>
                <c:pt idx="14">
                  <c:v>SE</c:v>
                </c:pt>
                <c:pt idx="15">
                  <c:v>EL</c:v>
                </c:pt>
                <c:pt idx="16">
                  <c:v>MT</c:v>
                </c:pt>
                <c:pt idx="17">
                  <c:v>IE</c:v>
                </c:pt>
                <c:pt idx="18">
                  <c:v>AT</c:v>
                </c:pt>
                <c:pt idx="19">
                  <c:v>EU27_2020</c:v>
                </c:pt>
                <c:pt idx="20">
                  <c:v>CY</c:v>
                </c:pt>
                <c:pt idx="21">
                  <c:v>IT</c:v>
                </c:pt>
                <c:pt idx="22">
                  <c:v>DE</c:v>
                </c:pt>
                <c:pt idx="23">
                  <c:v>ES</c:v>
                </c:pt>
                <c:pt idx="24">
                  <c:v>BE</c:v>
                </c:pt>
                <c:pt idx="25">
                  <c:v>FR</c:v>
                </c:pt>
                <c:pt idx="26">
                  <c:v>DK</c:v>
                </c:pt>
                <c:pt idx="27">
                  <c:v>NL</c:v>
                </c:pt>
              </c:strCache>
            </c:strRef>
          </c:cat>
          <c:val>
            <c:numRef>
              <c:f>'Neto dod. vr. na AWU'!$B$176:$B$203</c:f>
              <c:numCache>
                <c:formatCode>###,000</c:formatCode>
                <c:ptCount val="28"/>
                <c:pt idx="0">
                  <c:v>919.86417657045843</c:v>
                </c:pt>
                <c:pt idx="1">
                  <c:v>3964.3041237113403</c:v>
                </c:pt>
                <c:pt idx="2">
                  <c:v>4271.4841515047492</c:v>
                </c:pt>
                <c:pt idx="3">
                  <c:v>4367.7553956834536</c:v>
                </c:pt>
                <c:pt idx="4">
                  <c:v>5131.4357321876123</c:v>
                </c:pt>
                <c:pt idx="5">
                  <c:v>5514.3640825754292</c:v>
                </c:pt>
                <c:pt idx="6">
                  <c:v>6245.5089820359281</c:v>
                </c:pt>
                <c:pt idx="7">
                  <c:v>6591.5367483296213</c:v>
                </c:pt>
                <c:pt idx="8">
                  <c:v>6648.6183524504695</c:v>
                </c:pt>
                <c:pt idx="9">
                  <c:v>7191.1127167630057</c:v>
                </c:pt>
                <c:pt idx="10">
                  <c:v>7378.4736842105267</c:v>
                </c:pt>
                <c:pt idx="11">
                  <c:v>8475.464826528656</c:v>
                </c:pt>
                <c:pt idx="12">
                  <c:v>9931.520902795588</c:v>
                </c:pt>
                <c:pt idx="13">
                  <c:v>10333.673469387755</c:v>
                </c:pt>
                <c:pt idx="14">
                  <c:v>10931.386861313869</c:v>
                </c:pt>
                <c:pt idx="15">
                  <c:v>10971.431998081074</c:v>
                </c:pt>
                <c:pt idx="16">
                  <c:v>11019.84126984127</c:v>
                </c:pt>
                <c:pt idx="17">
                  <c:v>12506.471686372122</c:v>
                </c:pt>
                <c:pt idx="18">
                  <c:v>12692.682078915348</c:v>
                </c:pt>
                <c:pt idx="19">
                  <c:v>13192.034136169681</c:v>
                </c:pt>
                <c:pt idx="20">
                  <c:v>15970.833333333334</c:v>
                </c:pt>
                <c:pt idx="21">
                  <c:v>17717.378942692136</c:v>
                </c:pt>
                <c:pt idx="22">
                  <c:v>20025.253592561286</c:v>
                </c:pt>
                <c:pt idx="23">
                  <c:v>24616.590616590616</c:v>
                </c:pt>
                <c:pt idx="24">
                  <c:v>27346.209126841539</c:v>
                </c:pt>
                <c:pt idx="25">
                  <c:v>27984.374156636262</c:v>
                </c:pt>
                <c:pt idx="26">
                  <c:v>42389.416806409543</c:v>
                </c:pt>
                <c:pt idx="27">
                  <c:v>45790.675547097999</c:v>
                </c:pt>
              </c:numCache>
            </c:numRef>
          </c:val>
          <c:extLst>
            <c:ext xmlns:c16="http://schemas.microsoft.com/office/drawing/2014/chart" uri="{C3380CC4-5D6E-409C-BE32-E72D297353CC}">
              <c16:uniqueId val="{00000002-661A-481E-AB8C-B1ACCDCB9C48}"/>
            </c:ext>
          </c:extLst>
        </c:ser>
        <c:dLbls>
          <c:showLegendKey val="0"/>
          <c:showVal val="0"/>
          <c:showCatName val="0"/>
          <c:showSerName val="0"/>
          <c:showPercent val="0"/>
          <c:showBubbleSize val="0"/>
        </c:dLbls>
        <c:gapWidth val="182"/>
        <c:axId val="144485376"/>
        <c:axId val="154407680"/>
      </c:barChart>
      <c:catAx>
        <c:axId val="14448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54407680"/>
        <c:crosses val="autoZero"/>
        <c:auto val="1"/>
        <c:lblAlgn val="ctr"/>
        <c:lblOffset val="100"/>
        <c:noMultiLvlLbl val="0"/>
      </c:catAx>
      <c:valAx>
        <c:axId val="1544076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44485376"/>
        <c:crosses val="autoZero"/>
        <c:crossBetween val="between"/>
      </c:valAx>
      <c:spPr>
        <a:gradFill>
          <a:gsLst>
            <a:gs pos="79210">
              <a:schemeClr val="bg1">
                <a:lumMod val="85000"/>
                <a:alpha val="99000"/>
              </a:schemeClr>
            </a:gs>
            <a:gs pos="67000">
              <a:schemeClr val="bg1">
                <a:lumMod val="85000"/>
              </a:schemeClr>
            </a:gs>
            <a:gs pos="0">
              <a:schemeClr val="bg1"/>
            </a:gs>
            <a:gs pos="100000">
              <a:schemeClr val="accent1">
                <a:lumMod val="30000"/>
                <a:lumOff val="70000"/>
              </a:schemeClr>
            </a:gs>
          </a:gsLst>
          <a:lin ang="5400000" scaled="1"/>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Prašiči</a:t>
            </a:r>
            <a:r>
              <a:rPr lang="sl-SI" sz="900" baseline="0">
                <a:latin typeface="Arial" panose="020B0604020202020204" pitchFamily="34" charset="0"/>
                <a:cs typeface="Arial" panose="020B0604020202020204" pitchFamily="34" charset="0"/>
              </a:rPr>
              <a:t> -</a:t>
            </a:r>
            <a:r>
              <a:rPr lang="sl-SI" sz="900">
                <a:latin typeface="Arial" panose="020B0604020202020204" pitchFamily="34" charset="0"/>
                <a:cs typeface="Arial" panose="020B0604020202020204" pitchFamily="34" charset="0"/>
              </a:rPr>
              <a:t> v tisoč</a:t>
            </a:r>
            <a:r>
              <a:rPr lang="sl-SI" sz="900" baseline="0">
                <a:latin typeface="Arial" panose="020B0604020202020204" pitchFamily="34" charset="0"/>
                <a:cs typeface="Arial" panose="020B0604020202020204" pitchFamily="34" charset="0"/>
              </a:rPr>
              <a:t> </a:t>
            </a:r>
            <a:r>
              <a:rPr lang="sl-SI" sz="900">
                <a:latin typeface="Arial" panose="020B0604020202020204" pitchFamily="34" charset="0"/>
                <a:cs typeface="Arial" panose="020B0604020202020204" pitchFamily="34" charset="0"/>
              </a:rPr>
              <a:t>tonah, ekvivalent klavne mase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zivin.!$G$104</c:f>
              <c:strCache>
                <c:ptCount val="1"/>
                <c:pt idx="0">
                  <c:v>2007-2013</c:v>
                </c:pt>
              </c:strCache>
            </c:strRef>
          </c:tx>
          <c:spPr>
            <a:solidFill>
              <a:schemeClr val="accent1"/>
            </a:solidFill>
            <a:ln>
              <a:noFill/>
            </a:ln>
            <a:effectLst/>
          </c:spPr>
          <c:invertIfNegative val="0"/>
          <c:cat>
            <c:strRef>
              <c:f>zivin.!$F$105:$F$114</c:f>
              <c:strCache>
                <c:ptCount val="10"/>
                <c:pt idx="0">
                  <c:v>Uvoz živih živali (klavna masa)</c:v>
                </c:pt>
                <c:pt idx="1">
                  <c:v>Uvoz mesa in izdelkov</c:v>
                </c:pt>
                <c:pt idx="2">
                  <c:v>– II. stopnja predelave (izdelki)</c:v>
                </c:pt>
                <c:pt idx="3">
                  <c:v>– I. stopnja predelave (meso)</c:v>
                </c:pt>
                <c:pt idx="4">
                  <c:v>Izvoz živih živali (klavna masa)</c:v>
                </c:pt>
                <c:pt idx="5">
                  <c:v>– II. stopnja predelave (izdelki)</c:v>
                </c:pt>
                <c:pt idx="6">
                  <c:v>– I. stopnja predelave (meso)</c:v>
                </c:pt>
                <c:pt idx="7">
                  <c:v>Izvoz mesa in izdelkov</c:v>
                </c:pt>
                <c:pt idx="8">
                  <c:v>Domača prireja mesa</c:v>
                </c:pt>
                <c:pt idx="9">
                  <c:v>Domača poraba</c:v>
                </c:pt>
              </c:strCache>
            </c:strRef>
          </c:cat>
          <c:val>
            <c:numRef>
              <c:f>zivin.!$G$105:$G$114</c:f>
              <c:numCache>
                <c:formatCode>##,#00</c:formatCode>
                <c:ptCount val="10"/>
                <c:pt idx="0">
                  <c:v>1.4457142857142855</c:v>
                </c:pt>
                <c:pt idx="1">
                  <c:v>50.91142857142858</c:v>
                </c:pt>
                <c:pt idx="2">
                  <c:v>4.7742857142857149</c:v>
                </c:pt>
                <c:pt idx="3">
                  <c:v>46.136000000000003</c:v>
                </c:pt>
                <c:pt idx="4">
                  <c:v>3.5399999999999996</c:v>
                </c:pt>
                <c:pt idx="5">
                  <c:v>10.19</c:v>
                </c:pt>
                <c:pt idx="6">
                  <c:v>2.4062857142857146</c:v>
                </c:pt>
                <c:pt idx="7">
                  <c:v>12.595714285714285</c:v>
                </c:pt>
                <c:pt idx="8">
                  <c:v>45.552857142857142</c:v>
                </c:pt>
                <c:pt idx="9">
                  <c:v>81.704285714285717</c:v>
                </c:pt>
              </c:numCache>
            </c:numRef>
          </c:val>
          <c:extLst>
            <c:ext xmlns:c16="http://schemas.microsoft.com/office/drawing/2014/chart" uri="{C3380CC4-5D6E-409C-BE32-E72D297353CC}">
              <c16:uniqueId val="{00000000-4CF7-48E2-AB49-D04C518BED3E}"/>
            </c:ext>
          </c:extLst>
        </c:ser>
        <c:ser>
          <c:idx val="1"/>
          <c:order val="1"/>
          <c:tx>
            <c:strRef>
              <c:f>zivin.!$H$104</c:f>
              <c:strCache>
                <c:ptCount val="1"/>
                <c:pt idx="0">
                  <c:v>2014-2019</c:v>
                </c:pt>
              </c:strCache>
            </c:strRef>
          </c:tx>
          <c:spPr>
            <a:solidFill>
              <a:schemeClr val="accent2"/>
            </a:solidFill>
            <a:ln>
              <a:noFill/>
            </a:ln>
            <a:effectLst/>
          </c:spPr>
          <c:invertIfNegative val="0"/>
          <c:cat>
            <c:strRef>
              <c:f>zivin.!$F$105:$F$114</c:f>
              <c:strCache>
                <c:ptCount val="10"/>
                <c:pt idx="0">
                  <c:v>Uvoz živih živali (klavna masa)</c:v>
                </c:pt>
                <c:pt idx="1">
                  <c:v>Uvoz mesa in izdelkov</c:v>
                </c:pt>
                <c:pt idx="2">
                  <c:v>– II. stopnja predelave (izdelki)</c:v>
                </c:pt>
                <c:pt idx="3">
                  <c:v>– I. stopnja predelave (meso)</c:v>
                </c:pt>
                <c:pt idx="4">
                  <c:v>Izvoz živih živali (klavna masa)</c:v>
                </c:pt>
                <c:pt idx="5">
                  <c:v>– II. stopnja predelave (izdelki)</c:v>
                </c:pt>
                <c:pt idx="6">
                  <c:v>– I. stopnja predelave (meso)</c:v>
                </c:pt>
                <c:pt idx="7">
                  <c:v>Izvoz mesa in izdelkov</c:v>
                </c:pt>
                <c:pt idx="8">
                  <c:v>Domača prireja mesa</c:v>
                </c:pt>
                <c:pt idx="9">
                  <c:v>Domača poraba</c:v>
                </c:pt>
              </c:strCache>
            </c:strRef>
          </c:cat>
          <c:val>
            <c:numRef>
              <c:f>zivin.!$H$105:$H$114</c:f>
              <c:numCache>
                <c:formatCode>##,#00</c:formatCode>
                <c:ptCount val="10"/>
                <c:pt idx="0">
                  <c:v>1.7899999999999998</c:v>
                </c:pt>
                <c:pt idx="1">
                  <c:v>65.313333333333333</c:v>
                </c:pt>
                <c:pt idx="2">
                  <c:v>7.43</c:v>
                </c:pt>
                <c:pt idx="3">
                  <c:v>57.882499999999993</c:v>
                </c:pt>
                <c:pt idx="4">
                  <c:v>0.42166666666666669</c:v>
                </c:pt>
                <c:pt idx="5">
                  <c:v>12.534833333333333</c:v>
                </c:pt>
                <c:pt idx="6">
                  <c:v>4.7776666666666667</c:v>
                </c:pt>
                <c:pt idx="7">
                  <c:v>17.311666666666667</c:v>
                </c:pt>
                <c:pt idx="8">
                  <c:v>29.084999999999997</c:v>
                </c:pt>
                <c:pt idx="9">
                  <c:v>78.191666666666677</c:v>
                </c:pt>
              </c:numCache>
            </c:numRef>
          </c:val>
          <c:extLst>
            <c:ext xmlns:c16="http://schemas.microsoft.com/office/drawing/2014/chart" uri="{C3380CC4-5D6E-409C-BE32-E72D297353CC}">
              <c16:uniqueId val="{00000001-4CF7-48E2-AB49-D04C518BED3E}"/>
            </c:ext>
          </c:extLst>
        </c:ser>
        <c:dLbls>
          <c:showLegendKey val="0"/>
          <c:showVal val="0"/>
          <c:showCatName val="0"/>
          <c:showSerName val="0"/>
          <c:showPercent val="0"/>
          <c:showBubbleSize val="0"/>
        </c:dLbls>
        <c:gapWidth val="182"/>
        <c:axId val="199670016"/>
        <c:axId val="199684096"/>
      </c:barChart>
      <c:catAx>
        <c:axId val="19967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199684096"/>
        <c:crosses val="autoZero"/>
        <c:auto val="1"/>
        <c:lblAlgn val="ctr"/>
        <c:lblOffset val="100"/>
        <c:noMultiLvlLbl val="0"/>
      </c:catAx>
      <c:valAx>
        <c:axId val="1996840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67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900">
                <a:latin typeface="Arial" panose="020B0604020202020204" pitchFamily="34" charset="0"/>
                <a:cs typeface="Arial" panose="020B0604020202020204" pitchFamily="34" charset="0"/>
              </a:rPr>
              <a:t>M</a:t>
            </a:r>
            <a:r>
              <a:rPr lang="en-US" sz="900">
                <a:latin typeface="Arial" panose="020B0604020202020204" pitchFamily="34" charset="0"/>
                <a:cs typeface="Arial" panose="020B0604020202020204" pitchFamily="34" charset="0"/>
              </a:rPr>
              <a:t>l</a:t>
            </a:r>
            <a:r>
              <a:rPr lang="sl-SI" sz="900">
                <a:latin typeface="Arial" panose="020B0604020202020204" pitchFamily="34" charset="0"/>
                <a:cs typeface="Arial" panose="020B0604020202020204" pitchFamily="34" charset="0"/>
              </a:rPr>
              <a:t>eko - v tisoč tonah, ekvivalent</a:t>
            </a:r>
            <a:r>
              <a:rPr lang="sl-SI" sz="900" baseline="0">
                <a:latin typeface="Arial" panose="020B0604020202020204" pitchFamily="34" charset="0"/>
                <a:cs typeface="Arial" panose="020B0604020202020204" pitchFamily="34" charset="0"/>
              </a:rPr>
              <a:t> surovega ml</a:t>
            </a:r>
            <a:r>
              <a:rPr lang="sl-SI" sz="1000" baseline="0"/>
              <a:t>eka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zivin.!$G$66</c:f>
              <c:strCache>
                <c:ptCount val="1"/>
                <c:pt idx="0">
                  <c:v>2007-2013</c:v>
                </c:pt>
              </c:strCache>
            </c:strRef>
          </c:tx>
          <c:spPr>
            <a:solidFill>
              <a:schemeClr val="accent1"/>
            </a:solidFill>
            <a:ln>
              <a:noFill/>
            </a:ln>
            <a:effectLst/>
          </c:spPr>
          <c:invertIfNegative val="0"/>
          <c:cat>
            <c:strRef>
              <c:f>zivin.!$F$67:$F$74</c:f>
              <c:strCache>
                <c:ptCount val="8"/>
                <c:pt idx="0">
                  <c:v>– uvoz izdelkov</c:v>
                </c:pt>
                <c:pt idx="1">
                  <c:v>– uvoz za predelavo</c:v>
                </c:pt>
                <c:pt idx="2">
                  <c:v>Uvoz</c:v>
                </c:pt>
                <c:pt idx="3">
                  <c:v>– izvoz izdelkov</c:v>
                </c:pt>
                <c:pt idx="4">
                  <c:v>– izvoz mleka za predelavo</c:v>
                </c:pt>
                <c:pt idx="5">
                  <c:v>– izvoz surovega mleka</c:v>
                </c:pt>
                <c:pt idx="6">
                  <c:v>Izvoz</c:v>
                </c:pt>
                <c:pt idx="7">
                  <c:v>Namolzeno mleko</c:v>
                </c:pt>
              </c:strCache>
            </c:strRef>
          </c:cat>
          <c:val>
            <c:numRef>
              <c:f>zivin.!$G$67:$G$74</c:f>
              <c:numCache>
                <c:formatCode>##,#00</c:formatCode>
                <c:ptCount val="8"/>
                <c:pt idx="0">
                  <c:v>172.3857142857143</c:v>
                </c:pt>
                <c:pt idx="1">
                  <c:v>32.742857142857147</c:v>
                </c:pt>
                <c:pt idx="2">
                  <c:v>205.14285714285714</c:v>
                </c:pt>
                <c:pt idx="3">
                  <c:v>110.65714285714286</c:v>
                </c:pt>
                <c:pt idx="4">
                  <c:v>20.871428571428574</c:v>
                </c:pt>
                <c:pt idx="5">
                  <c:v>164.97142857142856</c:v>
                </c:pt>
                <c:pt idx="6">
                  <c:v>296.5</c:v>
                </c:pt>
                <c:pt idx="7">
                  <c:v>623.94285714285718</c:v>
                </c:pt>
              </c:numCache>
            </c:numRef>
          </c:val>
          <c:extLst>
            <c:ext xmlns:c16="http://schemas.microsoft.com/office/drawing/2014/chart" uri="{C3380CC4-5D6E-409C-BE32-E72D297353CC}">
              <c16:uniqueId val="{00000000-3CF0-4FA1-A4F9-8AFEE1F40E1D}"/>
            </c:ext>
          </c:extLst>
        </c:ser>
        <c:ser>
          <c:idx val="1"/>
          <c:order val="1"/>
          <c:tx>
            <c:strRef>
              <c:f>zivin.!$H$66</c:f>
              <c:strCache>
                <c:ptCount val="1"/>
                <c:pt idx="0">
                  <c:v>2014-2019</c:v>
                </c:pt>
              </c:strCache>
            </c:strRef>
          </c:tx>
          <c:spPr>
            <a:solidFill>
              <a:schemeClr val="accent2"/>
            </a:solidFill>
            <a:ln>
              <a:noFill/>
            </a:ln>
            <a:effectLst/>
          </c:spPr>
          <c:invertIfNegative val="0"/>
          <c:cat>
            <c:strRef>
              <c:f>zivin.!$F$67:$F$74</c:f>
              <c:strCache>
                <c:ptCount val="8"/>
                <c:pt idx="0">
                  <c:v>– uvoz izdelkov</c:v>
                </c:pt>
                <c:pt idx="1">
                  <c:v>– uvoz za predelavo</c:v>
                </c:pt>
                <c:pt idx="2">
                  <c:v>Uvoz</c:v>
                </c:pt>
                <c:pt idx="3">
                  <c:v>– izvoz izdelkov</c:v>
                </c:pt>
                <c:pt idx="4">
                  <c:v>– izvoz mleka za predelavo</c:v>
                </c:pt>
                <c:pt idx="5">
                  <c:v>– izvoz surovega mleka</c:v>
                </c:pt>
                <c:pt idx="6">
                  <c:v>Izvoz</c:v>
                </c:pt>
                <c:pt idx="7">
                  <c:v>Namolzeno mleko</c:v>
                </c:pt>
              </c:strCache>
            </c:strRef>
          </c:cat>
          <c:val>
            <c:numRef>
              <c:f>zivin.!$H$67:$H$74</c:f>
              <c:numCache>
                <c:formatCode>##,#00</c:formatCode>
                <c:ptCount val="8"/>
                <c:pt idx="0">
                  <c:v>222.45000000000002</c:v>
                </c:pt>
                <c:pt idx="1">
                  <c:v>13.1</c:v>
                </c:pt>
                <c:pt idx="2">
                  <c:v>235.54999999999998</c:v>
                </c:pt>
                <c:pt idx="3">
                  <c:v>141.18333333333334</c:v>
                </c:pt>
                <c:pt idx="4">
                  <c:v>40.06666666666667</c:v>
                </c:pt>
                <c:pt idx="5">
                  <c:v>190.93333333333337</c:v>
                </c:pt>
                <c:pt idx="6">
                  <c:v>372.18333333333334</c:v>
                </c:pt>
                <c:pt idx="7">
                  <c:v>631.73333333333335</c:v>
                </c:pt>
              </c:numCache>
            </c:numRef>
          </c:val>
          <c:extLst>
            <c:ext xmlns:c16="http://schemas.microsoft.com/office/drawing/2014/chart" uri="{C3380CC4-5D6E-409C-BE32-E72D297353CC}">
              <c16:uniqueId val="{00000001-3CF0-4FA1-A4F9-8AFEE1F40E1D}"/>
            </c:ext>
          </c:extLst>
        </c:ser>
        <c:dLbls>
          <c:showLegendKey val="0"/>
          <c:showVal val="0"/>
          <c:showCatName val="0"/>
          <c:showSerName val="0"/>
          <c:showPercent val="0"/>
          <c:showBubbleSize val="0"/>
        </c:dLbls>
        <c:gapWidth val="182"/>
        <c:axId val="199583616"/>
        <c:axId val="199585152"/>
      </c:barChart>
      <c:catAx>
        <c:axId val="19958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585152"/>
        <c:crosses val="autoZero"/>
        <c:auto val="1"/>
        <c:lblAlgn val="ctr"/>
        <c:lblOffset val="100"/>
        <c:noMultiLvlLbl val="0"/>
      </c:catAx>
      <c:valAx>
        <c:axId val="1995851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58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Penetracija fiksnega širokopasovnega dostopa</a:t>
            </a:r>
          </a:p>
        </c:rich>
      </c:tx>
      <c:layout>
        <c:manualLayout>
          <c:xMode val="edge"/>
          <c:yMode val="edge"/>
          <c:x val="0.2816707135176385"/>
          <c:y val="6.629817824496077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9.4231996264567908E-2"/>
          <c:y val="0.13591514613910882"/>
          <c:w val="0.81410136112825171"/>
          <c:h val="0.58720422399962968"/>
        </c:manualLayout>
      </c:layout>
      <c:lineChart>
        <c:grouping val="standard"/>
        <c:varyColors val="0"/>
        <c:ser>
          <c:idx val="0"/>
          <c:order val="0"/>
          <c:tx>
            <c:strRef>
              <c:f>'[penetracija-fiksnega-iro.xls]Ark1'!$B$1:$B$2</c:f>
              <c:strCache>
                <c:ptCount val="2"/>
                <c:pt idx="0">
                  <c:v>Penetracija fiksnega širokopasovnega dostopa</c:v>
                </c:pt>
                <c:pt idx="1">
                  <c:v>Penetracija fiksnega širokopasovnega dostopa na gospodinjstva SURS (EU-SILC)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'[penetracija-fiksnega-iro.xls]Ark1'!$B$3:$B$30</c:f>
              <c:numCache>
                <c:formatCode>#.000</c:formatCode>
                <c:ptCount val="28"/>
                <c:pt idx="0">
                  <c:v>68.959999999999994</c:v>
                </c:pt>
                <c:pt idx="1">
                  <c:v>69.09</c:v>
                </c:pt>
                <c:pt idx="2">
                  <c:v>69.66</c:v>
                </c:pt>
                <c:pt idx="3">
                  <c:v>69.91</c:v>
                </c:pt>
                <c:pt idx="4">
                  <c:v>70.61</c:v>
                </c:pt>
                <c:pt idx="5">
                  <c:v>71.41</c:v>
                </c:pt>
                <c:pt idx="6">
                  <c:v>71.959999999999994</c:v>
                </c:pt>
                <c:pt idx="7">
                  <c:v>72.400000000000006</c:v>
                </c:pt>
                <c:pt idx="8">
                  <c:v>73.11</c:v>
                </c:pt>
                <c:pt idx="9">
                  <c:v>72.73</c:v>
                </c:pt>
                <c:pt idx="10">
                  <c:v>73.08</c:v>
                </c:pt>
                <c:pt idx="11">
                  <c:v>73.75</c:v>
                </c:pt>
                <c:pt idx="12">
                  <c:v>73.64</c:v>
                </c:pt>
              </c:numCache>
            </c:numRef>
          </c:val>
          <c:smooth val="0"/>
          <c:extLst>
            <c:ext xmlns:c16="http://schemas.microsoft.com/office/drawing/2014/chart" uri="{C3380CC4-5D6E-409C-BE32-E72D297353CC}">
              <c16:uniqueId val="{00000000-D75B-4F25-B9FE-CB6625FD9145}"/>
            </c:ext>
          </c:extLst>
        </c:ser>
        <c:ser>
          <c:idx val="1"/>
          <c:order val="1"/>
          <c:tx>
            <c:strRef>
              <c:f>'[penetracija-fiksnega-iro.xls]Ark1'!$C$1:$C$2</c:f>
              <c:strCache>
                <c:ptCount val="2"/>
                <c:pt idx="0">
                  <c:v>Penetracija fiksnega širokopasovnega dostopa</c:v>
                </c:pt>
                <c:pt idx="1">
                  <c:v>Penetracija fiksnega širokopasovnega dostopa na gospodinjstva SURS (popisi od 2015)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'[penetracija-fiksnega-iro.xls]Ark1'!$C$3:$C$30</c:f>
              <c:numCache>
                <c:formatCode>General</c:formatCode>
                <c:ptCount val="28"/>
                <c:pt idx="11" formatCode="#.000">
                  <c:v>72.25</c:v>
                </c:pt>
                <c:pt idx="12" formatCode="#.000">
                  <c:v>72.150000000000006</c:v>
                </c:pt>
                <c:pt idx="13" formatCode="#.000">
                  <c:v>73.16</c:v>
                </c:pt>
                <c:pt idx="14" formatCode="#.000">
                  <c:v>73.94</c:v>
                </c:pt>
                <c:pt idx="15" formatCode="#.000">
                  <c:v>75.41</c:v>
                </c:pt>
                <c:pt idx="16" formatCode="#.000">
                  <c:v>76.39</c:v>
                </c:pt>
                <c:pt idx="17" formatCode="#.000">
                  <c:v>77.7</c:v>
                </c:pt>
                <c:pt idx="18" formatCode="#.000">
                  <c:v>78.040000000000006</c:v>
                </c:pt>
                <c:pt idx="19" formatCode="#.000">
                  <c:v>78.63</c:v>
                </c:pt>
                <c:pt idx="20" formatCode="#.000">
                  <c:v>80.239999999999995</c:v>
                </c:pt>
                <c:pt idx="21" formatCode="#.000">
                  <c:v>81.05</c:v>
                </c:pt>
                <c:pt idx="22" formatCode="#.000">
                  <c:v>81.13</c:v>
                </c:pt>
                <c:pt idx="23" formatCode="#.000">
                  <c:v>81.3</c:v>
                </c:pt>
                <c:pt idx="24" formatCode="#.000">
                  <c:v>81.45</c:v>
                </c:pt>
                <c:pt idx="25" formatCode="#.000">
                  <c:v>81.83</c:v>
                </c:pt>
                <c:pt idx="26" formatCode="#.000">
                  <c:v>82.12</c:v>
                </c:pt>
                <c:pt idx="27" formatCode="#.000">
                  <c:v>82.6</c:v>
                </c:pt>
              </c:numCache>
            </c:numRef>
          </c:val>
          <c:smooth val="0"/>
          <c:extLst>
            <c:ext xmlns:c16="http://schemas.microsoft.com/office/drawing/2014/chart" uri="{C3380CC4-5D6E-409C-BE32-E72D297353CC}">
              <c16:uniqueId val="{00000001-D75B-4F25-B9FE-CB6625FD9145}"/>
            </c:ext>
          </c:extLst>
        </c:ser>
        <c:ser>
          <c:idx val="2"/>
          <c:order val="2"/>
          <c:tx>
            <c:strRef>
              <c:f>'[penetracija-fiksnega-iro.xls]Ark1'!$D$1:$D$2</c:f>
              <c:strCache>
                <c:ptCount val="2"/>
                <c:pt idx="0">
                  <c:v>Penetracija fiksnega širokopasovnega dostopa</c:v>
                </c:pt>
                <c:pt idx="1">
                  <c:v>Penetracija fiksnega širokopasovnega dostopa na prebivalstvo SURS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'[penetracija-fiksnega-iro.xls]Ark1'!$A$3:$A$30</c:f>
              <c:strCache>
                <c:ptCount val="28"/>
                <c:pt idx="0">
                  <c:v>2012/4Q</c:v>
                </c:pt>
                <c:pt idx="1">
                  <c:v>2013/1Q</c:v>
                </c:pt>
                <c:pt idx="2">
                  <c:v>2013/2Q</c:v>
                </c:pt>
                <c:pt idx="3">
                  <c:v>2013/3Q</c:v>
                </c:pt>
                <c:pt idx="4">
                  <c:v>2013/4Q</c:v>
                </c:pt>
                <c:pt idx="5">
                  <c:v>2014/1Q</c:v>
                </c:pt>
                <c:pt idx="6">
                  <c:v>2014/2Q</c:v>
                </c:pt>
                <c:pt idx="7">
                  <c:v>2014/3Q</c:v>
                </c:pt>
                <c:pt idx="8">
                  <c:v>2014/4Q</c:v>
                </c:pt>
                <c:pt idx="9">
                  <c:v>2015/1Q</c:v>
                </c:pt>
                <c:pt idx="10">
                  <c:v>2015/2Q</c:v>
                </c:pt>
                <c:pt idx="11">
                  <c:v>2015/3Q</c:v>
                </c:pt>
                <c:pt idx="12">
                  <c:v>2015/4Q</c:v>
                </c:pt>
                <c:pt idx="13">
                  <c:v>2016/1Q</c:v>
                </c:pt>
                <c:pt idx="14">
                  <c:v>2016/2Q</c:v>
                </c:pt>
                <c:pt idx="15">
                  <c:v>2016/3Q</c:v>
                </c:pt>
                <c:pt idx="16">
                  <c:v>2016/4Q</c:v>
                </c:pt>
                <c:pt idx="17">
                  <c:v>2017/1Q</c:v>
                </c:pt>
                <c:pt idx="18">
                  <c:v>2017/2Q</c:v>
                </c:pt>
                <c:pt idx="19">
                  <c:v>2017/3Q</c:v>
                </c:pt>
                <c:pt idx="20">
                  <c:v>2017/4Q</c:v>
                </c:pt>
                <c:pt idx="21">
                  <c:v>2018/1Q</c:v>
                </c:pt>
                <c:pt idx="22">
                  <c:v>2018/2Q</c:v>
                </c:pt>
                <c:pt idx="23">
                  <c:v>2018/3Q</c:v>
                </c:pt>
                <c:pt idx="24">
                  <c:v>2018/4Q</c:v>
                </c:pt>
                <c:pt idx="25">
                  <c:v>2019/1Q</c:v>
                </c:pt>
                <c:pt idx="26">
                  <c:v>2019/2Q</c:v>
                </c:pt>
                <c:pt idx="27">
                  <c:v>2019/3Q</c:v>
                </c:pt>
              </c:strCache>
            </c:strRef>
          </c:cat>
          <c:val>
            <c:numRef>
              <c:f>'[penetracija-fiksnega-iro.xls]Ark1'!$D$3:$D$30</c:f>
              <c:numCache>
                <c:formatCode>#.000</c:formatCode>
                <c:ptCount val="28"/>
                <c:pt idx="0">
                  <c:v>26.06</c:v>
                </c:pt>
                <c:pt idx="1">
                  <c:v>26.3</c:v>
                </c:pt>
                <c:pt idx="2">
                  <c:v>26.51</c:v>
                </c:pt>
                <c:pt idx="3">
                  <c:v>26.59</c:v>
                </c:pt>
                <c:pt idx="4">
                  <c:v>26.84</c:v>
                </c:pt>
                <c:pt idx="5">
                  <c:v>27.52</c:v>
                </c:pt>
                <c:pt idx="6">
                  <c:v>27.73</c:v>
                </c:pt>
                <c:pt idx="7">
                  <c:v>27.9</c:v>
                </c:pt>
                <c:pt idx="8">
                  <c:v>28.15</c:v>
                </c:pt>
                <c:pt idx="9">
                  <c:v>28.34</c:v>
                </c:pt>
                <c:pt idx="10">
                  <c:v>28.49</c:v>
                </c:pt>
                <c:pt idx="11">
                  <c:v>28.73</c:v>
                </c:pt>
                <c:pt idx="12">
                  <c:v>28.67</c:v>
                </c:pt>
                <c:pt idx="13">
                  <c:v>29.08</c:v>
                </c:pt>
                <c:pt idx="14">
                  <c:v>29.39</c:v>
                </c:pt>
                <c:pt idx="15">
                  <c:v>29.98</c:v>
                </c:pt>
                <c:pt idx="16">
                  <c:v>30.34</c:v>
                </c:pt>
                <c:pt idx="17">
                  <c:v>30.86</c:v>
                </c:pt>
                <c:pt idx="18">
                  <c:v>31.01</c:v>
                </c:pt>
                <c:pt idx="19">
                  <c:v>31.23</c:v>
                </c:pt>
                <c:pt idx="20">
                  <c:v>31.87</c:v>
                </c:pt>
                <c:pt idx="21">
                  <c:v>32.18</c:v>
                </c:pt>
                <c:pt idx="22">
                  <c:v>32.200000000000003</c:v>
                </c:pt>
                <c:pt idx="23">
                  <c:v>32.229999999999997</c:v>
                </c:pt>
                <c:pt idx="24">
                  <c:v>32.340000000000003</c:v>
                </c:pt>
                <c:pt idx="25">
                  <c:v>32.49</c:v>
                </c:pt>
                <c:pt idx="26">
                  <c:v>32.49</c:v>
                </c:pt>
                <c:pt idx="27">
                  <c:v>32.6</c:v>
                </c:pt>
              </c:numCache>
            </c:numRef>
          </c:val>
          <c:smooth val="0"/>
          <c:extLst>
            <c:ext xmlns:c16="http://schemas.microsoft.com/office/drawing/2014/chart" uri="{C3380CC4-5D6E-409C-BE32-E72D297353CC}">
              <c16:uniqueId val="{00000002-D75B-4F25-B9FE-CB6625FD9145}"/>
            </c:ext>
          </c:extLst>
        </c:ser>
        <c:dLbls>
          <c:showLegendKey val="0"/>
          <c:showVal val="0"/>
          <c:showCatName val="0"/>
          <c:showSerName val="0"/>
          <c:showPercent val="0"/>
          <c:showBubbleSize val="0"/>
        </c:dLbls>
        <c:marker val="1"/>
        <c:smooth val="0"/>
        <c:axId val="115609984"/>
        <c:axId val="115611520"/>
      </c:lineChart>
      <c:catAx>
        <c:axId val="1156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15611520"/>
        <c:crosses val="autoZero"/>
        <c:auto val="1"/>
        <c:lblAlgn val="ctr"/>
        <c:lblOffset val="100"/>
        <c:noMultiLvlLbl val="0"/>
      </c:catAx>
      <c:valAx>
        <c:axId val="11561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v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15609984"/>
        <c:crosses val="autoZero"/>
        <c:crossBetween val="between"/>
      </c:valAx>
      <c:spPr>
        <a:gradFill>
          <a:gsLst>
            <a:gs pos="55000">
              <a:schemeClr val="bg1">
                <a:lumMod val="95000"/>
              </a:schemeClr>
            </a:gs>
            <a:gs pos="93000">
              <a:schemeClr val="bg1">
                <a:lumMod val="85000"/>
              </a:schemeClr>
            </a:gs>
            <a:gs pos="100000">
              <a:schemeClr val="accent1">
                <a:lumMod val="45000"/>
                <a:lumOff val="55000"/>
              </a:schemeClr>
            </a:gs>
            <a:gs pos="79624">
              <a:srgbClr val="E2E2E2"/>
            </a:gs>
            <a:gs pos="99000">
              <a:schemeClr val="bg1">
                <a:lumMod val="95000"/>
              </a:schemeClr>
            </a:gs>
          </a:gsLst>
          <a:lin ang="5400000" scaled="1"/>
        </a:gradFill>
        <a:ln>
          <a:solidFill>
            <a:schemeClr val="accent1"/>
          </a:solidFill>
        </a:ln>
        <a:effectLst/>
      </c:spPr>
    </c:plotArea>
    <c:legend>
      <c:legendPos val="b"/>
      <c:layout>
        <c:manualLayout>
          <c:xMode val="edge"/>
          <c:yMode val="edge"/>
          <c:x val="7.8220420467243576E-2"/>
          <c:y val="0.8487536280187199"/>
          <c:w val="0.84355898581984179"/>
          <c:h val="0.1512463719812801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 GFCF v </a:t>
            </a:r>
            <a:r>
              <a:rPr lang="sl-SI" sz="800" b="1"/>
              <a:t>BDV</a:t>
            </a:r>
            <a:endParaRPr lang="en-US" sz="800" b="1"/>
          </a:p>
        </c:rich>
      </c:tx>
      <c:overlay val="0"/>
      <c:spPr>
        <a:noFill/>
        <a:ln>
          <a:noFill/>
        </a:ln>
        <a:effectLst/>
      </c:spPr>
    </c:title>
    <c:autoTitleDeleted val="0"/>
    <c:plotArea>
      <c:layout/>
      <c:barChart>
        <c:barDir val="col"/>
        <c:grouping val="clustered"/>
        <c:varyColors val="0"/>
        <c:ser>
          <c:idx val="0"/>
          <c:order val="0"/>
          <c:tx>
            <c:strRef>
              <c:f>Data!$B$92</c:f>
              <c:strCache>
                <c:ptCount val="1"/>
                <c:pt idx="0">
                  <c:v>2005</c:v>
                </c:pt>
              </c:strCache>
            </c:strRef>
          </c:tx>
          <c:spPr>
            <a:solidFill>
              <a:schemeClr val="accent1"/>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Data!$B$93:$B$120</c:f>
              <c:numCache>
                <c:formatCode>###,000</c:formatCode>
                <c:ptCount val="28"/>
                <c:pt idx="0">
                  <c:v>32.130024830893056</c:v>
                </c:pt>
                <c:pt idx="1">
                  <c:v>31.334925211749866</c:v>
                </c:pt>
                <c:pt idx="2">
                  <c:v>9.9083055962078923</c:v>
                </c:pt>
                <c:pt idx="3">
                  <c:v>47.574057966667667</c:v>
                </c:pt>
                <c:pt idx="4">
                  <c:v>73.902045844746468</c:v>
                </c:pt>
                <c:pt idx="5">
                  <c:v>55.691151780438709</c:v>
                </c:pt>
                <c:pt idx="6">
                  <c:v>78.861714285714285</c:v>
                </c:pt>
                <c:pt idx="7">
                  <c:v>32.997461890205138</c:v>
                </c:pt>
                <c:pt idx="8">
                  <c:v>21.038706064499127</c:v>
                </c:pt>
                <c:pt idx="9">
                  <c:v>13.758644594431027</c:v>
                </c:pt>
                <c:pt idx="10">
                  <c:v>31.334948339470586</c:v>
                </c:pt>
                <c:pt idx="11">
                  <c:v>37.760598020116184</c:v>
                </c:pt>
                <c:pt idx="12">
                  <c:v>39.330544962566492</c:v>
                </c:pt>
                <c:pt idx="13">
                  <c:v>11.386272680769116</c:v>
                </c:pt>
                <c:pt idx="14">
                  <c:v>101.72524646378056</c:v>
                </c:pt>
                <c:pt idx="15">
                  <c:v>46.528239202657815</c:v>
                </c:pt>
                <c:pt idx="16">
                  <c:v>96.516618424992515</c:v>
                </c:pt>
                <c:pt idx="17">
                  <c:v>28.509825524690246</c:v>
                </c:pt>
                <c:pt idx="18">
                  <c:v>16.969382459782047</c:v>
                </c:pt>
                <c:pt idx="19">
                  <c:v>35.447658640799126</c:v>
                </c:pt>
                <c:pt idx="20">
                  <c:v>65.802565291577935</c:v>
                </c:pt>
                <c:pt idx="21">
                  <c:v>12.964376402382676</c:v>
                </c:pt>
                <c:pt idx="22">
                  <c:v>27.762654490270439</c:v>
                </c:pt>
                <c:pt idx="23">
                  <c:v>8.0895659367648207</c:v>
                </c:pt>
                <c:pt idx="24">
                  <c:v>45.94840154668583</c:v>
                </c:pt>
                <c:pt idx="25">
                  <c:v>33.935162538355499</c:v>
                </c:pt>
                <c:pt idx="26">
                  <c:v>70.658698261913457</c:v>
                </c:pt>
                <c:pt idx="27">
                  <c:v>70.595074687121524</c:v>
                </c:pt>
              </c:numCache>
            </c:numRef>
          </c:val>
          <c:extLst>
            <c:ext xmlns:c16="http://schemas.microsoft.com/office/drawing/2014/chart" uri="{C3380CC4-5D6E-409C-BE32-E72D297353CC}">
              <c16:uniqueId val="{00000000-924E-4386-B398-1654D2A496E4}"/>
            </c:ext>
          </c:extLst>
        </c:ser>
        <c:ser>
          <c:idx val="5"/>
          <c:order val="1"/>
          <c:tx>
            <c:strRef>
              <c:f>Data!$G$92</c:f>
              <c:strCache>
                <c:ptCount val="1"/>
                <c:pt idx="0">
                  <c:v>2010</c:v>
                </c:pt>
              </c:strCache>
            </c:strRef>
          </c:tx>
          <c:spPr>
            <a:solidFill>
              <a:srgbClr val="FFC000"/>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Data!$G$93:$G$120</c:f>
              <c:numCache>
                <c:formatCode>###,000</c:formatCode>
                <c:ptCount val="28"/>
                <c:pt idx="0">
                  <c:v>34.075311610809607</c:v>
                </c:pt>
                <c:pt idx="1">
                  <c:v>48.81368586257139</c:v>
                </c:pt>
                <c:pt idx="2">
                  <c:v>11.27282115590307</c:v>
                </c:pt>
                <c:pt idx="3">
                  <c:v>46.447307155051995</c:v>
                </c:pt>
                <c:pt idx="4">
                  <c:v>46.457960442628305</c:v>
                </c:pt>
                <c:pt idx="5">
                  <c:v>46.977647179182711</c:v>
                </c:pt>
                <c:pt idx="6">
                  <c:v>55.727078891257996</c:v>
                </c:pt>
                <c:pt idx="7">
                  <c:v>31.620829462556081</c:v>
                </c:pt>
                <c:pt idx="8">
                  <c:v>25.492405831779958</c:v>
                </c:pt>
                <c:pt idx="9">
                  <c:v>17.23450621164389</c:v>
                </c:pt>
                <c:pt idx="10">
                  <c:v>35.780319643389099</c:v>
                </c:pt>
                <c:pt idx="11">
                  <c:v>25.45755856822678</c:v>
                </c:pt>
                <c:pt idx="12">
                  <c:v>37.08757532745561</c:v>
                </c:pt>
                <c:pt idx="13">
                  <c:v>3.6682970208981773</c:v>
                </c:pt>
                <c:pt idx="14">
                  <c:v>61.571349955551788</c:v>
                </c:pt>
                <c:pt idx="15">
                  <c:v>55.762493085008302</c:v>
                </c:pt>
                <c:pt idx="16">
                  <c:v>133.51151315789474</c:v>
                </c:pt>
                <c:pt idx="17">
                  <c:v>35.754533086966234</c:v>
                </c:pt>
                <c:pt idx="18">
                  <c:v>38.477331052181349</c:v>
                </c:pt>
                <c:pt idx="19">
                  <c:v>43.479988361870738</c:v>
                </c:pt>
                <c:pt idx="20">
                  <c:v>71.18219771078212</c:v>
                </c:pt>
                <c:pt idx="21">
                  <c:v>12.620313583307938</c:v>
                </c:pt>
                <c:pt idx="22">
                  <c:v>30.605412714946183</c:v>
                </c:pt>
                <c:pt idx="23">
                  <c:v>16.925611659882669</c:v>
                </c:pt>
                <c:pt idx="24">
                  <c:v>53.744493392070481</c:v>
                </c:pt>
                <c:pt idx="25">
                  <c:v>45.728671019143526</c:v>
                </c:pt>
                <c:pt idx="26">
                  <c:v>75.921158264817421</c:v>
                </c:pt>
                <c:pt idx="27">
                  <c:v>69.406619812929577</c:v>
                </c:pt>
              </c:numCache>
            </c:numRef>
          </c:val>
          <c:extLst>
            <c:ext xmlns:c16="http://schemas.microsoft.com/office/drawing/2014/chart" uri="{C3380CC4-5D6E-409C-BE32-E72D297353CC}">
              <c16:uniqueId val="{00000001-924E-4386-B398-1654D2A496E4}"/>
            </c:ext>
          </c:extLst>
        </c:ser>
        <c:ser>
          <c:idx val="13"/>
          <c:order val="2"/>
          <c:tx>
            <c:strRef>
              <c:f>Data!$O$92</c:f>
              <c:strCache>
                <c:ptCount val="1"/>
                <c:pt idx="0">
                  <c:v>2018</c:v>
                </c:pt>
              </c:strCache>
            </c:strRef>
          </c:tx>
          <c:spPr>
            <a:solidFill>
              <a:srgbClr val="92D050"/>
            </a:solidFill>
            <a:ln>
              <a:noFill/>
            </a:ln>
            <a:effectLst/>
          </c:spPr>
          <c:invertIfNegative val="0"/>
          <c:cat>
            <c:strRef>
              <c:f>Data!$A$93:$A$120</c:f>
              <c:strCache>
                <c:ptCount val="28"/>
                <c:pt idx="0">
                  <c:v>EU27_2020</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strCache>
            </c:strRef>
          </c:cat>
          <c:val>
            <c:numRef>
              <c:f>Data!$O$93:$O$120</c:f>
              <c:numCache>
                <c:formatCode>###,000</c:formatCode>
                <c:ptCount val="28"/>
                <c:pt idx="0">
                  <c:v>31.604988201450151</c:v>
                </c:pt>
                <c:pt idx="1">
                  <c:v>56.886423143077337</c:v>
                </c:pt>
                <c:pt idx="2">
                  <c:v>16.965639481495717</c:v>
                </c:pt>
                <c:pt idx="3">
                  <c:v>56.544335077541199</c:v>
                </c:pt>
                <c:pt idx="4">
                  <c:v>50.052222142188285</c:v>
                </c:pt>
                <c:pt idx="5">
                  <c:v>56.34275635532012</c:v>
                </c:pt>
                <c:pt idx="6">
                  <c:v>108.6785488805789</c:v>
                </c:pt>
                <c:pt idx="7">
                  <c:v>38.952127016738174</c:v>
                </c:pt>
                <c:pt idx="8">
                  <c:v>22.836650042890088</c:v>
                </c:pt>
                <c:pt idx="9">
                  <c:v>15.768485518631545</c:v>
                </c:pt>
                <c:pt idx="10">
                  <c:v>31.67508572648039</c:v>
                </c:pt>
                <c:pt idx="11">
                  <c:v>21.482254311777524</c:v>
                </c:pt>
                <c:pt idx="12">
                  <c:v>26.876111181784275</c:v>
                </c:pt>
                <c:pt idx="13">
                  <c:v>7.3550087873462218</c:v>
                </c:pt>
                <c:pt idx="14">
                  <c:v>128.9255289914812</c:v>
                </c:pt>
                <c:pt idx="15">
                  <c:v>64.686988667353504</c:v>
                </c:pt>
                <c:pt idx="16">
                  <c:v>89.829274213124037</c:v>
                </c:pt>
                <c:pt idx="17">
                  <c:v>30.09114154934862</c:v>
                </c:pt>
                <c:pt idx="18">
                  <c:v>16.363953894516243</c:v>
                </c:pt>
                <c:pt idx="19">
                  <c:v>44.38579919546374</c:v>
                </c:pt>
                <c:pt idx="20">
                  <c:v>65.291160518388182</c:v>
                </c:pt>
                <c:pt idx="21">
                  <c:v>13.431675367054249</c:v>
                </c:pt>
                <c:pt idx="22">
                  <c:v>34.080384330919053</c:v>
                </c:pt>
                <c:pt idx="23">
                  <c:v>11.656214620685676</c:v>
                </c:pt>
                <c:pt idx="24">
                  <c:v>49.165069805639199</c:v>
                </c:pt>
                <c:pt idx="25">
                  <c:v>31.146389694875161</c:v>
                </c:pt>
                <c:pt idx="26">
                  <c:v>87.342635993031976</c:v>
                </c:pt>
                <c:pt idx="27">
                  <c:v>81.224371482706928</c:v>
                </c:pt>
              </c:numCache>
            </c:numRef>
          </c:val>
          <c:extLst>
            <c:ext xmlns:c16="http://schemas.microsoft.com/office/drawing/2014/chart" uri="{C3380CC4-5D6E-409C-BE32-E72D297353CC}">
              <c16:uniqueId val="{00000002-924E-4386-B398-1654D2A496E4}"/>
            </c:ext>
          </c:extLst>
        </c:ser>
        <c:dLbls>
          <c:showLegendKey val="0"/>
          <c:showVal val="0"/>
          <c:showCatName val="0"/>
          <c:showSerName val="0"/>
          <c:showPercent val="0"/>
          <c:showBubbleSize val="0"/>
        </c:dLbls>
        <c:gapWidth val="75"/>
        <c:axId val="154460160"/>
        <c:axId val="154461696"/>
      </c:barChart>
      <c:catAx>
        <c:axId val="15446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54461696"/>
        <c:crosses val="autoZero"/>
        <c:auto val="1"/>
        <c:lblAlgn val="ctr"/>
        <c:lblOffset val="100"/>
        <c:noMultiLvlLbl val="0"/>
      </c:catAx>
      <c:valAx>
        <c:axId val="1544616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54460160"/>
        <c:crosses val="autoZero"/>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8938266079562128"/>
          <c:y val="0.77464404061664127"/>
          <c:w val="0.19911795002181179"/>
          <c:h val="7.642596504705204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6984648501671E-2"/>
          <c:y val="4.2759961127308066E-2"/>
          <c:w val="0.91445608867236905"/>
          <c:h val="0.61180032823765884"/>
        </c:manualLayout>
      </c:layout>
      <c:barChart>
        <c:barDir val="bar"/>
        <c:grouping val="stacked"/>
        <c:varyColors val="0"/>
        <c:ser>
          <c:idx val="0"/>
          <c:order val="0"/>
          <c:tx>
            <c:strRef>
              <c:f>'[GFCF PO INVESTICIJI 2005-2019 aact_eaa01.xls]Data'!$A$29</c:f>
              <c:strCache>
                <c:ptCount val="1"/>
                <c:pt idx="0">
                  <c:v>neopredmetena osnovna sredstva (npr. računalniška programska oprema)</c:v>
                </c:pt>
              </c:strCache>
            </c:strRef>
          </c:tx>
          <c:spPr>
            <a:solidFill>
              <a:schemeClr val="accent1"/>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aact_eaa01.xls]Data'!$B$29:$O$29</c:f>
              <c:numCache>
                <c:formatCode>###,000</c:formatCode>
                <c:ptCount val="14"/>
                <c:pt idx="0">
                  <c:v>0</c:v>
                </c:pt>
                <c:pt idx="1">
                  <c:v>0</c:v>
                </c:pt>
                <c:pt idx="2">
                  <c:v>0</c:v>
                </c:pt>
                <c:pt idx="3">
                  <c:v>0</c:v>
                </c:pt>
                <c:pt idx="4">
                  <c:v>0.33</c:v>
                </c:pt>
                <c:pt idx="5">
                  <c:v>0.53</c:v>
                </c:pt>
                <c:pt idx="6">
                  <c:v>0.46</c:v>
                </c:pt>
                <c:pt idx="7">
                  <c:v>0.49</c:v>
                </c:pt>
                <c:pt idx="8">
                  <c:v>0.08</c:v>
                </c:pt>
                <c:pt idx="9">
                  <c:v>0.01</c:v>
                </c:pt>
                <c:pt idx="10">
                  <c:v>0.41</c:v>
                </c:pt>
                <c:pt idx="11">
                  <c:v>0.02</c:v>
                </c:pt>
                <c:pt idx="12">
                  <c:v>0.01</c:v>
                </c:pt>
                <c:pt idx="13">
                  <c:v>0.01</c:v>
                </c:pt>
              </c:numCache>
            </c:numRef>
          </c:val>
          <c:extLst>
            <c:ext xmlns:c16="http://schemas.microsoft.com/office/drawing/2014/chart" uri="{C3380CC4-5D6E-409C-BE32-E72D297353CC}">
              <c16:uniqueId val="{00000000-FF05-4DED-B936-66BC18F7B029}"/>
            </c:ext>
          </c:extLst>
        </c:ser>
        <c:ser>
          <c:idx val="1"/>
          <c:order val="1"/>
          <c:tx>
            <c:strRef>
              <c:f>'[GFCF PO INVESTICIJI 2005-2019 aact_eaa01.xls]Data'!$A$30</c:f>
              <c:strCache>
                <c:ptCount val="1"/>
                <c:pt idx="0">
                  <c:v>bistvena izboljšava zemljišč</c:v>
                </c:pt>
              </c:strCache>
            </c:strRef>
          </c:tx>
          <c:spPr>
            <a:solidFill>
              <a:schemeClr val="accent2"/>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aact_eaa01.xls]Data'!$B$30:$O$30</c:f>
              <c:numCache>
                <c:formatCode>###,000</c:formatCode>
                <c:ptCount val="14"/>
                <c:pt idx="0">
                  <c:v>1.51</c:v>
                </c:pt>
                <c:pt idx="1">
                  <c:v>1.19</c:v>
                </c:pt>
                <c:pt idx="2">
                  <c:v>0.65</c:v>
                </c:pt>
                <c:pt idx="3">
                  <c:v>0.71</c:v>
                </c:pt>
                <c:pt idx="4">
                  <c:v>0.78</c:v>
                </c:pt>
                <c:pt idx="5">
                  <c:v>0.71</c:v>
                </c:pt>
                <c:pt idx="6">
                  <c:v>0.66</c:v>
                </c:pt>
                <c:pt idx="7">
                  <c:v>0.62</c:v>
                </c:pt>
                <c:pt idx="8">
                  <c:v>0.59</c:v>
                </c:pt>
                <c:pt idx="9">
                  <c:v>0.56000000000000005</c:v>
                </c:pt>
                <c:pt idx="10">
                  <c:v>0.52</c:v>
                </c:pt>
                <c:pt idx="11">
                  <c:v>0.51</c:v>
                </c:pt>
                <c:pt idx="12">
                  <c:v>0.62</c:v>
                </c:pt>
                <c:pt idx="13">
                  <c:v>0.47</c:v>
                </c:pt>
              </c:numCache>
            </c:numRef>
          </c:val>
          <c:extLst>
            <c:ext xmlns:c16="http://schemas.microsoft.com/office/drawing/2014/chart" uri="{C3380CC4-5D6E-409C-BE32-E72D297353CC}">
              <c16:uniqueId val="{00000001-FF05-4DED-B936-66BC18F7B029}"/>
            </c:ext>
          </c:extLst>
        </c:ser>
        <c:ser>
          <c:idx val="2"/>
          <c:order val="2"/>
          <c:tx>
            <c:strRef>
              <c:f>'[GFCF PO INVESTICIJI 2005-2019 aact_eaa01.xls]Data'!$A$31</c:f>
              <c:strCache>
                <c:ptCount val="1"/>
                <c:pt idx="0">
                  <c:v>osnovna čreda</c:v>
                </c:pt>
              </c:strCache>
            </c:strRef>
          </c:tx>
          <c:spPr>
            <a:solidFill>
              <a:schemeClr val="accent3"/>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aact_eaa01.xls]Data'!$B$31:$O$31</c:f>
              <c:numCache>
                <c:formatCode>###,000</c:formatCode>
                <c:ptCount val="14"/>
                <c:pt idx="0">
                  <c:v>12.06</c:v>
                </c:pt>
                <c:pt idx="1">
                  <c:v>10.41</c:v>
                </c:pt>
                <c:pt idx="2">
                  <c:v>18.25</c:v>
                </c:pt>
                <c:pt idx="3">
                  <c:v>13.18</c:v>
                </c:pt>
                <c:pt idx="4">
                  <c:v>13.54</c:v>
                </c:pt>
                <c:pt idx="5">
                  <c:v>14.58</c:v>
                </c:pt>
                <c:pt idx="6">
                  <c:v>11.93</c:v>
                </c:pt>
                <c:pt idx="7">
                  <c:v>6.94</c:v>
                </c:pt>
                <c:pt idx="8">
                  <c:v>10.58</c:v>
                </c:pt>
                <c:pt idx="9">
                  <c:v>17.760000000000002</c:v>
                </c:pt>
                <c:pt idx="10">
                  <c:v>18.760000000000002</c:v>
                </c:pt>
                <c:pt idx="11">
                  <c:v>14.92</c:v>
                </c:pt>
                <c:pt idx="12">
                  <c:v>12.18</c:v>
                </c:pt>
                <c:pt idx="13">
                  <c:v>12.58</c:v>
                </c:pt>
              </c:numCache>
            </c:numRef>
          </c:val>
          <c:extLst>
            <c:ext xmlns:c16="http://schemas.microsoft.com/office/drawing/2014/chart" uri="{C3380CC4-5D6E-409C-BE32-E72D297353CC}">
              <c16:uniqueId val="{00000002-FF05-4DED-B936-66BC18F7B029}"/>
            </c:ext>
          </c:extLst>
        </c:ser>
        <c:ser>
          <c:idx val="3"/>
          <c:order val="3"/>
          <c:tx>
            <c:strRef>
              <c:f>'[GFCF PO INVESTICIJI 2005-2019 aact_eaa01.xls]Data'!$A$32</c:f>
              <c:strCache>
                <c:ptCount val="1"/>
                <c:pt idx="0">
                  <c:v>trajni nasadi</c:v>
                </c:pt>
              </c:strCache>
            </c:strRef>
          </c:tx>
          <c:spPr>
            <a:solidFill>
              <a:schemeClr val="accent4"/>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aact_eaa01.xls]Data'!$B$32:$O$32</c:f>
              <c:numCache>
                <c:formatCode>###,000</c:formatCode>
                <c:ptCount val="14"/>
                <c:pt idx="0">
                  <c:v>16.07</c:v>
                </c:pt>
                <c:pt idx="1">
                  <c:v>13.72</c:v>
                </c:pt>
                <c:pt idx="2">
                  <c:v>12.85</c:v>
                </c:pt>
                <c:pt idx="3">
                  <c:v>12.99</c:v>
                </c:pt>
                <c:pt idx="4">
                  <c:v>17.489999999999998</c:v>
                </c:pt>
                <c:pt idx="5">
                  <c:v>10.6</c:v>
                </c:pt>
                <c:pt idx="6">
                  <c:v>10.119999999999999</c:v>
                </c:pt>
                <c:pt idx="7">
                  <c:v>13.32</c:v>
                </c:pt>
                <c:pt idx="8">
                  <c:v>16.68</c:v>
                </c:pt>
                <c:pt idx="9">
                  <c:v>18.920000000000002</c:v>
                </c:pt>
                <c:pt idx="10">
                  <c:v>19.170000000000002</c:v>
                </c:pt>
                <c:pt idx="11">
                  <c:v>19.559999999999999</c:v>
                </c:pt>
                <c:pt idx="12">
                  <c:v>21.38</c:v>
                </c:pt>
                <c:pt idx="13">
                  <c:v>20.22</c:v>
                </c:pt>
              </c:numCache>
            </c:numRef>
          </c:val>
          <c:extLst>
            <c:ext xmlns:c16="http://schemas.microsoft.com/office/drawing/2014/chart" uri="{C3380CC4-5D6E-409C-BE32-E72D297353CC}">
              <c16:uniqueId val="{00000003-FF05-4DED-B936-66BC18F7B029}"/>
            </c:ext>
          </c:extLst>
        </c:ser>
        <c:ser>
          <c:idx val="4"/>
          <c:order val="4"/>
          <c:tx>
            <c:strRef>
              <c:f>'[GFCF PO INVESTICIJI 2005-2019 aact_eaa01.xls]Data'!$A$33</c:f>
              <c:strCache>
                <c:ptCount val="1"/>
                <c:pt idx="0">
                  <c:v>kmetijske zgradbe (nestanovanjske)</c:v>
                </c:pt>
              </c:strCache>
            </c:strRef>
          </c:tx>
          <c:spPr>
            <a:solidFill>
              <a:schemeClr val="accent5"/>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aact_eaa01.xls]Data'!$B$33:$O$33</c:f>
              <c:numCache>
                <c:formatCode>###,000</c:formatCode>
                <c:ptCount val="14"/>
                <c:pt idx="0">
                  <c:v>56.54</c:v>
                </c:pt>
                <c:pt idx="1">
                  <c:v>55.74</c:v>
                </c:pt>
                <c:pt idx="2">
                  <c:v>64.260000000000005</c:v>
                </c:pt>
                <c:pt idx="3">
                  <c:v>66.77</c:v>
                </c:pt>
                <c:pt idx="4">
                  <c:v>63.12</c:v>
                </c:pt>
                <c:pt idx="5">
                  <c:v>55.02</c:v>
                </c:pt>
                <c:pt idx="6">
                  <c:v>48.49</c:v>
                </c:pt>
                <c:pt idx="7">
                  <c:v>48.7</c:v>
                </c:pt>
                <c:pt idx="8">
                  <c:v>50.97</c:v>
                </c:pt>
                <c:pt idx="9">
                  <c:v>53.14</c:v>
                </c:pt>
                <c:pt idx="10">
                  <c:v>55.38</c:v>
                </c:pt>
                <c:pt idx="11">
                  <c:v>57.6</c:v>
                </c:pt>
                <c:pt idx="12">
                  <c:v>59.98</c:v>
                </c:pt>
                <c:pt idx="13">
                  <c:v>62.45</c:v>
                </c:pt>
              </c:numCache>
            </c:numRef>
          </c:val>
          <c:extLst>
            <c:ext xmlns:c16="http://schemas.microsoft.com/office/drawing/2014/chart" uri="{C3380CC4-5D6E-409C-BE32-E72D297353CC}">
              <c16:uniqueId val="{00000004-FF05-4DED-B936-66BC18F7B029}"/>
            </c:ext>
          </c:extLst>
        </c:ser>
        <c:ser>
          <c:idx val="5"/>
          <c:order val="5"/>
          <c:tx>
            <c:strRef>
              <c:f>'[GFCF PO INVESTICIJI 2005-2019 aact_eaa01.xls]Data'!$A$34</c:f>
              <c:strCache>
                <c:ptCount val="1"/>
                <c:pt idx="0">
                  <c:v>prevozna sredstva</c:v>
                </c:pt>
              </c:strCache>
            </c:strRef>
          </c:tx>
          <c:spPr>
            <a:solidFill>
              <a:schemeClr val="accent6"/>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aact_eaa01.xls]Data'!$B$34:$O$34</c:f>
              <c:numCache>
                <c:formatCode>###,000</c:formatCode>
                <c:ptCount val="14"/>
                <c:pt idx="0">
                  <c:v>62.02</c:v>
                </c:pt>
                <c:pt idx="1">
                  <c:v>91.26</c:v>
                </c:pt>
                <c:pt idx="2">
                  <c:v>99</c:v>
                </c:pt>
                <c:pt idx="3">
                  <c:v>113.62</c:v>
                </c:pt>
                <c:pt idx="4">
                  <c:v>83.95</c:v>
                </c:pt>
                <c:pt idx="5">
                  <c:v>66.58</c:v>
                </c:pt>
                <c:pt idx="6">
                  <c:v>67.260000000000005</c:v>
                </c:pt>
                <c:pt idx="7">
                  <c:v>68.430000000000007</c:v>
                </c:pt>
                <c:pt idx="8">
                  <c:v>71.099999999999994</c:v>
                </c:pt>
                <c:pt idx="9">
                  <c:v>59.91</c:v>
                </c:pt>
                <c:pt idx="10">
                  <c:v>56.85</c:v>
                </c:pt>
                <c:pt idx="11">
                  <c:v>56.49</c:v>
                </c:pt>
                <c:pt idx="12">
                  <c:v>65.930000000000007</c:v>
                </c:pt>
                <c:pt idx="13">
                  <c:v>80.61</c:v>
                </c:pt>
              </c:numCache>
            </c:numRef>
          </c:val>
          <c:extLst>
            <c:ext xmlns:c16="http://schemas.microsoft.com/office/drawing/2014/chart" uri="{C3380CC4-5D6E-409C-BE32-E72D297353CC}">
              <c16:uniqueId val="{00000005-FF05-4DED-B936-66BC18F7B029}"/>
            </c:ext>
          </c:extLst>
        </c:ser>
        <c:ser>
          <c:idx val="6"/>
          <c:order val="6"/>
          <c:tx>
            <c:strRef>
              <c:f>'[GFCF PO INVESTICIJI 2005-2019 aact_eaa01.xls]Data'!$A$35</c:f>
              <c:strCache>
                <c:ptCount val="1"/>
                <c:pt idx="0">
                  <c:v>stroji in oprema</c:v>
                </c:pt>
              </c:strCache>
            </c:strRef>
          </c:tx>
          <c:spPr>
            <a:solidFill>
              <a:schemeClr val="accent1">
                <a:lumMod val="60000"/>
              </a:schemeClr>
            </a:solidFill>
            <a:ln>
              <a:noFill/>
            </a:ln>
            <a:effectLst/>
          </c:spPr>
          <c:invertIfNegative val="0"/>
          <c:cat>
            <c:strRef>
              <c:f>'[GFCF PO INVESTICIJI 2005-2019 aact_eaa01.xls]Data'!$B$28:$O$28</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'[GFCF PO INVESTICIJI 2005-2019 aact_eaa01.xls]Data'!$B$35:$O$35</c:f>
              <c:numCache>
                <c:formatCode>###,000</c:formatCode>
                <c:ptCount val="14"/>
                <c:pt idx="0">
                  <c:v>69.260000000000005</c:v>
                </c:pt>
                <c:pt idx="1">
                  <c:v>68.33</c:v>
                </c:pt>
                <c:pt idx="2">
                  <c:v>82.59</c:v>
                </c:pt>
                <c:pt idx="3">
                  <c:v>105.52</c:v>
                </c:pt>
                <c:pt idx="4">
                  <c:v>75.260000000000005</c:v>
                </c:pt>
                <c:pt idx="5">
                  <c:v>69.150000000000006</c:v>
                </c:pt>
                <c:pt idx="6">
                  <c:v>64.8</c:v>
                </c:pt>
                <c:pt idx="7">
                  <c:v>73.900000000000006</c:v>
                </c:pt>
                <c:pt idx="8">
                  <c:v>74.010000000000005</c:v>
                </c:pt>
                <c:pt idx="9">
                  <c:v>82.71</c:v>
                </c:pt>
                <c:pt idx="10">
                  <c:v>97.94</c:v>
                </c:pt>
                <c:pt idx="11">
                  <c:v>82.23</c:v>
                </c:pt>
                <c:pt idx="12">
                  <c:v>95.79</c:v>
                </c:pt>
                <c:pt idx="13">
                  <c:v>128.99</c:v>
                </c:pt>
              </c:numCache>
            </c:numRef>
          </c:val>
          <c:extLst>
            <c:ext xmlns:c16="http://schemas.microsoft.com/office/drawing/2014/chart" uri="{C3380CC4-5D6E-409C-BE32-E72D297353CC}">
              <c16:uniqueId val="{00000006-FF05-4DED-B936-66BC18F7B029}"/>
            </c:ext>
          </c:extLst>
        </c:ser>
        <c:dLbls>
          <c:showLegendKey val="0"/>
          <c:showVal val="0"/>
          <c:showCatName val="0"/>
          <c:showSerName val="0"/>
          <c:showPercent val="0"/>
          <c:showBubbleSize val="0"/>
        </c:dLbls>
        <c:gapWidth val="150"/>
        <c:overlap val="100"/>
        <c:axId val="154721664"/>
        <c:axId val="163644544"/>
      </c:barChart>
      <c:catAx>
        <c:axId val="15472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sl-SI"/>
          </a:p>
        </c:txPr>
        <c:crossAx val="163644544"/>
        <c:crosses val="autoZero"/>
        <c:auto val="1"/>
        <c:lblAlgn val="ctr"/>
        <c:lblOffset val="100"/>
        <c:noMultiLvlLbl val="0"/>
      </c:catAx>
      <c:valAx>
        <c:axId val="16364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154721664"/>
        <c:crosses val="autoZero"/>
        <c:crossBetween val="between"/>
      </c:valAx>
      <c:spPr>
        <a:noFill/>
        <a:ln>
          <a:solidFill>
            <a:schemeClr val="accent3"/>
          </a:solidFill>
        </a:ln>
        <a:effectLst/>
      </c:spPr>
    </c:plotArea>
    <c:legend>
      <c:legendPos val="b"/>
      <c:layout>
        <c:manualLayout>
          <c:xMode val="edge"/>
          <c:yMode val="edge"/>
          <c:x val="7.5157272007665725E-3"/>
          <c:y val="0.71929757164845509"/>
          <c:w val="0.95731957116471555"/>
          <c:h val="0.271625812524646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800" b="0"/>
            </a:pPr>
            <a:r>
              <a:rPr lang="sl-SI" sz="800" b="0"/>
              <a:t>Bruto investicije v osnovna sredstva na hektar kmetijskih zemljišč v uporabi (GFCF/UAA), Slovenija in EU-28, v tekočih cenah, v EUR</a:t>
            </a:r>
          </a:p>
        </c:rich>
      </c:tx>
      <c:overlay val="0"/>
      <c:spPr>
        <a:noFill/>
        <a:ln w="25400">
          <a:noFill/>
        </a:ln>
      </c:spPr>
    </c:title>
    <c:autoTitleDeleted val="0"/>
    <c:plotArea>
      <c:layout/>
      <c:barChart>
        <c:barDir val="col"/>
        <c:grouping val="clustered"/>
        <c:varyColors val="0"/>
        <c:ser>
          <c:idx val="0"/>
          <c:order val="0"/>
          <c:tx>
            <c:strRef>
              <c:f>'GFCF na hektar'!$B$89</c:f>
              <c:strCache>
                <c:ptCount val="1"/>
                <c:pt idx="0">
                  <c:v>2013</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('GFCF na hektar'!$A$90,'GFCF na hektar'!$A$114)</c:f>
              <c:strCache>
                <c:ptCount val="2"/>
                <c:pt idx="0">
                  <c:v>EU-28</c:v>
                </c:pt>
                <c:pt idx="1">
                  <c:v>Slovenija</c:v>
                </c:pt>
              </c:strCache>
            </c:strRef>
          </c:cat>
          <c:val>
            <c:numRef>
              <c:f>('GFCF na hektar'!$B$90,'GFCF na hektar'!$B$114)</c:f>
              <c:numCache>
                <c:formatCode>#,##0</c:formatCode>
                <c:ptCount val="2"/>
                <c:pt idx="0">
                  <c:v>330.26404007455176</c:v>
                </c:pt>
                <c:pt idx="1">
                  <c:v>461.15365612648219</c:v>
                </c:pt>
              </c:numCache>
            </c:numRef>
          </c:val>
          <c:extLst>
            <c:ext xmlns:c16="http://schemas.microsoft.com/office/drawing/2014/chart" uri="{C3380CC4-5D6E-409C-BE32-E72D297353CC}">
              <c16:uniqueId val="{00000000-08B5-4171-9C69-F9BCEBA496A1}"/>
            </c:ext>
          </c:extLst>
        </c:ser>
        <c:ser>
          <c:idx val="1"/>
          <c:order val="1"/>
          <c:tx>
            <c:strRef>
              <c:f>'GFCF na hektar'!$C$89</c:f>
              <c:strCache>
                <c:ptCount val="1"/>
                <c:pt idx="0">
                  <c:v>2016</c:v>
                </c:pt>
              </c:strCache>
            </c:strRef>
          </c:tx>
          <c:spPr>
            <a:solidFill>
              <a:srgbClr val="92D05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('GFCF na hektar'!$A$90,'GFCF na hektar'!$A$114)</c:f>
              <c:strCache>
                <c:ptCount val="2"/>
                <c:pt idx="0">
                  <c:v>EU-28</c:v>
                </c:pt>
                <c:pt idx="1">
                  <c:v>Slovenija</c:v>
                </c:pt>
              </c:strCache>
            </c:strRef>
          </c:cat>
          <c:val>
            <c:numRef>
              <c:f>('GFCF na hektar'!$C$90,'GFCF na hektar'!$C$114)</c:f>
              <c:numCache>
                <c:formatCode>#,##0</c:formatCode>
                <c:ptCount val="2"/>
                <c:pt idx="0">
                  <c:v>314.20880514080636</c:v>
                </c:pt>
                <c:pt idx="1">
                  <c:v>473.6486486486487</c:v>
                </c:pt>
              </c:numCache>
            </c:numRef>
          </c:val>
          <c:extLst>
            <c:ext xmlns:c16="http://schemas.microsoft.com/office/drawing/2014/chart" uri="{C3380CC4-5D6E-409C-BE32-E72D297353CC}">
              <c16:uniqueId val="{00000001-08B5-4171-9C69-F9BCEBA496A1}"/>
            </c:ext>
          </c:extLst>
        </c:ser>
        <c:dLbls>
          <c:showLegendKey val="0"/>
          <c:showVal val="0"/>
          <c:showCatName val="0"/>
          <c:showSerName val="0"/>
          <c:showPercent val="0"/>
          <c:showBubbleSize val="0"/>
        </c:dLbls>
        <c:gapWidth val="219"/>
        <c:overlap val="-27"/>
        <c:axId val="163680256"/>
        <c:axId val="163681792"/>
      </c:barChart>
      <c:catAx>
        <c:axId val="1636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63681792"/>
        <c:crosses val="autoZero"/>
        <c:auto val="1"/>
        <c:lblAlgn val="ctr"/>
        <c:lblOffset val="100"/>
        <c:noMultiLvlLbl val="0"/>
      </c:catAx>
      <c:valAx>
        <c:axId val="16368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sl-SI"/>
          </a:p>
        </c:txPr>
        <c:crossAx val="163680256"/>
        <c:crosses val="autoZero"/>
        <c:crossBetween val="between"/>
      </c:valAx>
      <c:spPr>
        <a:gradFill>
          <a:gsLst>
            <a:gs pos="37000">
              <a:schemeClr val="bg1">
                <a:lumMod val="95000"/>
              </a:schemeClr>
            </a:gs>
            <a:gs pos="96000">
              <a:schemeClr val="bg1">
                <a:lumMod val="85000"/>
              </a:schemeClr>
            </a:gs>
            <a:gs pos="0">
              <a:schemeClr val="accent1">
                <a:lumMod val="5000"/>
                <a:lumOff val="95000"/>
              </a:schemeClr>
            </a:gs>
            <a:gs pos="67000">
              <a:schemeClr val="bg1">
                <a:lumMod val="85000"/>
              </a:schemeClr>
            </a:gs>
          </a:gsLst>
          <a:lin ang="5400000" scaled="1"/>
        </a:gradFill>
        <a:ln w="25400">
          <a:noFill/>
        </a:ln>
      </c:spPr>
    </c:plotArea>
    <c:legend>
      <c:legendPos val="r"/>
      <c:layout>
        <c:manualLayout>
          <c:xMode val="edge"/>
          <c:yMode val="edge"/>
          <c:x val="0.90913431331196959"/>
          <c:y val="0.453990297595531"/>
          <c:w val="8.7908599111263558E-2"/>
          <c:h val="0.25493756833487996"/>
        </c:manualLayout>
      </c:layout>
      <c:overlay val="0"/>
      <c:spPr>
        <a:noFill/>
        <a:ln w="25400">
          <a:noFill/>
        </a:ln>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80C78-2EA3-4B7D-8DF2-73568D17E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8ED4B3-0661-4DA5-AF21-FA4E0B4D4C0F}">
  <ds:schemaRefs>
    <ds:schemaRef ds:uri="http://schemas.microsoft.com/office/2006/metadata/properties"/>
    <ds:schemaRef ds:uri="http://schemas.microsoft.com/sharepoint/v3"/>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6888A3F-1898-4D72-8BF6-4CC4AA9ABD71}">
  <ds:schemaRefs>
    <ds:schemaRef ds:uri="http://schemas.microsoft.com/sharepoint/v3/contenttype/forms"/>
  </ds:schemaRefs>
</ds:datastoreItem>
</file>

<file path=customXml/itemProps4.xml><?xml version="1.0" encoding="utf-8"?>
<ds:datastoreItem xmlns:ds="http://schemas.openxmlformats.org/officeDocument/2006/customXml" ds:itemID="{BD3B18E0-FC82-4480-AB29-3C8D3BD31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168</Pages>
  <Words>58595</Words>
  <Characters>333995</Characters>
  <Application>Microsoft Office Word</Application>
  <DocSecurity>0</DocSecurity>
  <Lines>2783</Lines>
  <Paragraphs>783</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391807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Svetek Tomšič</dc:creator>
  <cp:keywords/>
  <cp:lastModifiedBy>Anita Žalik-Košutnik</cp:lastModifiedBy>
  <cp:revision>5</cp:revision>
  <cp:lastPrinted>2021-11-03T08:40:00Z</cp:lastPrinted>
  <dcterms:created xsi:type="dcterms:W3CDTF">2021-11-03T08:03:00Z</dcterms:created>
  <dcterms:modified xsi:type="dcterms:W3CDTF">2021-11-10T14:52:00Z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